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charts/chart1.xml" ContentType="application/vnd.openxmlformats-officedocument.drawingml.chart+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charts/chart2.xml" ContentType="application/vnd.openxmlformats-officedocument.drawingml.chart+xml"/>
  <Override PartName="/word/footer14.xml" ContentType="application/vnd.openxmlformats-officedocument.wordprocessingml.footer+xml"/>
  <Override PartName="/word/footer15.xml" ContentType="application/vnd.openxmlformats-officedocument.wordprocessingml.footer+xml"/>
  <Override PartName="/word/charts/chart3.xml" ContentType="application/vnd.openxmlformats-officedocument.drawingml.chart+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7CC8" w:rsidRDefault="00DB7CC8">
      <w:pPr>
        <w:spacing w:beforeLines="50" w:before="120" w:afterLines="50" w:after="120"/>
        <w:ind w:firstLineChars="0" w:firstLine="0"/>
        <w:jc w:val="center"/>
        <w:rPr>
          <w:b/>
          <w:bCs/>
          <w:w w:val="99"/>
          <w:sz w:val="48"/>
          <w:szCs w:val="48"/>
        </w:rPr>
      </w:pPr>
      <w:bookmarkStart w:id="0" w:name="_Hlk521009067"/>
    </w:p>
    <w:p w:rsidR="00DB7CC8" w:rsidRDefault="002B5250">
      <w:pPr>
        <w:spacing w:before="50" w:after="50"/>
        <w:ind w:firstLineChars="0" w:firstLine="0"/>
        <w:jc w:val="center"/>
        <w:rPr>
          <w:b/>
          <w:bCs/>
          <w:sz w:val="36"/>
          <w:szCs w:val="36"/>
        </w:rPr>
      </w:pPr>
      <w:r>
        <w:rPr>
          <w:b/>
          <w:bCs/>
          <w:sz w:val="36"/>
          <w:szCs w:val="36"/>
        </w:rPr>
        <w:t>遵化市鑫伟铁选厂</w:t>
      </w:r>
    </w:p>
    <w:p w:rsidR="00DB7CC8" w:rsidRDefault="002B5250">
      <w:pPr>
        <w:spacing w:before="50" w:after="50"/>
        <w:ind w:firstLineChars="0" w:firstLine="0"/>
        <w:jc w:val="center"/>
        <w:rPr>
          <w:rFonts w:eastAsiaTheme="minorEastAsia"/>
          <w:b/>
          <w:bCs/>
          <w:w w:val="99"/>
          <w:sz w:val="36"/>
          <w:szCs w:val="36"/>
        </w:rPr>
      </w:pPr>
      <w:r>
        <w:rPr>
          <w:b/>
          <w:bCs/>
          <w:sz w:val="36"/>
          <w:szCs w:val="36"/>
        </w:rPr>
        <w:t>年处理</w:t>
      </w:r>
      <w:r>
        <w:rPr>
          <w:rFonts w:hint="eastAsia"/>
          <w:b/>
          <w:bCs/>
          <w:sz w:val="36"/>
          <w:szCs w:val="36"/>
        </w:rPr>
        <w:t>11</w:t>
      </w:r>
      <w:r>
        <w:rPr>
          <w:b/>
          <w:bCs/>
          <w:sz w:val="36"/>
          <w:szCs w:val="36"/>
        </w:rPr>
        <w:t>0</w:t>
      </w:r>
      <w:r>
        <w:rPr>
          <w:b/>
          <w:bCs/>
          <w:sz w:val="36"/>
          <w:szCs w:val="36"/>
        </w:rPr>
        <w:t>万吨铁矿石</w:t>
      </w:r>
      <w:r>
        <w:rPr>
          <w:rFonts w:hint="eastAsia"/>
          <w:b/>
          <w:bCs/>
          <w:sz w:val="36"/>
          <w:szCs w:val="36"/>
        </w:rPr>
        <w:t>、</w:t>
      </w:r>
      <w:r>
        <w:rPr>
          <w:rFonts w:hint="eastAsia"/>
          <w:b/>
          <w:bCs/>
          <w:sz w:val="36"/>
          <w:szCs w:val="36"/>
        </w:rPr>
        <w:t>40</w:t>
      </w:r>
      <w:r>
        <w:rPr>
          <w:rFonts w:hint="eastAsia"/>
          <w:b/>
          <w:bCs/>
          <w:sz w:val="36"/>
          <w:szCs w:val="36"/>
        </w:rPr>
        <w:t>万吨粗精矿改扩建</w:t>
      </w:r>
      <w:r>
        <w:rPr>
          <w:b/>
          <w:bCs/>
          <w:sz w:val="36"/>
          <w:szCs w:val="36"/>
        </w:rPr>
        <w:t>项目</w:t>
      </w:r>
    </w:p>
    <w:p w:rsidR="00DB7CC8" w:rsidRDefault="002B5250">
      <w:pPr>
        <w:spacing w:line="240" w:lineRule="auto"/>
        <w:ind w:left="532" w:firstLineChars="0" w:firstLine="0"/>
        <w:jc w:val="center"/>
        <w:textAlignment w:val="auto"/>
        <w:rPr>
          <w:rFonts w:ascii="宋体" w:hAnsi="宋体"/>
          <w:b/>
          <w:kern w:val="2"/>
          <w:sz w:val="84"/>
          <w:szCs w:val="84"/>
        </w:rPr>
      </w:pPr>
      <w:r>
        <w:rPr>
          <w:rFonts w:ascii="宋体" w:hAnsi="宋体" w:hint="eastAsia"/>
          <w:b/>
          <w:kern w:val="2"/>
          <w:sz w:val="84"/>
          <w:szCs w:val="84"/>
        </w:rPr>
        <w:t>环境影响报告书</w:t>
      </w:r>
    </w:p>
    <w:p w:rsidR="00DB7CC8" w:rsidRDefault="002B5250">
      <w:pPr>
        <w:spacing w:beforeLines="50" w:before="120"/>
        <w:ind w:firstLineChars="0" w:firstLine="0"/>
        <w:jc w:val="center"/>
        <w:rPr>
          <w:b/>
          <w:bCs/>
          <w:sz w:val="36"/>
          <w:szCs w:val="36"/>
        </w:rPr>
      </w:pPr>
      <w:r>
        <w:rPr>
          <w:b/>
          <w:bCs/>
          <w:sz w:val="36"/>
          <w:szCs w:val="36"/>
        </w:rPr>
        <w:t>（</w:t>
      </w:r>
      <w:r>
        <w:rPr>
          <w:rFonts w:hint="eastAsia"/>
          <w:b/>
          <w:bCs/>
          <w:sz w:val="36"/>
          <w:szCs w:val="36"/>
        </w:rPr>
        <w:t>报</w:t>
      </w:r>
      <w:r>
        <w:rPr>
          <w:rFonts w:hint="eastAsia"/>
          <w:b/>
          <w:bCs/>
          <w:sz w:val="36"/>
          <w:szCs w:val="36"/>
        </w:rPr>
        <w:t>审</w:t>
      </w:r>
      <w:r>
        <w:rPr>
          <w:rFonts w:hint="eastAsia"/>
          <w:b/>
          <w:bCs/>
          <w:sz w:val="36"/>
          <w:szCs w:val="36"/>
        </w:rPr>
        <w:t>版</w:t>
      </w:r>
      <w:r>
        <w:rPr>
          <w:b/>
          <w:bCs/>
          <w:sz w:val="36"/>
          <w:szCs w:val="36"/>
        </w:rPr>
        <w:t>）</w:t>
      </w:r>
    </w:p>
    <w:p w:rsidR="00DB7CC8" w:rsidRDefault="00DB7CC8">
      <w:pPr>
        <w:spacing w:before="50" w:after="50"/>
        <w:ind w:firstLineChars="0" w:firstLine="0"/>
        <w:jc w:val="center"/>
        <w:rPr>
          <w:b/>
          <w:bCs/>
          <w:w w:val="99"/>
          <w:sz w:val="48"/>
          <w:szCs w:val="48"/>
        </w:rPr>
      </w:pPr>
    </w:p>
    <w:p w:rsidR="00DB7CC8" w:rsidRDefault="00DB7CC8">
      <w:pPr>
        <w:spacing w:before="50" w:after="50"/>
        <w:ind w:firstLineChars="0" w:firstLine="0"/>
        <w:jc w:val="center"/>
        <w:rPr>
          <w:b/>
          <w:bCs/>
          <w:w w:val="99"/>
          <w:sz w:val="48"/>
          <w:szCs w:val="48"/>
        </w:rPr>
      </w:pPr>
    </w:p>
    <w:p w:rsidR="00DB7CC8" w:rsidRDefault="00DB7CC8">
      <w:pPr>
        <w:spacing w:before="50" w:after="50"/>
        <w:ind w:firstLineChars="0" w:firstLine="0"/>
        <w:jc w:val="center"/>
        <w:rPr>
          <w:b/>
          <w:bCs/>
          <w:w w:val="99"/>
          <w:sz w:val="48"/>
          <w:szCs w:val="48"/>
        </w:rPr>
      </w:pPr>
    </w:p>
    <w:p w:rsidR="00DB7CC8" w:rsidRDefault="00DB7CC8">
      <w:pPr>
        <w:spacing w:before="50" w:after="50"/>
        <w:ind w:firstLineChars="0" w:firstLine="0"/>
        <w:jc w:val="center"/>
        <w:rPr>
          <w:b/>
          <w:bCs/>
          <w:w w:val="99"/>
          <w:sz w:val="48"/>
          <w:szCs w:val="48"/>
        </w:rPr>
      </w:pPr>
    </w:p>
    <w:p w:rsidR="00DB7CC8" w:rsidRDefault="00DB7CC8">
      <w:pPr>
        <w:spacing w:before="50" w:after="50"/>
        <w:ind w:firstLineChars="0" w:firstLine="0"/>
        <w:jc w:val="center"/>
        <w:rPr>
          <w:b/>
          <w:bCs/>
          <w:w w:val="99"/>
          <w:sz w:val="48"/>
          <w:szCs w:val="48"/>
        </w:rPr>
      </w:pPr>
    </w:p>
    <w:p w:rsidR="00DB7CC8" w:rsidRDefault="00DB7CC8">
      <w:pPr>
        <w:spacing w:before="50" w:after="50"/>
        <w:ind w:firstLineChars="0" w:firstLine="0"/>
        <w:jc w:val="center"/>
        <w:rPr>
          <w:b/>
          <w:bCs/>
          <w:w w:val="99"/>
          <w:sz w:val="48"/>
          <w:szCs w:val="48"/>
        </w:rPr>
      </w:pPr>
    </w:p>
    <w:p w:rsidR="00DB7CC8" w:rsidRDefault="00DB7CC8">
      <w:pPr>
        <w:spacing w:before="50" w:after="50"/>
        <w:ind w:firstLineChars="0" w:firstLine="0"/>
        <w:jc w:val="center"/>
        <w:rPr>
          <w:b/>
          <w:bCs/>
          <w:w w:val="99"/>
          <w:sz w:val="48"/>
          <w:szCs w:val="48"/>
        </w:rPr>
      </w:pPr>
    </w:p>
    <w:p w:rsidR="00DB7CC8" w:rsidRDefault="002B5250">
      <w:pPr>
        <w:spacing w:beforeLines="50" w:before="120" w:afterLines="50" w:after="120"/>
        <w:ind w:firstLineChars="500" w:firstLine="1506"/>
        <w:rPr>
          <w:b/>
          <w:bCs/>
          <w:sz w:val="30"/>
          <w:szCs w:val="30"/>
        </w:rPr>
      </w:pPr>
      <w:r>
        <w:rPr>
          <w:b/>
          <w:sz w:val="30"/>
          <w:szCs w:val="30"/>
        </w:rPr>
        <w:t>建设单位：</w:t>
      </w:r>
      <w:r>
        <w:rPr>
          <w:b/>
          <w:bCs/>
          <w:sz w:val="30"/>
          <w:szCs w:val="30"/>
        </w:rPr>
        <w:t>遵化市鑫伟铁选厂</w:t>
      </w:r>
    </w:p>
    <w:p w:rsidR="00DB7CC8" w:rsidRDefault="00DB7CC8">
      <w:pPr>
        <w:pStyle w:val="13"/>
        <w:ind w:firstLine="402"/>
        <w:rPr>
          <w:rFonts w:ascii="Times New Roman" w:hAnsi="Times New Roman" w:cs="Times New Roman"/>
        </w:rPr>
      </w:pPr>
    </w:p>
    <w:bookmarkEnd w:id="0"/>
    <w:p w:rsidR="00DB7CC8" w:rsidRDefault="002B5250">
      <w:pPr>
        <w:pStyle w:val="13"/>
        <w:ind w:firstLine="562"/>
        <w:jc w:val="center"/>
        <w:rPr>
          <w:rFonts w:ascii="Times New Roman" w:hAnsi="Times New Roman" w:cs="Times New Roman"/>
        </w:rPr>
        <w:sectPr w:rsidR="00DB7CC8">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851" w:footer="992" w:gutter="0"/>
          <w:pgNumType w:start="1"/>
          <w:cols w:space="720"/>
          <w:docGrid w:linePitch="312"/>
        </w:sectPr>
      </w:pPr>
      <w:r>
        <w:rPr>
          <w:rFonts w:ascii="Times New Roman" w:hAnsi="Times New Roman" w:cs="Times New Roman"/>
          <w:bCs w:val="0"/>
          <w:caps w:val="0"/>
          <w:sz w:val="28"/>
        </w:rPr>
        <w:t>20</w:t>
      </w:r>
      <w:r>
        <w:rPr>
          <w:rFonts w:ascii="Times New Roman" w:hAnsi="Times New Roman" w:cs="Times New Roman" w:hint="eastAsia"/>
          <w:bCs w:val="0"/>
          <w:caps w:val="0"/>
          <w:sz w:val="28"/>
        </w:rPr>
        <w:t>23</w:t>
      </w:r>
      <w:r>
        <w:rPr>
          <w:rFonts w:ascii="Times New Roman" w:hAnsi="Times New Roman" w:cs="Times New Roman"/>
          <w:bCs w:val="0"/>
          <w:caps w:val="0"/>
          <w:sz w:val="28"/>
        </w:rPr>
        <w:t>年</w:t>
      </w:r>
      <w:r>
        <w:rPr>
          <w:rFonts w:ascii="Times New Roman" w:hAnsi="Times New Roman" w:cs="Times New Roman" w:hint="eastAsia"/>
          <w:sz w:val="30"/>
          <w:szCs w:val="30"/>
        </w:rPr>
        <w:t>11</w:t>
      </w:r>
      <w:r>
        <w:rPr>
          <w:rFonts w:ascii="Times New Roman" w:hAnsi="Times New Roman" w:cs="Times New Roman"/>
          <w:bCs w:val="0"/>
          <w:caps w:val="0"/>
          <w:sz w:val="28"/>
        </w:rPr>
        <w:t>月</w:t>
      </w:r>
    </w:p>
    <w:p w:rsidR="00DB7CC8" w:rsidRDefault="00DB7CC8">
      <w:pPr>
        <w:pStyle w:val="13"/>
        <w:ind w:firstLine="643"/>
        <w:jc w:val="center"/>
        <w:rPr>
          <w:rFonts w:ascii="Times New Roman" w:hAnsi="Times New Roman" w:cs="Times New Roman"/>
          <w:sz w:val="32"/>
          <w:szCs w:val="32"/>
        </w:rPr>
      </w:pPr>
    </w:p>
    <w:p w:rsidR="00DB7CC8" w:rsidRDefault="00DB7CC8">
      <w:pPr>
        <w:pStyle w:val="13"/>
        <w:ind w:firstLine="643"/>
        <w:jc w:val="center"/>
        <w:rPr>
          <w:rFonts w:ascii="Times New Roman" w:hAnsi="Times New Roman" w:cs="Times New Roman"/>
          <w:sz w:val="32"/>
          <w:szCs w:val="32"/>
        </w:rPr>
      </w:pPr>
    </w:p>
    <w:p w:rsidR="00DB7CC8" w:rsidRDefault="002B5250">
      <w:pPr>
        <w:ind w:firstLine="640"/>
        <w:jc w:val="center"/>
        <w:rPr>
          <w:sz w:val="32"/>
          <w:szCs w:val="32"/>
        </w:rPr>
      </w:pPr>
      <w:r>
        <w:rPr>
          <w:sz w:val="32"/>
          <w:szCs w:val="32"/>
        </w:rPr>
        <w:br w:type="page"/>
      </w:r>
    </w:p>
    <w:p w:rsidR="00DB7CC8" w:rsidRDefault="002B5250">
      <w:pPr>
        <w:pStyle w:val="13"/>
        <w:ind w:firstLine="643"/>
        <w:jc w:val="center"/>
        <w:rPr>
          <w:rFonts w:ascii="Times New Roman" w:hAnsi="Times New Roman" w:cs="Times New Roman"/>
          <w:sz w:val="32"/>
          <w:szCs w:val="32"/>
        </w:rPr>
      </w:pPr>
      <w:r>
        <w:rPr>
          <w:rFonts w:ascii="Times New Roman" w:hAnsi="Times New Roman" w:cs="Times New Roman"/>
          <w:noProof/>
          <w:sz w:val="32"/>
          <w:szCs w:val="32"/>
        </w:rPr>
        <w:lastRenderedPageBreak/>
        <mc:AlternateContent>
          <mc:Choice Requires="wps">
            <w:drawing>
              <wp:anchor distT="0" distB="0" distL="114300" distR="114300" simplePos="0" relativeHeight="251661312" behindDoc="0" locked="0" layoutInCell="1" allowOverlap="1">
                <wp:simplePos x="0" y="0"/>
                <wp:positionH relativeFrom="column">
                  <wp:posOffset>5741670</wp:posOffset>
                </wp:positionH>
                <wp:positionV relativeFrom="paragraph">
                  <wp:posOffset>2247900</wp:posOffset>
                </wp:positionV>
                <wp:extent cx="2249805" cy="398145"/>
                <wp:effectExtent l="0" t="0" r="0" b="0"/>
                <wp:wrapNone/>
                <wp:docPr id="21" name="文本框 3"/>
                <wp:cNvGraphicFramePr/>
                <a:graphic xmlns:a="http://schemas.openxmlformats.org/drawingml/2006/main">
                  <a:graphicData uri="http://schemas.microsoft.com/office/word/2010/wordprocessingShape">
                    <wps:wsp>
                      <wps:cNvSpPr txBox="1"/>
                      <wps:spPr>
                        <a:xfrm>
                          <a:off x="0" y="0"/>
                          <a:ext cx="2249805" cy="398145"/>
                        </a:xfrm>
                        <a:prstGeom prst="rect">
                          <a:avLst/>
                        </a:prstGeom>
                        <a:noFill/>
                        <a:ln w="9525">
                          <a:noFill/>
                        </a:ln>
                      </wps:spPr>
                      <wps:txbx>
                        <w:txbxContent>
                          <w:p w:rsidR="00DB7CC8" w:rsidRDefault="00DB7CC8">
                            <w:pPr>
                              <w:ind w:firstLine="562"/>
                              <w:rPr>
                                <w:b/>
                                <w:szCs w:val="28"/>
                              </w:rPr>
                            </w:pP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文本框 3" o:spid="_x0000_s1026" type="#_x0000_t202" style="position:absolute;left:0;text-align:left;margin-left:452.1pt;margin-top:177pt;width:177.15pt;height:31.3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" filled="f" stroked="f">
                <v:textbox style="mso-fit-shape-to-text:t">
                  <w:txbxContent>
                    <w:p w:rsidR="00DB7CC8" w:rsidRDefault="00DB7CC8">
                      <w:pPr>
                        <w:ind w:firstLine="562"/>
                        <w:rPr>
                          <w:b/>
                          <w:szCs w:val="28"/>
                        </w:rPr>
                      </w:pPr>
                    </w:p>
                  </w:txbxContent>
                </v:textbox>
              </v:shape>
            </w:pict>
          </mc:Fallback>
        </mc:AlternateContent>
      </w:r>
      <w:r>
        <w:rPr>
          <w:rFonts w:ascii="Times New Roman" w:hAnsi="Times New Roman" w:cs="Times New Roman"/>
          <w:sz w:val="32"/>
          <w:szCs w:val="32"/>
        </w:rPr>
        <w:t>目录</w:t>
      </w:r>
    </w:p>
    <w:p w:rsidR="00DB7CC8" w:rsidRDefault="002B5250">
      <w:pPr>
        <w:pStyle w:val="13"/>
        <w:tabs>
          <w:tab w:val="right" w:leader="dot" w:pos="8406"/>
        </w:tabs>
        <w:ind w:firstLine="482"/>
      </w:pPr>
      <w:r>
        <w:rPr>
          <w:rFonts w:ascii="Times New Roman" w:eastAsiaTheme="minorEastAsia" w:hAnsi="Times New Roman" w:cs="Times New Roman"/>
          <w:sz w:val="24"/>
          <w:szCs w:val="24"/>
        </w:rPr>
        <w:fldChar w:fldCharType="begin"/>
      </w:r>
      <w:r>
        <w:rPr>
          <w:rFonts w:ascii="Times New Roman" w:eastAsiaTheme="minorEastAsia" w:hAnsi="Times New Roman" w:cs="Times New Roman"/>
          <w:sz w:val="24"/>
          <w:szCs w:val="24"/>
        </w:rPr>
        <w:instrText xml:space="preserve"> TOC \o "1-2" \u </w:instrText>
      </w:r>
      <w:r>
        <w:rPr>
          <w:rFonts w:ascii="Times New Roman" w:eastAsiaTheme="minorEastAsia" w:hAnsi="Times New Roman" w:cs="Times New Roman"/>
          <w:sz w:val="24"/>
          <w:szCs w:val="24"/>
        </w:rPr>
        <w:fldChar w:fldCharType="separate"/>
      </w:r>
      <w:r>
        <w:rPr>
          <w:rFonts w:ascii="Times New Roman" w:hint="eastAsia"/>
        </w:rPr>
        <w:t xml:space="preserve">1 </w:t>
      </w:r>
      <w:r>
        <w:rPr>
          <w:rFonts w:ascii="Times New Roman"/>
        </w:rPr>
        <w:t>概述</w:t>
      </w:r>
      <w:r>
        <w:tab/>
      </w:r>
      <w:r>
        <w:fldChar w:fldCharType="begin"/>
      </w:r>
      <w:r>
        <w:instrText xml:space="preserve"> PAGEREF _Toc19121 </w:instrText>
      </w:r>
      <w:r>
        <w:fldChar w:fldCharType="separate"/>
      </w:r>
      <w:r>
        <w:t>1</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1.1 </w:t>
      </w:r>
      <w:r>
        <w:rPr>
          <w:rFonts w:ascii="Times New Roman" w:hAnsi="Times New Roman" w:hint="eastAsia"/>
          <w:snapToGrid w:val="0"/>
          <w:szCs w:val="28"/>
        </w:rPr>
        <w:t>建设项目特点</w:t>
      </w:r>
      <w:r>
        <w:tab/>
      </w:r>
      <w:r>
        <w:fldChar w:fldCharType="begin"/>
      </w:r>
      <w:r>
        <w:instrText xml:space="preserve"> PAGEREF _Toc17131 </w:instrText>
      </w:r>
      <w:r>
        <w:fldChar w:fldCharType="separate"/>
      </w:r>
      <w:r>
        <w:t>1</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1.2 </w:t>
      </w:r>
      <w:r>
        <w:rPr>
          <w:rFonts w:ascii="Times New Roman" w:hAnsi="Times New Roman"/>
          <w:snapToGrid w:val="0"/>
          <w:szCs w:val="28"/>
        </w:rPr>
        <w:t>环境影响评价工作过程</w:t>
      </w:r>
      <w:r>
        <w:tab/>
      </w:r>
      <w:r>
        <w:fldChar w:fldCharType="begin"/>
      </w:r>
      <w:r>
        <w:instrText xml:space="preserve"> PAGEREF _Toc30538 </w:instrText>
      </w:r>
      <w:r>
        <w:fldChar w:fldCharType="separate"/>
      </w:r>
      <w:r>
        <w:t>2</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1.3 </w:t>
      </w:r>
      <w:r>
        <w:rPr>
          <w:rFonts w:ascii="Times New Roman" w:hAnsi="Times New Roman"/>
          <w:snapToGrid w:val="0"/>
          <w:szCs w:val="28"/>
        </w:rPr>
        <w:t>分析判定相关情况</w:t>
      </w:r>
      <w:r>
        <w:tab/>
      </w:r>
      <w:r>
        <w:fldChar w:fldCharType="begin"/>
      </w:r>
      <w:r>
        <w:instrText xml:space="preserve"> PAGEREF _Toc17725 </w:instrText>
      </w:r>
      <w:r>
        <w:fldChar w:fldCharType="separate"/>
      </w:r>
      <w:r>
        <w:t>2</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1.4 </w:t>
      </w:r>
      <w:r>
        <w:rPr>
          <w:rFonts w:ascii="Times New Roman" w:hAnsi="Times New Roman"/>
          <w:snapToGrid w:val="0"/>
          <w:szCs w:val="28"/>
        </w:rPr>
        <w:t>关注的主要环境问题及环境影响</w:t>
      </w:r>
      <w:r>
        <w:tab/>
      </w:r>
      <w:r>
        <w:fldChar w:fldCharType="begin"/>
      </w:r>
      <w:r>
        <w:instrText xml:space="preserve"> PAGEREF _Toc5029 </w:instrText>
      </w:r>
      <w:r>
        <w:fldChar w:fldCharType="separate"/>
      </w:r>
      <w:r>
        <w:t>5</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1.5 </w:t>
      </w:r>
      <w:r>
        <w:rPr>
          <w:rFonts w:ascii="Times New Roman" w:hAnsi="Times New Roman" w:hint="eastAsia"/>
          <w:snapToGrid w:val="0"/>
          <w:szCs w:val="28"/>
        </w:rPr>
        <w:t>评价</w:t>
      </w:r>
      <w:r>
        <w:rPr>
          <w:rFonts w:ascii="Times New Roman" w:hAnsi="Times New Roman"/>
          <w:snapToGrid w:val="0"/>
          <w:szCs w:val="28"/>
        </w:rPr>
        <w:t>结论</w:t>
      </w:r>
      <w:r>
        <w:tab/>
      </w:r>
      <w:r>
        <w:fldChar w:fldCharType="begin"/>
      </w:r>
      <w:r>
        <w:instrText xml:space="preserve"> PAGEREF _Toc21336 </w:instrText>
      </w:r>
      <w:r>
        <w:fldChar w:fldCharType="separate"/>
      </w:r>
      <w:r>
        <w:t>5</w:t>
      </w:r>
      <w:r>
        <w:fldChar w:fldCharType="end"/>
      </w:r>
    </w:p>
    <w:p w:rsidR="00DB7CC8" w:rsidRDefault="002B5250">
      <w:pPr>
        <w:pStyle w:val="13"/>
        <w:tabs>
          <w:tab w:val="right" w:leader="dot" w:pos="8406"/>
        </w:tabs>
        <w:ind w:firstLine="402"/>
      </w:pPr>
      <w:r>
        <w:rPr>
          <w:rFonts w:ascii="Times New Roman" w:hint="eastAsia"/>
        </w:rPr>
        <w:t xml:space="preserve">2 </w:t>
      </w:r>
      <w:r>
        <w:rPr>
          <w:rFonts w:ascii="Times New Roman"/>
        </w:rPr>
        <w:t>总则</w:t>
      </w:r>
      <w:r>
        <w:tab/>
      </w:r>
      <w:r>
        <w:fldChar w:fldCharType="begin"/>
      </w:r>
      <w:r>
        <w:instrText xml:space="preserve"> PAGEREF _Toc22633 </w:instrText>
      </w:r>
      <w:r>
        <w:fldChar w:fldCharType="separate"/>
      </w:r>
      <w:r>
        <w:t>6</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2.1 </w:t>
      </w:r>
      <w:r>
        <w:rPr>
          <w:rFonts w:ascii="Times New Roman" w:hAnsi="Times New Roman"/>
          <w:snapToGrid w:val="0"/>
          <w:szCs w:val="28"/>
        </w:rPr>
        <w:t>编制依据</w:t>
      </w:r>
      <w:r>
        <w:tab/>
      </w:r>
      <w:r>
        <w:fldChar w:fldCharType="begin"/>
      </w:r>
      <w:r>
        <w:instrText xml:space="preserve"> PAGEREF _Toc28134 </w:instrText>
      </w:r>
      <w:r>
        <w:fldChar w:fldCharType="separate"/>
      </w:r>
      <w:r>
        <w:t>6</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2.2 </w:t>
      </w:r>
      <w:r>
        <w:rPr>
          <w:rFonts w:ascii="Times New Roman" w:hAnsi="Times New Roman"/>
          <w:snapToGrid w:val="0"/>
          <w:szCs w:val="28"/>
        </w:rPr>
        <w:t>评价目的与评价原则</w:t>
      </w:r>
      <w:r>
        <w:tab/>
      </w:r>
      <w:r>
        <w:fldChar w:fldCharType="begin"/>
      </w:r>
      <w:r>
        <w:instrText xml:space="preserve"> PAGEREF _Toc11216 </w:instrText>
      </w:r>
      <w:r>
        <w:fldChar w:fldCharType="separate"/>
      </w:r>
      <w:r>
        <w:t>10</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2.3 </w:t>
      </w:r>
      <w:r>
        <w:rPr>
          <w:rFonts w:ascii="Times New Roman" w:hAnsi="Times New Roman" w:hint="eastAsia"/>
          <w:snapToGrid w:val="0"/>
          <w:szCs w:val="28"/>
        </w:rPr>
        <w:t>环境影响要素和评价因子</w:t>
      </w:r>
      <w:r>
        <w:tab/>
      </w:r>
      <w:r>
        <w:fldChar w:fldCharType="begin"/>
      </w:r>
      <w:r>
        <w:instrText xml:space="preserve"> PAGEREF _Toc29093 </w:instrText>
      </w:r>
      <w:r>
        <w:fldChar w:fldCharType="separate"/>
      </w:r>
      <w:r>
        <w:t>11</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2.4 </w:t>
      </w:r>
      <w:r>
        <w:rPr>
          <w:rFonts w:ascii="Times New Roman" w:hAnsi="Times New Roman"/>
          <w:snapToGrid w:val="0"/>
          <w:szCs w:val="28"/>
        </w:rPr>
        <w:t>评价等级和评价范围</w:t>
      </w:r>
      <w:r>
        <w:tab/>
      </w:r>
      <w:r>
        <w:fldChar w:fldCharType="begin"/>
      </w:r>
      <w:r>
        <w:instrText xml:space="preserve"> PAGEREF _Toc29019 </w:instrText>
      </w:r>
      <w:r>
        <w:fldChar w:fldCharType="separate"/>
      </w:r>
      <w:r>
        <w:t>13</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2.5 </w:t>
      </w:r>
      <w:r>
        <w:rPr>
          <w:rFonts w:ascii="Times New Roman" w:hAnsi="Times New Roman"/>
          <w:snapToGrid w:val="0"/>
          <w:szCs w:val="28"/>
        </w:rPr>
        <w:t>相关规划及环境功能区划</w:t>
      </w:r>
      <w:r>
        <w:tab/>
      </w:r>
      <w:r>
        <w:fldChar w:fldCharType="begin"/>
      </w:r>
      <w:r>
        <w:instrText xml:space="preserve"> PAGEREF _Toc20166 </w:instrText>
      </w:r>
      <w:r>
        <w:fldChar w:fldCharType="separate"/>
      </w:r>
      <w:r>
        <w:t>24</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2.6 </w:t>
      </w:r>
      <w:r>
        <w:rPr>
          <w:rFonts w:ascii="Times New Roman" w:hAnsi="Times New Roman" w:hint="eastAsia"/>
          <w:snapToGrid w:val="0"/>
          <w:szCs w:val="28"/>
        </w:rPr>
        <w:t>评价内容和评价重点</w:t>
      </w:r>
      <w:r>
        <w:tab/>
      </w:r>
      <w:r>
        <w:fldChar w:fldCharType="begin"/>
      </w:r>
      <w:r>
        <w:instrText xml:space="preserve"> PAGEREF _Toc28751 </w:instrText>
      </w:r>
      <w:r>
        <w:fldChar w:fldCharType="separate"/>
      </w:r>
      <w:r>
        <w:t>35</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2.7 </w:t>
      </w:r>
      <w:r>
        <w:rPr>
          <w:rFonts w:ascii="Times New Roman" w:hAnsi="Times New Roman" w:hint="eastAsia"/>
          <w:snapToGrid w:val="0"/>
          <w:szCs w:val="28"/>
        </w:rPr>
        <w:t>评价标准</w:t>
      </w:r>
      <w:r>
        <w:tab/>
      </w:r>
      <w:r>
        <w:fldChar w:fldCharType="begin"/>
      </w:r>
      <w:r>
        <w:instrText xml:space="preserve"> PAGEREF _Toc12298 </w:instrText>
      </w:r>
      <w:r>
        <w:fldChar w:fldCharType="separate"/>
      </w:r>
      <w:r>
        <w:t>35</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2.8 </w:t>
      </w:r>
      <w:r>
        <w:rPr>
          <w:rFonts w:ascii="Times New Roman" w:hAnsi="Times New Roman"/>
          <w:snapToGrid w:val="0"/>
          <w:szCs w:val="28"/>
        </w:rPr>
        <w:t>主要环境保护目标</w:t>
      </w:r>
      <w:r>
        <w:tab/>
      </w:r>
      <w:r>
        <w:fldChar w:fldCharType="begin"/>
      </w:r>
      <w:r>
        <w:instrText xml:space="preserve"> PAGEREF _Toc20165 </w:instrText>
      </w:r>
      <w:r>
        <w:fldChar w:fldCharType="separate"/>
      </w:r>
      <w:r>
        <w:t>39</w:t>
      </w:r>
      <w:r>
        <w:fldChar w:fldCharType="end"/>
      </w:r>
    </w:p>
    <w:p w:rsidR="00DB7CC8" w:rsidRDefault="002B5250">
      <w:pPr>
        <w:pStyle w:val="13"/>
        <w:tabs>
          <w:tab w:val="right" w:leader="dot" w:pos="8406"/>
        </w:tabs>
        <w:ind w:firstLine="402"/>
      </w:pPr>
      <w:r>
        <w:rPr>
          <w:rFonts w:ascii="Times New Roman" w:hint="eastAsia"/>
        </w:rPr>
        <w:t xml:space="preserve">3 </w:t>
      </w:r>
      <w:r>
        <w:rPr>
          <w:rFonts w:ascii="Times New Roman"/>
        </w:rPr>
        <w:t>建设项目工程分析</w:t>
      </w:r>
      <w:r>
        <w:tab/>
      </w:r>
      <w:r>
        <w:fldChar w:fldCharType="begin"/>
      </w:r>
      <w:r>
        <w:instrText xml:space="preserve"> PAGEREF _Toc14330 </w:instrText>
      </w:r>
      <w:r>
        <w:fldChar w:fldCharType="separate"/>
      </w:r>
      <w:r>
        <w:t>42</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3.1 </w:t>
      </w:r>
      <w:r>
        <w:rPr>
          <w:rFonts w:ascii="Times New Roman" w:hAnsi="Times New Roman"/>
          <w:snapToGrid w:val="0"/>
          <w:szCs w:val="28"/>
        </w:rPr>
        <w:t>项目概况</w:t>
      </w:r>
      <w:r>
        <w:tab/>
      </w:r>
      <w:r>
        <w:fldChar w:fldCharType="begin"/>
      </w:r>
      <w:r>
        <w:instrText xml:space="preserve"> PAGEREF _Toc20122 </w:instrText>
      </w:r>
      <w:r>
        <w:fldChar w:fldCharType="separate"/>
      </w:r>
      <w:r>
        <w:t>42</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3.2 </w:t>
      </w:r>
      <w:r>
        <w:rPr>
          <w:rFonts w:ascii="Times New Roman" w:hAnsi="Times New Roman"/>
          <w:snapToGrid w:val="0"/>
          <w:szCs w:val="28"/>
        </w:rPr>
        <w:t>污染影响因素分析</w:t>
      </w:r>
      <w:r>
        <w:tab/>
      </w:r>
      <w:r>
        <w:fldChar w:fldCharType="begin"/>
      </w:r>
      <w:r>
        <w:instrText xml:space="preserve"> PAGEREF _Toc27823 </w:instrText>
      </w:r>
      <w:r>
        <w:fldChar w:fldCharType="separate"/>
      </w:r>
      <w:r>
        <w:t>50</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3.3 </w:t>
      </w:r>
      <w:r>
        <w:rPr>
          <w:rFonts w:ascii="Times New Roman" w:hAnsi="Times New Roman"/>
          <w:snapToGrid w:val="0"/>
          <w:szCs w:val="28"/>
        </w:rPr>
        <w:t>污染源源强核算</w:t>
      </w:r>
      <w:r>
        <w:tab/>
      </w:r>
      <w:r>
        <w:fldChar w:fldCharType="begin"/>
      </w:r>
      <w:r>
        <w:instrText xml:space="preserve"> PAGEREF _Toc8835 </w:instrText>
      </w:r>
      <w:r>
        <w:fldChar w:fldCharType="separate"/>
      </w:r>
      <w:r>
        <w:t>58</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3.4 </w:t>
      </w:r>
      <w:r>
        <w:rPr>
          <w:rFonts w:ascii="Times New Roman" w:hAnsi="Times New Roman"/>
          <w:snapToGrid w:val="0"/>
          <w:szCs w:val="28"/>
        </w:rPr>
        <w:t>清洁生产分析</w:t>
      </w:r>
      <w:r>
        <w:tab/>
      </w:r>
      <w:r>
        <w:fldChar w:fldCharType="begin"/>
      </w:r>
      <w:r>
        <w:instrText xml:space="preserve"> PAGEREF _Toc9482 </w:instrText>
      </w:r>
      <w:r>
        <w:fldChar w:fldCharType="separate"/>
      </w:r>
      <w:r>
        <w:t>76</w:t>
      </w:r>
      <w:r>
        <w:fldChar w:fldCharType="end"/>
      </w:r>
    </w:p>
    <w:p w:rsidR="00DB7CC8" w:rsidRDefault="002B5250">
      <w:pPr>
        <w:pStyle w:val="13"/>
        <w:tabs>
          <w:tab w:val="right" w:leader="dot" w:pos="8406"/>
        </w:tabs>
        <w:ind w:firstLine="402"/>
      </w:pPr>
      <w:r>
        <w:rPr>
          <w:rFonts w:ascii="Times New Roman" w:hint="eastAsia"/>
        </w:rPr>
        <w:t xml:space="preserve">4 </w:t>
      </w:r>
      <w:r>
        <w:rPr>
          <w:rFonts w:ascii="Times New Roman"/>
        </w:rPr>
        <w:t>环境现状调查与评价</w:t>
      </w:r>
      <w:r>
        <w:tab/>
      </w:r>
      <w:r>
        <w:fldChar w:fldCharType="begin"/>
      </w:r>
      <w:r>
        <w:instrText xml:space="preserve"> PAGEREF _Toc16411 </w:instrText>
      </w:r>
      <w:r>
        <w:fldChar w:fldCharType="separate"/>
      </w:r>
      <w:r>
        <w:t>79</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4.1 </w:t>
      </w:r>
      <w:r>
        <w:rPr>
          <w:rFonts w:ascii="Times New Roman" w:hAnsi="Times New Roman"/>
          <w:snapToGrid w:val="0"/>
          <w:szCs w:val="28"/>
        </w:rPr>
        <w:t>自然环境概况</w:t>
      </w:r>
      <w:r>
        <w:tab/>
      </w:r>
      <w:r>
        <w:fldChar w:fldCharType="begin"/>
      </w:r>
      <w:r>
        <w:instrText xml:space="preserve"> PAGEREF _Toc18506 </w:instrText>
      </w:r>
      <w:r>
        <w:fldChar w:fldCharType="separate"/>
      </w:r>
      <w:r>
        <w:t>79</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4.2</w:t>
      </w:r>
      <w:r>
        <w:rPr>
          <w:rFonts w:ascii="Times New Roman" w:hAnsi="Times New Roman" w:hint="eastAsia"/>
          <w:snapToGrid w:val="0"/>
          <w:szCs w:val="28"/>
        </w:rPr>
        <w:t xml:space="preserve"> </w:t>
      </w:r>
      <w:r>
        <w:rPr>
          <w:rFonts w:ascii="Times New Roman" w:hAnsi="Times New Roman"/>
          <w:snapToGrid w:val="0"/>
          <w:szCs w:val="28"/>
        </w:rPr>
        <w:t>环境功能规划及环境保护目标调查</w:t>
      </w:r>
      <w:r>
        <w:tab/>
      </w:r>
      <w:r>
        <w:fldChar w:fldCharType="begin"/>
      </w:r>
      <w:r>
        <w:instrText xml:space="preserve"> PAGEREF _Toc12489 </w:instrText>
      </w:r>
      <w:r>
        <w:fldChar w:fldCharType="separate"/>
      </w:r>
      <w:r>
        <w:t>98</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4.3 </w:t>
      </w:r>
      <w:r>
        <w:rPr>
          <w:rFonts w:ascii="Times New Roman" w:hAnsi="Times New Roman"/>
          <w:snapToGrid w:val="0"/>
          <w:szCs w:val="28"/>
        </w:rPr>
        <w:t>环境质量现状调查与评价</w:t>
      </w:r>
      <w:r>
        <w:tab/>
      </w:r>
      <w:r>
        <w:fldChar w:fldCharType="begin"/>
      </w:r>
      <w:r>
        <w:instrText xml:space="preserve"> PAGEREF _Toc3225 </w:instrText>
      </w:r>
      <w:r>
        <w:fldChar w:fldCharType="separate"/>
      </w:r>
      <w:r>
        <w:t>98</w:t>
      </w:r>
      <w:r>
        <w:fldChar w:fldCharType="end"/>
      </w:r>
    </w:p>
    <w:p w:rsidR="00DB7CC8" w:rsidRDefault="002B5250">
      <w:pPr>
        <w:pStyle w:val="13"/>
        <w:tabs>
          <w:tab w:val="right" w:leader="dot" w:pos="8406"/>
        </w:tabs>
        <w:ind w:firstLine="402"/>
      </w:pPr>
      <w:r>
        <w:rPr>
          <w:rFonts w:ascii="Times New Roman" w:hint="eastAsia"/>
        </w:rPr>
        <w:t xml:space="preserve">5 </w:t>
      </w:r>
      <w:r>
        <w:rPr>
          <w:rFonts w:ascii="Times New Roman"/>
        </w:rPr>
        <w:t>环境影响预测与评价</w:t>
      </w:r>
      <w:r>
        <w:tab/>
      </w:r>
      <w:r>
        <w:fldChar w:fldCharType="begin"/>
      </w:r>
      <w:r>
        <w:instrText xml:space="preserve"> PAGEREF _Toc12271 </w:instrText>
      </w:r>
      <w:r>
        <w:fldChar w:fldCharType="separate"/>
      </w:r>
      <w:r>
        <w:t>130</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5.1 </w:t>
      </w:r>
      <w:r>
        <w:rPr>
          <w:rFonts w:ascii="Times New Roman" w:hAnsi="Times New Roman"/>
          <w:snapToGrid w:val="0"/>
          <w:szCs w:val="28"/>
        </w:rPr>
        <w:t>施工期环境影响分析</w:t>
      </w:r>
      <w:r>
        <w:tab/>
      </w:r>
      <w:r>
        <w:fldChar w:fldCharType="begin"/>
      </w:r>
      <w:r>
        <w:instrText xml:space="preserve"> PAGEREF _Toc32139 </w:instrText>
      </w:r>
      <w:r>
        <w:fldChar w:fldCharType="separate"/>
      </w:r>
      <w:r>
        <w:t>130</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5.2 </w:t>
      </w:r>
      <w:r>
        <w:rPr>
          <w:rFonts w:ascii="Times New Roman" w:hAnsi="Times New Roman"/>
          <w:snapToGrid w:val="0"/>
          <w:szCs w:val="28"/>
        </w:rPr>
        <w:t>营运期环境影响预测与评价</w:t>
      </w:r>
      <w:r>
        <w:tab/>
      </w:r>
      <w:r>
        <w:fldChar w:fldCharType="begin"/>
      </w:r>
      <w:r>
        <w:instrText xml:space="preserve"> PAGEREF _Toc6671 </w:instrText>
      </w:r>
      <w:r>
        <w:fldChar w:fldCharType="separate"/>
      </w:r>
      <w:r>
        <w:t>135</w:t>
      </w:r>
      <w:r>
        <w:fldChar w:fldCharType="end"/>
      </w:r>
    </w:p>
    <w:p w:rsidR="00DB7CC8" w:rsidRDefault="002B5250">
      <w:pPr>
        <w:pStyle w:val="13"/>
        <w:tabs>
          <w:tab w:val="right" w:leader="dot" w:pos="8406"/>
        </w:tabs>
        <w:ind w:firstLine="402"/>
      </w:pPr>
      <w:r>
        <w:rPr>
          <w:rFonts w:ascii="Times New Roman" w:hint="eastAsia"/>
        </w:rPr>
        <w:t xml:space="preserve">6 </w:t>
      </w:r>
      <w:r>
        <w:rPr>
          <w:rFonts w:ascii="Times New Roman"/>
        </w:rPr>
        <w:t>环境保护措施及其可行性论证</w:t>
      </w:r>
      <w:r>
        <w:tab/>
      </w:r>
      <w:r>
        <w:fldChar w:fldCharType="begin"/>
      </w:r>
      <w:r>
        <w:instrText xml:space="preserve"> PAGEREF _Toc28650 </w:instrText>
      </w:r>
      <w:r>
        <w:fldChar w:fldCharType="separate"/>
      </w:r>
      <w:r>
        <w:t>196</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6.1 </w:t>
      </w:r>
      <w:r>
        <w:rPr>
          <w:rFonts w:ascii="Times New Roman" w:hAnsi="Times New Roman"/>
          <w:snapToGrid w:val="0"/>
          <w:szCs w:val="28"/>
        </w:rPr>
        <w:t>施工期环境保护措施</w:t>
      </w:r>
      <w:r>
        <w:rPr>
          <w:rFonts w:ascii="Times New Roman" w:hAnsi="Times New Roman" w:hint="eastAsia"/>
          <w:snapToGrid w:val="0"/>
          <w:szCs w:val="28"/>
        </w:rPr>
        <w:t>可行性论证</w:t>
      </w:r>
      <w:r>
        <w:tab/>
      </w:r>
      <w:r>
        <w:fldChar w:fldCharType="begin"/>
      </w:r>
      <w:r>
        <w:instrText xml:space="preserve"> PAGEREF _Toc31188 </w:instrText>
      </w:r>
      <w:r>
        <w:fldChar w:fldCharType="separate"/>
      </w:r>
      <w:r>
        <w:t>196</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6.2 </w:t>
      </w:r>
      <w:r>
        <w:rPr>
          <w:rFonts w:ascii="Times New Roman" w:hAnsi="Times New Roman"/>
          <w:snapToGrid w:val="0"/>
          <w:szCs w:val="28"/>
        </w:rPr>
        <w:t>营运期环境保护措施</w:t>
      </w:r>
      <w:r>
        <w:rPr>
          <w:rFonts w:ascii="Times New Roman" w:hAnsi="Times New Roman" w:hint="eastAsia"/>
          <w:snapToGrid w:val="0"/>
          <w:szCs w:val="28"/>
        </w:rPr>
        <w:t>可行性论证</w:t>
      </w:r>
      <w:r>
        <w:tab/>
      </w:r>
      <w:r>
        <w:fldChar w:fldCharType="begin"/>
      </w:r>
      <w:r>
        <w:instrText xml:space="preserve"> PAGEREF _Toc20634 </w:instrText>
      </w:r>
      <w:r>
        <w:fldChar w:fldCharType="separate"/>
      </w:r>
      <w:r>
        <w:t>199</w:t>
      </w:r>
      <w:r>
        <w:fldChar w:fldCharType="end"/>
      </w:r>
    </w:p>
    <w:p w:rsidR="00DB7CC8" w:rsidRDefault="002B5250">
      <w:pPr>
        <w:pStyle w:val="13"/>
        <w:tabs>
          <w:tab w:val="right" w:leader="dot" w:pos="8406"/>
        </w:tabs>
        <w:ind w:firstLine="402"/>
      </w:pPr>
      <w:r>
        <w:rPr>
          <w:rFonts w:ascii="Times New Roman" w:hint="eastAsia"/>
        </w:rPr>
        <w:t xml:space="preserve">7 </w:t>
      </w:r>
      <w:r>
        <w:rPr>
          <w:rFonts w:ascii="Times New Roman"/>
        </w:rPr>
        <w:t>环境影响经济损益分析</w:t>
      </w:r>
      <w:r>
        <w:tab/>
      </w:r>
      <w:r>
        <w:fldChar w:fldCharType="begin"/>
      </w:r>
      <w:r>
        <w:instrText xml:space="preserve"> PAGEREF _Toc27113 </w:instrText>
      </w:r>
      <w:r>
        <w:fldChar w:fldCharType="separate"/>
      </w:r>
      <w:r>
        <w:t>219</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lastRenderedPageBreak/>
        <w:t xml:space="preserve">7.1 </w:t>
      </w:r>
      <w:r>
        <w:rPr>
          <w:rFonts w:ascii="Times New Roman" w:hAnsi="Times New Roman"/>
          <w:snapToGrid w:val="0"/>
          <w:szCs w:val="28"/>
        </w:rPr>
        <w:t>环境影响经济损失分析</w:t>
      </w:r>
      <w:r>
        <w:tab/>
      </w:r>
      <w:r>
        <w:fldChar w:fldCharType="begin"/>
      </w:r>
      <w:r>
        <w:instrText xml:space="preserve"> PAGEREF _Toc5001 </w:instrText>
      </w:r>
      <w:r>
        <w:fldChar w:fldCharType="separate"/>
      </w:r>
      <w:r>
        <w:t>219</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7.2 </w:t>
      </w:r>
      <w:r>
        <w:rPr>
          <w:rFonts w:ascii="Times New Roman" w:hAnsi="Times New Roman"/>
          <w:snapToGrid w:val="0"/>
          <w:szCs w:val="28"/>
        </w:rPr>
        <w:t>经济效益分析</w:t>
      </w:r>
      <w:r>
        <w:tab/>
      </w:r>
      <w:r>
        <w:fldChar w:fldCharType="begin"/>
      </w:r>
      <w:r>
        <w:instrText xml:space="preserve"> PAGEREF _Toc2738 </w:instrText>
      </w:r>
      <w:r>
        <w:fldChar w:fldCharType="separate"/>
      </w:r>
      <w:r>
        <w:t>220</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7.3 </w:t>
      </w:r>
      <w:r>
        <w:rPr>
          <w:rFonts w:ascii="Times New Roman" w:hAnsi="Times New Roman"/>
          <w:snapToGrid w:val="0"/>
          <w:szCs w:val="28"/>
        </w:rPr>
        <w:t>环境效益分析</w:t>
      </w:r>
      <w:r>
        <w:tab/>
      </w:r>
      <w:r>
        <w:fldChar w:fldCharType="begin"/>
      </w:r>
      <w:r>
        <w:instrText xml:space="preserve"> PAGEREF _Toc2831 </w:instrText>
      </w:r>
      <w:r>
        <w:fldChar w:fldCharType="separate"/>
      </w:r>
      <w:r>
        <w:t>220</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7.4 </w:t>
      </w:r>
      <w:r>
        <w:rPr>
          <w:rFonts w:ascii="Times New Roman" w:hAnsi="Times New Roman"/>
          <w:snapToGrid w:val="0"/>
          <w:szCs w:val="28"/>
        </w:rPr>
        <w:t>社会效益分析</w:t>
      </w:r>
      <w:r>
        <w:tab/>
      </w:r>
      <w:r>
        <w:fldChar w:fldCharType="begin"/>
      </w:r>
      <w:r>
        <w:instrText xml:space="preserve"> PAGEREF</w:instrText>
      </w:r>
      <w:r>
        <w:instrText xml:space="preserve"> _Toc21149 </w:instrText>
      </w:r>
      <w:r>
        <w:fldChar w:fldCharType="separate"/>
      </w:r>
      <w:r>
        <w:t>220</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7.5 </w:t>
      </w:r>
      <w:r>
        <w:rPr>
          <w:rFonts w:ascii="Times New Roman" w:hAnsi="Times New Roman"/>
          <w:snapToGrid w:val="0"/>
          <w:szCs w:val="28"/>
        </w:rPr>
        <w:t>分析结论</w:t>
      </w:r>
      <w:r>
        <w:tab/>
      </w:r>
      <w:r>
        <w:fldChar w:fldCharType="begin"/>
      </w:r>
      <w:r>
        <w:instrText xml:space="preserve"> PAGEREF _Toc29555 </w:instrText>
      </w:r>
      <w:r>
        <w:fldChar w:fldCharType="separate"/>
      </w:r>
      <w:r>
        <w:t>221</w:t>
      </w:r>
      <w:r>
        <w:fldChar w:fldCharType="end"/>
      </w:r>
    </w:p>
    <w:p w:rsidR="00DB7CC8" w:rsidRDefault="002B5250">
      <w:pPr>
        <w:pStyle w:val="13"/>
        <w:tabs>
          <w:tab w:val="right" w:leader="dot" w:pos="8406"/>
        </w:tabs>
        <w:ind w:firstLine="402"/>
      </w:pPr>
      <w:r>
        <w:rPr>
          <w:rFonts w:ascii="Times New Roman" w:hint="eastAsia"/>
        </w:rPr>
        <w:t xml:space="preserve">8 </w:t>
      </w:r>
      <w:r>
        <w:rPr>
          <w:rFonts w:ascii="Times New Roman"/>
        </w:rPr>
        <w:t>环境管理和环境监测</w:t>
      </w:r>
      <w:r>
        <w:tab/>
      </w:r>
      <w:r>
        <w:fldChar w:fldCharType="begin"/>
      </w:r>
      <w:r>
        <w:instrText xml:space="preserve"> PAGEREF _Toc30243 </w:instrText>
      </w:r>
      <w:r>
        <w:fldChar w:fldCharType="separate"/>
      </w:r>
      <w:r>
        <w:t>222</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8.1 </w:t>
      </w:r>
      <w:r>
        <w:rPr>
          <w:rFonts w:ascii="Times New Roman" w:hAnsi="Times New Roman"/>
          <w:snapToGrid w:val="0"/>
          <w:szCs w:val="28"/>
        </w:rPr>
        <w:t>施工期环境管理</w:t>
      </w:r>
      <w:r>
        <w:tab/>
      </w:r>
      <w:r>
        <w:fldChar w:fldCharType="begin"/>
      </w:r>
      <w:r>
        <w:instrText xml:space="preserve"> PAGEREF _Toc7021 </w:instrText>
      </w:r>
      <w:r>
        <w:fldChar w:fldCharType="separate"/>
      </w:r>
      <w:r>
        <w:t>222</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8.2 </w:t>
      </w:r>
      <w:r>
        <w:rPr>
          <w:rFonts w:ascii="Times New Roman" w:hAnsi="Times New Roman"/>
          <w:snapToGrid w:val="0"/>
          <w:szCs w:val="28"/>
        </w:rPr>
        <w:t>运营期环境管理</w:t>
      </w:r>
      <w:r>
        <w:tab/>
      </w:r>
      <w:r>
        <w:fldChar w:fldCharType="begin"/>
      </w:r>
      <w:r>
        <w:instrText xml:space="preserve"> PAGEREF _Toc19637 </w:instrText>
      </w:r>
      <w:r>
        <w:fldChar w:fldCharType="separate"/>
      </w:r>
      <w:r>
        <w:t>223</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8.3 </w:t>
      </w:r>
      <w:r>
        <w:rPr>
          <w:rFonts w:ascii="Times New Roman" w:hAnsi="Times New Roman"/>
          <w:snapToGrid w:val="0"/>
          <w:szCs w:val="28"/>
        </w:rPr>
        <w:t>污染物排放清单</w:t>
      </w:r>
      <w:r>
        <w:tab/>
      </w:r>
      <w:r>
        <w:fldChar w:fldCharType="begin"/>
      </w:r>
      <w:r>
        <w:instrText xml:space="preserve"> PAGEREF _Toc6617 </w:instrText>
      </w:r>
      <w:r>
        <w:fldChar w:fldCharType="separate"/>
      </w:r>
      <w:r>
        <w:t>226</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8.4 </w:t>
      </w:r>
      <w:r>
        <w:rPr>
          <w:rFonts w:ascii="Times New Roman" w:hAnsi="Times New Roman"/>
          <w:snapToGrid w:val="0"/>
          <w:szCs w:val="28"/>
        </w:rPr>
        <w:t>环境监测</w:t>
      </w:r>
      <w:r>
        <w:tab/>
      </w:r>
      <w:r>
        <w:fldChar w:fldCharType="begin"/>
      </w:r>
      <w:r>
        <w:instrText xml:space="preserve"> PAGEREF _Toc551 </w:instrText>
      </w:r>
      <w:r>
        <w:fldChar w:fldCharType="separate"/>
      </w:r>
      <w:r>
        <w:t>229</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8.5 </w:t>
      </w:r>
      <w:r>
        <w:rPr>
          <w:rFonts w:ascii="Times New Roman" w:hAnsi="Times New Roman"/>
          <w:snapToGrid w:val="0"/>
          <w:szCs w:val="28"/>
        </w:rPr>
        <w:t>环境保护三同时验收</w:t>
      </w:r>
      <w:r>
        <w:tab/>
      </w:r>
      <w:r>
        <w:fldChar w:fldCharType="begin"/>
      </w:r>
      <w:r>
        <w:instrText xml:space="preserve"> PAGEREF _Toc16897 </w:instrText>
      </w:r>
      <w:r>
        <w:fldChar w:fldCharType="separate"/>
      </w:r>
      <w:r>
        <w:t>229</w:t>
      </w:r>
      <w:r>
        <w:fldChar w:fldCharType="end"/>
      </w:r>
    </w:p>
    <w:p w:rsidR="00DB7CC8" w:rsidRDefault="002B5250">
      <w:pPr>
        <w:pStyle w:val="13"/>
        <w:tabs>
          <w:tab w:val="right" w:leader="dot" w:pos="8406"/>
        </w:tabs>
        <w:ind w:firstLine="402"/>
      </w:pPr>
      <w:r>
        <w:rPr>
          <w:rFonts w:ascii="Times New Roman" w:hint="eastAsia"/>
        </w:rPr>
        <w:t xml:space="preserve">9 </w:t>
      </w:r>
      <w:r>
        <w:rPr>
          <w:rFonts w:ascii="Times New Roman"/>
        </w:rPr>
        <w:t>结论</w:t>
      </w:r>
      <w:r>
        <w:tab/>
      </w:r>
      <w:r>
        <w:fldChar w:fldCharType="begin"/>
      </w:r>
      <w:r>
        <w:instrText xml:space="preserve"> PAGEREF _Toc8277 </w:instrText>
      </w:r>
      <w:r>
        <w:fldChar w:fldCharType="separate"/>
      </w:r>
      <w:r>
        <w:t>232</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9.1 </w:t>
      </w:r>
      <w:r>
        <w:rPr>
          <w:rFonts w:ascii="Times New Roman" w:hAnsi="Times New Roman"/>
          <w:snapToGrid w:val="0"/>
          <w:szCs w:val="28"/>
        </w:rPr>
        <w:t>项目概况</w:t>
      </w:r>
      <w:r>
        <w:tab/>
      </w:r>
      <w:r>
        <w:fldChar w:fldCharType="begin"/>
      </w:r>
      <w:r>
        <w:instrText xml:space="preserve"> PAGEREF _Toc21281 </w:instrText>
      </w:r>
      <w:r>
        <w:fldChar w:fldCharType="separate"/>
      </w:r>
      <w:r>
        <w:t>232</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9.2 </w:t>
      </w:r>
      <w:r>
        <w:rPr>
          <w:rFonts w:ascii="Times New Roman" w:hAnsi="Times New Roman"/>
          <w:snapToGrid w:val="0"/>
          <w:szCs w:val="28"/>
        </w:rPr>
        <w:t>评价结论</w:t>
      </w:r>
      <w:r>
        <w:tab/>
      </w:r>
      <w:r>
        <w:fldChar w:fldCharType="begin"/>
      </w:r>
      <w:r>
        <w:instrText xml:space="preserve"> PAGEREF _Toc6937 </w:instrText>
      </w:r>
      <w:r>
        <w:fldChar w:fldCharType="separate"/>
      </w:r>
      <w:r>
        <w:t>232</w:t>
      </w:r>
      <w:r>
        <w:fldChar w:fldCharType="end"/>
      </w:r>
    </w:p>
    <w:p w:rsidR="00DB7CC8" w:rsidRDefault="002B5250">
      <w:pPr>
        <w:pStyle w:val="26"/>
        <w:tabs>
          <w:tab w:val="right" w:leader="dot" w:pos="8406"/>
        </w:tabs>
        <w:ind w:firstLine="400"/>
      </w:pPr>
      <w:r>
        <w:rPr>
          <w:rFonts w:ascii="Times New Roman" w:hAnsi="Times New Roman" w:hint="eastAsia"/>
          <w:snapToGrid w:val="0"/>
          <w:szCs w:val="28"/>
        </w:rPr>
        <w:t xml:space="preserve">9.3 </w:t>
      </w:r>
      <w:r>
        <w:rPr>
          <w:rFonts w:ascii="Times New Roman" w:hAnsi="Times New Roman"/>
          <w:snapToGrid w:val="0"/>
          <w:szCs w:val="28"/>
        </w:rPr>
        <w:t>建设项目的环境影响可行性结论</w:t>
      </w:r>
      <w:r>
        <w:tab/>
      </w:r>
      <w:r>
        <w:fldChar w:fldCharType="begin"/>
      </w:r>
      <w:r>
        <w:instrText xml:space="preserve"> PAGEREF _Toc1293 </w:instrText>
      </w:r>
      <w:r>
        <w:fldChar w:fldCharType="separate"/>
      </w:r>
      <w:r>
        <w:t>237</w:t>
      </w:r>
      <w:r>
        <w:fldChar w:fldCharType="end"/>
      </w:r>
    </w:p>
    <w:p w:rsidR="00DB7CC8" w:rsidRDefault="002B5250">
      <w:pPr>
        <w:spacing w:line="240" w:lineRule="auto"/>
        <w:ind w:firstLine="560"/>
      </w:pPr>
      <w:r>
        <w:rPr>
          <w:rFonts w:eastAsiaTheme="minorEastAsia"/>
          <w:szCs w:val="24"/>
        </w:rPr>
        <w:fldChar w:fldCharType="end"/>
      </w:r>
    </w:p>
    <w:p w:rsidR="00DB7CC8" w:rsidRDefault="00DB7CC8">
      <w:pPr>
        <w:pStyle w:val="26"/>
        <w:ind w:firstLine="400"/>
        <w:rPr>
          <w:rFonts w:ascii="Times New Roman" w:hAnsi="Times New Roman" w:cs="Times New Roman"/>
        </w:rPr>
      </w:pPr>
    </w:p>
    <w:p w:rsidR="00DB7CC8" w:rsidRDefault="002B5250">
      <w:pPr>
        <w:widowControl/>
        <w:spacing w:line="240" w:lineRule="auto"/>
        <w:ind w:firstLineChars="0" w:firstLine="0"/>
        <w:textAlignment w:val="auto"/>
        <w:rPr>
          <w:smallCaps/>
          <w:sz w:val="20"/>
        </w:rPr>
      </w:pPr>
      <w:r>
        <w:br w:type="page"/>
      </w:r>
    </w:p>
    <w:p w:rsidR="00DB7CC8" w:rsidRDefault="00DB7CC8">
      <w:pPr>
        <w:pStyle w:val="26"/>
        <w:ind w:firstLine="400"/>
        <w:rPr>
          <w:rFonts w:ascii="Times New Roman" w:hAnsi="Times New Roman" w:cs="Times New Roman"/>
        </w:rPr>
      </w:pPr>
    </w:p>
    <w:p w:rsidR="00DB7CC8" w:rsidRDefault="002B5250">
      <w:pPr>
        <w:pStyle w:val="1"/>
        <w:numPr>
          <w:ilvl w:val="0"/>
          <w:numId w:val="1"/>
        </w:numPr>
        <w:rPr>
          <w:rFonts w:ascii="Times New Roman"/>
          <w:sz w:val="36"/>
        </w:rPr>
      </w:pPr>
      <w:bookmarkStart w:id="1" w:name="_Toc26822"/>
      <w:bookmarkStart w:id="2" w:name="_Toc11001"/>
      <w:bookmarkStart w:id="3" w:name="_Toc524284651"/>
      <w:bookmarkStart w:id="4" w:name="_Toc521591662"/>
      <w:bookmarkStart w:id="5" w:name="_Toc19121"/>
      <w:bookmarkStart w:id="6" w:name="_Toc6589"/>
      <w:r>
        <w:rPr>
          <w:rFonts w:ascii="Times New Roman"/>
          <w:sz w:val="36"/>
        </w:rPr>
        <w:t>概述</w:t>
      </w:r>
      <w:bookmarkEnd w:id="1"/>
      <w:bookmarkEnd w:id="2"/>
      <w:bookmarkEnd w:id="3"/>
      <w:bookmarkEnd w:id="4"/>
      <w:bookmarkEnd w:id="5"/>
      <w:bookmarkEnd w:id="6"/>
    </w:p>
    <w:p w:rsidR="00DB7CC8" w:rsidRDefault="002B5250">
      <w:pPr>
        <w:pStyle w:val="2"/>
        <w:keepLines w:val="0"/>
        <w:widowControl/>
        <w:numPr>
          <w:ilvl w:val="1"/>
          <w:numId w:val="2"/>
        </w:numPr>
        <w:tabs>
          <w:tab w:val="left" w:pos="482"/>
        </w:tabs>
        <w:spacing w:before="0" w:after="0" w:line="360" w:lineRule="auto"/>
        <w:ind w:left="567"/>
        <w:rPr>
          <w:rFonts w:ascii="Times New Roman" w:eastAsia="宋体" w:hAnsi="Times New Roman"/>
          <w:bCs w:val="0"/>
          <w:snapToGrid w:val="0"/>
          <w:kern w:val="0"/>
          <w:sz w:val="28"/>
          <w:szCs w:val="28"/>
        </w:rPr>
      </w:pPr>
      <w:bookmarkStart w:id="7" w:name="_Toc17131"/>
      <w:bookmarkStart w:id="8" w:name="_Toc28416"/>
      <w:bookmarkStart w:id="9" w:name="_Toc17144"/>
      <w:bookmarkStart w:id="10" w:name="_Toc29951"/>
      <w:bookmarkStart w:id="11" w:name="_Toc521591663"/>
      <w:bookmarkStart w:id="12" w:name="_Toc524284652"/>
      <w:r>
        <w:rPr>
          <w:rFonts w:ascii="Times New Roman" w:eastAsia="宋体" w:hAnsi="Times New Roman" w:hint="eastAsia"/>
          <w:bCs w:val="0"/>
          <w:snapToGrid w:val="0"/>
          <w:kern w:val="0"/>
          <w:sz w:val="28"/>
          <w:szCs w:val="28"/>
        </w:rPr>
        <w:t>建设项目特点</w:t>
      </w:r>
      <w:bookmarkEnd w:id="7"/>
    </w:p>
    <w:p w:rsidR="00DB7CC8" w:rsidRDefault="002B5250">
      <w:pPr>
        <w:pStyle w:val="3"/>
        <w:keepLines w:val="0"/>
        <w:widowControl/>
        <w:numPr>
          <w:ilvl w:val="255"/>
          <w:numId w:val="0"/>
        </w:numPr>
        <w:rPr>
          <w:rFonts w:ascii="Arial" w:eastAsia="黑体" w:hAnsi="Arial"/>
        </w:rPr>
      </w:pPr>
      <w:r>
        <w:rPr>
          <w:rFonts w:hint="eastAsia"/>
          <w:szCs w:val="28"/>
        </w:rPr>
        <w:t>1.1.1</w:t>
      </w:r>
      <w:r>
        <w:rPr>
          <w:rFonts w:ascii="宋体" w:hAnsi="宋体" w:cs="宋体" w:hint="eastAsia"/>
        </w:rPr>
        <w:t>项目由来</w:t>
      </w:r>
      <w:bookmarkEnd w:id="8"/>
      <w:bookmarkEnd w:id="9"/>
      <w:bookmarkEnd w:id="10"/>
      <w:bookmarkEnd w:id="11"/>
      <w:bookmarkEnd w:id="12"/>
    </w:p>
    <w:p w:rsidR="00DB7CC8" w:rsidRDefault="002B5250">
      <w:pPr>
        <w:ind w:firstLine="480"/>
        <w:jc w:val="both"/>
        <w:rPr>
          <w:sz w:val="24"/>
          <w:szCs w:val="24"/>
        </w:rPr>
      </w:pPr>
      <w:bookmarkStart w:id="13" w:name="_Toc12890"/>
      <w:r>
        <w:rPr>
          <w:sz w:val="24"/>
          <w:szCs w:val="24"/>
        </w:rPr>
        <w:t>遵化市地处河北省东北部，</w:t>
      </w:r>
      <w:hyperlink r:id="rId15" w:tgtFrame="_blank" w:history="1">
        <w:r>
          <w:rPr>
            <w:sz w:val="24"/>
            <w:szCs w:val="24"/>
          </w:rPr>
          <w:t>燕山</w:t>
        </w:r>
      </w:hyperlink>
      <w:r>
        <w:rPr>
          <w:sz w:val="24"/>
          <w:szCs w:val="24"/>
        </w:rPr>
        <w:t>南麓，境内铁矿石资源储量丰富，近年来随着我国钢铁工业的发展、铁精粉的需求量不断增加，使得当地铁精粉选矿企业飞速发展。</w:t>
      </w:r>
    </w:p>
    <w:p w:rsidR="00DB7CC8" w:rsidRDefault="002B5250">
      <w:pPr>
        <w:ind w:firstLine="480"/>
        <w:jc w:val="both"/>
        <w:rPr>
          <w:sz w:val="24"/>
          <w:szCs w:val="24"/>
        </w:rPr>
      </w:pPr>
      <w:r>
        <w:rPr>
          <w:bCs/>
          <w:sz w:val="24"/>
          <w:szCs w:val="24"/>
        </w:rPr>
        <w:t>遵化市鑫伟铁选厂</w:t>
      </w:r>
      <w:r>
        <w:rPr>
          <w:rFonts w:hint="eastAsia"/>
          <w:bCs/>
          <w:sz w:val="24"/>
          <w:szCs w:val="24"/>
        </w:rPr>
        <w:t>位于</w:t>
      </w:r>
      <w:r>
        <w:rPr>
          <w:sz w:val="24"/>
          <w:szCs w:val="24"/>
        </w:rPr>
        <w:t>遵化市建明镇靠山庄村</w:t>
      </w:r>
      <w:r>
        <w:rPr>
          <w:rFonts w:hint="eastAsia"/>
          <w:sz w:val="24"/>
          <w:szCs w:val="24"/>
        </w:rPr>
        <w:t>，</w:t>
      </w:r>
      <w:r>
        <w:rPr>
          <w:rFonts w:hint="eastAsia"/>
          <w:sz w:val="24"/>
          <w:szCs w:val="24"/>
        </w:rPr>
        <w:t>于</w:t>
      </w:r>
      <w:r>
        <w:rPr>
          <w:rFonts w:hint="eastAsia"/>
          <w:sz w:val="24"/>
          <w:szCs w:val="24"/>
        </w:rPr>
        <w:t>2019</w:t>
      </w:r>
      <w:r>
        <w:rPr>
          <w:bCs/>
          <w:sz w:val="24"/>
          <w:szCs w:val="24"/>
        </w:rPr>
        <w:t>年</w:t>
      </w:r>
      <w:r>
        <w:rPr>
          <w:rFonts w:hint="eastAsia"/>
          <w:bCs/>
          <w:sz w:val="24"/>
          <w:szCs w:val="24"/>
        </w:rPr>
        <w:t>实施了“年</w:t>
      </w:r>
      <w:r>
        <w:rPr>
          <w:bCs/>
          <w:sz w:val="24"/>
          <w:szCs w:val="24"/>
        </w:rPr>
        <w:t>处理</w:t>
      </w:r>
      <w:r>
        <w:rPr>
          <w:bCs/>
          <w:sz w:val="24"/>
          <w:szCs w:val="24"/>
        </w:rPr>
        <w:t>70</w:t>
      </w:r>
      <w:r>
        <w:rPr>
          <w:bCs/>
          <w:sz w:val="24"/>
          <w:szCs w:val="24"/>
        </w:rPr>
        <w:t>万吨铁</w:t>
      </w:r>
      <w:r>
        <w:rPr>
          <w:rFonts w:hint="eastAsia"/>
          <w:bCs/>
          <w:sz w:val="24"/>
          <w:szCs w:val="24"/>
        </w:rPr>
        <w:t>矿</w:t>
      </w:r>
      <w:r>
        <w:rPr>
          <w:bCs/>
          <w:sz w:val="24"/>
          <w:szCs w:val="24"/>
        </w:rPr>
        <w:t>石项目</w:t>
      </w:r>
      <w:r>
        <w:rPr>
          <w:rFonts w:hint="eastAsia"/>
          <w:bCs/>
          <w:sz w:val="24"/>
          <w:szCs w:val="24"/>
        </w:rPr>
        <w:t>”，委托</w:t>
      </w:r>
      <w:r>
        <w:rPr>
          <w:rFonts w:hint="eastAsia"/>
          <w:bCs/>
          <w:sz w:val="24"/>
          <w:szCs w:val="24"/>
        </w:rPr>
        <w:t>河北五骏环保技术服务有限公司</w:t>
      </w:r>
      <w:r>
        <w:rPr>
          <w:rFonts w:hint="eastAsia"/>
          <w:bCs/>
          <w:sz w:val="24"/>
          <w:szCs w:val="24"/>
        </w:rPr>
        <w:t>编制了《</w:t>
      </w:r>
      <w:r>
        <w:rPr>
          <w:bCs/>
          <w:sz w:val="24"/>
          <w:szCs w:val="24"/>
        </w:rPr>
        <w:t>遵化市鑫伟铁选厂</w:t>
      </w:r>
      <w:r>
        <w:rPr>
          <w:rFonts w:hint="eastAsia"/>
          <w:bCs/>
          <w:sz w:val="24"/>
          <w:szCs w:val="24"/>
        </w:rPr>
        <w:t>年</w:t>
      </w:r>
      <w:r>
        <w:rPr>
          <w:bCs/>
          <w:sz w:val="24"/>
          <w:szCs w:val="24"/>
        </w:rPr>
        <w:t>处理</w:t>
      </w:r>
      <w:r>
        <w:rPr>
          <w:bCs/>
          <w:sz w:val="24"/>
          <w:szCs w:val="24"/>
        </w:rPr>
        <w:t>70</w:t>
      </w:r>
      <w:r>
        <w:rPr>
          <w:bCs/>
          <w:sz w:val="24"/>
          <w:szCs w:val="24"/>
        </w:rPr>
        <w:t>万吨铁</w:t>
      </w:r>
      <w:r>
        <w:rPr>
          <w:rFonts w:hint="eastAsia"/>
          <w:bCs/>
          <w:sz w:val="24"/>
          <w:szCs w:val="24"/>
        </w:rPr>
        <w:t>矿</w:t>
      </w:r>
      <w:r>
        <w:rPr>
          <w:bCs/>
          <w:sz w:val="24"/>
          <w:szCs w:val="24"/>
        </w:rPr>
        <w:t>石项目</w:t>
      </w:r>
      <w:r>
        <w:rPr>
          <w:rFonts w:hint="eastAsia"/>
          <w:bCs/>
          <w:sz w:val="24"/>
          <w:szCs w:val="24"/>
        </w:rPr>
        <w:t>环境影响报告书》，于</w:t>
      </w:r>
      <w:r>
        <w:rPr>
          <w:rFonts w:hint="eastAsia"/>
          <w:sz w:val="24"/>
          <w:szCs w:val="24"/>
        </w:rPr>
        <w:t>2019</w:t>
      </w:r>
      <w:r>
        <w:rPr>
          <w:bCs/>
          <w:sz w:val="24"/>
          <w:szCs w:val="24"/>
        </w:rPr>
        <w:t>年</w:t>
      </w:r>
      <w:r>
        <w:rPr>
          <w:rFonts w:hint="eastAsia"/>
          <w:bCs/>
          <w:sz w:val="24"/>
          <w:szCs w:val="24"/>
        </w:rPr>
        <w:t>9</w:t>
      </w:r>
      <w:r>
        <w:rPr>
          <w:rFonts w:hint="eastAsia"/>
          <w:bCs/>
          <w:sz w:val="24"/>
          <w:szCs w:val="24"/>
        </w:rPr>
        <w:t>月</w:t>
      </w:r>
      <w:r>
        <w:rPr>
          <w:rFonts w:hint="eastAsia"/>
          <w:bCs/>
          <w:sz w:val="24"/>
          <w:szCs w:val="24"/>
        </w:rPr>
        <w:t>17</w:t>
      </w:r>
      <w:r>
        <w:rPr>
          <w:rFonts w:hint="eastAsia"/>
          <w:bCs/>
          <w:sz w:val="24"/>
          <w:szCs w:val="24"/>
        </w:rPr>
        <w:t>日取得了唐山市环境保护局遵化市分局的环评批复文件（遵</w:t>
      </w:r>
      <w:r>
        <w:rPr>
          <w:rFonts w:hint="eastAsia"/>
          <w:bCs/>
          <w:sz w:val="24"/>
          <w:szCs w:val="24"/>
        </w:rPr>
        <w:t>环发</w:t>
      </w:r>
      <w:r>
        <w:rPr>
          <w:rFonts w:hint="eastAsia"/>
          <w:bCs/>
          <w:sz w:val="24"/>
          <w:szCs w:val="24"/>
        </w:rPr>
        <w:t>[2019]399</w:t>
      </w:r>
      <w:r>
        <w:rPr>
          <w:rFonts w:hint="eastAsia"/>
          <w:bCs/>
          <w:sz w:val="24"/>
          <w:szCs w:val="24"/>
        </w:rPr>
        <w:t>号），于</w:t>
      </w:r>
      <w:r>
        <w:rPr>
          <w:rFonts w:hint="eastAsia"/>
          <w:bCs/>
          <w:sz w:val="24"/>
          <w:szCs w:val="24"/>
        </w:rPr>
        <w:t>2020</w:t>
      </w:r>
      <w:r>
        <w:rPr>
          <w:rFonts w:hint="eastAsia"/>
          <w:bCs/>
          <w:sz w:val="24"/>
          <w:szCs w:val="24"/>
        </w:rPr>
        <w:t>年建设完成后进行了排污登记并通过了竣工环境保护验收。</w:t>
      </w:r>
    </w:p>
    <w:p w:rsidR="00DB7CC8" w:rsidRDefault="002B5250">
      <w:pPr>
        <w:snapToGrid w:val="0"/>
        <w:ind w:firstLine="480"/>
        <w:jc w:val="both"/>
        <w:rPr>
          <w:sz w:val="24"/>
          <w:szCs w:val="24"/>
        </w:rPr>
      </w:pPr>
      <w:r>
        <w:rPr>
          <w:rFonts w:hint="eastAsia"/>
          <w:bCs/>
          <w:sz w:val="24"/>
          <w:szCs w:val="24"/>
        </w:rPr>
        <w:t>目前，</w:t>
      </w:r>
      <w:r>
        <w:rPr>
          <w:bCs/>
          <w:sz w:val="24"/>
          <w:szCs w:val="24"/>
        </w:rPr>
        <w:t>遵化市鑫伟铁选厂</w:t>
      </w:r>
      <w:r>
        <w:rPr>
          <w:sz w:val="24"/>
          <w:szCs w:val="24"/>
        </w:rPr>
        <w:t>主要建</w:t>
      </w:r>
      <w:r>
        <w:rPr>
          <w:rFonts w:hint="eastAsia"/>
          <w:sz w:val="24"/>
          <w:szCs w:val="24"/>
        </w:rPr>
        <w:t>有</w:t>
      </w:r>
      <w:r>
        <w:rPr>
          <w:rFonts w:hint="eastAsia"/>
          <w:sz w:val="24"/>
          <w:szCs w:val="24"/>
        </w:rPr>
        <w:t>原矿堆场、</w:t>
      </w:r>
      <w:r>
        <w:rPr>
          <w:sz w:val="24"/>
          <w:szCs w:val="24"/>
        </w:rPr>
        <w:t>破碎车间、球磨车间、</w:t>
      </w:r>
      <w:r>
        <w:rPr>
          <w:rFonts w:hint="eastAsia"/>
          <w:sz w:val="24"/>
          <w:szCs w:val="24"/>
        </w:rPr>
        <w:t>皮带机通廊</w:t>
      </w:r>
      <w:r>
        <w:rPr>
          <w:sz w:val="24"/>
          <w:szCs w:val="24"/>
        </w:rPr>
        <w:t>、</w:t>
      </w:r>
      <w:r>
        <w:rPr>
          <w:rFonts w:hint="eastAsia"/>
          <w:sz w:val="24"/>
          <w:szCs w:val="24"/>
        </w:rPr>
        <w:t>原料库、</w:t>
      </w:r>
      <w:r>
        <w:rPr>
          <w:sz w:val="24"/>
          <w:szCs w:val="24"/>
        </w:rPr>
        <w:t>成品库、沉淀池、清水池及相关配套公辅设施建设</w:t>
      </w:r>
      <w:r>
        <w:rPr>
          <w:rFonts w:hint="eastAsia"/>
          <w:sz w:val="24"/>
          <w:szCs w:val="24"/>
        </w:rPr>
        <w:t>，</w:t>
      </w:r>
      <w:r>
        <w:rPr>
          <w:sz w:val="24"/>
          <w:szCs w:val="24"/>
        </w:rPr>
        <w:t>采用破碎</w:t>
      </w:r>
      <w:r>
        <w:rPr>
          <w:sz w:val="24"/>
          <w:szCs w:val="24"/>
        </w:rPr>
        <w:t>—</w:t>
      </w:r>
      <w:r>
        <w:rPr>
          <w:sz w:val="24"/>
          <w:szCs w:val="24"/>
        </w:rPr>
        <w:t>筛分</w:t>
      </w:r>
      <w:r>
        <w:rPr>
          <w:sz w:val="24"/>
          <w:szCs w:val="24"/>
        </w:rPr>
        <w:t>—</w:t>
      </w:r>
      <w:r>
        <w:rPr>
          <w:sz w:val="24"/>
          <w:szCs w:val="24"/>
        </w:rPr>
        <w:t>球磨</w:t>
      </w:r>
      <w:r>
        <w:rPr>
          <w:sz w:val="24"/>
          <w:szCs w:val="24"/>
        </w:rPr>
        <w:t>—</w:t>
      </w:r>
      <w:r>
        <w:rPr>
          <w:sz w:val="24"/>
          <w:szCs w:val="24"/>
        </w:rPr>
        <w:t>磁选</w:t>
      </w:r>
      <w:r>
        <w:rPr>
          <w:sz w:val="24"/>
          <w:szCs w:val="24"/>
        </w:rPr>
        <w:t>—</w:t>
      </w:r>
      <w:r>
        <w:rPr>
          <w:sz w:val="24"/>
          <w:szCs w:val="24"/>
        </w:rPr>
        <w:t>过滤工艺，</w:t>
      </w:r>
      <w:r>
        <w:rPr>
          <w:rFonts w:hint="eastAsia"/>
          <w:sz w:val="24"/>
          <w:szCs w:val="24"/>
        </w:rPr>
        <w:t>实现</w:t>
      </w:r>
      <w:r>
        <w:rPr>
          <w:sz w:val="24"/>
          <w:szCs w:val="24"/>
        </w:rPr>
        <w:t>年处理铁矿石能力为</w:t>
      </w:r>
      <w:r>
        <w:rPr>
          <w:sz w:val="24"/>
          <w:szCs w:val="24"/>
        </w:rPr>
        <w:t>70</w:t>
      </w:r>
      <w:r>
        <w:rPr>
          <w:sz w:val="24"/>
          <w:szCs w:val="24"/>
        </w:rPr>
        <w:t>万吨，年产品位</w:t>
      </w:r>
      <w:r>
        <w:rPr>
          <w:sz w:val="24"/>
          <w:szCs w:val="24"/>
        </w:rPr>
        <w:t>60%</w:t>
      </w:r>
      <w:r>
        <w:rPr>
          <w:sz w:val="24"/>
          <w:szCs w:val="24"/>
        </w:rPr>
        <w:t>铁精粉</w:t>
      </w:r>
      <w:r>
        <w:rPr>
          <w:sz w:val="24"/>
          <w:szCs w:val="24"/>
        </w:rPr>
        <w:t>30</w:t>
      </w:r>
      <w:r>
        <w:rPr>
          <w:sz w:val="24"/>
          <w:szCs w:val="24"/>
        </w:rPr>
        <w:t>万吨。</w:t>
      </w:r>
    </w:p>
    <w:p w:rsidR="00DB7CC8" w:rsidRDefault="002B5250">
      <w:pPr>
        <w:snapToGrid w:val="0"/>
        <w:ind w:firstLine="480"/>
        <w:jc w:val="both"/>
        <w:rPr>
          <w:sz w:val="24"/>
          <w:szCs w:val="24"/>
        </w:rPr>
      </w:pPr>
      <w:r>
        <w:rPr>
          <w:sz w:val="24"/>
          <w:szCs w:val="24"/>
        </w:rPr>
        <w:t>为充分发挥本地区矿产资源优势，</w:t>
      </w:r>
      <w:r>
        <w:rPr>
          <w:rFonts w:hint="eastAsia"/>
          <w:sz w:val="24"/>
          <w:szCs w:val="24"/>
        </w:rPr>
        <w:t>进一步延长优化自身生产线，提升自身综合竞争力，</w:t>
      </w:r>
      <w:r>
        <w:rPr>
          <w:sz w:val="24"/>
          <w:szCs w:val="24"/>
        </w:rPr>
        <w:t>遵化市鑫伟铁选厂决定投资</w:t>
      </w:r>
      <w:r>
        <w:rPr>
          <w:rFonts w:hint="eastAsia"/>
          <w:sz w:val="24"/>
          <w:szCs w:val="24"/>
        </w:rPr>
        <w:t>22</w:t>
      </w:r>
      <w:r>
        <w:rPr>
          <w:sz w:val="24"/>
          <w:szCs w:val="24"/>
        </w:rPr>
        <w:t>00</w:t>
      </w:r>
      <w:r>
        <w:rPr>
          <w:sz w:val="24"/>
          <w:szCs w:val="24"/>
        </w:rPr>
        <w:t>万元建设</w:t>
      </w:r>
      <w:r>
        <w:rPr>
          <w:rFonts w:hint="eastAsia"/>
          <w:sz w:val="24"/>
          <w:szCs w:val="24"/>
        </w:rPr>
        <w:t>“</w:t>
      </w:r>
      <w:r>
        <w:rPr>
          <w:sz w:val="24"/>
          <w:szCs w:val="24"/>
        </w:rPr>
        <w:t>遵化市鑫伟铁选厂年处理</w:t>
      </w:r>
      <w:r>
        <w:rPr>
          <w:rFonts w:hint="eastAsia"/>
          <w:sz w:val="24"/>
          <w:szCs w:val="24"/>
        </w:rPr>
        <w:t>11</w:t>
      </w:r>
      <w:r>
        <w:rPr>
          <w:sz w:val="24"/>
          <w:szCs w:val="24"/>
        </w:rPr>
        <w:t>0</w:t>
      </w:r>
      <w:r>
        <w:rPr>
          <w:sz w:val="24"/>
          <w:szCs w:val="24"/>
        </w:rPr>
        <w:t>万吨铁矿石</w:t>
      </w:r>
      <w:r>
        <w:rPr>
          <w:rFonts w:hint="eastAsia"/>
          <w:sz w:val="24"/>
          <w:szCs w:val="24"/>
        </w:rPr>
        <w:t>、</w:t>
      </w:r>
      <w:r>
        <w:rPr>
          <w:rFonts w:hint="eastAsia"/>
          <w:sz w:val="24"/>
          <w:szCs w:val="24"/>
        </w:rPr>
        <w:t>40</w:t>
      </w:r>
      <w:r>
        <w:rPr>
          <w:rFonts w:hint="eastAsia"/>
          <w:sz w:val="24"/>
          <w:szCs w:val="24"/>
        </w:rPr>
        <w:t>万吨粗精矿改扩建</w:t>
      </w:r>
      <w:r>
        <w:rPr>
          <w:sz w:val="24"/>
          <w:szCs w:val="24"/>
        </w:rPr>
        <w:t>项目</w:t>
      </w:r>
      <w:r>
        <w:rPr>
          <w:rFonts w:hint="eastAsia"/>
          <w:sz w:val="24"/>
          <w:szCs w:val="24"/>
        </w:rPr>
        <w:t>”</w:t>
      </w:r>
      <w:r>
        <w:rPr>
          <w:sz w:val="24"/>
          <w:szCs w:val="24"/>
        </w:rPr>
        <w:t>，河北省</w:t>
      </w:r>
      <w:r>
        <w:rPr>
          <w:sz w:val="24"/>
          <w:szCs w:val="24"/>
        </w:rPr>
        <w:t>发展和改革委员会</w:t>
      </w:r>
      <w:r>
        <w:rPr>
          <w:sz w:val="24"/>
          <w:szCs w:val="24"/>
        </w:rPr>
        <w:t>20</w:t>
      </w:r>
      <w:r>
        <w:rPr>
          <w:rFonts w:hint="eastAsia"/>
          <w:sz w:val="24"/>
          <w:szCs w:val="24"/>
        </w:rPr>
        <w:t>23</w:t>
      </w:r>
      <w:r>
        <w:rPr>
          <w:sz w:val="24"/>
          <w:szCs w:val="24"/>
        </w:rPr>
        <w:t>年</w:t>
      </w:r>
      <w:r>
        <w:rPr>
          <w:sz w:val="24"/>
          <w:szCs w:val="24"/>
        </w:rPr>
        <w:t>2</w:t>
      </w:r>
      <w:r>
        <w:rPr>
          <w:sz w:val="24"/>
          <w:szCs w:val="24"/>
        </w:rPr>
        <w:t>月</w:t>
      </w:r>
      <w:r>
        <w:rPr>
          <w:rFonts w:hint="eastAsia"/>
          <w:sz w:val="24"/>
          <w:szCs w:val="24"/>
        </w:rPr>
        <w:t>2</w:t>
      </w:r>
      <w:r>
        <w:rPr>
          <w:sz w:val="24"/>
          <w:szCs w:val="24"/>
        </w:rPr>
        <w:t>4</w:t>
      </w:r>
      <w:r>
        <w:rPr>
          <w:sz w:val="24"/>
          <w:szCs w:val="24"/>
        </w:rPr>
        <w:t>日以</w:t>
      </w:r>
      <w:bookmarkStart w:id="14" w:name="OLE_LINK7"/>
      <w:bookmarkStart w:id="15" w:name="OLE_LINK6"/>
      <w:r>
        <w:rPr>
          <w:sz w:val="24"/>
          <w:szCs w:val="24"/>
        </w:rPr>
        <w:t>冀发改</w:t>
      </w:r>
      <w:r>
        <w:rPr>
          <w:rFonts w:hint="eastAsia"/>
          <w:sz w:val="24"/>
          <w:szCs w:val="24"/>
        </w:rPr>
        <w:t>政务</w:t>
      </w:r>
      <w:r>
        <w:rPr>
          <w:sz w:val="24"/>
          <w:szCs w:val="24"/>
        </w:rPr>
        <w:t>备字</w:t>
      </w:r>
      <w:r>
        <w:rPr>
          <w:sz w:val="24"/>
          <w:szCs w:val="24"/>
        </w:rPr>
        <w:t>[20</w:t>
      </w:r>
      <w:r>
        <w:rPr>
          <w:rFonts w:hint="eastAsia"/>
          <w:sz w:val="24"/>
          <w:szCs w:val="24"/>
        </w:rPr>
        <w:t>23</w:t>
      </w:r>
      <w:r>
        <w:rPr>
          <w:sz w:val="24"/>
          <w:szCs w:val="24"/>
        </w:rPr>
        <w:t>]</w:t>
      </w:r>
      <w:r>
        <w:rPr>
          <w:rFonts w:hint="eastAsia"/>
          <w:sz w:val="24"/>
          <w:szCs w:val="24"/>
        </w:rPr>
        <w:t>28</w:t>
      </w:r>
      <w:r>
        <w:rPr>
          <w:sz w:val="24"/>
          <w:szCs w:val="24"/>
        </w:rPr>
        <w:t>号</w:t>
      </w:r>
      <w:bookmarkEnd w:id="14"/>
      <w:bookmarkEnd w:id="15"/>
      <w:r>
        <w:rPr>
          <w:sz w:val="24"/>
          <w:szCs w:val="24"/>
        </w:rPr>
        <w:t>文予以备案。</w:t>
      </w:r>
    </w:p>
    <w:p w:rsidR="00DB7CC8" w:rsidRDefault="002B5250">
      <w:pPr>
        <w:snapToGrid w:val="0"/>
        <w:ind w:firstLine="480"/>
        <w:jc w:val="both"/>
        <w:rPr>
          <w:sz w:val="24"/>
          <w:szCs w:val="24"/>
        </w:rPr>
      </w:pPr>
      <w:r>
        <w:rPr>
          <w:sz w:val="24"/>
          <w:szCs w:val="24"/>
        </w:rPr>
        <w:t>本项目</w:t>
      </w:r>
      <w:r>
        <w:rPr>
          <w:rFonts w:hint="eastAsia"/>
          <w:sz w:val="24"/>
          <w:szCs w:val="24"/>
        </w:rPr>
        <w:t>在</w:t>
      </w:r>
      <w:r>
        <w:rPr>
          <w:bCs/>
          <w:sz w:val="24"/>
          <w:szCs w:val="24"/>
        </w:rPr>
        <w:t>遵化市鑫伟铁选厂</w:t>
      </w:r>
      <w:r>
        <w:rPr>
          <w:rFonts w:hint="eastAsia"/>
          <w:bCs/>
          <w:sz w:val="24"/>
          <w:szCs w:val="24"/>
        </w:rPr>
        <w:t>现有厂区内进行建设，不新增占地，主要</w:t>
      </w:r>
      <w:r>
        <w:rPr>
          <w:rFonts w:hint="eastAsia"/>
          <w:sz w:val="24"/>
          <w:szCs w:val="24"/>
        </w:rPr>
        <w:t>建设破碎粗选车间、精选车间，购置安装球磨、磁选等设备，配套建设辅助生产设施办公室、配电室、库房。项目建成后年处理</w:t>
      </w:r>
      <w:r>
        <w:rPr>
          <w:rFonts w:hint="eastAsia"/>
          <w:sz w:val="24"/>
          <w:szCs w:val="24"/>
        </w:rPr>
        <w:t>110</w:t>
      </w:r>
      <w:r>
        <w:rPr>
          <w:rFonts w:hint="eastAsia"/>
          <w:sz w:val="24"/>
          <w:szCs w:val="24"/>
        </w:rPr>
        <w:t>万吨铁矿石、</w:t>
      </w:r>
      <w:r>
        <w:rPr>
          <w:rFonts w:hint="eastAsia"/>
          <w:sz w:val="24"/>
          <w:szCs w:val="24"/>
        </w:rPr>
        <w:t>40</w:t>
      </w:r>
      <w:r>
        <w:rPr>
          <w:rFonts w:hint="eastAsia"/>
          <w:sz w:val="24"/>
          <w:szCs w:val="24"/>
        </w:rPr>
        <w:t>万吨粗精矿，年产</w:t>
      </w:r>
      <w:r>
        <w:rPr>
          <w:rFonts w:hint="eastAsia"/>
          <w:sz w:val="24"/>
          <w:szCs w:val="24"/>
        </w:rPr>
        <w:t>66%</w:t>
      </w:r>
      <w:r>
        <w:rPr>
          <w:rFonts w:hint="eastAsia"/>
          <w:sz w:val="24"/>
          <w:szCs w:val="24"/>
        </w:rPr>
        <w:t>铁精粉</w:t>
      </w:r>
      <w:r>
        <w:rPr>
          <w:rFonts w:hint="eastAsia"/>
          <w:sz w:val="24"/>
          <w:szCs w:val="24"/>
        </w:rPr>
        <w:t>35</w:t>
      </w:r>
      <w:r>
        <w:rPr>
          <w:rFonts w:hint="eastAsia"/>
          <w:sz w:val="24"/>
          <w:szCs w:val="24"/>
        </w:rPr>
        <w:t>万吨。</w:t>
      </w:r>
    </w:p>
    <w:p w:rsidR="00DB7CC8" w:rsidRDefault="002B5250">
      <w:pPr>
        <w:ind w:firstLine="480"/>
        <w:jc w:val="both"/>
        <w:rPr>
          <w:sz w:val="24"/>
          <w:szCs w:val="24"/>
        </w:rPr>
      </w:pPr>
      <w:bookmarkStart w:id="16" w:name="_Toc521591664"/>
      <w:bookmarkStart w:id="17" w:name="_Toc3234"/>
      <w:r>
        <w:rPr>
          <w:sz w:val="24"/>
          <w:szCs w:val="24"/>
        </w:rPr>
        <w:t>根据《中华人民共和国环境保护法》、《中华人民共和国环境影响评价法》和《建设项目环境保护管理条例》（国务院第</w:t>
      </w:r>
      <w:r>
        <w:rPr>
          <w:sz w:val="24"/>
          <w:szCs w:val="24"/>
        </w:rPr>
        <w:t xml:space="preserve"> 682 </w:t>
      </w:r>
      <w:r>
        <w:rPr>
          <w:sz w:val="24"/>
          <w:szCs w:val="24"/>
        </w:rPr>
        <w:t>号令）等法律法规规定，该项目需进行环境影响评价，属于《建设项目环境影响评价分类管理名录</w:t>
      </w:r>
      <w:r>
        <w:rPr>
          <w:sz w:val="24"/>
          <w:szCs w:val="24"/>
        </w:rPr>
        <w:t>20</w:t>
      </w:r>
      <w:r>
        <w:rPr>
          <w:rFonts w:hint="eastAsia"/>
          <w:sz w:val="24"/>
          <w:szCs w:val="24"/>
        </w:rPr>
        <w:t>21</w:t>
      </w:r>
      <w:r>
        <w:rPr>
          <w:sz w:val="24"/>
          <w:szCs w:val="24"/>
        </w:rPr>
        <w:t>年</w:t>
      </w:r>
      <w:r>
        <w:rPr>
          <w:rFonts w:hint="eastAsia"/>
          <w:sz w:val="24"/>
          <w:szCs w:val="24"/>
        </w:rPr>
        <w:t>版</w:t>
      </w:r>
      <w:r>
        <w:rPr>
          <w:sz w:val="24"/>
          <w:szCs w:val="24"/>
        </w:rPr>
        <w:t>》（部令第</w:t>
      </w:r>
      <w:r>
        <w:rPr>
          <w:sz w:val="24"/>
          <w:szCs w:val="24"/>
        </w:rPr>
        <w:t>1</w:t>
      </w:r>
      <w:r>
        <w:rPr>
          <w:rFonts w:hint="eastAsia"/>
          <w:sz w:val="24"/>
          <w:szCs w:val="24"/>
        </w:rPr>
        <w:t>6</w:t>
      </w:r>
      <w:r>
        <w:rPr>
          <w:sz w:val="24"/>
          <w:szCs w:val="24"/>
        </w:rPr>
        <w:t>号）中</w:t>
      </w:r>
      <w:r>
        <w:rPr>
          <w:rFonts w:hint="eastAsia"/>
          <w:sz w:val="24"/>
          <w:szCs w:val="24"/>
        </w:rPr>
        <w:t>“</w:t>
      </w:r>
      <w:r>
        <w:rPr>
          <w:rFonts w:hint="eastAsia"/>
          <w:sz w:val="24"/>
          <w:szCs w:val="24"/>
        </w:rPr>
        <w:t>六</w:t>
      </w:r>
      <w:r>
        <w:rPr>
          <w:sz w:val="24"/>
          <w:szCs w:val="24"/>
        </w:rPr>
        <w:t>、黑色金属矿采选</w:t>
      </w:r>
      <w:r>
        <w:rPr>
          <w:rFonts w:hint="eastAsia"/>
          <w:sz w:val="24"/>
          <w:szCs w:val="24"/>
        </w:rPr>
        <w:t>”</w:t>
      </w:r>
      <w:r>
        <w:rPr>
          <w:sz w:val="24"/>
          <w:szCs w:val="24"/>
        </w:rPr>
        <w:t>，需编制《遵化市鑫伟铁选厂年处理</w:t>
      </w:r>
      <w:r>
        <w:rPr>
          <w:rFonts w:hint="eastAsia"/>
          <w:sz w:val="24"/>
          <w:szCs w:val="24"/>
        </w:rPr>
        <w:t>11</w:t>
      </w:r>
      <w:r>
        <w:rPr>
          <w:sz w:val="24"/>
          <w:szCs w:val="24"/>
        </w:rPr>
        <w:t>0</w:t>
      </w:r>
      <w:r>
        <w:rPr>
          <w:sz w:val="24"/>
          <w:szCs w:val="24"/>
        </w:rPr>
        <w:t>万吨铁矿石</w:t>
      </w:r>
      <w:r>
        <w:rPr>
          <w:rFonts w:hint="eastAsia"/>
          <w:sz w:val="24"/>
          <w:szCs w:val="24"/>
        </w:rPr>
        <w:t>、</w:t>
      </w:r>
      <w:r>
        <w:rPr>
          <w:rFonts w:hint="eastAsia"/>
          <w:sz w:val="24"/>
          <w:szCs w:val="24"/>
        </w:rPr>
        <w:t>40</w:t>
      </w:r>
      <w:r>
        <w:rPr>
          <w:rFonts w:hint="eastAsia"/>
          <w:sz w:val="24"/>
          <w:szCs w:val="24"/>
        </w:rPr>
        <w:t>万吨粗精矿改扩建</w:t>
      </w:r>
      <w:r>
        <w:rPr>
          <w:sz w:val="24"/>
          <w:szCs w:val="24"/>
        </w:rPr>
        <w:t>项目环境影响报告书》。</w:t>
      </w:r>
    </w:p>
    <w:p w:rsidR="00DB7CC8" w:rsidRDefault="002B5250">
      <w:pPr>
        <w:pStyle w:val="3"/>
        <w:keepLines w:val="0"/>
        <w:widowControl/>
        <w:numPr>
          <w:ilvl w:val="255"/>
          <w:numId w:val="0"/>
        </w:numPr>
        <w:rPr>
          <w:szCs w:val="28"/>
        </w:rPr>
      </w:pPr>
      <w:bookmarkStart w:id="18" w:name="_Toc20213"/>
      <w:bookmarkStart w:id="19" w:name="_Toc524284653"/>
      <w:r>
        <w:rPr>
          <w:rFonts w:hint="eastAsia"/>
          <w:szCs w:val="28"/>
        </w:rPr>
        <w:lastRenderedPageBreak/>
        <w:t>1.1.2</w:t>
      </w:r>
      <w:r>
        <w:rPr>
          <w:rFonts w:hint="eastAsia"/>
          <w:szCs w:val="28"/>
        </w:rPr>
        <w:t>建设项目特点</w:t>
      </w:r>
      <w:bookmarkEnd w:id="13"/>
      <w:bookmarkEnd w:id="16"/>
      <w:bookmarkEnd w:id="17"/>
      <w:bookmarkEnd w:id="18"/>
      <w:bookmarkEnd w:id="19"/>
    </w:p>
    <w:p w:rsidR="00DB7CC8" w:rsidRDefault="002B5250">
      <w:pPr>
        <w:ind w:firstLine="480"/>
        <w:jc w:val="both"/>
        <w:rPr>
          <w:sz w:val="24"/>
          <w:szCs w:val="24"/>
        </w:rPr>
      </w:pPr>
      <w:r>
        <w:rPr>
          <w:rFonts w:hint="eastAsia"/>
          <w:sz w:val="24"/>
          <w:szCs w:val="24"/>
        </w:rPr>
        <w:t>（</w:t>
      </w:r>
      <w:r>
        <w:rPr>
          <w:rFonts w:hint="eastAsia"/>
          <w:sz w:val="24"/>
          <w:szCs w:val="24"/>
        </w:rPr>
        <w:t>1</w:t>
      </w:r>
      <w:r>
        <w:rPr>
          <w:rFonts w:hint="eastAsia"/>
          <w:sz w:val="24"/>
          <w:szCs w:val="24"/>
        </w:rPr>
        <w:t>）项目选址位于</w:t>
      </w:r>
      <w:r>
        <w:rPr>
          <w:sz w:val="24"/>
          <w:szCs w:val="24"/>
        </w:rPr>
        <w:t>遵化市建明镇靠山庄村</w:t>
      </w:r>
      <w:r>
        <w:rPr>
          <w:bCs/>
          <w:sz w:val="24"/>
          <w:szCs w:val="24"/>
        </w:rPr>
        <w:t>遵化市鑫伟铁选厂</w:t>
      </w:r>
      <w:r>
        <w:rPr>
          <w:rFonts w:hint="eastAsia"/>
          <w:bCs/>
          <w:sz w:val="24"/>
          <w:szCs w:val="24"/>
        </w:rPr>
        <w:t>现有厂区内</w:t>
      </w:r>
      <w:r>
        <w:rPr>
          <w:sz w:val="24"/>
          <w:szCs w:val="24"/>
        </w:rPr>
        <w:t>，</w:t>
      </w:r>
      <w:r>
        <w:rPr>
          <w:rFonts w:hint="eastAsia"/>
          <w:sz w:val="24"/>
          <w:szCs w:val="24"/>
        </w:rPr>
        <w:t>项目占地为建设用地，符合《遵化市城乡总体规划（</w:t>
      </w:r>
      <w:r>
        <w:rPr>
          <w:rFonts w:hint="eastAsia"/>
          <w:sz w:val="24"/>
          <w:szCs w:val="24"/>
        </w:rPr>
        <w:t>2013-2030</w:t>
      </w:r>
      <w:r>
        <w:rPr>
          <w:rFonts w:hint="eastAsia"/>
          <w:sz w:val="24"/>
          <w:szCs w:val="24"/>
        </w:rPr>
        <w:t>）》用地要求。</w:t>
      </w:r>
    </w:p>
    <w:p w:rsidR="00DB7CC8" w:rsidRDefault="002B5250">
      <w:pPr>
        <w:ind w:firstLine="480"/>
        <w:jc w:val="both"/>
        <w:rPr>
          <w:sz w:val="24"/>
          <w:szCs w:val="24"/>
        </w:rPr>
      </w:pPr>
      <w:r>
        <w:rPr>
          <w:rFonts w:hint="eastAsia"/>
          <w:sz w:val="24"/>
          <w:szCs w:val="24"/>
        </w:rPr>
        <w:t>（</w:t>
      </w:r>
      <w:r>
        <w:rPr>
          <w:rFonts w:hint="eastAsia"/>
          <w:sz w:val="24"/>
          <w:szCs w:val="24"/>
        </w:rPr>
        <w:t>2</w:t>
      </w:r>
      <w:r>
        <w:rPr>
          <w:rFonts w:hint="eastAsia"/>
          <w:sz w:val="24"/>
          <w:szCs w:val="24"/>
        </w:rPr>
        <w:t>）本项</w:t>
      </w:r>
      <w:r>
        <w:rPr>
          <w:rFonts w:hint="eastAsia"/>
          <w:sz w:val="24"/>
          <w:szCs w:val="24"/>
        </w:rPr>
        <w:t>目以铁矿石为原料</w:t>
      </w:r>
      <w:r>
        <w:rPr>
          <w:rFonts w:hint="eastAsia"/>
          <w:sz w:val="24"/>
          <w:szCs w:val="24"/>
        </w:rPr>
        <w:t>，</w:t>
      </w:r>
      <w:r>
        <w:rPr>
          <w:sz w:val="24"/>
          <w:szCs w:val="24"/>
        </w:rPr>
        <w:t>经过两段破碎一段筛分一段干选一段球磨一三段磁选工艺生产品位</w:t>
      </w:r>
      <w:r>
        <w:rPr>
          <w:sz w:val="24"/>
          <w:szCs w:val="24"/>
        </w:rPr>
        <w:t>60%</w:t>
      </w:r>
      <w:r>
        <w:rPr>
          <w:sz w:val="24"/>
          <w:szCs w:val="24"/>
        </w:rPr>
        <w:t>的铁精粉，</w:t>
      </w:r>
      <w:r>
        <w:rPr>
          <w:rFonts w:hint="eastAsia"/>
          <w:sz w:val="24"/>
          <w:szCs w:val="24"/>
        </w:rPr>
        <w:t>然后再</w:t>
      </w:r>
      <w:r>
        <w:rPr>
          <w:rFonts w:hint="eastAsia"/>
          <w:sz w:val="24"/>
          <w:szCs w:val="24"/>
        </w:rPr>
        <w:t>通过精选生产线实现年</w:t>
      </w:r>
      <w:r>
        <w:rPr>
          <w:sz w:val="24"/>
          <w:szCs w:val="24"/>
        </w:rPr>
        <w:t>产品位</w:t>
      </w:r>
      <w:r>
        <w:rPr>
          <w:sz w:val="24"/>
          <w:szCs w:val="24"/>
        </w:rPr>
        <w:t>6</w:t>
      </w:r>
      <w:r>
        <w:rPr>
          <w:rFonts w:hint="eastAsia"/>
          <w:sz w:val="24"/>
          <w:szCs w:val="24"/>
        </w:rPr>
        <w:t>6</w:t>
      </w:r>
      <w:r>
        <w:rPr>
          <w:sz w:val="24"/>
          <w:szCs w:val="24"/>
        </w:rPr>
        <w:t>%</w:t>
      </w:r>
      <w:r>
        <w:rPr>
          <w:sz w:val="24"/>
          <w:szCs w:val="24"/>
        </w:rPr>
        <w:t>的铁精粉</w:t>
      </w:r>
      <w:r>
        <w:rPr>
          <w:rFonts w:hint="eastAsia"/>
          <w:sz w:val="24"/>
          <w:szCs w:val="24"/>
        </w:rPr>
        <w:t>35</w:t>
      </w:r>
      <w:r>
        <w:rPr>
          <w:sz w:val="24"/>
          <w:szCs w:val="24"/>
        </w:rPr>
        <w:t>万吨</w:t>
      </w:r>
      <w:r>
        <w:rPr>
          <w:rFonts w:hint="eastAsia"/>
          <w:sz w:val="24"/>
          <w:szCs w:val="24"/>
        </w:rPr>
        <w:t>，</w:t>
      </w:r>
      <w:r>
        <w:rPr>
          <w:sz w:val="24"/>
          <w:szCs w:val="24"/>
        </w:rPr>
        <w:t>尾矿采取干排处理工艺，不设尾矿库。项目磁选出铁精粉为成品外售，除尘灰、</w:t>
      </w:r>
      <w:r>
        <w:rPr>
          <w:rFonts w:hint="eastAsia"/>
          <w:sz w:val="24"/>
          <w:szCs w:val="24"/>
        </w:rPr>
        <w:t>尾矿砂</w:t>
      </w:r>
      <w:r>
        <w:rPr>
          <w:sz w:val="24"/>
          <w:szCs w:val="24"/>
        </w:rPr>
        <w:t>为一般固废，除尘灰经布袋除尘器收集后返回球磨机重新利用，</w:t>
      </w:r>
      <w:r>
        <w:rPr>
          <w:rFonts w:hint="eastAsia"/>
          <w:sz w:val="24"/>
          <w:szCs w:val="24"/>
        </w:rPr>
        <w:t>尾矿砂</w:t>
      </w:r>
      <w:r>
        <w:rPr>
          <w:sz w:val="24"/>
          <w:szCs w:val="24"/>
        </w:rPr>
        <w:t>外售建材企业综合利用</w:t>
      </w:r>
      <w:r>
        <w:rPr>
          <w:rFonts w:hint="eastAsia"/>
          <w:sz w:val="24"/>
          <w:szCs w:val="24"/>
        </w:rPr>
        <w:t>或</w:t>
      </w:r>
      <w:r>
        <w:rPr>
          <w:sz w:val="24"/>
          <w:szCs w:val="24"/>
        </w:rPr>
        <w:t>外运填坑铺路。</w:t>
      </w:r>
    </w:p>
    <w:p w:rsidR="00DB7CC8" w:rsidRDefault="002B5250">
      <w:pPr>
        <w:ind w:firstLine="480"/>
        <w:jc w:val="both"/>
        <w:rPr>
          <w:sz w:val="24"/>
          <w:szCs w:val="24"/>
        </w:rPr>
      </w:pPr>
      <w:r>
        <w:rPr>
          <w:rFonts w:hint="eastAsia"/>
          <w:sz w:val="24"/>
          <w:szCs w:val="24"/>
        </w:rPr>
        <w:t>（</w:t>
      </w:r>
      <w:r>
        <w:rPr>
          <w:rFonts w:hint="eastAsia"/>
          <w:sz w:val="24"/>
          <w:szCs w:val="24"/>
        </w:rPr>
        <w:t>3</w:t>
      </w:r>
      <w:r>
        <w:rPr>
          <w:rFonts w:hint="eastAsia"/>
          <w:sz w:val="24"/>
          <w:szCs w:val="24"/>
        </w:rPr>
        <w:t>）项目生产工艺中产生的废气、废水、噪声及固体废物等污染，将严格按照国家法律法规和标准进行有效控制和治理，确保实现经济效益、社会效益、环境效益的协调发展。</w:t>
      </w:r>
    </w:p>
    <w:p w:rsidR="00DB7CC8" w:rsidRDefault="002B5250">
      <w:pPr>
        <w:pStyle w:val="2"/>
        <w:keepLines w:val="0"/>
        <w:widowControl/>
        <w:numPr>
          <w:ilvl w:val="1"/>
          <w:numId w:val="2"/>
        </w:numPr>
        <w:tabs>
          <w:tab w:val="left" w:pos="482"/>
        </w:tabs>
        <w:spacing w:before="0" w:after="0" w:line="360" w:lineRule="auto"/>
        <w:ind w:left="567"/>
        <w:rPr>
          <w:rFonts w:ascii="Times New Roman" w:eastAsia="宋体" w:hAnsi="Times New Roman"/>
          <w:bCs w:val="0"/>
          <w:snapToGrid w:val="0"/>
          <w:kern w:val="0"/>
          <w:sz w:val="28"/>
          <w:szCs w:val="28"/>
        </w:rPr>
      </w:pPr>
      <w:bookmarkStart w:id="20" w:name="_Toc524284654"/>
      <w:bookmarkStart w:id="21" w:name="_Toc495"/>
      <w:bookmarkStart w:id="22" w:name="_Toc2222"/>
      <w:bookmarkStart w:id="23" w:name="_Toc521591665"/>
      <w:bookmarkStart w:id="24" w:name="_Toc17076"/>
      <w:bookmarkStart w:id="25" w:name="_Toc30538"/>
      <w:r>
        <w:rPr>
          <w:rFonts w:ascii="Times New Roman" w:eastAsia="宋体" w:hAnsi="Times New Roman"/>
          <w:bCs w:val="0"/>
          <w:snapToGrid w:val="0"/>
          <w:kern w:val="0"/>
          <w:sz w:val="28"/>
          <w:szCs w:val="28"/>
        </w:rPr>
        <w:t>环境影响评价工作</w:t>
      </w:r>
      <w:bookmarkEnd w:id="20"/>
      <w:bookmarkEnd w:id="21"/>
      <w:bookmarkEnd w:id="22"/>
      <w:bookmarkEnd w:id="23"/>
      <w:bookmarkEnd w:id="24"/>
      <w:r>
        <w:rPr>
          <w:rFonts w:ascii="Times New Roman" w:eastAsia="宋体" w:hAnsi="Times New Roman"/>
          <w:bCs w:val="0"/>
          <w:snapToGrid w:val="0"/>
          <w:kern w:val="0"/>
          <w:sz w:val="28"/>
          <w:szCs w:val="28"/>
        </w:rPr>
        <w:t>过程</w:t>
      </w:r>
      <w:bookmarkEnd w:id="25"/>
    </w:p>
    <w:p w:rsidR="00DB7CC8" w:rsidRDefault="002B5250">
      <w:pPr>
        <w:ind w:firstLine="480"/>
        <w:jc w:val="both"/>
        <w:rPr>
          <w:sz w:val="24"/>
          <w:szCs w:val="24"/>
        </w:rPr>
      </w:pPr>
      <w:r>
        <w:rPr>
          <w:sz w:val="24"/>
          <w:szCs w:val="24"/>
        </w:rPr>
        <w:t>根据《中华人民共和国环境保护法》、《中华人民共和国环境影响评价法》和《建设项目环境保护管理条例》（国务院第</w:t>
      </w:r>
      <w:r>
        <w:rPr>
          <w:sz w:val="24"/>
          <w:szCs w:val="24"/>
        </w:rPr>
        <w:t xml:space="preserve"> 682 </w:t>
      </w:r>
      <w:r>
        <w:rPr>
          <w:sz w:val="24"/>
          <w:szCs w:val="24"/>
        </w:rPr>
        <w:t>号令）等法律法规规定，本项目属于《建设项目环境影响评价分类管理名录</w:t>
      </w:r>
      <w:r>
        <w:rPr>
          <w:sz w:val="24"/>
          <w:szCs w:val="24"/>
        </w:rPr>
        <w:t>20</w:t>
      </w:r>
      <w:r>
        <w:rPr>
          <w:rFonts w:hint="eastAsia"/>
          <w:sz w:val="24"/>
          <w:szCs w:val="24"/>
        </w:rPr>
        <w:t>21</w:t>
      </w:r>
      <w:r>
        <w:rPr>
          <w:sz w:val="24"/>
          <w:szCs w:val="24"/>
        </w:rPr>
        <w:t>年</w:t>
      </w:r>
      <w:r>
        <w:rPr>
          <w:rFonts w:hint="eastAsia"/>
          <w:sz w:val="24"/>
          <w:szCs w:val="24"/>
        </w:rPr>
        <w:t>版</w:t>
      </w:r>
      <w:r>
        <w:rPr>
          <w:sz w:val="24"/>
          <w:szCs w:val="24"/>
        </w:rPr>
        <w:t>》（部令第</w:t>
      </w:r>
      <w:r>
        <w:rPr>
          <w:sz w:val="24"/>
          <w:szCs w:val="24"/>
        </w:rPr>
        <w:t>1</w:t>
      </w:r>
      <w:r>
        <w:rPr>
          <w:rFonts w:hint="eastAsia"/>
          <w:sz w:val="24"/>
          <w:szCs w:val="24"/>
        </w:rPr>
        <w:t>6</w:t>
      </w:r>
      <w:r>
        <w:rPr>
          <w:sz w:val="24"/>
          <w:szCs w:val="24"/>
        </w:rPr>
        <w:t>号）中</w:t>
      </w:r>
      <w:r>
        <w:rPr>
          <w:rFonts w:hint="eastAsia"/>
          <w:sz w:val="24"/>
          <w:szCs w:val="24"/>
        </w:rPr>
        <w:t>“</w:t>
      </w:r>
      <w:r>
        <w:rPr>
          <w:rFonts w:hint="eastAsia"/>
          <w:sz w:val="24"/>
          <w:szCs w:val="24"/>
        </w:rPr>
        <w:t>六</w:t>
      </w:r>
      <w:r>
        <w:rPr>
          <w:sz w:val="24"/>
          <w:szCs w:val="24"/>
        </w:rPr>
        <w:t>、黑色金属矿采选业</w:t>
      </w:r>
      <w:r>
        <w:rPr>
          <w:rFonts w:hint="eastAsia"/>
          <w:sz w:val="24"/>
          <w:szCs w:val="24"/>
        </w:rPr>
        <w:t>”</w:t>
      </w:r>
      <w:r>
        <w:rPr>
          <w:sz w:val="24"/>
          <w:szCs w:val="24"/>
        </w:rPr>
        <w:t>，需编制环境影响报告书。</w:t>
      </w:r>
    </w:p>
    <w:p w:rsidR="00DB7CC8" w:rsidRDefault="002B5250">
      <w:pPr>
        <w:widowControl/>
        <w:ind w:firstLine="480"/>
        <w:rPr>
          <w:sz w:val="24"/>
          <w:szCs w:val="24"/>
        </w:rPr>
      </w:pPr>
      <w:r>
        <w:rPr>
          <w:sz w:val="24"/>
          <w:szCs w:val="24"/>
        </w:rPr>
        <w:t>遵化市鑫伟铁选厂</w:t>
      </w:r>
      <w:r>
        <w:rPr>
          <w:rFonts w:hint="eastAsia"/>
          <w:sz w:val="24"/>
          <w:szCs w:val="24"/>
        </w:rPr>
        <w:t>于</w:t>
      </w:r>
      <w:r>
        <w:rPr>
          <w:rFonts w:hint="eastAsia"/>
          <w:sz w:val="24"/>
          <w:szCs w:val="24"/>
        </w:rPr>
        <w:t>20</w:t>
      </w:r>
      <w:r>
        <w:rPr>
          <w:rFonts w:hint="eastAsia"/>
          <w:sz w:val="24"/>
          <w:szCs w:val="24"/>
        </w:rPr>
        <w:t>23</w:t>
      </w:r>
      <w:r>
        <w:rPr>
          <w:rFonts w:hint="eastAsia"/>
          <w:sz w:val="24"/>
          <w:szCs w:val="24"/>
        </w:rPr>
        <w:t>年</w:t>
      </w:r>
      <w:r>
        <w:rPr>
          <w:rFonts w:hint="eastAsia"/>
          <w:sz w:val="24"/>
          <w:szCs w:val="24"/>
        </w:rPr>
        <w:t>4</w:t>
      </w:r>
      <w:r>
        <w:rPr>
          <w:rFonts w:hint="eastAsia"/>
          <w:sz w:val="24"/>
          <w:szCs w:val="24"/>
        </w:rPr>
        <w:t>月委托</w:t>
      </w:r>
      <w:r>
        <w:rPr>
          <w:rFonts w:hint="eastAsia"/>
          <w:sz w:val="24"/>
          <w:szCs w:val="24"/>
        </w:rPr>
        <w:t>我</w:t>
      </w:r>
      <w:r>
        <w:rPr>
          <w:rFonts w:hint="eastAsia"/>
          <w:sz w:val="24"/>
          <w:szCs w:val="24"/>
        </w:rPr>
        <w:t>公司承担该项目的环境影响评价工作。接</w:t>
      </w:r>
      <w:r>
        <w:rPr>
          <w:sz w:val="24"/>
          <w:szCs w:val="24"/>
        </w:rPr>
        <w:t>受委托后，评价单位组织技术人员认真研究本项目的有关材料，并进行实地踏勘和调研，收集和核实有关资料</w:t>
      </w:r>
      <w:r>
        <w:rPr>
          <w:rFonts w:hint="eastAsia"/>
          <w:sz w:val="24"/>
          <w:szCs w:val="24"/>
        </w:rPr>
        <w:t>，</w:t>
      </w:r>
      <w:r>
        <w:rPr>
          <w:rFonts w:hint="eastAsia"/>
          <w:sz w:val="24"/>
          <w:szCs w:val="24"/>
        </w:rPr>
        <w:t>并按照导则要求委托有资质单位进行环境质量</w:t>
      </w:r>
      <w:r>
        <w:rPr>
          <w:rFonts w:hint="eastAsia"/>
          <w:sz w:val="24"/>
          <w:szCs w:val="24"/>
        </w:rPr>
        <w:t>现状监测，并按照《环境影响评价公众参与办法》（生态环境部令第</w:t>
      </w:r>
      <w:r>
        <w:rPr>
          <w:rFonts w:hint="eastAsia"/>
          <w:sz w:val="24"/>
          <w:szCs w:val="24"/>
        </w:rPr>
        <w:t>4</w:t>
      </w:r>
      <w:r>
        <w:rPr>
          <w:rFonts w:hint="eastAsia"/>
          <w:sz w:val="24"/>
          <w:szCs w:val="24"/>
        </w:rPr>
        <w:t>号）的相关规定进行了公众参与工作。根据有关工程资料及现状监测报告，在进行现场调查</w:t>
      </w:r>
      <w:r>
        <w:rPr>
          <w:rFonts w:hint="eastAsia"/>
          <w:sz w:val="24"/>
          <w:szCs w:val="24"/>
        </w:rPr>
        <w:t>、预测计算分析等工作的基础上，我公司按照《环境影响评价技术导则》的有关规定，于</w:t>
      </w:r>
      <w:r>
        <w:rPr>
          <w:rFonts w:hint="eastAsia"/>
          <w:sz w:val="24"/>
          <w:szCs w:val="24"/>
        </w:rPr>
        <w:t>20</w:t>
      </w:r>
      <w:r>
        <w:rPr>
          <w:rFonts w:hint="eastAsia"/>
          <w:sz w:val="24"/>
          <w:szCs w:val="24"/>
        </w:rPr>
        <w:t>23</w:t>
      </w:r>
      <w:r>
        <w:rPr>
          <w:rFonts w:hint="eastAsia"/>
          <w:sz w:val="24"/>
          <w:szCs w:val="24"/>
        </w:rPr>
        <w:t>年</w:t>
      </w:r>
      <w:r>
        <w:rPr>
          <w:rFonts w:hint="eastAsia"/>
          <w:sz w:val="24"/>
          <w:szCs w:val="24"/>
        </w:rPr>
        <w:t>6</w:t>
      </w:r>
      <w:r>
        <w:rPr>
          <w:rFonts w:hint="eastAsia"/>
          <w:sz w:val="24"/>
          <w:szCs w:val="24"/>
        </w:rPr>
        <w:t>月完成本项目的环境影响报告书（报审版）的编制，呈报</w:t>
      </w:r>
      <w:r>
        <w:rPr>
          <w:rFonts w:hint="eastAsia"/>
          <w:sz w:val="24"/>
          <w:szCs w:val="24"/>
        </w:rPr>
        <w:t>遵化市行政审批</w:t>
      </w:r>
      <w:r>
        <w:rPr>
          <w:rFonts w:hint="eastAsia"/>
          <w:sz w:val="24"/>
          <w:szCs w:val="24"/>
        </w:rPr>
        <w:t>局审批。</w:t>
      </w:r>
    </w:p>
    <w:p w:rsidR="00DB7CC8" w:rsidRDefault="002B5250">
      <w:pPr>
        <w:pStyle w:val="2"/>
        <w:keepLines w:val="0"/>
        <w:widowControl/>
        <w:numPr>
          <w:ilvl w:val="1"/>
          <w:numId w:val="2"/>
        </w:numPr>
        <w:tabs>
          <w:tab w:val="left" w:pos="482"/>
        </w:tabs>
        <w:spacing w:before="0" w:after="0" w:line="360" w:lineRule="auto"/>
        <w:ind w:left="567"/>
        <w:rPr>
          <w:rFonts w:ascii="Times New Roman" w:eastAsia="宋体" w:hAnsi="Times New Roman"/>
          <w:bCs w:val="0"/>
          <w:snapToGrid w:val="0"/>
          <w:kern w:val="0"/>
          <w:sz w:val="28"/>
          <w:szCs w:val="28"/>
        </w:rPr>
      </w:pPr>
      <w:bookmarkStart w:id="26" w:name="_Toc17725"/>
      <w:bookmarkStart w:id="27" w:name="_Toc10755"/>
      <w:bookmarkStart w:id="28" w:name="_Toc521591666"/>
      <w:bookmarkStart w:id="29" w:name="_Toc524284655"/>
      <w:bookmarkStart w:id="30" w:name="_Toc20001"/>
      <w:bookmarkStart w:id="31" w:name="_Toc11884"/>
      <w:r>
        <w:rPr>
          <w:rFonts w:ascii="Times New Roman" w:eastAsia="宋体" w:hAnsi="Times New Roman"/>
          <w:bCs w:val="0"/>
          <w:snapToGrid w:val="0"/>
          <w:kern w:val="0"/>
          <w:sz w:val="28"/>
          <w:szCs w:val="28"/>
        </w:rPr>
        <w:t>分析判定相关情况</w:t>
      </w:r>
      <w:bookmarkEnd w:id="26"/>
    </w:p>
    <w:p w:rsidR="00DB7CC8" w:rsidRDefault="002B5250">
      <w:pPr>
        <w:pStyle w:val="3"/>
        <w:numPr>
          <w:ilvl w:val="255"/>
          <w:numId w:val="0"/>
        </w:numPr>
        <w:rPr>
          <w:szCs w:val="28"/>
        </w:rPr>
      </w:pPr>
      <w:r>
        <w:rPr>
          <w:rFonts w:hint="eastAsia"/>
          <w:szCs w:val="28"/>
        </w:rPr>
        <w:t>1.3.1</w:t>
      </w:r>
      <w:r>
        <w:rPr>
          <w:rFonts w:hint="eastAsia"/>
          <w:szCs w:val="28"/>
        </w:rPr>
        <w:t>产业政策符合性</w:t>
      </w:r>
    </w:p>
    <w:p w:rsidR="00DB7CC8" w:rsidRDefault="002B5250">
      <w:pPr>
        <w:ind w:firstLine="480"/>
        <w:jc w:val="both"/>
        <w:rPr>
          <w:sz w:val="24"/>
          <w:szCs w:val="24"/>
        </w:rPr>
      </w:pPr>
      <w:r>
        <w:rPr>
          <w:rFonts w:hint="eastAsia"/>
          <w:sz w:val="24"/>
          <w:szCs w:val="24"/>
        </w:rPr>
        <w:t>根据《产业结构调整指导目录</w:t>
      </w:r>
      <w:r>
        <w:rPr>
          <w:rFonts w:hint="eastAsia"/>
          <w:sz w:val="24"/>
          <w:szCs w:val="24"/>
        </w:rPr>
        <w:t>(201</w:t>
      </w:r>
      <w:r>
        <w:rPr>
          <w:rFonts w:hint="eastAsia"/>
          <w:sz w:val="24"/>
          <w:szCs w:val="24"/>
        </w:rPr>
        <w:t>9</w:t>
      </w:r>
      <w:r>
        <w:rPr>
          <w:rFonts w:hint="eastAsia"/>
          <w:sz w:val="24"/>
          <w:szCs w:val="24"/>
        </w:rPr>
        <w:t>年本</w:t>
      </w:r>
      <w:r>
        <w:rPr>
          <w:rFonts w:hint="eastAsia"/>
          <w:sz w:val="24"/>
          <w:szCs w:val="24"/>
        </w:rPr>
        <w:t>)</w:t>
      </w:r>
      <w:r>
        <w:rPr>
          <w:rFonts w:hint="eastAsia"/>
          <w:sz w:val="24"/>
          <w:szCs w:val="24"/>
        </w:rPr>
        <w:t>》</w:t>
      </w:r>
      <w:r>
        <w:rPr>
          <w:rFonts w:hint="eastAsia"/>
          <w:sz w:val="24"/>
          <w:szCs w:val="24"/>
        </w:rPr>
        <w:t>(</w:t>
      </w:r>
      <w:r>
        <w:rPr>
          <w:rFonts w:hint="eastAsia"/>
          <w:sz w:val="24"/>
          <w:szCs w:val="24"/>
        </w:rPr>
        <w:t>国家发展改革委令第</w:t>
      </w:r>
      <w:r>
        <w:rPr>
          <w:rFonts w:hint="eastAsia"/>
          <w:sz w:val="24"/>
          <w:szCs w:val="24"/>
        </w:rPr>
        <w:t>2</w:t>
      </w:r>
      <w:r>
        <w:rPr>
          <w:rFonts w:hint="eastAsia"/>
          <w:sz w:val="24"/>
          <w:szCs w:val="24"/>
        </w:rPr>
        <w:t>9</w:t>
      </w:r>
      <w:r>
        <w:rPr>
          <w:rFonts w:hint="eastAsia"/>
          <w:sz w:val="24"/>
          <w:szCs w:val="24"/>
        </w:rPr>
        <w:t>号</w:t>
      </w:r>
      <w:r>
        <w:rPr>
          <w:rFonts w:hint="eastAsia"/>
          <w:sz w:val="24"/>
          <w:szCs w:val="24"/>
        </w:rPr>
        <w:t>)</w:t>
      </w:r>
      <w:r>
        <w:rPr>
          <w:rFonts w:hint="eastAsia"/>
          <w:sz w:val="24"/>
          <w:szCs w:val="24"/>
        </w:rPr>
        <w:t>，本项目不属于淘汰、限制类项目。同时，本项目亦不属于《河北省新增限制和淘汰类产业目录》</w:t>
      </w:r>
      <w:r>
        <w:rPr>
          <w:rFonts w:hint="eastAsia"/>
          <w:sz w:val="24"/>
          <w:szCs w:val="24"/>
        </w:rPr>
        <w:t>(2015</w:t>
      </w:r>
      <w:r>
        <w:rPr>
          <w:rFonts w:hint="eastAsia"/>
          <w:sz w:val="24"/>
          <w:szCs w:val="24"/>
        </w:rPr>
        <w:t>年版</w:t>
      </w:r>
      <w:r>
        <w:rPr>
          <w:rFonts w:hint="eastAsia"/>
          <w:sz w:val="24"/>
          <w:szCs w:val="24"/>
        </w:rPr>
        <w:t>)</w:t>
      </w:r>
      <w:r>
        <w:rPr>
          <w:rFonts w:hint="eastAsia"/>
          <w:sz w:val="24"/>
          <w:szCs w:val="24"/>
        </w:rPr>
        <w:t>（冀政办发［</w:t>
      </w:r>
      <w:r>
        <w:rPr>
          <w:rFonts w:hint="eastAsia"/>
          <w:sz w:val="24"/>
          <w:szCs w:val="24"/>
        </w:rPr>
        <w:t>2015</w:t>
      </w:r>
      <w:r>
        <w:rPr>
          <w:rFonts w:hint="eastAsia"/>
          <w:sz w:val="24"/>
          <w:szCs w:val="24"/>
        </w:rPr>
        <w:t>］</w:t>
      </w:r>
      <w:r>
        <w:rPr>
          <w:rFonts w:hint="eastAsia"/>
          <w:sz w:val="24"/>
          <w:szCs w:val="24"/>
        </w:rPr>
        <w:t>57</w:t>
      </w:r>
      <w:r>
        <w:rPr>
          <w:rFonts w:hint="eastAsia"/>
          <w:sz w:val="24"/>
          <w:szCs w:val="24"/>
        </w:rPr>
        <w:t>号）中新增限制和淘汰类产业项目。河北省发展和改革委员会出具了项目备案信息（</w:t>
      </w:r>
      <w:r>
        <w:rPr>
          <w:sz w:val="24"/>
          <w:szCs w:val="24"/>
        </w:rPr>
        <w:t>冀发改</w:t>
      </w:r>
      <w:r>
        <w:rPr>
          <w:rFonts w:hint="eastAsia"/>
          <w:sz w:val="24"/>
          <w:szCs w:val="24"/>
        </w:rPr>
        <w:t>政务</w:t>
      </w:r>
      <w:r>
        <w:rPr>
          <w:sz w:val="24"/>
          <w:szCs w:val="24"/>
        </w:rPr>
        <w:t>备字</w:t>
      </w:r>
      <w:r>
        <w:rPr>
          <w:sz w:val="24"/>
          <w:szCs w:val="24"/>
        </w:rPr>
        <w:t>[20</w:t>
      </w:r>
      <w:r>
        <w:rPr>
          <w:rFonts w:hint="eastAsia"/>
          <w:sz w:val="24"/>
          <w:szCs w:val="24"/>
        </w:rPr>
        <w:t>23</w:t>
      </w:r>
      <w:r>
        <w:rPr>
          <w:sz w:val="24"/>
          <w:szCs w:val="24"/>
        </w:rPr>
        <w:t>]</w:t>
      </w:r>
      <w:r>
        <w:rPr>
          <w:rFonts w:hint="eastAsia"/>
          <w:sz w:val="24"/>
          <w:szCs w:val="24"/>
        </w:rPr>
        <w:t>28</w:t>
      </w:r>
      <w:r>
        <w:rPr>
          <w:sz w:val="24"/>
          <w:szCs w:val="24"/>
        </w:rPr>
        <w:lastRenderedPageBreak/>
        <w:t>号</w:t>
      </w:r>
      <w:r>
        <w:rPr>
          <w:rFonts w:hint="eastAsia"/>
          <w:sz w:val="24"/>
          <w:szCs w:val="24"/>
        </w:rPr>
        <w:t>），因此，本项目符合国家产业政策要求。</w:t>
      </w:r>
    </w:p>
    <w:p w:rsidR="00DB7CC8" w:rsidRDefault="002B5250">
      <w:pPr>
        <w:pStyle w:val="3"/>
        <w:rPr>
          <w:sz w:val="24"/>
          <w:szCs w:val="24"/>
        </w:rPr>
      </w:pPr>
      <w:bookmarkStart w:id="32" w:name="_Hlk18933277"/>
      <w:r>
        <w:rPr>
          <w:rFonts w:hint="eastAsia"/>
          <w:szCs w:val="28"/>
        </w:rPr>
        <w:t>1.3.2</w:t>
      </w:r>
      <w:r>
        <w:rPr>
          <w:rFonts w:hint="eastAsia"/>
          <w:szCs w:val="28"/>
        </w:rPr>
        <w:t>选址合理性</w:t>
      </w:r>
      <w:bookmarkEnd w:id="32"/>
    </w:p>
    <w:p w:rsidR="00DB7CC8" w:rsidRDefault="002B5250">
      <w:pPr>
        <w:snapToGrid w:val="0"/>
        <w:ind w:firstLine="480"/>
        <w:jc w:val="both"/>
        <w:rPr>
          <w:sz w:val="24"/>
          <w:szCs w:val="24"/>
        </w:rPr>
      </w:pPr>
      <w:r>
        <w:rPr>
          <w:rFonts w:hint="eastAsia"/>
          <w:sz w:val="24"/>
          <w:szCs w:val="24"/>
        </w:rPr>
        <w:t>本项目</w:t>
      </w:r>
      <w:r>
        <w:rPr>
          <w:rFonts w:hint="eastAsia"/>
          <w:sz w:val="24"/>
          <w:szCs w:val="24"/>
        </w:rPr>
        <w:t>位于</w:t>
      </w:r>
      <w:r>
        <w:rPr>
          <w:sz w:val="24"/>
          <w:szCs w:val="24"/>
        </w:rPr>
        <w:t>遵化市建明镇靠山庄村</w:t>
      </w:r>
      <w:r>
        <w:rPr>
          <w:bCs/>
          <w:sz w:val="24"/>
          <w:szCs w:val="24"/>
        </w:rPr>
        <w:t>遵化市鑫伟铁选厂</w:t>
      </w:r>
      <w:r>
        <w:rPr>
          <w:rFonts w:hint="eastAsia"/>
          <w:bCs/>
          <w:sz w:val="24"/>
          <w:szCs w:val="24"/>
        </w:rPr>
        <w:t>现有厂区内，</w:t>
      </w:r>
      <w:r>
        <w:rPr>
          <w:rFonts w:hint="eastAsia"/>
          <w:sz w:val="24"/>
          <w:szCs w:val="24"/>
        </w:rPr>
        <w:t>评价范围内未涉及珍稀动植物、自然保护区等环境敏感区。根据遵化市住房和城乡规划建设局用地性质说明，本项目用地性质为</w:t>
      </w:r>
      <w:r>
        <w:rPr>
          <w:rFonts w:hint="eastAsia"/>
          <w:sz w:val="24"/>
          <w:szCs w:val="24"/>
        </w:rPr>
        <w:t>建设</w:t>
      </w:r>
      <w:r>
        <w:rPr>
          <w:rFonts w:hint="eastAsia"/>
          <w:sz w:val="24"/>
          <w:szCs w:val="24"/>
        </w:rPr>
        <w:t>用地，符合城乡规划要求。本项目选址符合规划要求。</w:t>
      </w:r>
    </w:p>
    <w:p w:rsidR="00DB7CC8" w:rsidRDefault="002B5250">
      <w:pPr>
        <w:snapToGrid w:val="0"/>
        <w:ind w:firstLine="480"/>
        <w:jc w:val="both"/>
        <w:rPr>
          <w:sz w:val="24"/>
          <w:szCs w:val="24"/>
        </w:rPr>
      </w:pPr>
      <w:r>
        <w:rPr>
          <w:rFonts w:hint="eastAsia"/>
          <w:sz w:val="24"/>
          <w:szCs w:val="24"/>
        </w:rPr>
        <w:t>本项目厂址所在区域为《环境空气质量标准》（</w:t>
      </w:r>
      <w:r>
        <w:rPr>
          <w:rFonts w:hint="eastAsia"/>
          <w:sz w:val="24"/>
          <w:szCs w:val="24"/>
        </w:rPr>
        <w:t>GB3095-2012</w:t>
      </w:r>
      <w:r>
        <w:rPr>
          <w:rFonts w:hint="eastAsia"/>
          <w:sz w:val="24"/>
          <w:szCs w:val="24"/>
        </w:rPr>
        <w:t>）二类区，《声环境质量标准》（</w:t>
      </w:r>
      <w:r>
        <w:rPr>
          <w:rFonts w:hint="eastAsia"/>
          <w:sz w:val="24"/>
          <w:szCs w:val="24"/>
        </w:rPr>
        <w:t>GB3096-2008</w:t>
      </w:r>
      <w:r>
        <w:rPr>
          <w:rFonts w:hint="eastAsia"/>
          <w:sz w:val="24"/>
          <w:szCs w:val="24"/>
        </w:rPr>
        <w:t>）</w:t>
      </w:r>
      <w:r>
        <w:rPr>
          <w:rFonts w:hint="eastAsia"/>
          <w:sz w:val="24"/>
          <w:szCs w:val="24"/>
        </w:rPr>
        <w:t>2</w:t>
      </w:r>
      <w:r>
        <w:rPr>
          <w:rFonts w:hint="eastAsia"/>
          <w:sz w:val="24"/>
          <w:szCs w:val="24"/>
        </w:rPr>
        <w:t>类功能区，符合环境质量功能区划的要求。</w:t>
      </w:r>
    </w:p>
    <w:p w:rsidR="00DB7CC8" w:rsidRDefault="002B5250">
      <w:pPr>
        <w:snapToGrid w:val="0"/>
        <w:ind w:firstLine="480"/>
        <w:jc w:val="both"/>
        <w:rPr>
          <w:sz w:val="24"/>
          <w:szCs w:val="24"/>
        </w:rPr>
      </w:pPr>
      <w:r>
        <w:rPr>
          <w:rFonts w:hint="eastAsia"/>
          <w:sz w:val="24"/>
          <w:szCs w:val="24"/>
        </w:rPr>
        <w:t>从厂址周围环境来看，四周距离较近的居民点为：距本项目主厂房最近的居民敏感点为</w:t>
      </w:r>
      <w:r>
        <w:rPr>
          <w:bCs/>
          <w:sz w:val="24"/>
        </w:rPr>
        <w:t>北侧</w:t>
      </w:r>
      <w:r>
        <w:rPr>
          <w:bCs/>
          <w:sz w:val="24"/>
        </w:rPr>
        <w:t>330m</w:t>
      </w:r>
      <w:r>
        <w:rPr>
          <w:bCs/>
          <w:sz w:val="24"/>
        </w:rPr>
        <w:t>处的靠山庄村</w:t>
      </w:r>
      <w:r>
        <w:rPr>
          <w:rFonts w:hint="eastAsia"/>
          <w:sz w:val="24"/>
          <w:szCs w:val="24"/>
        </w:rPr>
        <w:t>。经调查评价范围内无文物、景观和自然保护区等环境保护目标。根据项目情况及计算，本项目无</w:t>
      </w:r>
      <w:r>
        <w:rPr>
          <w:rFonts w:hint="eastAsia"/>
          <w:sz w:val="24"/>
          <w:szCs w:val="24"/>
        </w:rPr>
        <w:t>需</w:t>
      </w:r>
      <w:r>
        <w:rPr>
          <w:rFonts w:hint="eastAsia"/>
          <w:sz w:val="24"/>
          <w:szCs w:val="24"/>
        </w:rPr>
        <w:t>计算大气环境防护距离。</w:t>
      </w:r>
    </w:p>
    <w:p w:rsidR="00DB7CC8" w:rsidRDefault="002B5250">
      <w:pPr>
        <w:snapToGrid w:val="0"/>
        <w:ind w:firstLine="480"/>
        <w:jc w:val="both"/>
        <w:rPr>
          <w:sz w:val="24"/>
          <w:szCs w:val="24"/>
        </w:rPr>
      </w:pPr>
      <w:r>
        <w:rPr>
          <w:rFonts w:hint="eastAsia"/>
          <w:sz w:val="24"/>
          <w:szCs w:val="24"/>
        </w:rPr>
        <w:t>因此，从环境敏感性分析，项目选址合理。</w:t>
      </w:r>
    </w:p>
    <w:p w:rsidR="00DB7CC8" w:rsidRDefault="002B5250">
      <w:pPr>
        <w:pStyle w:val="3"/>
        <w:numPr>
          <w:ilvl w:val="255"/>
          <w:numId w:val="0"/>
        </w:numPr>
        <w:rPr>
          <w:szCs w:val="28"/>
        </w:rPr>
      </w:pPr>
      <w:r>
        <w:rPr>
          <w:rFonts w:hint="eastAsia"/>
          <w:szCs w:val="28"/>
        </w:rPr>
        <w:t>1.3.3</w:t>
      </w:r>
      <w:r>
        <w:rPr>
          <w:szCs w:val="28"/>
        </w:rPr>
        <w:t>与</w:t>
      </w:r>
      <w:r>
        <w:rPr>
          <w:szCs w:val="28"/>
        </w:rPr>
        <w:t>“</w:t>
      </w:r>
      <w:r>
        <w:rPr>
          <w:szCs w:val="28"/>
        </w:rPr>
        <w:t>三线一单</w:t>
      </w:r>
      <w:r>
        <w:rPr>
          <w:szCs w:val="28"/>
        </w:rPr>
        <w:t>”</w:t>
      </w:r>
      <w:r>
        <w:rPr>
          <w:szCs w:val="28"/>
        </w:rPr>
        <w:t>符合性</w:t>
      </w:r>
    </w:p>
    <w:p w:rsidR="00DB7CC8" w:rsidRDefault="002B5250">
      <w:pPr>
        <w:snapToGrid w:val="0"/>
        <w:ind w:firstLine="480"/>
        <w:jc w:val="both"/>
        <w:rPr>
          <w:sz w:val="24"/>
          <w:szCs w:val="24"/>
        </w:rPr>
      </w:pPr>
      <w:r>
        <w:rPr>
          <w:rFonts w:hint="eastAsia"/>
          <w:sz w:val="24"/>
          <w:szCs w:val="24"/>
        </w:rPr>
        <w:t>根据《关于以改善环境质量为核心加强环境影响评价管理的通知》（环环评</w:t>
      </w:r>
      <w:r>
        <w:rPr>
          <w:rFonts w:hint="eastAsia"/>
          <w:sz w:val="24"/>
          <w:szCs w:val="24"/>
        </w:rPr>
        <w:t>[2016]150</w:t>
      </w:r>
      <w:r>
        <w:rPr>
          <w:rFonts w:hint="eastAsia"/>
          <w:sz w:val="24"/>
          <w:szCs w:val="24"/>
        </w:rPr>
        <w:t>号），要求以生态保护红线、环境质量底线、资源利用上线和环境准入负面清单（以下简称“三线一单”）为手段，强化空间、总量和准入环境管理。本项目建设与上述要求的符合性分析如下：</w:t>
      </w:r>
    </w:p>
    <w:p w:rsidR="00DB7CC8" w:rsidRDefault="002B5250">
      <w:pPr>
        <w:snapToGrid w:val="0"/>
        <w:ind w:firstLine="480"/>
        <w:jc w:val="both"/>
        <w:rPr>
          <w:sz w:val="24"/>
          <w:szCs w:val="24"/>
        </w:rPr>
      </w:pPr>
      <w:r>
        <w:rPr>
          <w:rFonts w:hint="eastAsia"/>
          <w:sz w:val="24"/>
          <w:szCs w:val="24"/>
        </w:rPr>
        <w:t>（</w:t>
      </w:r>
      <w:r>
        <w:rPr>
          <w:rFonts w:hint="eastAsia"/>
          <w:sz w:val="24"/>
          <w:szCs w:val="24"/>
        </w:rPr>
        <w:t>1</w:t>
      </w:r>
      <w:r>
        <w:rPr>
          <w:rFonts w:hint="eastAsia"/>
          <w:sz w:val="24"/>
          <w:szCs w:val="24"/>
        </w:rPr>
        <w:t>）生态保护红线</w:t>
      </w:r>
    </w:p>
    <w:p w:rsidR="00DB7CC8" w:rsidRDefault="002B5250">
      <w:pPr>
        <w:ind w:firstLine="480"/>
        <w:jc w:val="both"/>
        <w:rPr>
          <w:sz w:val="24"/>
          <w:szCs w:val="24"/>
        </w:rPr>
      </w:pPr>
      <w:r>
        <w:rPr>
          <w:rFonts w:hint="eastAsia"/>
          <w:sz w:val="24"/>
          <w:szCs w:val="24"/>
        </w:rPr>
        <w:t>根据《河北省生态保护红线》，全省生态保护红线类型分为重点生态功能区红线、生态环境敏感脆弱区红线、禁止开发区（各类保护地）红线三大类。</w:t>
      </w:r>
      <w:r>
        <w:rPr>
          <w:rFonts w:hint="eastAsia"/>
          <w:sz w:val="24"/>
        </w:rPr>
        <w:t>本项目不涉及生态保护红线区。</w:t>
      </w:r>
    </w:p>
    <w:p w:rsidR="00DB7CC8" w:rsidRDefault="002B5250">
      <w:pPr>
        <w:snapToGrid w:val="0"/>
        <w:ind w:firstLine="480"/>
        <w:jc w:val="both"/>
        <w:rPr>
          <w:sz w:val="24"/>
          <w:szCs w:val="24"/>
        </w:rPr>
      </w:pPr>
      <w:r>
        <w:rPr>
          <w:rFonts w:hint="eastAsia"/>
          <w:sz w:val="24"/>
          <w:szCs w:val="24"/>
        </w:rPr>
        <w:t>（</w:t>
      </w:r>
      <w:r>
        <w:rPr>
          <w:rFonts w:hint="eastAsia"/>
          <w:sz w:val="24"/>
          <w:szCs w:val="24"/>
        </w:rPr>
        <w:t>2</w:t>
      </w:r>
      <w:r>
        <w:rPr>
          <w:rFonts w:hint="eastAsia"/>
          <w:sz w:val="24"/>
          <w:szCs w:val="24"/>
        </w:rPr>
        <w:t>）环境质量底线</w:t>
      </w:r>
    </w:p>
    <w:p w:rsidR="00DB7CC8" w:rsidRDefault="002B5250">
      <w:pPr>
        <w:snapToGrid w:val="0"/>
        <w:ind w:firstLine="480"/>
        <w:jc w:val="both"/>
        <w:rPr>
          <w:sz w:val="24"/>
          <w:szCs w:val="24"/>
        </w:rPr>
      </w:pPr>
      <w:bookmarkStart w:id="33" w:name="_Hlk8964049"/>
      <w:r>
        <w:rPr>
          <w:rFonts w:hint="eastAsia"/>
          <w:sz w:val="24"/>
          <w:szCs w:val="24"/>
        </w:rPr>
        <w:t>①</w:t>
      </w:r>
      <w:bookmarkStart w:id="34" w:name="_Hlk9227020"/>
      <w:r>
        <w:rPr>
          <w:rFonts w:hint="eastAsia"/>
          <w:sz w:val="24"/>
          <w:szCs w:val="24"/>
        </w:rPr>
        <w:t>环境空气：</w:t>
      </w:r>
      <w:bookmarkStart w:id="35" w:name="_Hlk15897463"/>
      <w:bookmarkEnd w:id="33"/>
      <w:bookmarkEnd w:id="34"/>
      <w:r>
        <w:rPr>
          <w:sz w:val="24"/>
          <w:szCs w:val="24"/>
        </w:rPr>
        <w:t>项目区域大气环境为二类区，根据环境质量现状</w:t>
      </w:r>
      <w:r>
        <w:rPr>
          <w:sz w:val="24"/>
          <w:szCs w:val="24"/>
        </w:rPr>
        <w:t>监测报告及遵化市环境空气质量数据，</w:t>
      </w:r>
      <w:r>
        <w:rPr>
          <w:sz w:val="24"/>
          <w:szCs w:val="24"/>
        </w:rPr>
        <w:t>SO</w:t>
      </w:r>
      <w:r>
        <w:rPr>
          <w:sz w:val="24"/>
          <w:szCs w:val="24"/>
          <w:vertAlign w:val="subscript"/>
        </w:rPr>
        <w:t>2</w:t>
      </w:r>
      <w:r>
        <w:rPr>
          <w:sz w:val="24"/>
          <w:szCs w:val="24"/>
        </w:rPr>
        <w:t>、</w:t>
      </w:r>
      <w:r>
        <w:rPr>
          <w:sz w:val="24"/>
          <w:szCs w:val="24"/>
        </w:rPr>
        <w:t>NO</w:t>
      </w:r>
      <w:r>
        <w:rPr>
          <w:sz w:val="24"/>
          <w:szCs w:val="24"/>
          <w:vertAlign w:val="subscript"/>
        </w:rPr>
        <w:t>2</w:t>
      </w:r>
      <w:r>
        <w:rPr>
          <w:sz w:val="24"/>
          <w:szCs w:val="24"/>
        </w:rPr>
        <w:t>、</w:t>
      </w:r>
      <w:r>
        <w:rPr>
          <w:sz w:val="24"/>
          <w:szCs w:val="24"/>
        </w:rPr>
        <w:t>CO1h</w:t>
      </w:r>
      <w:r>
        <w:rPr>
          <w:sz w:val="24"/>
          <w:szCs w:val="24"/>
        </w:rPr>
        <w:t>浓度及日均浓度满足《环境空气质量标准》（</w:t>
      </w:r>
      <w:r>
        <w:rPr>
          <w:sz w:val="24"/>
          <w:szCs w:val="24"/>
        </w:rPr>
        <w:t>GB3095-2012</w:t>
      </w:r>
      <w:r>
        <w:rPr>
          <w:sz w:val="24"/>
          <w:szCs w:val="24"/>
        </w:rPr>
        <w:t>）二级标准要求。</w:t>
      </w:r>
      <w:r>
        <w:rPr>
          <w:sz w:val="24"/>
          <w:szCs w:val="24"/>
        </w:rPr>
        <w:t>O</w:t>
      </w:r>
      <w:r>
        <w:rPr>
          <w:sz w:val="24"/>
          <w:szCs w:val="24"/>
          <w:vertAlign w:val="subscript"/>
        </w:rPr>
        <w:t>3</w:t>
      </w:r>
      <w:r>
        <w:rPr>
          <w:sz w:val="24"/>
          <w:szCs w:val="24"/>
        </w:rPr>
        <w:t>1h</w:t>
      </w:r>
      <w:r>
        <w:rPr>
          <w:sz w:val="24"/>
          <w:szCs w:val="24"/>
        </w:rPr>
        <w:t>浓度及</w:t>
      </w:r>
      <w:r>
        <w:rPr>
          <w:sz w:val="24"/>
          <w:szCs w:val="24"/>
        </w:rPr>
        <w:t>8h</w:t>
      </w:r>
      <w:r>
        <w:rPr>
          <w:sz w:val="24"/>
          <w:szCs w:val="24"/>
        </w:rPr>
        <w:t>浓度满足《环境空气质量标准》（</w:t>
      </w:r>
      <w:r>
        <w:rPr>
          <w:sz w:val="24"/>
          <w:szCs w:val="24"/>
        </w:rPr>
        <w:t>GB3095-2012</w:t>
      </w:r>
      <w:r>
        <w:rPr>
          <w:sz w:val="24"/>
          <w:szCs w:val="24"/>
        </w:rPr>
        <w:t>）二级标准要求。</w:t>
      </w:r>
      <w:r>
        <w:rPr>
          <w:sz w:val="24"/>
          <w:szCs w:val="24"/>
        </w:rPr>
        <w:t>PM</w:t>
      </w:r>
      <w:r>
        <w:rPr>
          <w:sz w:val="24"/>
          <w:szCs w:val="24"/>
          <w:vertAlign w:val="subscript"/>
        </w:rPr>
        <w:t>2.5</w:t>
      </w:r>
      <w:r>
        <w:rPr>
          <w:sz w:val="24"/>
          <w:szCs w:val="24"/>
        </w:rPr>
        <w:t>日均浓度满足《环境空气质量标准》（</w:t>
      </w:r>
      <w:r>
        <w:rPr>
          <w:sz w:val="24"/>
          <w:szCs w:val="24"/>
        </w:rPr>
        <w:t>GB3095-2012</w:t>
      </w:r>
      <w:r>
        <w:rPr>
          <w:sz w:val="24"/>
          <w:szCs w:val="24"/>
        </w:rPr>
        <w:t>）二级标准要求。</w:t>
      </w:r>
      <w:r>
        <w:rPr>
          <w:sz w:val="24"/>
          <w:szCs w:val="24"/>
        </w:rPr>
        <w:t>PM</w:t>
      </w:r>
      <w:r>
        <w:rPr>
          <w:sz w:val="24"/>
          <w:szCs w:val="24"/>
          <w:vertAlign w:val="subscript"/>
        </w:rPr>
        <w:t>10</w:t>
      </w:r>
      <w:r>
        <w:rPr>
          <w:sz w:val="24"/>
          <w:szCs w:val="24"/>
        </w:rPr>
        <w:t>日均浓度超标。本项目经通过采取相应的治理措施后，废气排放浓度满足《铁矿采选工业污染物排放标准》（</w:t>
      </w:r>
      <w:r>
        <w:rPr>
          <w:sz w:val="24"/>
          <w:szCs w:val="24"/>
        </w:rPr>
        <w:t>GB28661-2012</w:t>
      </w:r>
      <w:r>
        <w:rPr>
          <w:sz w:val="24"/>
          <w:szCs w:val="24"/>
        </w:rPr>
        <w:t>）表</w:t>
      </w:r>
      <w:r>
        <w:rPr>
          <w:sz w:val="24"/>
          <w:szCs w:val="24"/>
        </w:rPr>
        <w:t>6</w:t>
      </w:r>
      <w:r>
        <w:rPr>
          <w:sz w:val="24"/>
          <w:szCs w:val="24"/>
        </w:rPr>
        <w:t>大气污染物特别排放限值要求；厂界无组织颗粒物满足表</w:t>
      </w:r>
      <w:r>
        <w:rPr>
          <w:sz w:val="24"/>
          <w:szCs w:val="24"/>
        </w:rPr>
        <w:t>7</w:t>
      </w:r>
      <w:r>
        <w:rPr>
          <w:sz w:val="24"/>
          <w:szCs w:val="24"/>
        </w:rPr>
        <w:t>大气污染物无组织排放浓</w:t>
      </w:r>
      <w:r>
        <w:rPr>
          <w:sz w:val="24"/>
          <w:szCs w:val="24"/>
        </w:rPr>
        <w:t>度限值。该项目主要污染物</w:t>
      </w:r>
      <w:r>
        <w:rPr>
          <w:sz w:val="24"/>
          <w:szCs w:val="24"/>
        </w:rPr>
        <w:t>—</w:t>
      </w:r>
      <w:r>
        <w:rPr>
          <w:sz w:val="24"/>
          <w:szCs w:val="24"/>
        </w:rPr>
        <w:t>颗粒物污染排放总量</w:t>
      </w:r>
      <w:r>
        <w:rPr>
          <w:sz w:val="24"/>
          <w:szCs w:val="24"/>
        </w:rPr>
        <w:lastRenderedPageBreak/>
        <w:t>需进行区域削减，其削减方案由当地环保管理部门在区域削减的基础上给出，并通过交易获得。该项目为允许类项目，根据</w:t>
      </w:r>
      <w:r>
        <w:rPr>
          <w:rFonts w:hint="eastAsia"/>
          <w:sz w:val="24"/>
          <w:szCs w:val="24"/>
        </w:rPr>
        <w:t>“</w:t>
      </w:r>
      <w:r>
        <w:rPr>
          <w:sz w:val="24"/>
          <w:szCs w:val="24"/>
        </w:rPr>
        <w:t>增一减二</w:t>
      </w:r>
      <w:r>
        <w:rPr>
          <w:rFonts w:hint="eastAsia"/>
          <w:sz w:val="24"/>
          <w:szCs w:val="24"/>
        </w:rPr>
        <w:t>”</w:t>
      </w:r>
      <w:r>
        <w:rPr>
          <w:sz w:val="24"/>
          <w:szCs w:val="24"/>
        </w:rPr>
        <w:t>原则</w:t>
      </w:r>
      <w:r>
        <w:rPr>
          <w:rFonts w:hint="eastAsia"/>
          <w:sz w:val="24"/>
          <w:szCs w:val="24"/>
        </w:rPr>
        <w:t>进行调剂削减</w:t>
      </w:r>
      <w:r>
        <w:rPr>
          <w:sz w:val="24"/>
          <w:szCs w:val="24"/>
        </w:rPr>
        <w:t>。因此，当项目投产后，不会对周边区域大气环境造成明显不利影响。</w:t>
      </w:r>
      <w:bookmarkEnd w:id="35"/>
    </w:p>
    <w:p w:rsidR="00DB7CC8" w:rsidRDefault="002B5250">
      <w:pPr>
        <w:snapToGrid w:val="0"/>
        <w:ind w:firstLine="480"/>
        <w:jc w:val="both"/>
        <w:rPr>
          <w:sz w:val="24"/>
          <w:szCs w:val="24"/>
        </w:rPr>
      </w:pPr>
      <w:r>
        <w:rPr>
          <w:rFonts w:hint="eastAsia"/>
          <w:sz w:val="24"/>
          <w:szCs w:val="24"/>
        </w:rPr>
        <w:t>②水环境：本项目生产废水经处理后循环使用，生活废水泼洒抑尘，洗车废水经沉淀后循环使用。项目生产生活废水不外排，不会对区域地表水环境产生影响。</w:t>
      </w:r>
    </w:p>
    <w:p w:rsidR="00DB7CC8" w:rsidRDefault="002B5250">
      <w:pPr>
        <w:snapToGrid w:val="0"/>
        <w:ind w:firstLine="480"/>
        <w:jc w:val="both"/>
        <w:rPr>
          <w:sz w:val="24"/>
          <w:szCs w:val="24"/>
        </w:rPr>
      </w:pPr>
      <w:r>
        <w:rPr>
          <w:rFonts w:hint="eastAsia"/>
          <w:sz w:val="24"/>
          <w:szCs w:val="24"/>
        </w:rPr>
        <w:t>③声环境：项目所在区域声环境执行《声环境质量标准》（</w:t>
      </w:r>
      <w:r>
        <w:rPr>
          <w:rFonts w:hint="eastAsia"/>
          <w:sz w:val="24"/>
          <w:szCs w:val="24"/>
        </w:rPr>
        <w:t>GB3096-2008</w:t>
      </w:r>
      <w:r>
        <w:rPr>
          <w:rFonts w:hint="eastAsia"/>
          <w:sz w:val="24"/>
          <w:szCs w:val="24"/>
        </w:rPr>
        <w:t>）</w:t>
      </w:r>
      <w:r>
        <w:rPr>
          <w:rFonts w:hint="eastAsia"/>
          <w:sz w:val="24"/>
          <w:szCs w:val="24"/>
        </w:rPr>
        <w:t>2</w:t>
      </w:r>
      <w:r>
        <w:rPr>
          <w:rFonts w:hint="eastAsia"/>
          <w:sz w:val="24"/>
          <w:szCs w:val="24"/>
        </w:rPr>
        <w:t>类标准，根据环境质量现状监测报告，项目所在区域满</w:t>
      </w:r>
      <w:r>
        <w:rPr>
          <w:rFonts w:hint="eastAsia"/>
          <w:sz w:val="24"/>
          <w:szCs w:val="24"/>
        </w:rPr>
        <w:t>足环境质量标准要求。项目主要噪声源优先选用低噪声设备，并置于车间内，设备采用基础减振措施、加装減振器等措施，根据预测结果，厂界噪声贡献值满足《工业企业厂界环境噪声排放标准》</w:t>
      </w:r>
      <w:r>
        <w:rPr>
          <w:rFonts w:hint="eastAsia"/>
          <w:sz w:val="24"/>
          <w:szCs w:val="24"/>
        </w:rPr>
        <w:t>(GB13248-2008)2</w:t>
      </w:r>
      <w:r>
        <w:rPr>
          <w:rFonts w:hint="eastAsia"/>
          <w:sz w:val="24"/>
          <w:szCs w:val="24"/>
        </w:rPr>
        <w:t>类标准要求，不会改变厂界现有功能要求。</w:t>
      </w:r>
    </w:p>
    <w:p w:rsidR="00DB7CC8" w:rsidRDefault="002B5250">
      <w:pPr>
        <w:snapToGrid w:val="0"/>
        <w:ind w:firstLine="480"/>
        <w:jc w:val="both"/>
        <w:rPr>
          <w:sz w:val="24"/>
          <w:szCs w:val="24"/>
        </w:rPr>
      </w:pPr>
      <w:r>
        <w:rPr>
          <w:rFonts w:hint="eastAsia"/>
          <w:sz w:val="24"/>
          <w:szCs w:val="24"/>
        </w:rPr>
        <w:t>（</w:t>
      </w:r>
      <w:r>
        <w:rPr>
          <w:rFonts w:hint="eastAsia"/>
          <w:sz w:val="24"/>
          <w:szCs w:val="24"/>
        </w:rPr>
        <w:t>3</w:t>
      </w:r>
      <w:r>
        <w:rPr>
          <w:rFonts w:hint="eastAsia"/>
          <w:sz w:val="24"/>
          <w:szCs w:val="24"/>
        </w:rPr>
        <w:t>）资源利用上线</w:t>
      </w:r>
    </w:p>
    <w:p w:rsidR="00DB7CC8" w:rsidRDefault="002B5250">
      <w:pPr>
        <w:ind w:firstLine="480"/>
        <w:rPr>
          <w:sz w:val="24"/>
          <w:szCs w:val="24"/>
        </w:rPr>
      </w:pPr>
      <w:r>
        <w:rPr>
          <w:rFonts w:hint="eastAsia"/>
          <w:sz w:val="24"/>
          <w:szCs w:val="24"/>
        </w:rPr>
        <w:t>本项目建设生产过程中，主要利用的资源是铁矿石，水，电能。项目原料铁矿石主要来源于</w:t>
      </w:r>
      <w:r>
        <w:rPr>
          <w:sz w:val="24"/>
          <w:szCs w:val="24"/>
        </w:rPr>
        <w:t>遵化市</w:t>
      </w:r>
      <w:r>
        <w:rPr>
          <w:rFonts w:hint="eastAsia"/>
          <w:sz w:val="24"/>
          <w:szCs w:val="24"/>
        </w:rPr>
        <w:t>本地矿场，原料供应有保障。项目用水为地下水，根据《河北省人民政府关于公布地下水超采区、禁止开采区和限制开采区范围的通知》（冀政字〔</w:t>
      </w:r>
      <w:r>
        <w:rPr>
          <w:rFonts w:hint="eastAsia"/>
          <w:sz w:val="24"/>
          <w:szCs w:val="24"/>
        </w:rPr>
        <w:t>20</w:t>
      </w:r>
      <w:r>
        <w:rPr>
          <w:rFonts w:hint="eastAsia"/>
          <w:sz w:val="24"/>
          <w:szCs w:val="24"/>
        </w:rPr>
        <w:t>22</w:t>
      </w:r>
      <w:r>
        <w:rPr>
          <w:rFonts w:hint="eastAsia"/>
          <w:sz w:val="24"/>
          <w:szCs w:val="24"/>
        </w:rPr>
        <w:t>〕</w:t>
      </w:r>
      <w:r>
        <w:rPr>
          <w:rFonts w:hint="eastAsia"/>
          <w:sz w:val="24"/>
          <w:szCs w:val="24"/>
        </w:rPr>
        <w:t>59</w:t>
      </w:r>
      <w:r>
        <w:rPr>
          <w:rFonts w:hint="eastAsia"/>
          <w:sz w:val="24"/>
          <w:szCs w:val="24"/>
        </w:rPr>
        <w:t>号），项目所在地不属</w:t>
      </w:r>
      <w:r>
        <w:rPr>
          <w:rFonts w:hint="eastAsia"/>
          <w:sz w:val="24"/>
          <w:szCs w:val="24"/>
        </w:rPr>
        <w:t>于超采、禁采和限采范围内，项目所在区地下水资源丰富，水资源供应有保障。项目供电由当地变电站供电，</w:t>
      </w:r>
      <w:r>
        <w:rPr>
          <w:sz w:val="24"/>
          <w:szCs w:val="24"/>
        </w:rPr>
        <w:t>项目设置配电室</w:t>
      </w:r>
      <w:r>
        <w:rPr>
          <w:sz w:val="24"/>
          <w:szCs w:val="24"/>
        </w:rPr>
        <w:t>1</w:t>
      </w:r>
      <w:r>
        <w:rPr>
          <w:sz w:val="24"/>
          <w:szCs w:val="24"/>
        </w:rPr>
        <w:t>座，变压器</w:t>
      </w:r>
      <w:r>
        <w:rPr>
          <w:sz w:val="24"/>
          <w:szCs w:val="24"/>
        </w:rPr>
        <w:t>2</w:t>
      </w:r>
      <w:r>
        <w:rPr>
          <w:sz w:val="24"/>
          <w:szCs w:val="24"/>
        </w:rPr>
        <w:t>台，给破碎</w:t>
      </w:r>
      <w:r>
        <w:rPr>
          <w:rFonts w:hint="eastAsia"/>
          <w:sz w:val="24"/>
          <w:szCs w:val="24"/>
        </w:rPr>
        <w:t>生产线</w:t>
      </w:r>
      <w:r>
        <w:rPr>
          <w:sz w:val="24"/>
          <w:szCs w:val="24"/>
        </w:rPr>
        <w:t>、球磨车间及公辅设施设备等放射式供电，</w:t>
      </w:r>
      <w:r>
        <w:rPr>
          <w:sz w:val="24"/>
          <w:szCs w:val="24"/>
        </w:rPr>
        <w:t>10kV</w:t>
      </w:r>
      <w:r>
        <w:rPr>
          <w:sz w:val="24"/>
          <w:szCs w:val="24"/>
        </w:rPr>
        <w:t>侧均采用单母线不分段接线方式</w:t>
      </w:r>
      <w:r>
        <w:rPr>
          <w:rFonts w:hint="eastAsia"/>
          <w:sz w:val="24"/>
          <w:szCs w:val="24"/>
        </w:rPr>
        <w:t>，电供应有保障。</w:t>
      </w:r>
    </w:p>
    <w:p w:rsidR="00DB7CC8" w:rsidRDefault="002B5250">
      <w:pPr>
        <w:snapToGrid w:val="0"/>
        <w:ind w:firstLine="480"/>
        <w:jc w:val="both"/>
        <w:rPr>
          <w:sz w:val="24"/>
          <w:szCs w:val="24"/>
        </w:rPr>
      </w:pPr>
      <w:r>
        <w:rPr>
          <w:rFonts w:hint="eastAsia"/>
          <w:sz w:val="24"/>
          <w:szCs w:val="24"/>
        </w:rPr>
        <w:t>（</w:t>
      </w:r>
      <w:r>
        <w:rPr>
          <w:rFonts w:hint="eastAsia"/>
          <w:sz w:val="24"/>
          <w:szCs w:val="24"/>
        </w:rPr>
        <w:t>4</w:t>
      </w:r>
      <w:r>
        <w:rPr>
          <w:rFonts w:hint="eastAsia"/>
          <w:sz w:val="24"/>
          <w:szCs w:val="24"/>
        </w:rPr>
        <w:t>）环境准入负面清单</w:t>
      </w:r>
    </w:p>
    <w:p w:rsidR="00DB7CC8" w:rsidRDefault="002B5250">
      <w:pPr>
        <w:ind w:firstLine="480"/>
        <w:jc w:val="both"/>
        <w:rPr>
          <w:sz w:val="24"/>
          <w:szCs w:val="24"/>
          <w:lang w:val="zh-CN"/>
        </w:rPr>
      </w:pPr>
      <w:r>
        <w:rPr>
          <w:rFonts w:hint="eastAsia"/>
          <w:sz w:val="24"/>
          <w:szCs w:val="24"/>
          <w:lang w:val="zh-CN"/>
        </w:rPr>
        <w:t>本项目生产规模为年处理</w:t>
      </w:r>
      <w:r>
        <w:rPr>
          <w:rFonts w:hint="eastAsia"/>
          <w:sz w:val="24"/>
          <w:szCs w:val="24"/>
        </w:rPr>
        <w:t>110</w:t>
      </w:r>
      <w:r>
        <w:rPr>
          <w:rFonts w:hint="eastAsia"/>
          <w:sz w:val="24"/>
          <w:szCs w:val="24"/>
          <w:lang w:val="zh-CN"/>
        </w:rPr>
        <w:t>万吨铁矿石、</w:t>
      </w:r>
      <w:r>
        <w:rPr>
          <w:rFonts w:hint="eastAsia"/>
          <w:sz w:val="24"/>
          <w:szCs w:val="24"/>
        </w:rPr>
        <w:t>40</w:t>
      </w:r>
      <w:r>
        <w:rPr>
          <w:rFonts w:hint="eastAsia"/>
          <w:sz w:val="24"/>
          <w:szCs w:val="24"/>
        </w:rPr>
        <w:t>万吨粗精矿</w:t>
      </w:r>
      <w:r>
        <w:rPr>
          <w:rFonts w:hint="eastAsia"/>
          <w:sz w:val="24"/>
          <w:szCs w:val="24"/>
          <w:lang w:val="zh-CN"/>
        </w:rPr>
        <w:t>，不属于《产业结构调整指导目录（</w:t>
      </w:r>
      <w:r>
        <w:rPr>
          <w:rFonts w:hint="eastAsia"/>
          <w:sz w:val="24"/>
          <w:szCs w:val="24"/>
          <w:lang w:val="zh-CN"/>
        </w:rPr>
        <w:t>201</w:t>
      </w:r>
      <w:r>
        <w:rPr>
          <w:rFonts w:hint="eastAsia"/>
          <w:sz w:val="24"/>
          <w:szCs w:val="24"/>
        </w:rPr>
        <w:t>9</w:t>
      </w:r>
      <w:r>
        <w:rPr>
          <w:rFonts w:hint="eastAsia"/>
          <w:sz w:val="24"/>
          <w:szCs w:val="24"/>
          <w:lang w:val="zh-CN"/>
        </w:rPr>
        <w:t>年本）（国家发改委</w:t>
      </w:r>
      <w:r>
        <w:rPr>
          <w:rFonts w:hint="eastAsia"/>
          <w:sz w:val="24"/>
          <w:szCs w:val="24"/>
        </w:rPr>
        <w:t>第</w:t>
      </w:r>
      <w:r>
        <w:rPr>
          <w:rFonts w:hint="eastAsia"/>
          <w:sz w:val="24"/>
          <w:szCs w:val="24"/>
        </w:rPr>
        <w:t>29</w:t>
      </w:r>
      <w:r>
        <w:rPr>
          <w:rFonts w:hint="eastAsia"/>
          <w:sz w:val="24"/>
          <w:szCs w:val="24"/>
          <w:lang w:val="zh-CN"/>
        </w:rPr>
        <w:t>号令）禁止或限制类项目，属于允许建设类项目；亦不属于《河北省人民政府办公厅关于印发河北省新增限制和淘汰类产业目录的通知》（冀政办发</w:t>
      </w:r>
      <w:r>
        <w:rPr>
          <w:rFonts w:hint="eastAsia"/>
          <w:sz w:val="24"/>
          <w:szCs w:val="24"/>
          <w:lang w:val="zh-CN"/>
        </w:rPr>
        <w:t>[2015]7</w:t>
      </w:r>
      <w:r>
        <w:rPr>
          <w:rFonts w:hint="eastAsia"/>
          <w:sz w:val="24"/>
          <w:szCs w:val="24"/>
          <w:lang w:val="zh-CN"/>
        </w:rPr>
        <w:t>号）中所规定的禁止和限制建设的工程。本项目建设方案符合《遵化市铁选矿综合治理工作实施方案》的要求（粗选年处理原矿能力不得低于</w:t>
      </w:r>
      <w:r>
        <w:rPr>
          <w:rFonts w:hint="eastAsia"/>
          <w:sz w:val="24"/>
          <w:szCs w:val="24"/>
          <w:lang w:val="zh-CN"/>
        </w:rPr>
        <w:t>15</w:t>
      </w:r>
      <w:r>
        <w:rPr>
          <w:rFonts w:hint="eastAsia"/>
          <w:sz w:val="24"/>
          <w:szCs w:val="24"/>
          <w:lang w:val="zh-CN"/>
        </w:rPr>
        <w:t>万吨，精选年处理铁粉能力不得低于</w:t>
      </w:r>
      <w:r>
        <w:rPr>
          <w:rFonts w:hint="eastAsia"/>
          <w:sz w:val="24"/>
          <w:szCs w:val="24"/>
          <w:lang w:val="zh-CN"/>
        </w:rPr>
        <w:t>20</w:t>
      </w:r>
      <w:r>
        <w:rPr>
          <w:rFonts w:hint="eastAsia"/>
          <w:sz w:val="24"/>
          <w:szCs w:val="24"/>
          <w:lang w:val="zh-CN"/>
        </w:rPr>
        <w:t>万吨），符合环境准入负面清单有关的要求。</w:t>
      </w:r>
    </w:p>
    <w:p w:rsidR="00DB7CC8" w:rsidRDefault="002B5250">
      <w:pPr>
        <w:pStyle w:val="3"/>
        <w:numPr>
          <w:ilvl w:val="255"/>
          <w:numId w:val="0"/>
        </w:numPr>
        <w:rPr>
          <w:szCs w:val="28"/>
        </w:rPr>
      </w:pPr>
      <w:r>
        <w:rPr>
          <w:szCs w:val="28"/>
        </w:rPr>
        <w:t>1.3.</w:t>
      </w:r>
      <w:r>
        <w:rPr>
          <w:rFonts w:hint="eastAsia"/>
          <w:szCs w:val="28"/>
        </w:rPr>
        <w:t>4</w:t>
      </w:r>
      <w:r>
        <w:rPr>
          <w:b w:val="0"/>
          <w:bCs w:val="0"/>
          <w:szCs w:val="28"/>
        </w:rPr>
        <w:t xml:space="preserve"> </w:t>
      </w:r>
      <w:r>
        <w:rPr>
          <w:szCs w:val="28"/>
        </w:rPr>
        <w:t>《关于实施</w:t>
      </w:r>
      <w:r>
        <w:rPr>
          <w:szCs w:val="28"/>
        </w:rPr>
        <w:t>“</w:t>
      </w:r>
      <w:r>
        <w:rPr>
          <w:szCs w:val="28"/>
        </w:rPr>
        <w:t>三线一单</w:t>
      </w:r>
      <w:r>
        <w:rPr>
          <w:szCs w:val="28"/>
        </w:rPr>
        <w:t>”</w:t>
      </w:r>
      <w:r>
        <w:rPr>
          <w:szCs w:val="28"/>
        </w:rPr>
        <w:t>生态环境分区管控的意见》（唐政字〔</w:t>
      </w:r>
      <w:r>
        <w:rPr>
          <w:szCs w:val="28"/>
        </w:rPr>
        <w:t>2021</w:t>
      </w:r>
      <w:r>
        <w:rPr>
          <w:szCs w:val="28"/>
        </w:rPr>
        <w:t>〕</w:t>
      </w:r>
      <w:r>
        <w:rPr>
          <w:szCs w:val="28"/>
        </w:rPr>
        <w:t>48</w:t>
      </w:r>
      <w:r>
        <w:rPr>
          <w:szCs w:val="28"/>
        </w:rPr>
        <w:t>号）符合性分析</w:t>
      </w:r>
    </w:p>
    <w:p w:rsidR="00DB7CC8" w:rsidRDefault="002B5250">
      <w:pPr>
        <w:ind w:firstLine="480"/>
        <w:jc w:val="both"/>
        <w:rPr>
          <w:sz w:val="24"/>
          <w:szCs w:val="24"/>
          <w:lang w:val="zh-CN"/>
        </w:rPr>
      </w:pPr>
      <w:r>
        <w:rPr>
          <w:sz w:val="24"/>
          <w:szCs w:val="24"/>
          <w:lang w:val="zh-CN"/>
        </w:rPr>
        <w:t>本项目位于</w:t>
      </w:r>
      <w:r>
        <w:rPr>
          <w:sz w:val="24"/>
          <w:szCs w:val="24"/>
        </w:rPr>
        <w:t>遵化市建明镇靠山庄村</w:t>
      </w:r>
      <w:r>
        <w:rPr>
          <w:sz w:val="24"/>
          <w:szCs w:val="24"/>
          <w:lang w:val="zh-CN"/>
        </w:rPr>
        <w:t>，属于</w:t>
      </w:r>
      <w:r>
        <w:rPr>
          <w:rFonts w:hint="eastAsia"/>
          <w:sz w:val="24"/>
          <w:szCs w:val="24"/>
        </w:rPr>
        <w:t>文件划定的优先</w:t>
      </w:r>
      <w:r>
        <w:rPr>
          <w:sz w:val="24"/>
          <w:szCs w:val="24"/>
          <w:lang w:val="zh-CN"/>
        </w:rPr>
        <w:t>管控单元范畴，</w:t>
      </w:r>
      <w:r>
        <w:rPr>
          <w:sz w:val="24"/>
          <w:szCs w:val="24"/>
          <w:lang w:val="zh-CN"/>
        </w:rPr>
        <w:t>与</w:t>
      </w:r>
      <w:r>
        <w:rPr>
          <w:rFonts w:hint="eastAsia"/>
          <w:sz w:val="24"/>
          <w:szCs w:val="24"/>
        </w:rPr>
        <w:lastRenderedPageBreak/>
        <w:t>优先</w:t>
      </w:r>
      <w:r>
        <w:rPr>
          <w:sz w:val="24"/>
          <w:szCs w:val="24"/>
          <w:lang w:val="zh-CN"/>
        </w:rPr>
        <w:t>管控单元符合性分析情况见表</w:t>
      </w:r>
      <w:r>
        <w:rPr>
          <w:sz w:val="24"/>
          <w:szCs w:val="24"/>
          <w:lang w:val="zh-CN"/>
        </w:rPr>
        <w:t>1.3-</w:t>
      </w:r>
      <w:r>
        <w:rPr>
          <w:rFonts w:hint="eastAsia"/>
          <w:sz w:val="24"/>
          <w:szCs w:val="24"/>
        </w:rPr>
        <w:t>1</w:t>
      </w:r>
      <w:r>
        <w:rPr>
          <w:sz w:val="24"/>
          <w:szCs w:val="24"/>
          <w:lang w:val="zh-CN"/>
        </w:rPr>
        <w:t>。</w:t>
      </w:r>
    </w:p>
    <w:p w:rsidR="00DB7CC8" w:rsidRDefault="002B5250">
      <w:pPr>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1.3-</w:t>
      </w:r>
      <w:r>
        <w:rPr>
          <w:rFonts w:eastAsia="黑体" w:hint="eastAsia"/>
          <w:kern w:val="2"/>
          <w:sz w:val="21"/>
          <w:szCs w:val="21"/>
        </w:rPr>
        <w:t>1</w:t>
      </w:r>
      <w:r>
        <w:rPr>
          <w:rFonts w:eastAsia="黑体"/>
          <w:kern w:val="2"/>
          <w:sz w:val="21"/>
          <w:szCs w:val="21"/>
        </w:rPr>
        <w:t xml:space="preserve"> </w:t>
      </w:r>
      <w:r>
        <w:rPr>
          <w:rFonts w:eastAsia="黑体"/>
          <w:kern w:val="2"/>
          <w:sz w:val="21"/>
          <w:szCs w:val="21"/>
        </w:rPr>
        <w:t>与《关于实施</w:t>
      </w:r>
      <w:r>
        <w:rPr>
          <w:rFonts w:eastAsia="黑体"/>
          <w:kern w:val="2"/>
          <w:sz w:val="21"/>
          <w:szCs w:val="21"/>
        </w:rPr>
        <w:t>“</w:t>
      </w:r>
      <w:r>
        <w:rPr>
          <w:rFonts w:eastAsia="黑体"/>
          <w:kern w:val="2"/>
          <w:sz w:val="21"/>
          <w:szCs w:val="21"/>
        </w:rPr>
        <w:t>三线一单</w:t>
      </w:r>
      <w:r>
        <w:rPr>
          <w:rFonts w:eastAsia="黑体"/>
          <w:kern w:val="2"/>
          <w:sz w:val="21"/>
          <w:szCs w:val="21"/>
        </w:rPr>
        <w:t>”</w:t>
      </w:r>
      <w:r>
        <w:rPr>
          <w:rFonts w:eastAsia="黑体"/>
          <w:kern w:val="2"/>
          <w:sz w:val="21"/>
          <w:szCs w:val="21"/>
        </w:rPr>
        <w:t>生态环境分区管控的意见》符合性分析一览表</w:t>
      </w:r>
    </w:p>
    <w:tbl>
      <w:tblPr>
        <w:tblW w:w="852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44"/>
        <w:gridCol w:w="732"/>
        <w:gridCol w:w="747"/>
        <w:gridCol w:w="3089"/>
        <w:gridCol w:w="2026"/>
        <w:gridCol w:w="1288"/>
      </w:tblGrid>
      <w:tr w:rsidR="00DB7CC8">
        <w:trPr>
          <w:trHeight w:val="454"/>
        </w:trPr>
        <w:tc>
          <w:tcPr>
            <w:tcW w:w="5212" w:type="dxa"/>
            <w:gridSpan w:val="4"/>
            <w:vAlign w:val="center"/>
          </w:tcPr>
          <w:p w:rsidR="00DB7CC8" w:rsidRDefault="002B5250">
            <w:pPr>
              <w:pStyle w:val="afffffffc"/>
              <w:spacing w:line="240" w:lineRule="auto"/>
            </w:pPr>
            <w:r>
              <w:t>《关于实施</w:t>
            </w:r>
            <w:r>
              <w:t>“</w:t>
            </w:r>
            <w:r>
              <w:t>三线一单</w:t>
            </w:r>
            <w:r>
              <w:t>”</w:t>
            </w:r>
            <w:r>
              <w:t>生态环境分区管控的意见》</w:t>
            </w:r>
          </w:p>
          <w:p w:rsidR="00DB7CC8" w:rsidRDefault="002B5250">
            <w:pPr>
              <w:pStyle w:val="afffffffc"/>
              <w:spacing w:line="240" w:lineRule="auto"/>
            </w:pPr>
            <w:r>
              <w:t>（唐政字〔</w:t>
            </w:r>
            <w:r>
              <w:t>2021</w:t>
            </w:r>
            <w:r>
              <w:t>〕</w:t>
            </w:r>
            <w:r>
              <w:t>48</w:t>
            </w:r>
            <w:r>
              <w:t>号）</w:t>
            </w:r>
          </w:p>
        </w:tc>
        <w:tc>
          <w:tcPr>
            <w:tcW w:w="2026" w:type="dxa"/>
            <w:vMerge w:val="restart"/>
            <w:vAlign w:val="center"/>
          </w:tcPr>
          <w:p w:rsidR="00DB7CC8" w:rsidRDefault="002B5250">
            <w:pPr>
              <w:pStyle w:val="afffffffc"/>
              <w:spacing w:line="240" w:lineRule="auto"/>
            </w:pPr>
            <w:r>
              <w:t>本项目情况</w:t>
            </w:r>
          </w:p>
        </w:tc>
        <w:tc>
          <w:tcPr>
            <w:tcW w:w="1288" w:type="dxa"/>
            <w:vMerge w:val="restart"/>
            <w:vAlign w:val="center"/>
          </w:tcPr>
          <w:p w:rsidR="00DB7CC8" w:rsidRDefault="002B5250">
            <w:pPr>
              <w:pStyle w:val="afffffffc"/>
              <w:spacing w:line="240" w:lineRule="auto"/>
            </w:pPr>
            <w:r>
              <w:t>符合性分析</w:t>
            </w:r>
          </w:p>
        </w:tc>
      </w:tr>
      <w:tr w:rsidR="00DB7CC8">
        <w:trPr>
          <w:trHeight w:val="454"/>
        </w:trPr>
        <w:tc>
          <w:tcPr>
            <w:tcW w:w="644" w:type="dxa"/>
            <w:vAlign w:val="center"/>
          </w:tcPr>
          <w:p w:rsidR="00DB7CC8" w:rsidRDefault="002B5250">
            <w:pPr>
              <w:pStyle w:val="afffffffc"/>
              <w:spacing w:line="240" w:lineRule="auto"/>
            </w:pPr>
            <w:r>
              <w:t>乡镇</w:t>
            </w:r>
          </w:p>
        </w:tc>
        <w:tc>
          <w:tcPr>
            <w:tcW w:w="732" w:type="dxa"/>
            <w:vAlign w:val="center"/>
          </w:tcPr>
          <w:p w:rsidR="00DB7CC8" w:rsidRDefault="002B5250">
            <w:pPr>
              <w:pStyle w:val="afffffffc"/>
              <w:spacing w:line="240" w:lineRule="auto"/>
            </w:pPr>
            <w:r>
              <w:t>单元类别</w:t>
            </w:r>
          </w:p>
        </w:tc>
        <w:tc>
          <w:tcPr>
            <w:tcW w:w="747" w:type="dxa"/>
            <w:vAlign w:val="center"/>
          </w:tcPr>
          <w:p w:rsidR="00DB7CC8" w:rsidRDefault="002B5250">
            <w:pPr>
              <w:pStyle w:val="afffffffc"/>
              <w:spacing w:line="240" w:lineRule="auto"/>
            </w:pPr>
            <w:r>
              <w:t>维度</w:t>
            </w:r>
          </w:p>
        </w:tc>
        <w:tc>
          <w:tcPr>
            <w:tcW w:w="3089" w:type="dxa"/>
            <w:vAlign w:val="center"/>
          </w:tcPr>
          <w:p w:rsidR="00DB7CC8" w:rsidRDefault="002B5250">
            <w:pPr>
              <w:pStyle w:val="afffffffc"/>
              <w:spacing w:line="240" w:lineRule="auto"/>
            </w:pPr>
            <w:r>
              <w:t>管控措施</w:t>
            </w:r>
          </w:p>
        </w:tc>
        <w:tc>
          <w:tcPr>
            <w:tcW w:w="2026" w:type="dxa"/>
            <w:vMerge/>
            <w:vAlign w:val="center"/>
          </w:tcPr>
          <w:p w:rsidR="00DB7CC8" w:rsidRDefault="00DB7CC8">
            <w:pPr>
              <w:pStyle w:val="afffffffc"/>
              <w:spacing w:line="240" w:lineRule="auto"/>
            </w:pPr>
          </w:p>
        </w:tc>
        <w:tc>
          <w:tcPr>
            <w:tcW w:w="1288" w:type="dxa"/>
            <w:vMerge/>
            <w:vAlign w:val="center"/>
          </w:tcPr>
          <w:p w:rsidR="00DB7CC8" w:rsidRDefault="00DB7CC8">
            <w:pPr>
              <w:pStyle w:val="afffffffc"/>
              <w:spacing w:line="240" w:lineRule="auto"/>
            </w:pPr>
          </w:p>
        </w:tc>
      </w:tr>
      <w:tr w:rsidR="00DB7CC8">
        <w:trPr>
          <w:trHeight w:val="90"/>
        </w:trPr>
        <w:tc>
          <w:tcPr>
            <w:tcW w:w="644" w:type="dxa"/>
            <w:vMerge w:val="restart"/>
            <w:vAlign w:val="center"/>
          </w:tcPr>
          <w:p w:rsidR="00DB7CC8" w:rsidRDefault="002B5250">
            <w:pPr>
              <w:pStyle w:val="afffffffc"/>
              <w:spacing w:line="240" w:lineRule="auto"/>
            </w:pPr>
            <w:r>
              <w:rPr>
                <w:rFonts w:hint="eastAsia"/>
              </w:rPr>
              <w:t>建明</w:t>
            </w:r>
            <w:r>
              <w:t>镇</w:t>
            </w:r>
          </w:p>
        </w:tc>
        <w:tc>
          <w:tcPr>
            <w:tcW w:w="732" w:type="dxa"/>
            <w:vMerge w:val="restart"/>
            <w:vAlign w:val="center"/>
          </w:tcPr>
          <w:p w:rsidR="00DB7CC8" w:rsidRDefault="002B5250">
            <w:pPr>
              <w:pStyle w:val="afffffffc"/>
              <w:spacing w:line="240" w:lineRule="auto"/>
            </w:pPr>
            <w:r>
              <w:rPr>
                <w:rFonts w:hint="eastAsia"/>
              </w:rPr>
              <w:t>优先</w:t>
            </w:r>
            <w:r>
              <w:t>管控单元</w:t>
            </w:r>
          </w:p>
        </w:tc>
        <w:tc>
          <w:tcPr>
            <w:tcW w:w="747" w:type="dxa"/>
            <w:vMerge w:val="restart"/>
            <w:vAlign w:val="center"/>
          </w:tcPr>
          <w:p w:rsidR="00DB7CC8" w:rsidRDefault="002B5250">
            <w:pPr>
              <w:pStyle w:val="afffffffc"/>
              <w:spacing w:line="240" w:lineRule="auto"/>
            </w:pPr>
            <w:r>
              <w:t>空间布局约束</w:t>
            </w:r>
          </w:p>
        </w:tc>
        <w:tc>
          <w:tcPr>
            <w:tcW w:w="3089" w:type="dxa"/>
            <w:vAlign w:val="center"/>
          </w:tcPr>
          <w:p w:rsidR="00DB7CC8" w:rsidRDefault="002B5250">
            <w:pPr>
              <w:pStyle w:val="afffffffc"/>
              <w:spacing w:line="240" w:lineRule="auto"/>
            </w:pPr>
            <w:r>
              <w:t>燕山水源涵养、生物多样性维护生态保护红线区执行全市生态环境空间总体管控要求中生态保护红线的管控要求。</w:t>
            </w:r>
          </w:p>
        </w:tc>
        <w:tc>
          <w:tcPr>
            <w:tcW w:w="2026" w:type="dxa"/>
            <w:vAlign w:val="center"/>
          </w:tcPr>
          <w:p w:rsidR="00DB7CC8" w:rsidRDefault="002B5250">
            <w:pPr>
              <w:pStyle w:val="afffffffc"/>
              <w:spacing w:line="240" w:lineRule="auto"/>
            </w:pPr>
            <w:r>
              <w:t>本项目</w:t>
            </w:r>
            <w:r>
              <w:rPr>
                <w:rFonts w:hint="eastAsia"/>
              </w:rPr>
              <w:t>不在生态保护红线范围内</w:t>
            </w:r>
            <w:r>
              <w:t>。</w:t>
            </w:r>
          </w:p>
        </w:tc>
        <w:tc>
          <w:tcPr>
            <w:tcW w:w="1288" w:type="dxa"/>
            <w:vAlign w:val="center"/>
          </w:tcPr>
          <w:p w:rsidR="00DB7CC8" w:rsidRDefault="002B5250">
            <w:pPr>
              <w:pStyle w:val="afffffffc"/>
              <w:spacing w:line="240" w:lineRule="auto"/>
            </w:pPr>
            <w:r>
              <w:t>符合</w:t>
            </w:r>
          </w:p>
        </w:tc>
      </w:tr>
      <w:tr w:rsidR="00DB7CC8">
        <w:trPr>
          <w:trHeight w:val="454"/>
        </w:trPr>
        <w:tc>
          <w:tcPr>
            <w:tcW w:w="644" w:type="dxa"/>
            <w:vMerge/>
            <w:vAlign w:val="center"/>
          </w:tcPr>
          <w:p w:rsidR="00DB7CC8" w:rsidRDefault="00DB7CC8">
            <w:pPr>
              <w:pStyle w:val="afffffffc"/>
              <w:spacing w:line="240" w:lineRule="auto"/>
            </w:pPr>
          </w:p>
        </w:tc>
        <w:tc>
          <w:tcPr>
            <w:tcW w:w="732" w:type="dxa"/>
            <w:vMerge/>
            <w:vAlign w:val="center"/>
          </w:tcPr>
          <w:p w:rsidR="00DB7CC8" w:rsidRDefault="00DB7CC8">
            <w:pPr>
              <w:pStyle w:val="afffffffc"/>
              <w:spacing w:line="240" w:lineRule="auto"/>
            </w:pPr>
          </w:p>
        </w:tc>
        <w:tc>
          <w:tcPr>
            <w:tcW w:w="747" w:type="dxa"/>
            <w:vMerge/>
            <w:vAlign w:val="center"/>
          </w:tcPr>
          <w:p w:rsidR="00DB7CC8" w:rsidRDefault="00DB7CC8">
            <w:pPr>
              <w:pStyle w:val="afffffffc"/>
              <w:spacing w:line="240" w:lineRule="auto"/>
            </w:pPr>
          </w:p>
        </w:tc>
        <w:tc>
          <w:tcPr>
            <w:tcW w:w="3089" w:type="dxa"/>
            <w:vAlign w:val="center"/>
          </w:tcPr>
          <w:p w:rsidR="00DB7CC8" w:rsidRDefault="002B5250">
            <w:pPr>
              <w:pStyle w:val="afffffffc"/>
              <w:spacing w:line="240" w:lineRule="auto"/>
            </w:pPr>
            <w:r>
              <w:t>遵化市教厂水源地执行全市生态环境空间总体管控要求的各类保护地中饮用水水源地的相关管控要求。</w:t>
            </w:r>
          </w:p>
        </w:tc>
        <w:tc>
          <w:tcPr>
            <w:tcW w:w="2026" w:type="dxa"/>
            <w:vAlign w:val="center"/>
          </w:tcPr>
          <w:p w:rsidR="00DB7CC8" w:rsidRDefault="002B5250">
            <w:pPr>
              <w:pStyle w:val="afffffffc"/>
              <w:spacing w:line="240" w:lineRule="auto"/>
            </w:pPr>
            <w:r>
              <w:t>本项目</w:t>
            </w:r>
            <w:r>
              <w:rPr>
                <w:rFonts w:hint="eastAsia"/>
              </w:rPr>
              <w:t>不在</w:t>
            </w:r>
            <w:r>
              <w:t>遵化市教厂水源地</w:t>
            </w:r>
            <w:r>
              <w:rPr>
                <w:rFonts w:hint="eastAsia"/>
              </w:rPr>
              <w:t>保护范围内</w:t>
            </w:r>
            <w:r>
              <w:t>。</w:t>
            </w:r>
          </w:p>
        </w:tc>
        <w:tc>
          <w:tcPr>
            <w:tcW w:w="1288" w:type="dxa"/>
            <w:vAlign w:val="center"/>
          </w:tcPr>
          <w:p w:rsidR="00DB7CC8" w:rsidRDefault="002B5250">
            <w:pPr>
              <w:pStyle w:val="afffffffc"/>
              <w:spacing w:line="240" w:lineRule="auto"/>
            </w:pPr>
            <w:r>
              <w:t>符合</w:t>
            </w:r>
          </w:p>
        </w:tc>
      </w:tr>
      <w:tr w:rsidR="00DB7CC8">
        <w:trPr>
          <w:trHeight w:val="90"/>
        </w:trPr>
        <w:tc>
          <w:tcPr>
            <w:tcW w:w="644" w:type="dxa"/>
            <w:vMerge/>
            <w:vAlign w:val="center"/>
          </w:tcPr>
          <w:p w:rsidR="00DB7CC8" w:rsidRDefault="00DB7CC8">
            <w:pPr>
              <w:pStyle w:val="afffffffc"/>
              <w:spacing w:line="240" w:lineRule="auto"/>
            </w:pPr>
          </w:p>
        </w:tc>
        <w:tc>
          <w:tcPr>
            <w:tcW w:w="732" w:type="dxa"/>
            <w:vMerge/>
            <w:vAlign w:val="center"/>
          </w:tcPr>
          <w:p w:rsidR="00DB7CC8" w:rsidRDefault="00DB7CC8">
            <w:pPr>
              <w:pStyle w:val="afffffffc"/>
              <w:spacing w:line="240" w:lineRule="auto"/>
            </w:pPr>
          </w:p>
        </w:tc>
        <w:tc>
          <w:tcPr>
            <w:tcW w:w="747" w:type="dxa"/>
            <w:vMerge/>
            <w:vAlign w:val="center"/>
          </w:tcPr>
          <w:p w:rsidR="00DB7CC8" w:rsidRDefault="00DB7CC8">
            <w:pPr>
              <w:pStyle w:val="afffffffc"/>
              <w:spacing w:line="240" w:lineRule="auto"/>
            </w:pPr>
          </w:p>
        </w:tc>
        <w:tc>
          <w:tcPr>
            <w:tcW w:w="3089" w:type="dxa"/>
            <w:vAlign w:val="center"/>
          </w:tcPr>
          <w:p w:rsidR="00DB7CC8" w:rsidRDefault="002B5250">
            <w:pPr>
              <w:pStyle w:val="afffffffc"/>
              <w:spacing w:line="240" w:lineRule="auto"/>
            </w:pPr>
            <w:r>
              <w:t>区域内严格控制高污染、高环境风险产业进入，提高环境风险管控、监测预警和应急处理要求。全面清退河道及湖库水域网箱养殖业，严格限制养殖规模并实现污染物零排放，水源地保护区及河道两岸</w:t>
            </w:r>
            <w:r>
              <w:t xml:space="preserve"> 500m </w:t>
            </w:r>
            <w:r>
              <w:t>范围内禁止发展规模化畜禽养殖业。禁止违规采矿、毁林开荒等破坏水源涵养林的活动，受损山体开展水源涵养林建设。</w:t>
            </w:r>
          </w:p>
        </w:tc>
        <w:tc>
          <w:tcPr>
            <w:tcW w:w="2026" w:type="dxa"/>
            <w:vAlign w:val="center"/>
          </w:tcPr>
          <w:p w:rsidR="00DB7CC8" w:rsidRDefault="002B5250">
            <w:pPr>
              <w:pStyle w:val="afffffffc"/>
              <w:spacing w:line="240" w:lineRule="auto"/>
            </w:pPr>
            <w:r>
              <w:t>本项目</w:t>
            </w:r>
            <w:r>
              <w:rPr>
                <w:rFonts w:hint="eastAsia"/>
              </w:rPr>
              <w:t>不涉及养殖</w:t>
            </w:r>
            <w:r>
              <w:t>，</w:t>
            </w:r>
            <w:r>
              <w:rPr>
                <w:rFonts w:hint="eastAsia"/>
              </w:rPr>
              <w:t>不进行</w:t>
            </w:r>
            <w:r>
              <w:t>违规采矿、毁林开荒等破坏水源涵养林的活动。</w:t>
            </w:r>
          </w:p>
        </w:tc>
        <w:tc>
          <w:tcPr>
            <w:tcW w:w="1288" w:type="dxa"/>
            <w:vAlign w:val="center"/>
          </w:tcPr>
          <w:p w:rsidR="00DB7CC8" w:rsidRDefault="002B5250">
            <w:pPr>
              <w:pStyle w:val="afffffffc"/>
              <w:spacing w:line="240" w:lineRule="auto"/>
            </w:pPr>
            <w:r>
              <w:t>符合</w:t>
            </w:r>
          </w:p>
        </w:tc>
      </w:tr>
    </w:tbl>
    <w:p w:rsidR="00DB7CC8" w:rsidRDefault="002B5250">
      <w:pPr>
        <w:pStyle w:val="3"/>
        <w:numPr>
          <w:ilvl w:val="255"/>
          <w:numId w:val="0"/>
        </w:numPr>
        <w:rPr>
          <w:szCs w:val="28"/>
        </w:rPr>
      </w:pPr>
      <w:r>
        <w:rPr>
          <w:szCs w:val="28"/>
        </w:rPr>
        <w:t>1.3.</w:t>
      </w:r>
      <w:r>
        <w:rPr>
          <w:rFonts w:hint="eastAsia"/>
          <w:szCs w:val="28"/>
        </w:rPr>
        <w:t>5</w:t>
      </w:r>
      <w:r>
        <w:rPr>
          <w:szCs w:val="28"/>
        </w:rPr>
        <w:t xml:space="preserve"> </w:t>
      </w:r>
      <w:r>
        <w:rPr>
          <w:rFonts w:hint="eastAsia"/>
          <w:szCs w:val="28"/>
        </w:rPr>
        <w:t>《河北省十一个行业重污染天气应急减排措施制定技术指南（试行）》</w:t>
      </w:r>
    </w:p>
    <w:p w:rsidR="00DB7CC8" w:rsidRDefault="002B5250">
      <w:pPr>
        <w:pStyle w:val="233"/>
        <w:ind w:firstLine="480"/>
        <w:rPr>
          <w:rFonts w:cs="Times New Roman"/>
          <w:lang w:bidi="ar"/>
        </w:rPr>
      </w:pPr>
      <w:r>
        <w:rPr>
          <w:rFonts w:cs="Times New Roman" w:hint="eastAsia"/>
          <w:lang w:bidi="ar"/>
        </w:rPr>
        <w:t>本项目与</w:t>
      </w:r>
      <w:r>
        <w:rPr>
          <w:rFonts w:cs="Times New Roman" w:hint="eastAsia"/>
          <w:lang w:bidi="ar"/>
        </w:rPr>
        <w:t>《河北省十一个行业重污染天气应急减排措施制定技术指南（试行）》</w:t>
      </w:r>
      <w:r>
        <w:rPr>
          <w:rFonts w:cs="Times New Roman" w:hint="eastAsia"/>
          <w:lang w:bidi="ar"/>
        </w:rPr>
        <w:t>矿石采选与加工行业绩效分级指标符合性分析情况见下表。</w:t>
      </w:r>
    </w:p>
    <w:p w:rsidR="00DB7CC8" w:rsidRDefault="002B5250">
      <w:pPr>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1.3-</w:t>
      </w:r>
      <w:r>
        <w:rPr>
          <w:rFonts w:eastAsia="黑体" w:hint="eastAsia"/>
          <w:kern w:val="2"/>
          <w:sz w:val="21"/>
          <w:szCs w:val="21"/>
        </w:rPr>
        <w:t>2</w:t>
      </w:r>
      <w:r>
        <w:rPr>
          <w:rFonts w:eastAsia="黑体"/>
          <w:kern w:val="2"/>
          <w:sz w:val="21"/>
          <w:szCs w:val="21"/>
        </w:rPr>
        <w:t xml:space="preserve"> </w:t>
      </w:r>
      <w:r>
        <w:rPr>
          <w:rFonts w:eastAsia="黑体"/>
          <w:kern w:val="2"/>
          <w:sz w:val="21"/>
          <w:szCs w:val="21"/>
        </w:rPr>
        <w:t>与</w:t>
      </w:r>
      <w:r>
        <w:rPr>
          <w:rFonts w:eastAsia="黑体" w:hint="eastAsia"/>
          <w:kern w:val="2"/>
          <w:sz w:val="21"/>
          <w:szCs w:val="21"/>
        </w:rPr>
        <w:t>黑色金属矿采选与加工行业绩效引领性指标相关分析</w:t>
      </w:r>
    </w:p>
    <w:tbl>
      <w:tblPr>
        <w:tblStyle w:val="afff1"/>
        <w:tblW w:w="5000" w:type="pct"/>
        <w:tblLook w:val="04A0" w:firstRow="1" w:lastRow="0" w:firstColumn="1" w:lastColumn="0" w:noHBand="0" w:noVBand="1"/>
      </w:tblPr>
      <w:tblGrid>
        <w:gridCol w:w="1195"/>
        <w:gridCol w:w="3700"/>
        <w:gridCol w:w="2531"/>
        <w:gridCol w:w="1096"/>
      </w:tblGrid>
      <w:tr w:rsidR="00DB7CC8">
        <w:tc>
          <w:tcPr>
            <w:tcW w:w="701" w:type="pct"/>
            <w:vAlign w:val="center"/>
          </w:tcPr>
          <w:p w:rsidR="00DB7CC8" w:rsidRDefault="002B5250">
            <w:pPr>
              <w:pStyle w:val="afffffffc"/>
              <w:spacing w:line="240" w:lineRule="auto"/>
            </w:pPr>
            <w:r>
              <w:rPr>
                <w:rFonts w:hint="eastAsia"/>
              </w:rPr>
              <w:t>引领性指标</w:t>
            </w:r>
          </w:p>
        </w:tc>
        <w:tc>
          <w:tcPr>
            <w:tcW w:w="2170" w:type="pct"/>
            <w:vAlign w:val="center"/>
          </w:tcPr>
          <w:p w:rsidR="00DB7CC8" w:rsidRDefault="002B5250">
            <w:pPr>
              <w:pStyle w:val="afffffffc"/>
              <w:spacing w:line="240" w:lineRule="auto"/>
            </w:pPr>
            <w:r>
              <w:rPr>
                <w:rFonts w:hint="eastAsia"/>
              </w:rPr>
              <w:t>黑色金属矿采选采选与加工</w:t>
            </w:r>
          </w:p>
        </w:tc>
        <w:tc>
          <w:tcPr>
            <w:tcW w:w="1484" w:type="pct"/>
            <w:vAlign w:val="center"/>
          </w:tcPr>
          <w:p w:rsidR="00DB7CC8" w:rsidRDefault="002B5250">
            <w:pPr>
              <w:pStyle w:val="afffffffc"/>
              <w:spacing w:line="240" w:lineRule="auto"/>
            </w:pPr>
            <w:r>
              <w:rPr>
                <w:rFonts w:hint="eastAsia"/>
              </w:rPr>
              <w:t>本项目情况</w:t>
            </w:r>
          </w:p>
        </w:tc>
        <w:tc>
          <w:tcPr>
            <w:tcW w:w="643" w:type="pct"/>
            <w:vAlign w:val="center"/>
          </w:tcPr>
          <w:p w:rsidR="00DB7CC8" w:rsidRDefault="002B5250">
            <w:pPr>
              <w:pStyle w:val="afffffffc"/>
              <w:spacing w:line="240" w:lineRule="auto"/>
            </w:pPr>
            <w:r>
              <w:rPr>
                <w:rFonts w:hint="eastAsia"/>
              </w:rPr>
              <w:t>分析判定</w:t>
            </w:r>
          </w:p>
        </w:tc>
      </w:tr>
      <w:tr w:rsidR="00DB7CC8">
        <w:tc>
          <w:tcPr>
            <w:tcW w:w="701" w:type="pct"/>
            <w:vAlign w:val="center"/>
          </w:tcPr>
          <w:p w:rsidR="00DB7CC8" w:rsidRDefault="002B5250">
            <w:pPr>
              <w:pStyle w:val="afffffffc"/>
              <w:spacing w:line="240" w:lineRule="auto"/>
            </w:pPr>
            <w:r>
              <w:rPr>
                <w:rFonts w:hint="eastAsia"/>
              </w:rPr>
              <w:t>装备水平</w:t>
            </w:r>
          </w:p>
        </w:tc>
        <w:tc>
          <w:tcPr>
            <w:tcW w:w="2170" w:type="pct"/>
            <w:vAlign w:val="center"/>
          </w:tcPr>
          <w:p w:rsidR="00DB7CC8" w:rsidRDefault="002B5250">
            <w:pPr>
              <w:pStyle w:val="afffffffc"/>
              <w:spacing w:line="240" w:lineRule="auto"/>
              <w:jc w:val="left"/>
            </w:pPr>
            <w:r>
              <w:rPr>
                <w:rFonts w:hint="eastAsia"/>
              </w:rPr>
              <w:t>粗破破碎机等效处理能力不小于</w:t>
            </w:r>
            <w:r>
              <w:rPr>
                <w:rFonts w:hint="eastAsia"/>
              </w:rPr>
              <w:t>PE1200*1500mm</w:t>
            </w:r>
          </w:p>
        </w:tc>
        <w:tc>
          <w:tcPr>
            <w:tcW w:w="1484" w:type="pct"/>
            <w:vAlign w:val="center"/>
          </w:tcPr>
          <w:p w:rsidR="00DB7CC8" w:rsidRDefault="002B5250">
            <w:pPr>
              <w:pStyle w:val="afffffffc"/>
              <w:spacing w:line="240" w:lineRule="auto"/>
              <w:jc w:val="left"/>
            </w:pPr>
            <w:r>
              <w:rPr>
                <w:rFonts w:hint="eastAsia"/>
              </w:rPr>
              <w:t>粗破破碎机等效处理能力不小于</w:t>
            </w:r>
            <w:r>
              <w:rPr>
                <w:rFonts w:hint="eastAsia"/>
              </w:rPr>
              <w:t>PE1200*1500mm</w:t>
            </w:r>
          </w:p>
        </w:tc>
        <w:tc>
          <w:tcPr>
            <w:tcW w:w="643" w:type="pct"/>
            <w:vAlign w:val="center"/>
          </w:tcPr>
          <w:p w:rsidR="00DB7CC8" w:rsidRDefault="002B5250">
            <w:pPr>
              <w:pStyle w:val="afffffffc"/>
              <w:spacing w:line="240" w:lineRule="auto"/>
            </w:pPr>
            <w:r>
              <w:rPr>
                <w:rFonts w:hint="eastAsia"/>
              </w:rPr>
              <w:t>满足</w:t>
            </w:r>
          </w:p>
        </w:tc>
      </w:tr>
      <w:tr w:rsidR="00DB7CC8">
        <w:tc>
          <w:tcPr>
            <w:tcW w:w="701" w:type="pct"/>
            <w:vAlign w:val="center"/>
          </w:tcPr>
          <w:p w:rsidR="00DB7CC8" w:rsidRDefault="002B5250">
            <w:pPr>
              <w:pStyle w:val="afffffffc"/>
              <w:spacing w:line="240" w:lineRule="auto"/>
            </w:pPr>
            <w:r>
              <w:rPr>
                <w:rFonts w:hint="eastAsia"/>
              </w:rPr>
              <w:t>能源类型</w:t>
            </w:r>
          </w:p>
        </w:tc>
        <w:tc>
          <w:tcPr>
            <w:tcW w:w="2170" w:type="pct"/>
            <w:vAlign w:val="center"/>
          </w:tcPr>
          <w:p w:rsidR="00DB7CC8" w:rsidRDefault="002B5250">
            <w:pPr>
              <w:pStyle w:val="afffffffc"/>
              <w:spacing w:line="240" w:lineRule="auto"/>
              <w:jc w:val="left"/>
            </w:pPr>
            <w:r>
              <w:rPr>
                <w:rFonts w:hint="eastAsia"/>
              </w:rPr>
              <w:t>生产工业锅炉采用电、天然气、净化后煤气等能源</w:t>
            </w:r>
          </w:p>
        </w:tc>
        <w:tc>
          <w:tcPr>
            <w:tcW w:w="1484" w:type="pct"/>
            <w:vAlign w:val="center"/>
          </w:tcPr>
          <w:p w:rsidR="00DB7CC8" w:rsidRDefault="002B5250">
            <w:pPr>
              <w:pStyle w:val="afffffffc"/>
              <w:spacing w:line="240" w:lineRule="auto"/>
              <w:jc w:val="left"/>
            </w:pPr>
            <w:r>
              <w:rPr>
                <w:rFonts w:hint="eastAsia"/>
              </w:rPr>
              <w:t>不涉及</w:t>
            </w:r>
          </w:p>
        </w:tc>
        <w:tc>
          <w:tcPr>
            <w:tcW w:w="643" w:type="pct"/>
            <w:vAlign w:val="center"/>
          </w:tcPr>
          <w:p w:rsidR="00DB7CC8" w:rsidRDefault="002B5250">
            <w:pPr>
              <w:pStyle w:val="afffffffc"/>
              <w:spacing w:line="240" w:lineRule="auto"/>
            </w:pPr>
            <w:r>
              <w:rPr>
                <w:rFonts w:hint="eastAsia"/>
              </w:rPr>
              <w:t>—</w:t>
            </w:r>
          </w:p>
        </w:tc>
      </w:tr>
      <w:tr w:rsidR="00DB7CC8">
        <w:tc>
          <w:tcPr>
            <w:tcW w:w="701" w:type="pct"/>
            <w:vAlign w:val="center"/>
          </w:tcPr>
          <w:p w:rsidR="00DB7CC8" w:rsidRDefault="002B5250">
            <w:pPr>
              <w:pStyle w:val="afffffffc"/>
              <w:spacing w:line="240" w:lineRule="auto"/>
            </w:pPr>
            <w:r>
              <w:rPr>
                <w:rFonts w:hint="eastAsia"/>
              </w:rPr>
              <w:t>污染治理技术</w:t>
            </w:r>
          </w:p>
        </w:tc>
        <w:tc>
          <w:tcPr>
            <w:tcW w:w="2170" w:type="pct"/>
            <w:vAlign w:val="center"/>
          </w:tcPr>
          <w:p w:rsidR="00DB7CC8" w:rsidRDefault="002B5250">
            <w:pPr>
              <w:pStyle w:val="afffffffc"/>
              <w:spacing w:line="240" w:lineRule="auto"/>
              <w:jc w:val="left"/>
            </w:pPr>
            <w:r>
              <w:rPr>
                <w:rFonts w:hint="eastAsia"/>
              </w:rPr>
              <w:t>除尘采用覆膜滤袋、滤筒等高效除尘技术（设计除尘效率不低于</w:t>
            </w:r>
            <w:r>
              <w:rPr>
                <w:rFonts w:hint="eastAsia"/>
              </w:rPr>
              <w:t>99%</w:t>
            </w:r>
            <w:r>
              <w:rPr>
                <w:rFonts w:hint="eastAsia"/>
              </w:rPr>
              <w:t>）</w:t>
            </w:r>
          </w:p>
        </w:tc>
        <w:tc>
          <w:tcPr>
            <w:tcW w:w="1484" w:type="pct"/>
            <w:vAlign w:val="center"/>
          </w:tcPr>
          <w:p w:rsidR="00DB7CC8" w:rsidRDefault="002B5250">
            <w:pPr>
              <w:pStyle w:val="afffffffc"/>
              <w:spacing w:line="240" w:lineRule="auto"/>
              <w:jc w:val="left"/>
            </w:pPr>
            <w:r>
              <w:rPr>
                <w:rFonts w:hint="eastAsia"/>
              </w:rPr>
              <w:t>除尘采用覆膜滤袋（设计除尘效率不低于</w:t>
            </w:r>
            <w:r>
              <w:rPr>
                <w:rFonts w:hint="eastAsia"/>
              </w:rPr>
              <w:t>99%</w:t>
            </w:r>
            <w:r>
              <w:rPr>
                <w:rFonts w:hint="eastAsia"/>
              </w:rPr>
              <w:t>）</w:t>
            </w:r>
          </w:p>
        </w:tc>
        <w:tc>
          <w:tcPr>
            <w:tcW w:w="643" w:type="pct"/>
            <w:vAlign w:val="center"/>
          </w:tcPr>
          <w:p w:rsidR="00DB7CC8" w:rsidRDefault="002B5250">
            <w:pPr>
              <w:pStyle w:val="afffffffc"/>
              <w:spacing w:line="240" w:lineRule="auto"/>
            </w:pPr>
            <w:r>
              <w:rPr>
                <w:rFonts w:hint="eastAsia"/>
              </w:rPr>
              <w:t>满足</w:t>
            </w:r>
          </w:p>
        </w:tc>
      </w:tr>
      <w:tr w:rsidR="00DB7CC8">
        <w:tc>
          <w:tcPr>
            <w:tcW w:w="701" w:type="pct"/>
            <w:vAlign w:val="center"/>
          </w:tcPr>
          <w:p w:rsidR="00DB7CC8" w:rsidRDefault="002B5250">
            <w:pPr>
              <w:pStyle w:val="afffffffc"/>
              <w:spacing w:line="240" w:lineRule="auto"/>
            </w:pPr>
            <w:r>
              <w:rPr>
                <w:rFonts w:hint="eastAsia"/>
              </w:rPr>
              <w:t>无组织排放管控</w:t>
            </w:r>
          </w:p>
        </w:tc>
        <w:tc>
          <w:tcPr>
            <w:tcW w:w="2170" w:type="pct"/>
            <w:vAlign w:val="center"/>
          </w:tcPr>
          <w:p w:rsidR="00DB7CC8" w:rsidRDefault="002B5250">
            <w:pPr>
              <w:pStyle w:val="afffffffc"/>
              <w:spacing w:line="240" w:lineRule="auto"/>
              <w:jc w:val="left"/>
            </w:pPr>
            <w:r>
              <w:rPr>
                <w:rFonts w:hint="eastAsia"/>
              </w:rPr>
              <w:t>（</w:t>
            </w:r>
            <w:r>
              <w:rPr>
                <w:rFonts w:hint="eastAsia"/>
              </w:rPr>
              <w:t>1</w:t>
            </w:r>
            <w:r>
              <w:rPr>
                <w:rFonts w:hint="eastAsia"/>
              </w:rPr>
              <w:t>）破碎、筛分、干选、辊磨等设备全部置于封闭厂房内。</w:t>
            </w:r>
          </w:p>
          <w:p w:rsidR="00DB7CC8" w:rsidRDefault="002B5250">
            <w:pPr>
              <w:pStyle w:val="afffffffc"/>
              <w:spacing w:line="240" w:lineRule="auto"/>
              <w:jc w:val="left"/>
            </w:pPr>
            <w:r>
              <w:rPr>
                <w:rFonts w:hint="eastAsia"/>
              </w:rPr>
              <w:t>（</w:t>
            </w:r>
            <w:r>
              <w:rPr>
                <w:rFonts w:hint="eastAsia"/>
              </w:rPr>
              <w:t>2</w:t>
            </w:r>
            <w:r>
              <w:rPr>
                <w:rFonts w:hint="eastAsia"/>
              </w:rPr>
              <w:t>）除尘器出灰口应采取密闭措施，除尘灰不得直接卸落到地面；除尘灰采取袋装、罐装等密闭措施收集、存放和运输；</w:t>
            </w:r>
          </w:p>
          <w:p w:rsidR="00DB7CC8" w:rsidRDefault="002B5250">
            <w:pPr>
              <w:pStyle w:val="afffffffc"/>
              <w:spacing w:line="240" w:lineRule="auto"/>
              <w:jc w:val="left"/>
            </w:pPr>
            <w:r>
              <w:rPr>
                <w:rFonts w:hint="eastAsia"/>
              </w:rPr>
              <w:t>（</w:t>
            </w:r>
            <w:r>
              <w:rPr>
                <w:rFonts w:hint="eastAsia"/>
              </w:rPr>
              <w:t>3</w:t>
            </w:r>
            <w:r>
              <w:rPr>
                <w:rFonts w:hint="eastAsia"/>
              </w:rPr>
              <w:t>）车间环境整洁，地面、墙面及设备顶部无明显积尘，车间无可见粉尘；</w:t>
            </w:r>
            <w:r>
              <w:rPr>
                <w:rFonts w:hint="eastAsia"/>
              </w:rPr>
              <w:lastRenderedPageBreak/>
              <w:t>原辅材料及产品分区有序摆放。</w:t>
            </w:r>
          </w:p>
          <w:p w:rsidR="00DB7CC8" w:rsidRDefault="002B5250">
            <w:pPr>
              <w:pStyle w:val="afffffffc"/>
              <w:spacing w:line="240" w:lineRule="auto"/>
              <w:jc w:val="left"/>
            </w:pPr>
            <w:r>
              <w:rPr>
                <w:rFonts w:hint="eastAsia"/>
              </w:rPr>
              <w:t>（</w:t>
            </w:r>
            <w:r>
              <w:rPr>
                <w:rFonts w:hint="eastAsia"/>
              </w:rPr>
              <w:t>4</w:t>
            </w:r>
            <w:r>
              <w:rPr>
                <w:rFonts w:hint="eastAsia"/>
              </w:rPr>
              <w:t>）</w:t>
            </w:r>
            <w:r>
              <w:rPr>
                <w:rFonts w:hint="eastAsia"/>
              </w:rPr>
              <w:t>物料储存</w:t>
            </w:r>
            <w:r>
              <w:rPr>
                <w:rFonts w:hint="eastAsia"/>
              </w:rPr>
              <w:t>：</w:t>
            </w:r>
            <w:r>
              <w:rPr>
                <w:rFonts w:hint="eastAsia"/>
              </w:rPr>
              <w:t>储存铁精粉等易产生扬尘的粉状或者粒状物料的，应当采取入棚、入仓的</w:t>
            </w:r>
          </w:p>
          <w:p w:rsidR="00DB7CC8" w:rsidRDefault="002B5250">
            <w:pPr>
              <w:pStyle w:val="afffffffc"/>
              <w:spacing w:line="240" w:lineRule="auto"/>
              <w:jc w:val="left"/>
            </w:pPr>
            <w:r>
              <w:rPr>
                <w:rFonts w:hint="eastAsia"/>
              </w:rPr>
              <w:t>方式封闭储存。</w:t>
            </w:r>
          </w:p>
          <w:p w:rsidR="00DB7CC8" w:rsidRDefault="002B5250">
            <w:pPr>
              <w:pStyle w:val="afffffffc"/>
              <w:spacing w:line="240" w:lineRule="auto"/>
              <w:jc w:val="left"/>
            </w:pPr>
            <w:r>
              <w:rPr>
                <w:rFonts w:hint="eastAsia"/>
              </w:rPr>
              <w:t>（</w:t>
            </w:r>
            <w:r>
              <w:rPr>
                <w:rFonts w:hint="eastAsia"/>
              </w:rPr>
              <w:t>5</w:t>
            </w:r>
            <w:r>
              <w:rPr>
                <w:rFonts w:hint="eastAsia"/>
              </w:rPr>
              <w:t>）</w:t>
            </w:r>
            <w:r>
              <w:rPr>
                <w:rFonts w:hint="eastAsia"/>
              </w:rPr>
              <w:t>物料</w:t>
            </w:r>
            <w:r>
              <w:rPr>
                <w:rFonts w:hint="eastAsia"/>
              </w:rPr>
              <w:t>运输</w:t>
            </w:r>
            <w:r>
              <w:rPr>
                <w:rFonts w:hint="eastAsia"/>
              </w:rPr>
              <w:t>：</w:t>
            </w:r>
            <w:r>
              <w:rPr>
                <w:rFonts w:hint="eastAsia"/>
              </w:rPr>
              <w:t>厂区内永久道路应硬化，保持清洁，湿式清扫，路面无明显可见积尘；其它道路</w:t>
            </w:r>
          </w:p>
          <w:p w:rsidR="00DB7CC8" w:rsidRDefault="002B5250">
            <w:pPr>
              <w:pStyle w:val="afffffffc"/>
              <w:spacing w:line="240" w:lineRule="auto"/>
              <w:jc w:val="left"/>
            </w:pPr>
            <w:r>
              <w:rPr>
                <w:rFonts w:hint="eastAsia"/>
              </w:rPr>
              <w:t>平整压实，并采取定期洒水清扫等抑尘措施。</w:t>
            </w:r>
          </w:p>
          <w:p w:rsidR="00DB7CC8" w:rsidRDefault="002B5250">
            <w:pPr>
              <w:pStyle w:val="afffffffc"/>
              <w:spacing w:line="240" w:lineRule="auto"/>
              <w:jc w:val="left"/>
            </w:pPr>
            <w:r>
              <w:rPr>
                <w:rFonts w:hint="eastAsia"/>
              </w:rPr>
              <w:t>洗车平台：</w:t>
            </w:r>
            <w:r>
              <w:rPr>
                <w:rFonts w:hint="eastAsia"/>
              </w:rPr>
              <w:t>料场出口处（厂区出入口）安装运输车辆侧向全覆盖式强制喷淋清洗设施，地面</w:t>
            </w:r>
          </w:p>
          <w:p w:rsidR="00DB7CC8" w:rsidRDefault="002B5250">
            <w:pPr>
              <w:pStyle w:val="afffffffc"/>
              <w:spacing w:line="240" w:lineRule="auto"/>
              <w:jc w:val="left"/>
            </w:pPr>
            <w:r>
              <w:rPr>
                <w:rFonts w:hint="eastAsia"/>
              </w:rPr>
              <w:t>至少设置一排花式喷射喷头。喷淋设施应充分考虑冷冻期结冰问题，合理优化地面基础设计，洗车平台应低于地面（呈斜坡状）；清洗完成后车辆应在洗车槽内短暂停留，避免因车身带水过多造成道路湿滑和冬季积水结冰等安全隐患；冲洗介质可使</w:t>
            </w:r>
            <w:r>
              <w:rPr>
                <w:rFonts w:hint="eastAsia"/>
              </w:rPr>
              <w:t>用温水、添加防冻物质等有效防冻措施；冲洗水循环利用，不外排。</w:t>
            </w:r>
          </w:p>
        </w:tc>
        <w:tc>
          <w:tcPr>
            <w:tcW w:w="1484" w:type="pct"/>
            <w:vAlign w:val="center"/>
          </w:tcPr>
          <w:p w:rsidR="00DB7CC8" w:rsidRDefault="002B5250">
            <w:pPr>
              <w:pStyle w:val="afffffffc"/>
              <w:spacing w:line="240" w:lineRule="auto"/>
              <w:jc w:val="left"/>
            </w:pPr>
            <w:r>
              <w:rPr>
                <w:rFonts w:hint="eastAsia"/>
              </w:rPr>
              <w:lastRenderedPageBreak/>
              <w:t>本项目</w:t>
            </w:r>
            <w:r>
              <w:rPr>
                <w:rFonts w:hint="eastAsia"/>
              </w:rPr>
              <w:t>破碎、筛分、干选、辊磨等设备全部</w:t>
            </w:r>
            <w:r>
              <w:rPr>
                <w:rFonts w:hint="eastAsia"/>
              </w:rPr>
              <w:t>布置于封闭生产车间内；除尘器灰仓底部设水箱，除尘灰卸至水箱内，由渣浆泵打入球磨机回用于生产；厂区物料全部堆存于封闭库房内，不露天堆存，车间定</w:t>
            </w:r>
            <w:r>
              <w:rPr>
                <w:rFonts w:hint="eastAsia"/>
              </w:rPr>
              <w:lastRenderedPageBreak/>
              <w:t>期清扫可保持环境整洁；厂区配备洒水车、湿扫车定期对厂区进行清扫；厂区出入口、成品库门口设有洗车平台，配备</w:t>
            </w:r>
            <w:r>
              <w:rPr>
                <w:rFonts w:hint="eastAsia"/>
              </w:rPr>
              <w:t>全覆盖式强制喷淋清洗设施</w:t>
            </w:r>
            <w:r>
              <w:rPr>
                <w:rFonts w:hint="eastAsia"/>
              </w:rPr>
              <w:t>，</w:t>
            </w:r>
            <w:r>
              <w:rPr>
                <w:rFonts w:hint="eastAsia"/>
              </w:rPr>
              <w:t>洗车废水沉淀处理后循环利用不外排。</w:t>
            </w:r>
          </w:p>
        </w:tc>
        <w:tc>
          <w:tcPr>
            <w:tcW w:w="643" w:type="pct"/>
            <w:vAlign w:val="center"/>
          </w:tcPr>
          <w:p w:rsidR="00DB7CC8" w:rsidRDefault="002B5250">
            <w:pPr>
              <w:pStyle w:val="afffffffc"/>
              <w:spacing w:line="240" w:lineRule="auto"/>
            </w:pPr>
            <w:r>
              <w:rPr>
                <w:rFonts w:hint="eastAsia"/>
              </w:rPr>
              <w:lastRenderedPageBreak/>
              <w:t>满足</w:t>
            </w:r>
          </w:p>
        </w:tc>
      </w:tr>
      <w:tr w:rsidR="00DB7CC8">
        <w:tc>
          <w:tcPr>
            <w:tcW w:w="701" w:type="pct"/>
            <w:vAlign w:val="center"/>
          </w:tcPr>
          <w:p w:rsidR="00DB7CC8" w:rsidRDefault="002B5250">
            <w:pPr>
              <w:pStyle w:val="afffffffc"/>
              <w:spacing w:line="240" w:lineRule="auto"/>
            </w:pPr>
            <w:r>
              <w:rPr>
                <w:rFonts w:hint="eastAsia"/>
              </w:rPr>
              <w:t>排放限值</w:t>
            </w:r>
          </w:p>
        </w:tc>
        <w:tc>
          <w:tcPr>
            <w:tcW w:w="2170" w:type="pct"/>
            <w:vAlign w:val="center"/>
          </w:tcPr>
          <w:p w:rsidR="00DB7CC8" w:rsidRDefault="002B5250">
            <w:pPr>
              <w:pStyle w:val="afffffffc"/>
              <w:spacing w:line="240" w:lineRule="auto"/>
              <w:jc w:val="left"/>
            </w:pPr>
            <w:r>
              <w:t>颗粒物有组织排放浓度不超过</w:t>
            </w:r>
            <w:r>
              <w:t>10mg/m</w:t>
            </w:r>
            <w:r>
              <w:rPr>
                <w:vertAlign w:val="superscript"/>
              </w:rPr>
              <w:t>3</w:t>
            </w:r>
            <w:r>
              <w:t>；颗粒无组织排放浓度不高于</w:t>
            </w:r>
            <w:r>
              <w:t>1mg/m</w:t>
            </w:r>
            <w:r>
              <w:rPr>
                <w:vertAlign w:val="superscript"/>
              </w:rPr>
              <w:t>3</w:t>
            </w:r>
            <w:r>
              <w:t>；</w:t>
            </w:r>
          </w:p>
        </w:tc>
        <w:tc>
          <w:tcPr>
            <w:tcW w:w="1484" w:type="pct"/>
            <w:vAlign w:val="center"/>
          </w:tcPr>
          <w:p w:rsidR="00DB7CC8" w:rsidRDefault="002B5250">
            <w:pPr>
              <w:pStyle w:val="afffffffc"/>
              <w:spacing w:line="240" w:lineRule="auto"/>
              <w:jc w:val="left"/>
            </w:pPr>
            <w:r>
              <w:t>颗粒物有组织排放浓度不超过</w:t>
            </w:r>
            <w:r>
              <w:t>10mg/m</w:t>
            </w:r>
            <w:r>
              <w:rPr>
                <w:vertAlign w:val="superscript"/>
              </w:rPr>
              <w:t>3</w:t>
            </w:r>
            <w:r>
              <w:t>；颗粒无组织排放浓度不高于</w:t>
            </w:r>
            <w:r>
              <w:t>1mg/m</w:t>
            </w:r>
            <w:r>
              <w:rPr>
                <w:vertAlign w:val="superscript"/>
              </w:rPr>
              <w:t>3</w:t>
            </w:r>
          </w:p>
        </w:tc>
        <w:tc>
          <w:tcPr>
            <w:tcW w:w="643" w:type="pct"/>
            <w:vAlign w:val="center"/>
          </w:tcPr>
          <w:p w:rsidR="00DB7CC8" w:rsidRDefault="002B5250">
            <w:pPr>
              <w:pStyle w:val="afffffffc"/>
              <w:spacing w:line="240" w:lineRule="auto"/>
            </w:pPr>
            <w:r>
              <w:rPr>
                <w:rFonts w:hint="eastAsia"/>
              </w:rPr>
              <w:t>满足</w:t>
            </w:r>
          </w:p>
        </w:tc>
      </w:tr>
      <w:tr w:rsidR="00DB7CC8">
        <w:tc>
          <w:tcPr>
            <w:tcW w:w="701" w:type="pct"/>
            <w:vAlign w:val="center"/>
          </w:tcPr>
          <w:p w:rsidR="00DB7CC8" w:rsidRDefault="002B5250">
            <w:pPr>
              <w:pStyle w:val="afffffffc"/>
              <w:spacing w:line="240" w:lineRule="auto"/>
            </w:pPr>
            <w:r>
              <w:rPr>
                <w:rFonts w:hint="eastAsia"/>
              </w:rPr>
              <w:t>监测监控水平</w:t>
            </w:r>
          </w:p>
        </w:tc>
        <w:tc>
          <w:tcPr>
            <w:tcW w:w="2170" w:type="pct"/>
            <w:vAlign w:val="center"/>
          </w:tcPr>
          <w:p w:rsidR="00DB7CC8" w:rsidRDefault="002B5250">
            <w:pPr>
              <w:pStyle w:val="afffffffc"/>
              <w:spacing w:line="240" w:lineRule="auto"/>
              <w:jc w:val="left"/>
            </w:pPr>
            <w:r>
              <w:rPr>
                <w:rFonts w:hint="eastAsia"/>
              </w:rPr>
              <w:t>生产加工区破碎筛分车间附近布设空气质量监测微站，监测</w:t>
            </w:r>
            <w:r>
              <w:rPr>
                <w:rFonts w:hint="eastAsia"/>
              </w:rPr>
              <w:t>PM</w:t>
            </w:r>
            <w:r>
              <w:rPr>
                <w:rFonts w:hint="eastAsia"/>
                <w:vertAlign w:val="subscript"/>
              </w:rPr>
              <w:t>10</w:t>
            </w:r>
            <w:r>
              <w:rPr>
                <w:rFonts w:hint="eastAsia"/>
              </w:rPr>
              <w:t>；污染治理设施安装分表计电设施；料场出入口安装高清视频监控设施，视频监控系统数据保存</w:t>
            </w:r>
            <w:r>
              <w:rPr>
                <w:rFonts w:hint="eastAsia"/>
              </w:rPr>
              <w:t xml:space="preserve">6 </w:t>
            </w:r>
            <w:r>
              <w:rPr>
                <w:rFonts w:hint="eastAsia"/>
              </w:rPr>
              <w:t>个月以上；</w:t>
            </w:r>
          </w:p>
        </w:tc>
        <w:tc>
          <w:tcPr>
            <w:tcW w:w="1484" w:type="pct"/>
            <w:vAlign w:val="center"/>
          </w:tcPr>
          <w:p w:rsidR="00DB7CC8" w:rsidRDefault="002B5250">
            <w:pPr>
              <w:pStyle w:val="afffffffc"/>
              <w:spacing w:line="240" w:lineRule="auto"/>
              <w:jc w:val="left"/>
            </w:pPr>
            <w:r>
              <w:rPr>
                <w:rFonts w:hint="eastAsia"/>
              </w:rPr>
              <w:t>本项目设有空气质量监测微站；污染治理设施安装分表计电设施；各生产车间、库房出入口安有高清视频监控设施，视频监控系统数据保存</w:t>
            </w:r>
            <w:r>
              <w:rPr>
                <w:rFonts w:hint="eastAsia"/>
              </w:rPr>
              <w:t xml:space="preserve">6 </w:t>
            </w:r>
            <w:r>
              <w:rPr>
                <w:rFonts w:hint="eastAsia"/>
              </w:rPr>
              <w:t>个月以上；</w:t>
            </w:r>
          </w:p>
        </w:tc>
        <w:tc>
          <w:tcPr>
            <w:tcW w:w="643" w:type="pct"/>
            <w:vAlign w:val="center"/>
          </w:tcPr>
          <w:p w:rsidR="00DB7CC8" w:rsidRDefault="002B5250">
            <w:pPr>
              <w:pStyle w:val="afffffffc"/>
              <w:spacing w:line="240" w:lineRule="auto"/>
            </w:pPr>
            <w:r>
              <w:rPr>
                <w:rFonts w:hint="eastAsia"/>
              </w:rPr>
              <w:t>满足</w:t>
            </w:r>
          </w:p>
        </w:tc>
      </w:tr>
      <w:tr w:rsidR="00DB7CC8">
        <w:tc>
          <w:tcPr>
            <w:tcW w:w="701" w:type="pct"/>
            <w:vAlign w:val="center"/>
          </w:tcPr>
          <w:p w:rsidR="00DB7CC8" w:rsidRDefault="002B5250">
            <w:pPr>
              <w:pStyle w:val="afffffffc"/>
              <w:spacing w:line="240" w:lineRule="auto"/>
            </w:pPr>
            <w:r>
              <w:rPr>
                <w:rFonts w:hint="eastAsia"/>
              </w:rPr>
              <w:t>运输方式</w:t>
            </w:r>
          </w:p>
        </w:tc>
        <w:tc>
          <w:tcPr>
            <w:tcW w:w="2170" w:type="pct"/>
            <w:vAlign w:val="center"/>
          </w:tcPr>
          <w:p w:rsidR="00DB7CC8" w:rsidRDefault="002B5250">
            <w:pPr>
              <w:pStyle w:val="afffffffc"/>
              <w:spacing w:line="240" w:lineRule="auto"/>
              <w:jc w:val="left"/>
            </w:pPr>
            <w:r>
              <w:rPr>
                <w:rFonts w:hint="eastAsia"/>
              </w:rPr>
              <w:t>物料公路运输全部使用达到国五及以上排放标准重型载货车辆（含燃气）或新能源车辆；厂内运输车辆全部达到国五及以上排放标准（含燃气</w:t>
            </w:r>
            <w:r>
              <w:rPr>
                <w:rFonts w:hint="eastAsia"/>
              </w:rPr>
              <w:t>)</w:t>
            </w:r>
            <w:r>
              <w:rPr>
                <w:rFonts w:hint="eastAsia"/>
              </w:rPr>
              <w:t>或使用新能源车辆</w:t>
            </w:r>
          </w:p>
        </w:tc>
        <w:tc>
          <w:tcPr>
            <w:tcW w:w="1484" w:type="pct"/>
            <w:vAlign w:val="center"/>
          </w:tcPr>
          <w:p w:rsidR="00DB7CC8" w:rsidRDefault="002B5250">
            <w:pPr>
              <w:pStyle w:val="afffffffc"/>
              <w:spacing w:line="240" w:lineRule="auto"/>
              <w:jc w:val="left"/>
            </w:pPr>
            <w:r>
              <w:rPr>
                <w:rFonts w:hint="eastAsia"/>
              </w:rPr>
              <w:t>本项目物料运输全部使用达到国五及以上排放标准重型载货车辆</w:t>
            </w:r>
          </w:p>
        </w:tc>
        <w:tc>
          <w:tcPr>
            <w:tcW w:w="643" w:type="pct"/>
            <w:vAlign w:val="center"/>
          </w:tcPr>
          <w:p w:rsidR="00DB7CC8" w:rsidRDefault="002B5250">
            <w:pPr>
              <w:pStyle w:val="afffffffc"/>
              <w:spacing w:line="240" w:lineRule="auto"/>
            </w:pPr>
            <w:r>
              <w:rPr>
                <w:rFonts w:hint="eastAsia"/>
              </w:rPr>
              <w:t>满足</w:t>
            </w:r>
          </w:p>
        </w:tc>
      </w:tr>
      <w:tr w:rsidR="00DB7CC8">
        <w:tc>
          <w:tcPr>
            <w:tcW w:w="701" w:type="pct"/>
            <w:vAlign w:val="center"/>
          </w:tcPr>
          <w:p w:rsidR="00DB7CC8" w:rsidRDefault="002B5250">
            <w:pPr>
              <w:pStyle w:val="afffffffc"/>
              <w:spacing w:line="240" w:lineRule="auto"/>
            </w:pPr>
            <w:r>
              <w:rPr>
                <w:rFonts w:hint="eastAsia"/>
              </w:rPr>
              <w:t>运输监管</w:t>
            </w:r>
          </w:p>
        </w:tc>
        <w:tc>
          <w:tcPr>
            <w:tcW w:w="2170" w:type="pct"/>
            <w:vAlign w:val="center"/>
          </w:tcPr>
          <w:p w:rsidR="00DB7CC8" w:rsidRDefault="002B5250">
            <w:pPr>
              <w:pStyle w:val="afffffffc"/>
              <w:spacing w:line="240" w:lineRule="auto"/>
              <w:jc w:val="left"/>
            </w:pPr>
            <w:r>
              <w:rPr>
                <w:rFonts w:hint="eastAsia"/>
              </w:rPr>
              <w:t>参照《重污染天气重点行业移动源应急管理技术指南》建立门禁系统和电子台账</w:t>
            </w:r>
          </w:p>
        </w:tc>
        <w:tc>
          <w:tcPr>
            <w:tcW w:w="1484" w:type="pct"/>
            <w:vAlign w:val="center"/>
          </w:tcPr>
          <w:p w:rsidR="00DB7CC8" w:rsidRDefault="002B5250">
            <w:pPr>
              <w:pStyle w:val="afffffffc"/>
              <w:spacing w:line="240" w:lineRule="auto"/>
              <w:jc w:val="left"/>
            </w:pPr>
            <w:r>
              <w:rPr>
                <w:rFonts w:hint="eastAsia"/>
              </w:rPr>
              <w:t>根据</w:t>
            </w:r>
            <w:r>
              <w:rPr>
                <w:rFonts w:hint="eastAsia"/>
              </w:rPr>
              <w:t>《重污染天气重点行业移动源应急管理技术指南》建立门禁系统和电子台账</w:t>
            </w:r>
          </w:p>
        </w:tc>
        <w:tc>
          <w:tcPr>
            <w:tcW w:w="643" w:type="pct"/>
            <w:vAlign w:val="center"/>
          </w:tcPr>
          <w:p w:rsidR="00DB7CC8" w:rsidRDefault="002B5250">
            <w:pPr>
              <w:pStyle w:val="afffffffc"/>
              <w:spacing w:line="240" w:lineRule="auto"/>
            </w:pPr>
            <w:r>
              <w:rPr>
                <w:rFonts w:hint="eastAsia"/>
              </w:rPr>
              <w:t>满足</w:t>
            </w:r>
          </w:p>
        </w:tc>
      </w:tr>
    </w:tbl>
    <w:p w:rsidR="00DB7CC8" w:rsidRDefault="002B5250">
      <w:pPr>
        <w:ind w:firstLine="480"/>
        <w:rPr>
          <w:sz w:val="24"/>
          <w:szCs w:val="24"/>
          <w:lang w:bidi="ar"/>
        </w:rPr>
      </w:pPr>
      <w:r>
        <w:rPr>
          <w:rFonts w:hint="eastAsia"/>
          <w:sz w:val="24"/>
          <w:szCs w:val="24"/>
          <w:lang w:bidi="ar"/>
        </w:rPr>
        <w:t>综上所述，遵化市鑫伟铁选厂属于引领性企业，黄色预警期间：鼓励企业结合实际，自主采取减排措施；红色预警期间：停止矿石破碎等涉气工序作业。</w:t>
      </w:r>
    </w:p>
    <w:p w:rsidR="00DB7CC8" w:rsidRDefault="002B5250">
      <w:pPr>
        <w:pStyle w:val="3"/>
        <w:numPr>
          <w:ilvl w:val="255"/>
          <w:numId w:val="0"/>
        </w:numPr>
        <w:rPr>
          <w:szCs w:val="28"/>
        </w:rPr>
      </w:pPr>
      <w:r>
        <w:rPr>
          <w:szCs w:val="28"/>
        </w:rPr>
        <w:lastRenderedPageBreak/>
        <w:t>1.</w:t>
      </w:r>
      <w:r>
        <w:rPr>
          <w:szCs w:val="28"/>
        </w:rPr>
        <w:t>3.</w:t>
      </w:r>
      <w:r>
        <w:rPr>
          <w:rFonts w:hint="eastAsia"/>
          <w:szCs w:val="28"/>
        </w:rPr>
        <w:t>6</w:t>
      </w:r>
      <w:r>
        <w:rPr>
          <w:szCs w:val="28"/>
        </w:rPr>
        <w:t xml:space="preserve"> </w:t>
      </w:r>
      <w:r>
        <w:rPr>
          <w:rFonts w:hint="eastAsia"/>
          <w:bCs w:val="0"/>
          <w:snapToGrid w:val="0"/>
          <w:kern w:val="0"/>
          <w:szCs w:val="28"/>
        </w:rPr>
        <w:t>与</w:t>
      </w:r>
      <w:r>
        <w:rPr>
          <w:bCs w:val="0"/>
          <w:snapToGrid w:val="0"/>
          <w:kern w:val="0"/>
          <w:szCs w:val="28"/>
        </w:rPr>
        <w:t>《煤场、料场、渣场扬尘污染控制技术规范》（</w:t>
      </w:r>
      <w:r>
        <w:rPr>
          <w:bCs w:val="0"/>
          <w:snapToGrid w:val="0"/>
          <w:kern w:val="0"/>
          <w:szCs w:val="28"/>
        </w:rPr>
        <w:t>DB13/T2352-2016</w:t>
      </w:r>
      <w:r>
        <w:rPr>
          <w:bCs w:val="0"/>
          <w:snapToGrid w:val="0"/>
          <w:kern w:val="0"/>
          <w:szCs w:val="28"/>
        </w:rPr>
        <w:t>）</w:t>
      </w:r>
      <w:r>
        <w:rPr>
          <w:rFonts w:hint="eastAsia"/>
          <w:bCs w:val="0"/>
          <w:snapToGrid w:val="0"/>
          <w:kern w:val="0"/>
          <w:szCs w:val="28"/>
        </w:rPr>
        <w:t>符合性</w:t>
      </w:r>
      <w:r>
        <w:rPr>
          <w:bCs w:val="0"/>
          <w:snapToGrid w:val="0"/>
          <w:kern w:val="0"/>
          <w:szCs w:val="28"/>
        </w:rPr>
        <w:t>分析</w:t>
      </w:r>
    </w:p>
    <w:p w:rsidR="00DB7CC8" w:rsidRDefault="002B5250">
      <w:pPr>
        <w:pStyle w:val="233"/>
        <w:spacing w:afterLines="50" w:after="120"/>
        <w:ind w:firstLine="480"/>
        <w:rPr>
          <w:rFonts w:cs="Times New Roman"/>
        </w:rPr>
      </w:pPr>
      <w:r>
        <w:rPr>
          <w:rFonts w:cs="Times New Roman" w:hint="eastAsia"/>
        </w:rPr>
        <w:t>本项目与</w:t>
      </w:r>
      <w:r>
        <w:rPr>
          <w:rFonts w:cs="Times New Roman"/>
        </w:rPr>
        <w:t>《煤场、料场、渣场扬尘污染控制技术规范》（</w:t>
      </w:r>
      <w:r>
        <w:rPr>
          <w:rFonts w:cs="Times New Roman"/>
        </w:rPr>
        <w:t>DB13/T2352-2016</w:t>
      </w:r>
      <w:r>
        <w:rPr>
          <w:rFonts w:cs="Times New Roman"/>
        </w:rPr>
        <w:t>）</w:t>
      </w:r>
      <w:r>
        <w:rPr>
          <w:rFonts w:cs="Times New Roman" w:hint="eastAsia"/>
        </w:rPr>
        <w:t>对物料运输、装卸、存储相关要求符合性分析见下表。</w:t>
      </w:r>
    </w:p>
    <w:p w:rsidR="00DB7CC8" w:rsidRDefault="002B5250">
      <w:pPr>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1.3-</w:t>
      </w:r>
      <w:r>
        <w:rPr>
          <w:rFonts w:eastAsia="黑体" w:hint="eastAsia"/>
          <w:kern w:val="2"/>
          <w:sz w:val="21"/>
          <w:szCs w:val="21"/>
        </w:rPr>
        <w:t>3</w:t>
      </w:r>
      <w:r>
        <w:rPr>
          <w:rFonts w:eastAsia="黑体"/>
          <w:kern w:val="2"/>
          <w:sz w:val="21"/>
          <w:szCs w:val="21"/>
        </w:rPr>
        <w:t xml:space="preserve"> </w:t>
      </w:r>
      <w:r>
        <w:rPr>
          <w:rFonts w:eastAsia="黑体"/>
          <w:kern w:val="2"/>
          <w:sz w:val="21"/>
          <w:szCs w:val="21"/>
        </w:rPr>
        <w:t>与《煤场、料场、渣场扬尘污染控制技术规范》（</w:t>
      </w:r>
      <w:r>
        <w:rPr>
          <w:rFonts w:eastAsia="黑体"/>
          <w:kern w:val="2"/>
          <w:sz w:val="21"/>
          <w:szCs w:val="21"/>
        </w:rPr>
        <w:t>DB13/T2352-2016</w:t>
      </w:r>
      <w:r>
        <w:rPr>
          <w:rFonts w:eastAsia="黑体"/>
          <w:kern w:val="2"/>
          <w:sz w:val="21"/>
          <w:szCs w:val="21"/>
        </w:rPr>
        <w:t>）</w:t>
      </w:r>
      <w:r>
        <w:rPr>
          <w:rFonts w:eastAsia="黑体" w:hint="eastAsia"/>
          <w:kern w:val="2"/>
          <w:sz w:val="21"/>
          <w:szCs w:val="21"/>
        </w:rPr>
        <w:t>相关要求符合性分析</w:t>
      </w:r>
    </w:p>
    <w:tbl>
      <w:tblPr>
        <w:tblStyle w:val="afff1"/>
        <w:tblW w:w="5000" w:type="pct"/>
        <w:tblLook w:val="04A0" w:firstRow="1" w:lastRow="0" w:firstColumn="1" w:lastColumn="0" w:noHBand="0" w:noVBand="1"/>
      </w:tblPr>
      <w:tblGrid>
        <w:gridCol w:w="662"/>
        <w:gridCol w:w="4893"/>
        <w:gridCol w:w="2299"/>
        <w:gridCol w:w="668"/>
      </w:tblGrid>
      <w:tr w:rsidR="00DB7CC8">
        <w:tc>
          <w:tcPr>
            <w:tcW w:w="0" w:type="auto"/>
            <w:vAlign w:val="center"/>
          </w:tcPr>
          <w:p w:rsidR="00DB7CC8" w:rsidRDefault="002B5250">
            <w:pPr>
              <w:pStyle w:val="afffffffc"/>
              <w:spacing w:line="240" w:lineRule="auto"/>
              <w:jc w:val="left"/>
            </w:pPr>
            <w:r>
              <w:rPr>
                <w:rFonts w:hint="eastAsia"/>
              </w:rPr>
              <w:t>项目</w:t>
            </w:r>
          </w:p>
        </w:tc>
        <w:tc>
          <w:tcPr>
            <w:tcW w:w="2871" w:type="pct"/>
            <w:vAlign w:val="center"/>
          </w:tcPr>
          <w:p w:rsidR="00DB7CC8" w:rsidRDefault="002B5250">
            <w:pPr>
              <w:pStyle w:val="afffffffc"/>
              <w:spacing w:line="240" w:lineRule="auto"/>
              <w:jc w:val="left"/>
            </w:pPr>
            <w:r>
              <w:rPr>
                <w:rFonts w:hint="eastAsia"/>
              </w:rPr>
              <w:t>技术要求</w:t>
            </w:r>
          </w:p>
        </w:tc>
        <w:tc>
          <w:tcPr>
            <w:tcW w:w="1349" w:type="pct"/>
            <w:vAlign w:val="center"/>
          </w:tcPr>
          <w:p w:rsidR="00DB7CC8" w:rsidRDefault="002B5250">
            <w:pPr>
              <w:pStyle w:val="afffffffc"/>
              <w:spacing w:line="240" w:lineRule="auto"/>
              <w:jc w:val="left"/>
            </w:pPr>
            <w:r>
              <w:rPr>
                <w:rFonts w:hint="eastAsia"/>
              </w:rPr>
              <w:t>本项目情况</w:t>
            </w:r>
          </w:p>
        </w:tc>
        <w:tc>
          <w:tcPr>
            <w:tcW w:w="0" w:type="auto"/>
            <w:vAlign w:val="center"/>
          </w:tcPr>
          <w:p w:rsidR="00DB7CC8" w:rsidRDefault="002B5250">
            <w:pPr>
              <w:pStyle w:val="afffffffc"/>
              <w:spacing w:line="240" w:lineRule="auto"/>
              <w:jc w:val="left"/>
            </w:pPr>
            <w:r>
              <w:rPr>
                <w:rFonts w:hint="eastAsia"/>
              </w:rPr>
              <w:t>分析判定</w:t>
            </w:r>
          </w:p>
        </w:tc>
      </w:tr>
      <w:tr w:rsidR="00DB7CC8">
        <w:tc>
          <w:tcPr>
            <w:tcW w:w="388" w:type="pct"/>
            <w:vMerge w:val="restart"/>
            <w:vAlign w:val="center"/>
          </w:tcPr>
          <w:p w:rsidR="00DB7CC8" w:rsidRDefault="002B5250">
            <w:pPr>
              <w:pStyle w:val="afffffffc"/>
              <w:spacing w:line="240" w:lineRule="auto"/>
              <w:jc w:val="left"/>
            </w:pPr>
            <w:r>
              <w:rPr>
                <w:rFonts w:hint="eastAsia"/>
              </w:rPr>
              <w:t>物料运输</w:t>
            </w:r>
          </w:p>
          <w:p w:rsidR="00DB7CC8" w:rsidRDefault="002B5250">
            <w:pPr>
              <w:pStyle w:val="afffffffc"/>
              <w:spacing w:line="240" w:lineRule="auto"/>
              <w:jc w:val="left"/>
            </w:pPr>
            <w:r>
              <w:rPr>
                <w:rFonts w:hint="eastAsia"/>
              </w:rPr>
              <w:t>装卸</w:t>
            </w:r>
          </w:p>
        </w:tc>
        <w:tc>
          <w:tcPr>
            <w:tcW w:w="2871" w:type="pct"/>
            <w:vAlign w:val="center"/>
          </w:tcPr>
          <w:p w:rsidR="00DB7CC8" w:rsidRDefault="002B5250">
            <w:pPr>
              <w:pStyle w:val="afffffffc"/>
              <w:spacing w:line="240" w:lineRule="auto"/>
              <w:jc w:val="left"/>
            </w:pPr>
            <w:r>
              <w:rPr>
                <w:rFonts w:hint="eastAsia"/>
              </w:rPr>
              <w:t>块状物料运输车辆装载高度最高点不得超过车辆槽帮上沿</w:t>
            </w:r>
            <w:r>
              <w:rPr>
                <w:rFonts w:hint="eastAsia"/>
              </w:rPr>
              <w:t>40cm</w:t>
            </w:r>
            <w:r>
              <w:rPr>
                <w:rFonts w:hint="eastAsia"/>
              </w:rPr>
              <w:t>，两侧边缘应当低于槽帮上缘</w:t>
            </w:r>
            <w:r>
              <w:rPr>
                <w:rFonts w:hint="eastAsia"/>
              </w:rPr>
              <w:t>10cm</w:t>
            </w:r>
            <w:r>
              <w:rPr>
                <w:rFonts w:hint="eastAsia"/>
              </w:rPr>
              <w:t>。车斗应用苫布覆盖，苫布边缘至少要遮住槽帮上沿以下</w:t>
            </w:r>
            <w:r>
              <w:rPr>
                <w:rFonts w:hint="eastAsia"/>
              </w:rPr>
              <w:t>15cm</w:t>
            </w:r>
            <w:r>
              <w:rPr>
                <w:rFonts w:hint="eastAsia"/>
              </w:rPr>
              <w:t>。物料转运时转运设施应采取密闭措施，转运站和落料点配套抽风收尘装置。</w:t>
            </w:r>
          </w:p>
        </w:tc>
        <w:tc>
          <w:tcPr>
            <w:tcW w:w="1349" w:type="pct"/>
            <w:vAlign w:val="center"/>
          </w:tcPr>
          <w:p w:rsidR="00DB7CC8" w:rsidRDefault="002B5250">
            <w:pPr>
              <w:pStyle w:val="afffffffc"/>
              <w:spacing w:line="240" w:lineRule="auto"/>
              <w:jc w:val="left"/>
            </w:pPr>
            <w:r>
              <w:rPr>
                <w:rFonts w:hint="eastAsia"/>
              </w:rPr>
              <w:t>本项目矿石运输车辆装载高度最高点不超过车辆槽帮上沿</w:t>
            </w:r>
            <w:r>
              <w:rPr>
                <w:rFonts w:hint="eastAsia"/>
              </w:rPr>
              <w:t>40cm</w:t>
            </w:r>
            <w:r>
              <w:rPr>
                <w:rFonts w:hint="eastAsia"/>
              </w:rPr>
              <w:t>，两侧边缘低于槽帮上缘</w:t>
            </w:r>
            <w:r>
              <w:rPr>
                <w:rFonts w:hint="eastAsia"/>
              </w:rPr>
              <w:t>10cm</w:t>
            </w:r>
            <w:r>
              <w:rPr>
                <w:rFonts w:hint="eastAsia"/>
              </w:rPr>
              <w:t>。物料进厂后通过全封闭皮带机转运，落料点设集气罩收集废气</w:t>
            </w:r>
          </w:p>
        </w:tc>
        <w:tc>
          <w:tcPr>
            <w:tcW w:w="0" w:type="auto"/>
            <w:vAlign w:val="center"/>
          </w:tcPr>
          <w:p w:rsidR="00DB7CC8" w:rsidRDefault="002B5250">
            <w:pPr>
              <w:pStyle w:val="afffffffc"/>
              <w:spacing w:line="240" w:lineRule="auto"/>
              <w:jc w:val="left"/>
            </w:pPr>
            <w:r>
              <w:rPr>
                <w:rFonts w:hint="eastAsia"/>
              </w:rPr>
              <w:t>符合</w:t>
            </w:r>
          </w:p>
        </w:tc>
      </w:tr>
      <w:tr w:rsidR="00DB7CC8">
        <w:tc>
          <w:tcPr>
            <w:tcW w:w="388" w:type="pct"/>
            <w:vMerge/>
            <w:vAlign w:val="center"/>
          </w:tcPr>
          <w:p w:rsidR="00DB7CC8" w:rsidRDefault="00DB7CC8">
            <w:pPr>
              <w:pStyle w:val="afffffffc"/>
              <w:spacing w:line="240" w:lineRule="auto"/>
              <w:jc w:val="left"/>
            </w:pPr>
          </w:p>
        </w:tc>
        <w:tc>
          <w:tcPr>
            <w:tcW w:w="2871" w:type="pct"/>
            <w:vAlign w:val="center"/>
          </w:tcPr>
          <w:p w:rsidR="00DB7CC8" w:rsidRDefault="002B5250">
            <w:pPr>
              <w:pStyle w:val="afffffffc"/>
              <w:spacing w:line="240" w:lineRule="auto"/>
              <w:jc w:val="left"/>
            </w:pPr>
            <w:r>
              <w:rPr>
                <w:rFonts w:hint="eastAsia"/>
              </w:rPr>
              <w:t>应设置洗车平台，完善排水设施，防止泥土粘带。运输车辆在料场出口内侧设置洗车平台，车辆驶离料场前，应在洗车平台清洗轮胎及车身，不得带泥上路。洗车平台四周应设置防溢座、废水导流渠、废水收集池、沉砂池及其它防治设施，收集洗车以及降水过程中产生的废水和泥浆。</w:t>
            </w:r>
          </w:p>
        </w:tc>
        <w:tc>
          <w:tcPr>
            <w:tcW w:w="1349" w:type="pct"/>
            <w:vAlign w:val="center"/>
          </w:tcPr>
          <w:p w:rsidR="00DB7CC8" w:rsidRDefault="002B5250">
            <w:pPr>
              <w:pStyle w:val="afffffffc"/>
              <w:spacing w:line="240" w:lineRule="auto"/>
              <w:jc w:val="left"/>
            </w:pPr>
            <w:r>
              <w:rPr>
                <w:rFonts w:hint="eastAsia"/>
              </w:rPr>
              <w:t>厂区出入口、成品库门口设有洗车平台，配备</w:t>
            </w:r>
            <w:r>
              <w:rPr>
                <w:rFonts w:hint="eastAsia"/>
              </w:rPr>
              <w:t>全覆盖式强制喷淋清洗设施</w:t>
            </w:r>
            <w:r>
              <w:rPr>
                <w:rFonts w:hint="eastAsia"/>
              </w:rPr>
              <w:t>，</w:t>
            </w:r>
            <w:r>
              <w:rPr>
                <w:rFonts w:hint="eastAsia"/>
              </w:rPr>
              <w:t>洗车废水沉淀处理后循环利用不外排。</w:t>
            </w:r>
          </w:p>
        </w:tc>
        <w:tc>
          <w:tcPr>
            <w:tcW w:w="0" w:type="auto"/>
            <w:vAlign w:val="center"/>
          </w:tcPr>
          <w:p w:rsidR="00DB7CC8" w:rsidRDefault="002B5250">
            <w:pPr>
              <w:pStyle w:val="afffffffc"/>
              <w:spacing w:line="240" w:lineRule="auto"/>
              <w:jc w:val="left"/>
            </w:pPr>
            <w:r>
              <w:rPr>
                <w:rFonts w:hint="eastAsia"/>
              </w:rPr>
              <w:t>符合</w:t>
            </w:r>
          </w:p>
        </w:tc>
      </w:tr>
      <w:tr w:rsidR="00DB7CC8">
        <w:tc>
          <w:tcPr>
            <w:tcW w:w="388" w:type="pct"/>
            <w:vMerge/>
            <w:vAlign w:val="center"/>
          </w:tcPr>
          <w:p w:rsidR="00DB7CC8" w:rsidRDefault="00DB7CC8">
            <w:pPr>
              <w:pStyle w:val="afffffffc"/>
              <w:spacing w:line="240" w:lineRule="auto"/>
              <w:jc w:val="left"/>
            </w:pPr>
          </w:p>
        </w:tc>
        <w:tc>
          <w:tcPr>
            <w:tcW w:w="2871" w:type="pct"/>
            <w:vAlign w:val="center"/>
          </w:tcPr>
          <w:p w:rsidR="00DB7CC8" w:rsidRDefault="002B5250">
            <w:pPr>
              <w:pStyle w:val="afffffffc"/>
              <w:spacing w:line="240" w:lineRule="auto"/>
              <w:jc w:val="left"/>
            </w:pPr>
            <w:r>
              <w:rPr>
                <w:rFonts w:hint="eastAsia"/>
              </w:rPr>
              <w:t>露天装卸物料应当采取洒水、喷淋等抑尘措施，密闭输送物料应在装卸处配备吸尘、喷淋等设施。</w:t>
            </w:r>
          </w:p>
        </w:tc>
        <w:tc>
          <w:tcPr>
            <w:tcW w:w="1349" w:type="pct"/>
            <w:vAlign w:val="center"/>
          </w:tcPr>
          <w:p w:rsidR="00DB7CC8" w:rsidRDefault="002B5250">
            <w:pPr>
              <w:pStyle w:val="afffffffc"/>
              <w:spacing w:line="240" w:lineRule="auto"/>
              <w:jc w:val="left"/>
            </w:pPr>
            <w:r>
              <w:rPr>
                <w:rFonts w:hint="eastAsia"/>
              </w:rPr>
              <w:t>本项目不露天装卸物料</w:t>
            </w:r>
          </w:p>
        </w:tc>
        <w:tc>
          <w:tcPr>
            <w:tcW w:w="0" w:type="auto"/>
            <w:vAlign w:val="center"/>
          </w:tcPr>
          <w:p w:rsidR="00DB7CC8" w:rsidRDefault="002B5250">
            <w:pPr>
              <w:pStyle w:val="afffffffc"/>
              <w:spacing w:line="240" w:lineRule="auto"/>
              <w:jc w:val="left"/>
            </w:pPr>
            <w:r>
              <w:rPr>
                <w:rFonts w:hint="eastAsia"/>
              </w:rPr>
              <w:t>符合</w:t>
            </w:r>
          </w:p>
        </w:tc>
      </w:tr>
      <w:tr w:rsidR="00DB7CC8">
        <w:tc>
          <w:tcPr>
            <w:tcW w:w="0" w:type="auto"/>
            <w:vAlign w:val="center"/>
          </w:tcPr>
          <w:p w:rsidR="00DB7CC8" w:rsidRDefault="002B5250">
            <w:pPr>
              <w:pStyle w:val="afffffffc"/>
              <w:spacing w:line="240" w:lineRule="auto"/>
              <w:jc w:val="left"/>
            </w:pPr>
            <w:r>
              <w:rPr>
                <w:rFonts w:hint="eastAsia"/>
              </w:rPr>
              <w:t>物料存储</w:t>
            </w:r>
          </w:p>
        </w:tc>
        <w:tc>
          <w:tcPr>
            <w:tcW w:w="2871" w:type="pct"/>
            <w:vAlign w:val="center"/>
          </w:tcPr>
          <w:p w:rsidR="00DB7CC8" w:rsidRDefault="002B5250">
            <w:pPr>
              <w:pStyle w:val="afffffffc"/>
              <w:spacing w:line="240" w:lineRule="auto"/>
              <w:jc w:val="left"/>
            </w:pPr>
            <w:r>
              <w:rPr>
                <w:rFonts w:hint="eastAsia"/>
              </w:rPr>
              <w:t>粉状物料储存可采用入棚、入仓储存，棚内设有喷淋装置，在物料装卸时洒水降尘，棚内应设置横向防雨天窗，也可采用防风抑尘网</w:t>
            </w:r>
            <w:r>
              <w:rPr>
                <w:rFonts w:hint="eastAsia"/>
              </w:rPr>
              <w:t>+</w:t>
            </w:r>
            <w:r>
              <w:rPr>
                <w:rFonts w:hint="eastAsia"/>
              </w:rPr>
              <w:t>喷淋装置进行储存。</w:t>
            </w:r>
          </w:p>
        </w:tc>
        <w:tc>
          <w:tcPr>
            <w:tcW w:w="1349" w:type="pct"/>
            <w:vAlign w:val="center"/>
          </w:tcPr>
          <w:p w:rsidR="00DB7CC8" w:rsidRDefault="002B5250">
            <w:pPr>
              <w:pStyle w:val="afffffffc"/>
              <w:spacing w:line="240" w:lineRule="auto"/>
              <w:jc w:val="left"/>
            </w:pPr>
            <w:r>
              <w:rPr>
                <w:rFonts w:hint="eastAsia"/>
              </w:rPr>
              <w:t>厂区物料全部堆存于封闭库房内，不露天堆存</w:t>
            </w:r>
          </w:p>
        </w:tc>
        <w:tc>
          <w:tcPr>
            <w:tcW w:w="0" w:type="auto"/>
            <w:vAlign w:val="center"/>
          </w:tcPr>
          <w:p w:rsidR="00DB7CC8" w:rsidRDefault="002B5250">
            <w:pPr>
              <w:pStyle w:val="afffffffc"/>
              <w:spacing w:line="240" w:lineRule="auto"/>
              <w:jc w:val="left"/>
            </w:pPr>
            <w:r>
              <w:rPr>
                <w:rFonts w:hint="eastAsia"/>
              </w:rPr>
              <w:t>符合</w:t>
            </w:r>
          </w:p>
        </w:tc>
      </w:tr>
    </w:tbl>
    <w:p w:rsidR="00DB7CC8" w:rsidRDefault="00DB7CC8">
      <w:pPr>
        <w:pStyle w:val="af7"/>
      </w:pPr>
    </w:p>
    <w:p w:rsidR="00DB7CC8" w:rsidRDefault="002B5250">
      <w:pPr>
        <w:pStyle w:val="2"/>
        <w:keepLines w:val="0"/>
        <w:widowControl/>
        <w:numPr>
          <w:ilvl w:val="1"/>
          <w:numId w:val="2"/>
        </w:numPr>
        <w:tabs>
          <w:tab w:val="left" w:pos="482"/>
        </w:tabs>
        <w:spacing w:before="0" w:after="0" w:line="360" w:lineRule="auto"/>
        <w:ind w:left="567"/>
        <w:rPr>
          <w:rFonts w:ascii="Times New Roman" w:eastAsia="宋体" w:hAnsi="Times New Roman"/>
          <w:bCs w:val="0"/>
          <w:snapToGrid w:val="0"/>
          <w:kern w:val="0"/>
          <w:sz w:val="28"/>
          <w:szCs w:val="28"/>
        </w:rPr>
      </w:pPr>
      <w:bookmarkStart w:id="36" w:name="_Toc5029"/>
      <w:r>
        <w:rPr>
          <w:rFonts w:ascii="Times New Roman" w:eastAsia="宋体" w:hAnsi="Times New Roman"/>
          <w:bCs w:val="0"/>
          <w:snapToGrid w:val="0"/>
          <w:kern w:val="0"/>
          <w:sz w:val="28"/>
          <w:szCs w:val="28"/>
        </w:rPr>
        <w:t>关注的主要环境问题及环境影响</w:t>
      </w:r>
      <w:bookmarkEnd w:id="27"/>
      <w:bookmarkEnd w:id="28"/>
      <w:bookmarkEnd w:id="29"/>
      <w:bookmarkEnd w:id="30"/>
      <w:bookmarkEnd w:id="31"/>
      <w:bookmarkEnd w:id="36"/>
    </w:p>
    <w:p w:rsidR="00DB7CC8" w:rsidRDefault="002B5250">
      <w:pPr>
        <w:snapToGrid w:val="0"/>
        <w:ind w:firstLine="496"/>
        <w:jc w:val="both"/>
        <w:rPr>
          <w:bCs/>
          <w:spacing w:val="4"/>
          <w:sz w:val="24"/>
        </w:rPr>
      </w:pPr>
      <w:r>
        <w:rPr>
          <w:rFonts w:hint="eastAsia"/>
          <w:bCs/>
          <w:spacing w:val="4"/>
          <w:sz w:val="24"/>
        </w:rPr>
        <w:t>项目环境影响评价内容主要包括：概述、总则、建设项目工程分析、环境现状调查与评价、环境影响预测与评价、环境保护措施及其可行性论证、环境影响经济损益分析、环境管理与监测计划、环境影响评价结论等。</w:t>
      </w:r>
    </w:p>
    <w:p w:rsidR="00DB7CC8" w:rsidRDefault="002B5250">
      <w:pPr>
        <w:snapToGrid w:val="0"/>
        <w:ind w:firstLine="496"/>
        <w:jc w:val="both"/>
        <w:rPr>
          <w:bCs/>
          <w:sz w:val="24"/>
        </w:rPr>
      </w:pPr>
      <w:r>
        <w:rPr>
          <w:rFonts w:hint="eastAsia"/>
          <w:bCs/>
          <w:spacing w:val="4"/>
          <w:sz w:val="24"/>
        </w:rPr>
        <w:t>本项目需关注主要的环境问题为生产过程中产生的废水、废气、噪声、固废等污染物产生及排放控制措施；重点分析废气排放对周围环境空气的影响、固废处理处置的影响。</w:t>
      </w:r>
    </w:p>
    <w:p w:rsidR="00DB7CC8" w:rsidRDefault="002B5250">
      <w:pPr>
        <w:pStyle w:val="2"/>
        <w:keepLines w:val="0"/>
        <w:widowControl/>
        <w:numPr>
          <w:ilvl w:val="1"/>
          <w:numId w:val="2"/>
        </w:numPr>
        <w:tabs>
          <w:tab w:val="left" w:pos="482"/>
        </w:tabs>
        <w:spacing w:before="0" w:after="0" w:line="360" w:lineRule="auto"/>
        <w:ind w:left="567"/>
        <w:rPr>
          <w:rFonts w:ascii="Times New Roman" w:eastAsia="宋体" w:hAnsi="Times New Roman"/>
          <w:bCs w:val="0"/>
          <w:snapToGrid w:val="0"/>
          <w:kern w:val="0"/>
          <w:sz w:val="28"/>
          <w:szCs w:val="28"/>
        </w:rPr>
      </w:pPr>
      <w:bookmarkStart w:id="37" w:name="_Toc20321"/>
      <w:bookmarkStart w:id="38" w:name="_Toc521591667"/>
      <w:bookmarkStart w:id="39" w:name="_Toc503218093"/>
      <w:bookmarkStart w:id="40" w:name="_Toc524284656"/>
      <w:bookmarkStart w:id="41" w:name="_Toc21336"/>
      <w:bookmarkStart w:id="42" w:name="_Toc26550"/>
      <w:bookmarkStart w:id="43" w:name="_Toc179"/>
      <w:bookmarkStart w:id="44" w:name="_Toc476574684"/>
      <w:bookmarkStart w:id="45" w:name="_Toc499651394"/>
      <w:r>
        <w:rPr>
          <w:rFonts w:ascii="Times New Roman" w:eastAsia="宋体" w:hAnsi="Times New Roman" w:hint="eastAsia"/>
          <w:bCs w:val="0"/>
          <w:snapToGrid w:val="0"/>
          <w:kern w:val="0"/>
          <w:sz w:val="28"/>
          <w:szCs w:val="28"/>
        </w:rPr>
        <w:t>评价</w:t>
      </w:r>
      <w:r>
        <w:rPr>
          <w:rFonts w:ascii="Times New Roman" w:eastAsia="宋体" w:hAnsi="Times New Roman"/>
          <w:bCs w:val="0"/>
          <w:snapToGrid w:val="0"/>
          <w:kern w:val="0"/>
          <w:sz w:val="28"/>
          <w:szCs w:val="28"/>
        </w:rPr>
        <w:t>结论</w:t>
      </w:r>
      <w:bookmarkEnd w:id="37"/>
      <w:bookmarkEnd w:id="38"/>
      <w:bookmarkEnd w:id="39"/>
      <w:bookmarkEnd w:id="40"/>
      <w:bookmarkEnd w:id="41"/>
      <w:bookmarkEnd w:id="42"/>
      <w:bookmarkEnd w:id="43"/>
      <w:bookmarkEnd w:id="44"/>
      <w:bookmarkEnd w:id="45"/>
    </w:p>
    <w:p w:rsidR="00DB7CC8" w:rsidRDefault="002B5250">
      <w:pPr>
        <w:snapToGrid w:val="0"/>
        <w:ind w:firstLine="480"/>
        <w:jc w:val="both"/>
        <w:rPr>
          <w:sz w:val="24"/>
          <w:szCs w:val="24"/>
        </w:rPr>
      </w:pPr>
      <w:r>
        <w:rPr>
          <w:rFonts w:hint="eastAsia"/>
          <w:sz w:val="24"/>
          <w:szCs w:val="24"/>
        </w:rPr>
        <w:t>经本次评价分析，生产工艺中主要污染源采用的防治措施可行，污染物达标排放，对周围环境影响较小。只要切实落实工程环保实施方案，并做到“三同时”，</w:t>
      </w:r>
      <w:r>
        <w:rPr>
          <w:rFonts w:hint="eastAsia"/>
          <w:sz w:val="24"/>
          <w:szCs w:val="24"/>
        </w:rPr>
        <w:lastRenderedPageBreak/>
        <w:t>同时加强环境管理，从环境保护角度考虑，本项目建设可行。</w:t>
      </w:r>
    </w:p>
    <w:p w:rsidR="00DB7CC8" w:rsidRDefault="002B5250">
      <w:pPr>
        <w:ind w:firstLine="480"/>
        <w:jc w:val="both"/>
        <w:rPr>
          <w:sz w:val="24"/>
          <w:szCs w:val="24"/>
        </w:rPr>
      </w:pPr>
      <w:r>
        <w:rPr>
          <w:rFonts w:hint="eastAsia"/>
          <w:sz w:val="24"/>
          <w:szCs w:val="24"/>
        </w:rPr>
        <w:t>在报告书编制过程中，得到了</w:t>
      </w:r>
      <w:r>
        <w:rPr>
          <w:rFonts w:hint="eastAsia"/>
          <w:sz w:val="24"/>
          <w:szCs w:val="24"/>
        </w:rPr>
        <w:t>遵化市行政审批</w:t>
      </w:r>
      <w:r>
        <w:rPr>
          <w:rFonts w:hint="eastAsia"/>
          <w:sz w:val="24"/>
          <w:szCs w:val="24"/>
        </w:rPr>
        <w:t>局、遵化市鑫伟铁选厂等诸多单位的大力支持和帮助，在此一并致谢！</w:t>
      </w:r>
    </w:p>
    <w:p w:rsidR="00DB7CC8" w:rsidRDefault="00DB7CC8">
      <w:pPr>
        <w:ind w:firstLine="496"/>
        <w:jc w:val="both"/>
        <w:rPr>
          <w:bCs/>
          <w:spacing w:val="4"/>
          <w:sz w:val="24"/>
        </w:rPr>
      </w:pPr>
    </w:p>
    <w:p w:rsidR="00DB7CC8" w:rsidRDefault="00DB7CC8">
      <w:pPr>
        <w:spacing w:line="460" w:lineRule="exact"/>
        <w:ind w:firstLineChars="0" w:firstLine="0"/>
        <w:sectPr w:rsidR="00DB7CC8">
          <w:headerReference w:type="default" r:id="rId16"/>
          <w:footerReference w:type="default" r:id="rId17"/>
          <w:pgSz w:w="11906" w:h="16838"/>
          <w:pgMar w:top="1440" w:right="1800" w:bottom="1135" w:left="1800" w:header="851" w:footer="992" w:gutter="0"/>
          <w:pgNumType w:start="1"/>
          <w:cols w:space="720"/>
          <w:docGrid w:linePitch="312"/>
        </w:sectPr>
      </w:pPr>
    </w:p>
    <w:p w:rsidR="00DB7CC8" w:rsidRDefault="002B5250">
      <w:pPr>
        <w:pStyle w:val="1"/>
        <w:numPr>
          <w:ilvl w:val="0"/>
          <w:numId w:val="1"/>
        </w:numPr>
        <w:rPr>
          <w:rFonts w:ascii="Times New Roman"/>
          <w:sz w:val="36"/>
        </w:rPr>
      </w:pPr>
      <w:bookmarkStart w:id="46" w:name="_Toc22633"/>
      <w:bookmarkStart w:id="47" w:name="_Toc524284657"/>
      <w:bookmarkStart w:id="48" w:name="_Toc9364"/>
      <w:bookmarkStart w:id="49" w:name="_Toc18006"/>
      <w:bookmarkStart w:id="50" w:name="_Toc22810"/>
      <w:bookmarkStart w:id="51" w:name="_Toc521591668"/>
      <w:r>
        <w:rPr>
          <w:rFonts w:ascii="Times New Roman"/>
          <w:sz w:val="36"/>
        </w:rPr>
        <w:lastRenderedPageBreak/>
        <w:t>总则</w:t>
      </w:r>
      <w:bookmarkEnd w:id="46"/>
      <w:bookmarkEnd w:id="47"/>
      <w:bookmarkEnd w:id="48"/>
      <w:bookmarkEnd w:id="49"/>
      <w:bookmarkEnd w:id="50"/>
      <w:bookmarkEnd w:id="51"/>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52" w:name="_Toc3976"/>
      <w:bookmarkStart w:id="53" w:name="_Toc521591669"/>
      <w:bookmarkStart w:id="54" w:name="_Toc28134"/>
      <w:bookmarkStart w:id="55" w:name="_Toc13558"/>
      <w:bookmarkStart w:id="56" w:name="_Toc5807"/>
      <w:bookmarkStart w:id="57" w:name="_Toc499651396"/>
      <w:bookmarkStart w:id="58" w:name="_Toc503218095"/>
      <w:bookmarkStart w:id="59" w:name="_Toc476574686"/>
      <w:bookmarkStart w:id="60" w:name="_Toc524284658"/>
      <w:bookmarkStart w:id="61" w:name="_Toc50980392"/>
      <w:r>
        <w:rPr>
          <w:rFonts w:ascii="Times New Roman" w:eastAsia="宋体" w:hAnsi="Times New Roman"/>
          <w:bCs w:val="0"/>
          <w:snapToGrid w:val="0"/>
          <w:kern w:val="0"/>
          <w:sz w:val="28"/>
          <w:szCs w:val="28"/>
        </w:rPr>
        <w:t>编制依据</w:t>
      </w:r>
      <w:bookmarkEnd w:id="52"/>
      <w:bookmarkEnd w:id="53"/>
      <w:bookmarkEnd w:id="54"/>
      <w:bookmarkEnd w:id="55"/>
      <w:bookmarkEnd w:id="56"/>
      <w:bookmarkEnd w:id="57"/>
      <w:bookmarkEnd w:id="58"/>
      <w:bookmarkEnd w:id="59"/>
      <w:bookmarkEnd w:id="60"/>
    </w:p>
    <w:p w:rsidR="00DB7CC8" w:rsidRDefault="002B5250">
      <w:pPr>
        <w:pStyle w:val="3"/>
        <w:numPr>
          <w:ilvl w:val="2"/>
          <w:numId w:val="1"/>
        </w:numPr>
        <w:rPr>
          <w:szCs w:val="28"/>
        </w:rPr>
      </w:pPr>
      <w:bookmarkStart w:id="62" w:name="_Toc521591670"/>
      <w:bookmarkStart w:id="63" w:name="_Toc8116"/>
      <w:bookmarkEnd w:id="61"/>
      <w:r>
        <w:rPr>
          <w:szCs w:val="28"/>
        </w:rPr>
        <w:t>法律</w:t>
      </w:r>
      <w:bookmarkEnd w:id="62"/>
      <w:bookmarkEnd w:id="63"/>
    </w:p>
    <w:p w:rsidR="00DB7CC8" w:rsidRDefault="002B5250">
      <w:pPr>
        <w:ind w:firstLine="480"/>
        <w:jc w:val="both"/>
        <w:rPr>
          <w:sz w:val="24"/>
          <w:szCs w:val="24"/>
        </w:rPr>
      </w:pPr>
      <w:bookmarkStart w:id="64" w:name="_Toc2560"/>
      <w:r>
        <w:rPr>
          <w:sz w:val="24"/>
          <w:szCs w:val="24"/>
        </w:rPr>
        <w:t>（</w:t>
      </w:r>
      <w:r>
        <w:rPr>
          <w:sz w:val="24"/>
          <w:szCs w:val="24"/>
        </w:rPr>
        <w:t>1</w:t>
      </w:r>
      <w:r>
        <w:rPr>
          <w:sz w:val="24"/>
          <w:szCs w:val="24"/>
        </w:rPr>
        <w:t>）《中华人民共和国环境保护法》，</w:t>
      </w:r>
      <w:r>
        <w:rPr>
          <w:sz w:val="24"/>
          <w:szCs w:val="24"/>
        </w:rPr>
        <w:t>2015</w:t>
      </w:r>
      <w:r>
        <w:rPr>
          <w:sz w:val="24"/>
          <w:szCs w:val="24"/>
        </w:rPr>
        <w:t>年</w:t>
      </w:r>
      <w:r>
        <w:rPr>
          <w:sz w:val="24"/>
          <w:szCs w:val="24"/>
        </w:rPr>
        <w:t>1</w:t>
      </w:r>
      <w:r>
        <w:rPr>
          <w:sz w:val="24"/>
          <w:szCs w:val="24"/>
        </w:rPr>
        <w:t>月</w:t>
      </w:r>
      <w:r>
        <w:rPr>
          <w:sz w:val="24"/>
          <w:szCs w:val="24"/>
        </w:rPr>
        <w:t>1</w:t>
      </w:r>
      <w:r>
        <w:rPr>
          <w:sz w:val="24"/>
          <w:szCs w:val="24"/>
        </w:rPr>
        <w:t>日施行；</w:t>
      </w:r>
    </w:p>
    <w:p w:rsidR="00DB7CC8" w:rsidRDefault="002B5250">
      <w:pPr>
        <w:ind w:firstLine="480"/>
        <w:jc w:val="both"/>
        <w:rPr>
          <w:sz w:val="24"/>
          <w:szCs w:val="24"/>
        </w:rPr>
      </w:pPr>
      <w:r>
        <w:rPr>
          <w:sz w:val="24"/>
          <w:szCs w:val="24"/>
        </w:rPr>
        <w:t>（</w:t>
      </w:r>
      <w:r>
        <w:rPr>
          <w:sz w:val="24"/>
          <w:szCs w:val="24"/>
        </w:rPr>
        <w:t>2</w:t>
      </w:r>
      <w:r>
        <w:rPr>
          <w:sz w:val="24"/>
          <w:szCs w:val="24"/>
        </w:rPr>
        <w:t>）《中华人民共和国环境影响评价法》，</w:t>
      </w:r>
      <w:r>
        <w:rPr>
          <w:sz w:val="24"/>
          <w:szCs w:val="24"/>
        </w:rPr>
        <w:t>2018</w:t>
      </w:r>
      <w:r>
        <w:rPr>
          <w:sz w:val="24"/>
          <w:szCs w:val="24"/>
        </w:rPr>
        <w:t>年</w:t>
      </w:r>
      <w:r>
        <w:rPr>
          <w:sz w:val="24"/>
          <w:szCs w:val="24"/>
        </w:rPr>
        <w:t>12</w:t>
      </w:r>
      <w:r>
        <w:rPr>
          <w:sz w:val="24"/>
          <w:szCs w:val="24"/>
        </w:rPr>
        <w:t>月</w:t>
      </w:r>
      <w:r>
        <w:rPr>
          <w:sz w:val="24"/>
          <w:szCs w:val="24"/>
        </w:rPr>
        <w:t>29</w:t>
      </w:r>
      <w:r>
        <w:rPr>
          <w:sz w:val="24"/>
          <w:szCs w:val="24"/>
        </w:rPr>
        <w:t>日施行；</w:t>
      </w:r>
    </w:p>
    <w:p w:rsidR="00DB7CC8" w:rsidRDefault="002B5250">
      <w:pPr>
        <w:ind w:firstLine="480"/>
        <w:jc w:val="both"/>
        <w:rPr>
          <w:sz w:val="24"/>
          <w:szCs w:val="24"/>
        </w:rPr>
      </w:pPr>
      <w:r>
        <w:rPr>
          <w:sz w:val="24"/>
          <w:szCs w:val="24"/>
        </w:rPr>
        <w:t>（</w:t>
      </w:r>
      <w:r>
        <w:rPr>
          <w:sz w:val="24"/>
          <w:szCs w:val="24"/>
        </w:rPr>
        <w:t>3</w:t>
      </w:r>
      <w:r>
        <w:rPr>
          <w:sz w:val="24"/>
          <w:szCs w:val="24"/>
        </w:rPr>
        <w:t>）《中华人民共和国大气污染防治法》，</w:t>
      </w:r>
      <w:r>
        <w:rPr>
          <w:sz w:val="24"/>
          <w:szCs w:val="24"/>
        </w:rPr>
        <w:t>2018</w:t>
      </w:r>
      <w:r>
        <w:rPr>
          <w:sz w:val="24"/>
          <w:szCs w:val="24"/>
        </w:rPr>
        <w:t>年</w:t>
      </w:r>
      <w:r>
        <w:rPr>
          <w:sz w:val="24"/>
          <w:szCs w:val="24"/>
        </w:rPr>
        <w:t>10</w:t>
      </w:r>
      <w:r>
        <w:rPr>
          <w:sz w:val="24"/>
          <w:szCs w:val="24"/>
        </w:rPr>
        <w:t>月修订；</w:t>
      </w:r>
    </w:p>
    <w:p w:rsidR="00DB7CC8" w:rsidRDefault="002B5250">
      <w:pPr>
        <w:ind w:firstLine="480"/>
        <w:jc w:val="both"/>
        <w:rPr>
          <w:sz w:val="24"/>
          <w:szCs w:val="24"/>
        </w:rPr>
      </w:pPr>
      <w:r>
        <w:rPr>
          <w:sz w:val="24"/>
          <w:szCs w:val="24"/>
        </w:rPr>
        <w:t>（</w:t>
      </w:r>
      <w:r>
        <w:rPr>
          <w:sz w:val="24"/>
          <w:szCs w:val="24"/>
        </w:rPr>
        <w:t>4</w:t>
      </w:r>
      <w:r>
        <w:rPr>
          <w:sz w:val="24"/>
          <w:szCs w:val="24"/>
        </w:rPr>
        <w:t>）《中华人民共和国水污染防治法》，</w:t>
      </w:r>
      <w:r>
        <w:rPr>
          <w:sz w:val="24"/>
          <w:szCs w:val="24"/>
        </w:rPr>
        <w:t>2018</w:t>
      </w:r>
      <w:r>
        <w:rPr>
          <w:sz w:val="24"/>
          <w:szCs w:val="24"/>
        </w:rPr>
        <w:t>年</w:t>
      </w:r>
      <w:r>
        <w:rPr>
          <w:sz w:val="24"/>
          <w:szCs w:val="24"/>
        </w:rPr>
        <w:t>1</w:t>
      </w:r>
      <w:r>
        <w:rPr>
          <w:sz w:val="24"/>
          <w:szCs w:val="24"/>
        </w:rPr>
        <w:t>月</w:t>
      </w:r>
      <w:r>
        <w:rPr>
          <w:sz w:val="24"/>
          <w:szCs w:val="24"/>
        </w:rPr>
        <w:t>1</w:t>
      </w:r>
      <w:r>
        <w:rPr>
          <w:sz w:val="24"/>
          <w:szCs w:val="24"/>
        </w:rPr>
        <w:t>日施行；</w:t>
      </w:r>
    </w:p>
    <w:p w:rsidR="00DB7CC8" w:rsidRDefault="002B5250">
      <w:pPr>
        <w:ind w:firstLine="480"/>
        <w:jc w:val="both"/>
        <w:rPr>
          <w:sz w:val="24"/>
          <w:szCs w:val="24"/>
        </w:rPr>
      </w:pPr>
      <w:r>
        <w:rPr>
          <w:sz w:val="24"/>
          <w:szCs w:val="24"/>
        </w:rPr>
        <w:t>（</w:t>
      </w:r>
      <w:r>
        <w:rPr>
          <w:sz w:val="24"/>
          <w:szCs w:val="24"/>
        </w:rPr>
        <w:t>5</w:t>
      </w:r>
      <w:r>
        <w:rPr>
          <w:sz w:val="24"/>
          <w:szCs w:val="24"/>
        </w:rPr>
        <w:t>）《中华人民共和国海洋环境保护法》，</w:t>
      </w:r>
      <w:r>
        <w:rPr>
          <w:sz w:val="24"/>
          <w:szCs w:val="24"/>
        </w:rPr>
        <w:t>2016</w:t>
      </w:r>
      <w:r>
        <w:rPr>
          <w:sz w:val="24"/>
          <w:szCs w:val="24"/>
        </w:rPr>
        <w:t>年</w:t>
      </w:r>
      <w:r>
        <w:rPr>
          <w:sz w:val="24"/>
          <w:szCs w:val="24"/>
        </w:rPr>
        <w:t>11</w:t>
      </w:r>
      <w:r>
        <w:rPr>
          <w:sz w:val="24"/>
          <w:szCs w:val="24"/>
        </w:rPr>
        <w:t>月</w:t>
      </w:r>
      <w:r>
        <w:rPr>
          <w:sz w:val="24"/>
          <w:szCs w:val="24"/>
        </w:rPr>
        <w:t>7</w:t>
      </w:r>
      <w:r>
        <w:rPr>
          <w:sz w:val="24"/>
          <w:szCs w:val="24"/>
        </w:rPr>
        <w:t>日修订；</w:t>
      </w:r>
    </w:p>
    <w:p w:rsidR="00DB7CC8" w:rsidRDefault="002B5250">
      <w:pPr>
        <w:ind w:firstLine="480"/>
        <w:jc w:val="both"/>
        <w:rPr>
          <w:sz w:val="24"/>
          <w:szCs w:val="24"/>
        </w:rPr>
      </w:pPr>
      <w:r>
        <w:rPr>
          <w:sz w:val="24"/>
          <w:szCs w:val="24"/>
        </w:rPr>
        <w:t>（</w:t>
      </w:r>
      <w:r>
        <w:rPr>
          <w:sz w:val="24"/>
          <w:szCs w:val="24"/>
        </w:rPr>
        <w:t>6</w:t>
      </w:r>
      <w:r>
        <w:rPr>
          <w:sz w:val="24"/>
          <w:szCs w:val="24"/>
        </w:rPr>
        <w:t>）《中华人民共和国环境噪声污染防治法》，</w:t>
      </w:r>
      <w:r>
        <w:rPr>
          <w:sz w:val="24"/>
          <w:szCs w:val="24"/>
        </w:rPr>
        <w:t xml:space="preserve"> 20</w:t>
      </w:r>
      <w:r>
        <w:rPr>
          <w:rFonts w:hint="eastAsia"/>
          <w:sz w:val="24"/>
          <w:szCs w:val="24"/>
        </w:rPr>
        <w:t>22</w:t>
      </w:r>
      <w:r>
        <w:rPr>
          <w:sz w:val="24"/>
          <w:szCs w:val="24"/>
        </w:rPr>
        <w:t>年</w:t>
      </w:r>
      <w:r>
        <w:rPr>
          <w:rFonts w:hint="eastAsia"/>
          <w:sz w:val="24"/>
          <w:szCs w:val="24"/>
        </w:rPr>
        <w:t>6</w:t>
      </w:r>
      <w:r>
        <w:rPr>
          <w:sz w:val="24"/>
          <w:szCs w:val="24"/>
        </w:rPr>
        <w:t>月</w:t>
      </w:r>
      <w:r>
        <w:rPr>
          <w:rFonts w:hint="eastAsia"/>
          <w:sz w:val="24"/>
          <w:szCs w:val="24"/>
        </w:rPr>
        <w:t>5</w:t>
      </w:r>
      <w:r>
        <w:rPr>
          <w:sz w:val="24"/>
          <w:szCs w:val="24"/>
        </w:rPr>
        <w:t>日施行；</w:t>
      </w:r>
    </w:p>
    <w:p w:rsidR="00DB7CC8" w:rsidRDefault="002B5250">
      <w:pPr>
        <w:ind w:firstLine="480"/>
        <w:jc w:val="both"/>
        <w:rPr>
          <w:sz w:val="24"/>
          <w:szCs w:val="24"/>
        </w:rPr>
      </w:pPr>
      <w:r>
        <w:rPr>
          <w:sz w:val="24"/>
          <w:szCs w:val="24"/>
        </w:rPr>
        <w:t>（</w:t>
      </w:r>
      <w:r>
        <w:rPr>
          <w:sz w:val="24"/>
          <w:szCs w:val="24"/>
        </w:rPr>
        <w:t>7</w:t>
      </w:r>
      <w:r>
        <w:rPr>
          <w:sz w:val="24"/>
          <w:szCs w:val="24"/>
        </w:rPr>
        <w:t>）《中华人民共和国固体废物污染环境防治法》，</w:t>
      </w:r>
      <w:r>
        <w:rPr>
          <w:sz w:val="24"/>
          <w:szCs w:val="24"/>
        </w:rPr>
        <w:t>2020</w:t>
      </w:r>
      <w:r>
        <w:rPr>
          <w:sz w:val="24"/>
          <w:szCs w:val="24"/>
        </w:rPr>
        <w:t>年</w:t>
      </w:r>
      <w:r>
        <w:rPr>
          <w:sz w:val="24"/>
          <w:szCs w:val="24"/>
        </w:rPr>
        <w:t>9</w:t>
      </w:r>
      <w:r>
        <w:rPr>
          <w:sz w:val="24"/>
          <w:szCs w:val="24"/>
        </w:rPr>
        <w:t>月</w:t>
      </w:r>
      <w:r>
        <w:rPr>
          <w:sz w:val="24"/>
          <w:szCs w:val="24"/>
        </w:rPr>
        <w:t>1</w:t>
      </w:r>
      <w:r>
        <w:rPr>
          <w:sz w:val="24"/>
          <w:szCs w:val="24"/>
        </w:rPr>
        <w:t>日施行；</w:t>
      </w:r>
    </w:p>
    <w:p w:rsidR="00DB7CC8" w:rsidRDefault="002B5250">
      <w:pPr>
        <w:ind w:firstLine="480"/>
        <w:jc w:val="both"/>
        <w:rPr>
          <w:sz w:val="24"/>
          <w:szCs w:val="24"/>
        </w:rPr>
      </w:pPr>
      <w:r>
        <w:rPr>
          <w:sz w:val="24"/>
          <w:szCs w:val="24"/>
        </w:rPr>
        <w:t>（</w:t>
      </w:r>
      <w:r>
        <w:rPr>
          <w:sz w:val="24"/>
          <w:szCs w:val="24"/>
        </w:rPr>
        <w:t>8</w:t>
      </w:r>
      <w:r>
        <w:rPr>
          <w:sz w:val="24"/>
          <w:szCs w:val="24"/>
        </w:rPr>
        <w:t>）《中华人民共和国</w:t>
      </w:r>
      <w:bookmarkStart w:id="65" w:name="_GoBack"/>
      <w:bookmarkEnd w:id="65"/>
      <w:r>
        <w:rPr>
          <w:sz w:val="24"/>
          <w:szCs w:val="24"/>
        </w:rPr>
        <w:t>土壤污染防治法》，</w:t>
      </w:r>
      <w:r>
        <w:rPr>
          <w:sz w:val="24"/>
          <w:szCs w:val="24"/>
        </w:rPr>
        <w:t>2019</w:t>
      </w:r>
      <w:r>
        <w:rPr>
          <w:sz w:val="24"/>
          <w:szCs w:val="24"/>
        </w:rPr>
        <w:t>年</w:t>
      </w:r>
      <w:r>
        <w:rPr>
          <w:sz w:val="24"/>
          <w:szCs w:val="24"/>
        </w:rPr>
        <w:t>1</w:t>
      </w:r>
      <w:r>
        <w:rPr>
          <w:sz w:val="24"/>
          <w:szCs w:val="24"/>
        </w:rPr>
        <w:t>月</w:t>
      </w:r>
      <w:r>
        <w:rPr>
          <w:sz w:val="24"/>
          <w:szCs w:val="24"/>
        </w:rPr>
        <w:t>1</w:t>
      </w:r>
      <w:r>
        <w:rPr>
          <w:sz w:val="24"/>
          <w:szCs w:val="24"/>
        </w:rPr>
        <w:t>日施行；</w:t>
      </w:r>
    </w:p>
    <w:p w:rsidR="00DB7CC8" w:rsidRDefault="002B5250">
      <w:pPr>
        <w:ind w:firstLine="480"/>
        <w:jc w:val="both"/>
        <w:rPr>
          <w:sz w:val="24"/>
          <w:szCs w:val="24"/>
        </w:rPr>
      </w:pPr>
      <w:r>
        <w:rPr>
          <w:sz w:val="24"/>
          <w:szCs w:val="24"/>
        </w:rPr>
        <w:t>（</w:t>
      </w:r>
      <w:r>
        <w:rPr>
          <w:sz w:val="24"/>
          <w:szCs w:val="24"/>
        </w:rPr>
        <w:t>9</w:t>
      </w:r>
      <w:r>
        <w:rPr>
          <w:sz w:val="24"/>
          <w:szCs w:val="24"/>
        </w:rPr>
        <w:t>）《中华人民共和国环境保护税法》，</w:t>
      </w:r>
      <w:r>
        <w:rPr>
          <w:sz w:val="24"/>
          <w:szCs w:val="24"/>
        </w:rPr>
        <w:t>2018</w:t>
      </w:r>
      <w:r>
        <w:rPr>
          <w:sz w:val="24"/>
          <w:szCs w:val="24"/>
        </w:rPr>
        <w:t>年</w:t>
      </w:r>
      <w:r>
        <w:rPr>
          <w:sz w:val="24"/>
          <w:szCs w:val="24"/>
        </w:rPr>
        <w:t>1</w:t>
      </w:r>
      <w:r>
        <w:rPr>
          <w:sz w:val="24"/>
          <w:szCs w:val="24"/>
        </w:rPr>
        <w:t>月</w:t>
      </w:r>
      <w:r>
        <w:rPr>
          <w:sz w:val="24"/>
          <w:szCs w:val="24"/>
        </w:rPr>
        <w:t>1</w:t>
      </w:r>
      <w:r>
        <w:rPr>
          <w:sz w:val="24"/>
          <w:szCs w:val="24"/>
        </w:rPr>
        <w:t>日施行；</w:t>
      </w:r>
    </w:p>
    <w:p w:rsidR="00DB7CC8" w:rsidRDefault="002B5250">
      <w:pPr>
        <w:ind w:firstLine="480"/>
        <w:jc w:val="both"/>
        <w:rPr>
          <w:sz w:val="24"/>
          <w:szCs w:val="24"/>
        </w:rPr>
      </w:pPr>
      <w:r>
        <w:rPr>
          <w:sz w:val="24"/>
          <w:szCs w:val="24"/>
        </w:rPr>
        <w:t>（</w:t>
      </w:r>
      <w:r>
        <w:rPr>
          <w:sz w:val="24"/>
          <w:szCs w:val="24"/>
        </w:rPr>
        <w:t>10</w:t>
      </w:r>
      <w:r>
        <w:rPr>
          <w:sz w:val="24"/>
          <w:szCs w:val="24"/>
        </w:rPr>
        <w:t>）《中华人民共和国清洁生产促进法》，</w:t>
      </w:r>
      <w:r>
        <w:rPr>
          <w:sz w:val="24"/>
          <w:szCs w:val="24"/>
        </w:rPr>
        <w:t>2018</w:t>
      </w:r>
      <w:r>
        <w:rPr>
          <w:sz w:val="24"/>
          <w:szCs w:val="24"/>
        </w:rPr>
        <w:t>年</w:t>
      </w:r>
      <w:r>
        <w:rPr>
          <w:sz w:val="24"/>
          <w:szCs w:val="24"/>
        </w:rPr>
        <w:t>10</w:t>
      </w:r>
      <w:r>
        <w:rPr>
          <w:sz w:val="24"/>
          <w:szCs w:val="24"/>
        </w:rPr>
        <w:t>月</w:t>
      </w:r>
      <w:r>
        <w:rPr>
          <w:sz w:val="24"/>
          <w:szCs w:val="24"/>
        </w:rPr>
        <w:t>26</w:t>
      </w:r>
      <w:r>
        <w:rPr>
          <w:sz w:val="24"/>
          <w:szCs w:val="24"/>
        </w:rPr>
        <w:t>日修订；</w:t>
      </w:r>
    </w:p>
    <w:p w:rsidR="00DB7CC8" w:rsidRDefault="002B5250">
      <w:pPr>
        <w:ind w:firstLine="480"/>
        <w:jc w:val="both"/>
        <w:rPr>
          <w:sz w:val="24"/>
          <w:szCs w:val="24"/>
        </w:rPr>
      </w:pPr>
      <w:r>
        <w:rPr>
          <w:sz w:val="24"/>
          <w:szCs w:val="24"/>
        </w:rPr>
        <w:t>（</w:t>
      </w:r>
      <w:r>
        <w:rPr>
          <w:sz w:val="24"/>
          <w:szCs w:val="24"/>
        </w:rPr>
        <w:t>11</w:t>
      </w:r>
      <w:r>
        <w:rPr>
          <w:sz w:val="24"/>
          <w:szCs w:val="24"/>
        </w:rPr>
        <w:t>）《中华人民共和国循环</w:t>
      </w:r>
      <w:r>
        <w:rPr>
          <w:sz w:val="24"/>
          <w:szCs w:val="24"/>
        </w:rPr>
        <w:t>经济促进法》，</w:t>
      </w:r>
      <w:r>
        <w:rPr>
          <w:sz w:val="24"/>
          <w:szCs w:val="24"/>
        </w:rPr>
        <w:t>2009</w:t>
      </w:r>
      <w:r>
        <w:rPr>
          <w:sz w:val="24"/>
          <w:szCs w:val="24"/>
        </w:rPr>
        <w:t>年</w:t>
      </w:r>
      <w:r>
        <w:rPr>
          <w:sz w:val="24"/>
          <w:szCs w:val="24"/>
        </w:rPr>
        <w:t>1</w:t>
      </w:r>
      <w:r>
        <w:rPr>
          <w:sz w:val="24"/>
          <w:szCs w:val="24"/>
        </w:rPr>
        <w:t>月</w:t>
      </w:r>
      <w:r>
        <w:rPr>
          <w:sz w:val="24"/>
          <w:szCs w:val="24"/>
        </w:rPr>
        <w:t>1</w:t>
      </w:r>
      <w:r>
        <w:rPr>
          <w:sz w:val="24"/>
          <w:szCs w:val="24"/>
        </w:rPr>
        <w:t>日施行；</w:t>
      </w:r>
    </w:p>
    <w:p w:rsidR="00DB7CC8" w:rsidRDefault="002B5250">
      <w:pPr>
        <w:ind w:firstLine="480"/>
        <w:jc w:val="both"/>
        <w:rPr>
          <w:sz w:val="24"/>
          <w:szCs w:val="24"/>
        </w:rPr>
      </w:pPr>
      <w:r>
        <w:rPr>
          <w:sz w:val="24"/>
          <w:szCs w:val="24"/>
        </w:rPr>
        <w:t>（</w:t>
      </w:r>
      <w:r>
        <w:rPr>
          <w:sz w:val="24"/>
          <w:szCs w:val="24"/>
        </w:rPr>
        <w:t>12</w:t>
      </w:r>
      <w:r>
        <w:rPr>
          <w:sz w:val="24"/>
          <w:szCs w:val="24"/>
        </w:rPr>
        <w:t>）《中华人民共和国节约能源法》，</w:t>
      </w:r>
      <w:r>
        <w:rPr>
          <w:sz w:val="24"/>
          <w:szCs w:val="24"/>
        </w:rPr>
        <w:t>2018</w:t>
      </w:r>
      <w:r>
        <w:rPr>
          <w:sz w:val="24"/>
          <w:szCs w:val="24"/>
        </w:rPr>
        <w:t>年</w:t>
      </w:r>
      <w:r>
        <w:rPr>
          <w:sz w:val="24"/>
          <w:szCs w:val="24"/>
        </w:rPr>
        <w:t>10</w:t>
      </w:r>
      <w:r>
        <w:rPr>
          <w:sz w:val="24"/>
          <w:szCs w:val="24"/>
        </w:rPr>
        <w:t>月</w:t>
      </w:r>
      <w:r>
        <w:rPr>
          <w:sz w:val="24"/>
          <w:szCs w:val="24"/>
        </w:rPr>
        <w:t>26</w:t>
      </w:r>
      <w:r>
        <w:rPr>
          <w:sz w:val="24"/>
          <w:szCs w:val="24"/>
        </w:rPr>
        <w:t>日修订；</w:t>
      </w:r>
    </w:p>
    <w:p w:rsidR="00DB7CC8" w:rsidRDefault="002B5250">
      <w:pPr>
        <w:ind w:firstLine="480"/>
        <w:jc w:val="both"/>
        <w:rPr>
          <w:sz w:val="24"/>
          <w:szCs w:val="24"/>
        </w:rPr>
      </w:pPr>
      <w:r>
        <w:rPr>
          <w:sz w:val="24"/>
          <w:szCs w:val="24"/>
        </w:rPr>
        <w:t>（</w:t>
      </w:r>
      <w:r>
        <w:rPr>
          <w:sz w:val="24"/>
          <w:szCs w:val="24"/>
        </w:rPr>
        <w:t>13</w:t>
      </w:r>
      <w:r>
        <w:rPr>
          <w:sz w:val="24"/>
          <w:szCs w:val="24"/>
        </w:rPr>
        <w:t>）《中华人民共和国土地管理法》，</w:t>
      </w:r>
      <w:r>
        <w:rPr>
          <w:sz w:val="24"/>
          <w:szCs w:val="24"/>
        </w:rPr>
        <w:t>2020</w:t>
      </w:r>
      <w:r>
        <w:rPr>
          <w:sz w:val="24"/>
          <w:szCs w:val="24"/>
        </w:rPr>
        <w:t>年</w:t>
      </w:r>
      <w:r>
        <w:rPr>
          <w:sz w:val="24"/>
          <w:szCs w:val="24"/>
        </w:rPr>
        <w:t>01</w:t>
      </w:r>
      <w:r>
        <w:rPr>
          <w:sz w:val="24"/>
          <w:szCs w:val="24"/>
        </w:rPr>
        <w:t>月</w:t>
      </w:r>
      <w:r>
        <w:rPr>
          <w:sz w:val="24"/>
          <w:szCs w:val="24"/>
        </w:rPr>
        <w:t>01</w:t>
      </w:r>
      <w:r>
        <w:rPr>
          <w:sz w:val="24"/>
          <w:szCs w:val="24"/>
        </w:rPr>
        <w:t>日；</w:t>
      </w:r>
    </w:p>
    <w:p w:rsidR="00DB7CC8" w:rsidRDefault="002B5250">
      <w:pPr>
        <w:ind w:firstLine="480"/>
        <w:jc w:val="both"/>
        <w:rPr>
          <w:sz w:val="24"/>
          <w:szCs w:val="24"/>
        </w:rPr>
      </w:pPr>
      <w:r>
        <w:rPr>
          <w:sz w:val="24"/>
          <w:szCs w:val="24"/>
        </w:rPr>
        <w:t>（</w:t>
      </w:r>
      <w:r>
        <w:rPr>
          <w:sz w:val="24"/>
          <w:szCs w:val="24"/>
        </w:rPr>
        <w:t>14</w:t>
      </w:r>
      <w:r>
        <w:rPr>
          <w:sz w:val="24"/>
          <w:szCs w:val="24"/>
        </w:rPr>
        <w:t>）《中华人民共和国水法》，</w:t>
      </w:r>
      <w:r>
        <w:rPr>
          <w:sz w:val="24"/>
          <w:szCs w:val="24"/>
        </w:rPr>
        <w:t>2016</w:t>
      </w:r>
      <w:r>
        <w:rPr>
          <w:sz w:val="24"/>
          <w:szCs w:val="24"/>
        </w:rPr>
        <w:t>年</w:t>
      </w:r>
      <w:r>
        <w:rPr>
          <w:sz w:val="24"/>
          <w:szCs w:val="24"/>
        </w:rPr>
        <w:t>7</w:t>
      </w:r>
      <w:r>
        <w:rPr>
          <w:sz w:val="24"/>
          <w:szCs w:val="24"/>
        </w:rPr>
        <w:t>月</w:t>
      </w:r>
      <w:r>
        <w:rPr>
          <w:sz w:val="24"/>
          <w:szCs w:val="24"/>
        </w:rPr>
        <w:t>2</w:t>
      </w:r>
      <w:r>
        <w:rPr>
          <w:sz w:val="24"/>
          <w:szCs w:val="24"/>
        </w:rPr>
        <w:t>日修订。</w:t>
      </w:r>
    </w:p>
    <w:p w:rsidR="00DB7CC8" w:rsidRDefault="002B5250">
      <w:pPr>
        <w:pStyle w:val="3"/>
        <w:numPr>
          <w:ilvl w:val="2"/>
          <w:numId w:val="1"/>
        </w:numPr>
        <w:rPr>
          <w:szCs w:val="28"/>
        </w:rPr>
      </w:pPr>
      <w:r>
        <w:rPr>
          <w:szCs w:val="28"/>
        </w:rPr>
        <w:t>法规及部门规章</w:t>
      </w:r>
      <w:bookmarkEnd w:id="64"/>
    </w:p>
    <w:p w:rsidR="00DB7CC8" w:rsidRDefault="002B5250">
      <w:pPr>
        <w:ind w:firstLine="480"/>
        <w:jc w:val="both"/>
        <w:rPr>
          <w:sz w:val="24"/>
          <w:szCs w:val="24"/>
        </w:rPr>
      </w:pPr>
      <w:r>
        <w:rPr>
          <w:sz w:val="24"/>
          <w:szCs w:val="24"/>
        </w:rPr>
        <w:t>（</w:t>
      </w:r>
      <w:r>
        <w:rPr>
          <w:sz w:val="24"/>
          <w:szCs w:val="24"/>
        </w:rPr>
        <w:t>1</w:t>
      </w:r>
      <w:r>
        <w:rPr>
          <w:sz w:val="24"/>
          <w:szCs w:val="24"/>
        </w:rPr>
        <w:t>）《建设项目环境保护管理条例》（国务院令第</w:t>
      </w:r>
      <w:r>
        <w:rPr>
          <w:sz w:val="24"/>
          <w:szCs w:val="24"/>
        </w:rPr>
        <w:t>682</w:t>
      </w:r>
      <w:r>
        <w:rPr>
          <w:sz w:val="24"/>
          <w:szCs w:val="24"/>
        </w:rPr>
        <w:t>号，</w:t>
      </w:r>
      <w:r>
        <w:rPr>
          <w:sz w:val="24"/>
          <w:szCs w:val="24"/>
        </w:rPr>
        <w:t>2017</w:t>
      </w:r>
      <w:r>
        <w:rPr>
          <w:sz w:val="24"/>
          <w:szCs w:val="24"/>
        </w:rPr>
        <w:t>年</w:t>
      </w:r>
      <w:r>
        <w:rPr>
          <w:sz w:val="24"/>
          <w:szCs w:val="24"/>
        </w:rPr>
        <w:t>7</w:t>
      </w:r>
      <w:r>
        <w:rPr>
          <w:sz w:val="24"/>
          <w:szCs w:val="24"/>
        </w:rPr>
        <w:t>月</w:t>
      </w:r>
      <w:r>
        <w:rPr>
          <w:sz w:val="24"/>
          <w:szCs w:val="24"/>
        </w:rPr>
        <w:t>16</w:t>
      </w:r>
      <w:r>
        <w:rPr>
          <w:sz w:val="24"/>
          <w:szCs w:val="24"/>
        </w:rPr>
        <w:t>日修订，</w:t>
      </w:r>
      <w:r>
        <w:rPr>
          <w:sz w:val="24"/>
          <w:szCs w:val="24"/>
        </w:rPr>
        <w:t>2017</w:t>
      </w:r>
      <w:r>
        <w:rPr>
          <w:sz w:val="24"/>
          <w:szCs w:val="24"/>
        </w:rPr>
        <w:t>年</w:t>
      </w:r>
      <w:r>
        <w:rPr>
          <w:sz w:val="24"/>
          <w:szCs w:val="24"/>
        </w:rPr>
        <w:t>10</w:t>
      </w:r>
      <w:r>
        <w:rPr>
          <w:sz w:val="24"/>
          <w:szCs w:val="24"/>
        </w:rPr>
        <w:t>月</w:t>
      </w:r>
      <w:r>
        <w:rPr>
          <w:sz w:val="24"/>
          <w:szCs w:val="24"/>
        </w:rPr>
        <w:t>1</w:t>
      </w:r>
      <w:r>
        <w:rPr>
          <w:sz w:val="24"/>
          <w:szCs w:val="24"/>
        </w:rPr>
        <w:t>日起实施）；</w:t>
      </w:r>
    </w:p>
    <w:p w:rsidR="00DB7CC8" w:rsidRDefault="002B5250">
      <w:pPr>
        <w:ind w:firstLine="480"/>
        <w:jc w:val="both"/>
        <w:rPr>
          <w:sz w:val="24"/>
          <w:szCs w:val="24"/>
        </w:rPr>
      </w:pPr>
      <w:r>
        <w:rPr>
          <w:sz w:val="24"/>
          <w:szCs w:val="24"/>
        </w:rPr>
        <w:t>（</w:t>
      </w:r>
      <w:r>
        <w:rPr>
          <w:sz w:val="24"/>
          <w:szCs w:val="24"/>
        </w:rPr>
        <w:t>2</w:t>
      </w:r>
      <w:r>
        <w:rPr>
          <w:sz w:val="24"/>
          <w:szCs w:val="24"/>
        </w:rPr>
        <w:t>）《国务院关于落实科学发展观加强环境保护的决定》</w:t>
      </w:r>
      <w:r>
        <w:rPr>
          <w:sz w:val="24"/>
          <w:szCs w:val="24"/>
        </w:rPr>
        <w:t>(</w:t>
      </w:r>
      <w:r>
        <w:rPr>
          <w:sz w:val="24"/>
          <w:szCs w:val="24"/>
        </w:rPr>
        <w:t>国发</w:t>
      </w:r>
      <w:r>
        <w:rPr>
          <w:sz w:val="24"/>
          <w:szCs w:val="24"/>
        </w:rPr>
        <w:t>[2005]39</w:t>
      </w:r>
      <w:r>
        <w:rPr>
          <w:sz w:val="24"/>
          <w:szCs w:val="24"/>
        </w:rPr>
        <w:t>号</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3</w:t>
      </w:r>
      <w:r>
        <w:rPr>
          <w:sz w:val="24"/>
          <w:szCs w:val="24"/>
        </w:rPr>
        <w:t>）《国务院关于加强环境保护重点工作的意见》</w:t>
      </w:r>
      <w:r>
        <w:rPr>
          <w:sz w:val="24"/>
          <w:szCs w:val="24"/>
        </w:rPr>
        <w:t>(</w:t>
      </w:r>
      <w:r>
        <w:rPr>
          <w:sz w:val="24"/>
          <w:szCs w:val="24"/>
        </w:rPr>
        <w:t>国发</w:t>
      </w:r>
      <w:r>
        <w:rPr>
          <w:sz w:val="24"/>
          <w:szCs w:val="24"/>
        </w:rPr>
        <w:t>[2011]35</w:t>
      </w:r>
      <w:r>
        <w:rPr>
          <w:sz w:val="24"/>
          <w:szCs w:val="24"/>
        </w:rPr>
        <w:t>号</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4</w:t>
      </w:r>
      <w:r>
        <w:rPr>
          <w:sz w:val="24"/>
          <w:szCs w:val="24"/>
        </w:rPr>
        <w:t>）</w:t>
      </w:r>
      <w:r>
        <w:rPr>
          <w:sz w:val="24"/>
          <w:szCs w:val="24"/>
        </w:rPr>
        <w:t>《</w:t>
      </w:r>
      <w:r>
        <w:rPr>
          <w:sz w:val="24"/>
          <w:szCs w:val="24"/>
        </w:rPr>
        <w:t>“</w:t>
      </w:r>
      <w:r>
        <w:rPr>
          <w:sz w:val="24"/>
          <w:szCs w:val="24"/>
        </w:rPr>
        <w:t>十</w:t>
      </w:r>
      <w:r>
        <w:rPr>
          <w:rFonts w:hint="eastAsia"/>
          <w:sz w:val="24"/>
          <w:szCs w:val="24"/>
        </w:rPr>
        <w:t>四</w:t>
      </w:r>
      <w:r>
        <w:rPr>
          <w:sz w:val="24"/>
          <w:szCs w:val="24"/>
        </w:rPr>
        <w:t>五</w:t>
      </w:r>
      <w:r>
        <w:rPr>
          <w:sz w:val="24"/>
          <w:szCs w:val="24"/>
        </w:rPr>
        <w:t>”</w:t>
      </w:r>
      <w:r>
        <w:rPr>
          <w:sz w:val="24"/>
          <w:szCs w:val="24"/>
        </w:rPr>
        <w:t>生态保护</w:t>
      </w:r>
      <w:r>
        <w:rPr>
          <w:rFonts w:hint="eastAsia"/>
          <w:sz w:val="24"/>
          <w:szCs w:val="24"/>
        </w:rPr>
        <w:t>监管</w:t>
      </w:r>
      <w:r>
        <w:rPr>
          <w:sz w:val="24"/>
          <w:szCs w:val="24"/>
        </w:rPr>
        <w:t>规划》</w:t>
      </w:r>
      <w:r>
        <w:rPr>
          <w:rFonts w:hint="eastAsia"/>
          <w:sz w:val="24"/>
          <w:szCs w:val="24"/>
        </w:rPr>
        <w:t>（</w:t>
      </w:r>
      <w:r>
        <w:rPr>
          <w:rFonts w:hint="eastAsia"/>
          <w:sz w:val="24"/>
          <w:szCs w:val="24"/>
        </w:rPr>
        <w:t>环生态</w:t>
      </w:r>
      <w:r>
        <w:rPr>
          <w:sz w:val="24"/>
          <w:szCs w:val="24"/>
        </w:rPr>
        <w:t>[20</w:t>
      </w:r>
      <w:r>
        <w:rPr>
          <w:rFonts w:hint="eastAsia"/>
          <w:sz w:val="24"/>
          <w:szCs w:val="24"/>
        </w:rPr>
        <w:t>22</w:t>
      </w:r>
      <w:r>
        <w:rPr>
          <w:sz w:val="24"/>
          <w:szCs w:val="24"/>
        </w:rPr>
        <w:t>]</w:t>
      </w:r>
      <w:r>
        <w:rPr>
          <w:rFonts w:hint="eastAsia"/>
          <w:sz w:val="24"/>
          <w:szCs w:val="24"/>
        </w:rPr>
        <w:t>1</w:t>
      </w:r>
      <w:r>
        <w:rPr>
          <w:sz w:val="24"/>
          <w:szCs w:val="24"/>
        </w:rPr>
        <w:t>5</w:t>
      </w:r>
      <w:r>
        <w:rPr>
          <w:sz w:val="24"/>
          <w:szCs w:val="24"/>
        </w:rPr>
        <w:t>号</w:t>
      </w:r>
      <w:r>
        <w:rPr>
          <w:rFonts w:hint="eastAsia"/>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5</w:t>
      </w:r>
      <w:r>
        <w:rPr>
          <w:sz w:val="24"/>
          <w:szCs w:val="24"/>
        </w:rPr>
        <w:t>）《国务院大气污染防治十条措施》（</w:t>
      </w:r>
      <w:r>
        <w:rPr>
          <w:rFonts w:hint="eastAsia"/>
          <w:sz w:val="24"/>
          <w:szCs w:val="24"/>
        </w:rPr>
        <w:t>国发</w:t>
      </w:r>
      <w:r>
        <w:rPr>
          <w:rFonts w:hint="eastAsia"/>
          <w:sz w:val="24"/>
          <w:szCs w:val="24"/>
        </w:rPr>
        <w:t>[2013]37</w:t>
      </w:r>
      <w:r>
        <w:rPr>
          <w:rFonts w:hint="eastAsia"/>
          <w:sz w:val="24"/>
          <w:szCs w:val="24"/>
        </w:rPr>
        <w:t>号</w:t>
      </w:r>
      <w:r>
        <w:rPr>
          <w:sz w:val="24"/>
          <w:szCs w:val="24"/>
        </w:rPr>
        <w:t>）；</w:t>
      </w:r>
    </w:p>
    <w:p w:rsidR="00DB7CC8" w:rsidRDefault="002B5250">
      <w:pPr>
        <w:ind w:firstLine="480"/>
        <w:jc w:val="both"/>
        <w:rPr>
          <w:sz w:val="24"/>
          <w:szCs w:val="24"/>
        </w:rPr>
      </w:pPr>
      <w:r>
        <w:rPr>
          <w:sz w:val="24"/>
          <w:szCs w:val="24"/>
        </w:rPr>
        <w:t>（</w:t>
      </w:r>
      <w:r>
        <w:rPr>
          <w:sz w:val="24"/>
          <w:szCs w:val="24"/>
        </w:rPr>
        <w:t>6</w:t>
      </w:r>
      <w:r>
        <w:rPr>
          <w:sz w:val="24"/>
          <w:szCs w:val="24"/>
        </w:rPr>
        <w:t>）《产业结构调整指导目录</w:t>
      </w:r>
      <w:r>
        <w:rPr>
          <w:sz w:val="24"/>
          <w:szCs w:val="24"/>
        </w:rPr>
        <w:t>(2019</w:t>
      </w:r>
      <w:r>
        <w:rPr>
          <w:sz w:val="24"/>
          <w:szCs w:val="24"/>
        </w:rPr>
        <w:t>年本</w:t>
      </w:r>
      <w:r>
        <w:rPr>
          <w:sz w:val="24"/>
          <w:szCs w:val="24"/>
        </w:rPr>
        <w:t>)</w:t>
      </w:r>
      <w:r>
        <w:rPr>
          <w:sz w:val="24"/>
          <w:szCs w:val="24"/>
        </w:rPr>
        <w:t>》</w:t>
      </w:r>
      <w:r>
        <w:rPr>
          <w:sz w:val="24"/>
          <w:szCs w:val="24"/>
        </w:rPr>
        <w:t>(</w:t>
      </w:r>
      <w:r>
        <w:rPr>
          <w:sz w:val="24"/>
          <w:szCs w:val="24"/>
        </w:rPr>
        <w:t>国家发展和改革委员会</w:t>
      </w:r>
      <w:r>
        <w:rPr>
          <w:sz w:val="24"/>
          <w:szCs w:val="24"/>
        </w:rPr>
        <w:t>2019</w:t>
      </w:r>
      <w:r>
        <w:rPr>
          <w:sz w:val="24"/>
          <w:szCs w:val="24"/>
        </w:rPr>
        <w:t>年第</w:t>
      </w:r>
      <w:r>
        <w:rPr>
          <w:sz w:val="24"/>
          <w:szCs w:val="24"/>
        </w:rPr>
        <w:t>29</w:t>
      </w:r>
      <w:r>
        <w:rPr>
          <w:sz w:val="24"/>
          <w:szCs w:val="24"/>
        </w:rPr>
        <w:t>号令</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7</w:t>
      </w:r>
      <w:r>
        <w:rPr>
          <w:sz w:val="24"/>
          <w:szCs w:val="24"/>
        </w:rPr>
        <w:t>）《关于进一步加强环境保护信息公开工作的通知》</w:t>
      </w:r>
      <w:r>
        <w:rPr>
          <w:sz w:val="24"/>
          <w:szCs w:val="24"/>
        </w:rPr>
        <w:t>(</w:t>
      </w:r>
      <w:r>
        <w:rPr>
          <w:sz w:val="24"/>
          <w:szCs w:val="24"/>
        </w:rPr>
        <w:t>环境保护部办公厅文件环办</w:t>
      </w:r>
      <w:r>
        <w:rPr>
          <w:sz w:val="24"/>
          <w:szCs w:val="24"/>
        </w:rPr>
        <w:t>[2012]134</w:t>
      </w:r>
      <w:r>
        <w:rPr>
          <w:sz w:val="24"/>
          <w:szCs w:val="24"/>
        </w:rPr>
        <w:t>号</w:t>
      </w:r>
      <w:r>
        <w:rPr>
          <w:sz w:val="24"/>
          <w:szCs w:val="24"/>
        </w:rPr>
        <w:t>)</w:t>
      </w:r>
      <w:r>
        <w:rPr>
          <w:sz w:val="24"/>
          <w:szCs w:val="24"/>
        </w:rPr>
        <w:t>；</w:t>
      </w:r>
    </w:p>
    <w:p w:rsidR="00DB7CC8" w:rsidRDefault="002B5250">
      <w:pPr>
        <w:ind w:firstLine="480"/>
        <w:jc w:val="both"/>
        <w:rPr>
          <w:sz w:val="24"/>
          <w:szCs w:val="24"/>
        </w:rPr>
      </w:pPr>
      <w:r>
        <w:rPr>
          <w:sz w:val="24"/>
          <w:szCs w:val="24"/>
        </w:rPr>
        <w:lastRenderedPageBreak/>
        <w:t>（</w:t>
      </w:r>
      <w:r>
        <w:rPr>
          <w:sz w:val="24"/>
          <w:szCs w:val="24"/>
        </w:rPr>
        <w:t>8</w:t>
      </w:r>
      <w:r>
        <w:rPr>
          <w:sz w:val="24"/>
          <w:szCs w:val="24"/>
        </w:rPr>
        <w:t>）《国务院关于印发大气污染防治行动计划的通知》</w:t>
      </w:r>
      <w:r>
        <w:rPr>
          <w:sz w:val="24"/>
          <w:szCs w:val="24"/>
        </w:rPr>
        <w:t>(</w:t>
      </w:r>
      <w:r>
        <w:rPr>
          <w:sz w:val="24"/>
          <w:szCs w:val="24"/>
        </w:rPr>
        <w:t>国发〔</w:t>
      </w:r>
      <w:r>
        <w:rPr>
          <w:sz w:val="24"/>
          <w:szCs w:val="24"/>
        </w:rPr>
        <w:t>2013</w:t>
      </w:r>
      <w:r>
        <w:rPr>
          <w:sz w:val="24"/>
          <w:szCs w:val="24"/>
        </w:rPr>
        <w:t>〕</w:t>
      </w:r>
      <w:r>
        <w:rPr>
          <w:sz w:val="24"/>
          <w:szCs w:val="24"/>
        </w:rPr>
        <w:t>37</w:t>
      </w:r>
      <w:r>
        <w:rPr>
          <w:sz w:val="24"/>
          <w:szCs w:val="24"/>
        </w:rPr>
        <w:t>号</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9</w:t>
      </w:r>
      <w:r>
        <w:rPr>
          <w:sz w:val="24"/>
          <w:szCs w:val="24"/>
        </w:rPr>
        <w:t>）环境保护部、发展改革委等</w:t>
      </w:r>
      <w:r>
        <w:rPr>
          <w:sz w:val="24"/>
          <w:szCs w:val="24"/>
        </w:rPr>
        <w:t>6</w:t>
      </w:r>
      <w:r>
        <w:rPr>
          <w:sz w:val="24"/>
          <w:szCs w:val="24"/>
        </w:rPr>
        <w:t>部门联合印发《京津冀及周边地区落实大气污染防治行动计划实施细则》</w:t>
      </w:r>
      <w:r>
        <w:rPr>
          <w:sz w:val="24"/>
          <w:szCs w:val="24"/>
        </w:rPr>
        <w:t>(2013</w:t>
      </w:r>
      <w:r>
        <w:rPr>
          <w:sz w:val="24"/>
          <w:szCs w:val="24"/>
        </w:rPr>
        <w:t>年</w:t>
      </w:r>
      <w:r>
        <w:rPr>
          <w:sz w:val="24"/>
          <w:szCs w:val="24"/>
        </w:rPr>
        <w:t>9</w:t>
      </w:r>
      <w:r>
        <w:rPr>
          <w:sz w:val="24"/>
          <w:szCs w:val="24"/>
        </w:rPr>
        <w:t>月</w:t>
      </w:r>
      <w:r>
        <w:rPr>
          <w:sz w:val="24"/>
          <w:szCs w:val="24"/>
        </w:rPr>
        <w:t>17</w:t>
      </w:r>
      <w:r>
        <w:rPr>
          <w:sz w:val="24"/>
          <w:szCs w:val="24"/>
        </w:rPr>
        <w:t>日</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10</w:t>
      </w:r>
      <w:r>
        <w:rPr>
          <w:sz w:val="24"/>
          <w:szCs w:val="24"/>
        </w:rPr>
        <w:t>）《关于印发</w:t>
      </w:r>
      <w:r>
        <w:rPr>
          <w:sz w:val="24"/>
          <w:szCs w:val="24"/>
        </w:rPr>
        <w:t>&lt;</w:t>
      </w:r>
      <w:r>
        <w:rPr>
          <w:sz w:val="24"/>
          <w:szCs w:val="24"/>
        </w:rPr>
        <w:t>建设项目环境影响评价政府信息公开指南（试行）</w:t>
      </w:r>
      <w:r>
        <w:rPr>
          <w:sz w:val="24"/>
          <w:szCs w:val="24"/>
        </w:rPr>
        <w:t>&gt;</w:t>
      </w:r>
      <w:r>
        <w:rPr>
          <w:sz w:val="24"/>
          <w:szCs w:val="24"/>
        </w:rPr>
        <w:t>的通知》环办</w:t>
      </w:r>
      <w:r>
        <w:rPr>
          <w:sz w:val="24"/>
          <w:szCs w:val="24"/>
        </w:rPr>
        <w:t xml:space="preserve">[2013]103 </w:t>
      </w:r>
      <w:r>
        <w:rPr>
          <w:sz w:val="24"/>
          <w:szCs w:val="24"/>
        </w:rPr>
        <w:t>号；</w:t>
      </w:r>
    </w:p>
    <w:p w:rsidR="00DB7CC8" w:rsidRDefault="002B5250">
      <w:pPr>
        <w:ind w:firstLine="480"/>
        <w:jc w:val="both"/>
        <w:rPr>
          <w:sz w:val="24"/>
          <w:szCs w:val="24"/>
        </w:rPr>
      </w:pPr>
      <w:r>
        <w:rPr>
          <w:sz w:val="24"/>
          <w:szCs w:val="24"/>
        </w:rPr>
        <w:t>（</w:t>
      </w:r>
      <w:r>
        <w:rPr>
          <w:sz w:val="24"/>
          <w:szCs w:val="24"/>
        </w:rPr>
        <w:t>11</w:t>
      </w:r>
      <w:r>
        <w:rPr>
          <w:sz w:val="24"/>
          <w:szCs w:val="24"/>
        </w:rPr>
        <w:t>）《关于落实大气污染防治行动计划严格环境影响评价准入的通知》（环办</w:t>
      </w:r>
      <w:r>
        <w:rPr>
          <w:sz w:val="24"/>
          <w:szCs w:val="24"/>
        </w:rPr>
        <w:t xml:space="preserve"> [2014]30 </w:t>
      </w:r>
      <w:r>
        <w:rPr>
          <w:sz w:val="24"/>
          <w:szCs w:val="24"/>
        </w:rPr>
        <w:t>号）</w:t>
      </w:r>
      <w:r>
        <w:rPr>
          <w:sz w:val="24"/>
          <w:szCs w:val="24"/>
        </w:rPr>
        <w:t xml:space="preserve">(2014 </w:t>
      </w:r>
      <w:r>
        <w:rPr>
          <w:sz w:val="24"/>
          <w:szCs w:val="24"/>
        </w:rPr>
        <w:t>年</w:t>
      </w:r>
      <w:r>
        <w:rPr>
          <w:sz w:val="24"/>
          <w:szCs w:val="24"/>
        </w:rPr>
        <w:t>3</w:t>
      </w:r>
      <w:r>
        <w:rPr>
          <w:sz w:val="24"/>
          <w:szCs w:val="24"/>
        </w:rPr>
        <w:t>月</w:t>
      </w:r>
      <w:r>
        <w:rPr>
          <w:sz w:val="24"/>
          <w:szCs w:val="24"/>
        </w:rPr>
        <w:t>25</w:t>
      </w:r>
      <w:r>
        <w:rPr>
          <w:sz w:val="24"/>
          <w:szCs w:val="24"/>
        </w:rPr>
        <w:t>日</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12</w:t>
      </w:r>
      <w:r>
        <w:rPr>
          <w:sz w:val="24"/>
          <w:szCs w:val="24"/>
        </w:rPr>
        <w:t>）《建设项目主要污染物排放总量指标审核及管理暂行办法》</w:t>
      </w:r>
      <w:r>
        <w:rPr>
          <w:sz w:val="24"/>
          <w:szCs w:val="24"/>
        </w:rPr>
        <w:t>(</w:t>
      </w:r>
      <w:r>
        <w:rPr>
          <w:sz w:val="24"/>
          <w:szCs w:val="24"/>
        </w:rPr>
        <w:t>环境保护部</w:t>
      </w:r>
      <w:r>
        <w:rPr>
          <w:sz w:val="24"/>
          <w:szCs w:val="24"/>
        </w:rPr>
        <w:t xml:space="preserve"> 2014 </w:t>
      </w:r>
      <w:r>
        <w:rPr>
          <w:sz w:val="24"/>
          <w:szCs w:val="24"/>
        </w:rPr>
        <w:t>年</w:t>
      </w:r>
      <w:r>
        <w:rPr>
          <w:sz w:val="24"/>
          <w:szCs w:val="24"/>
        </w:rPr>
        <w:t>12</w:t>
      </w:r>
      <w:r>
        <w:rPr>
          <w:sz w:val="24"/>
          <w:szCs w:val="24"/>
        </w:rPr>
        <w:t>月</w:t>
      </w:r>
      <w:r>
        <w:rPr>
          <w:sz w:val="24"/>
          <w:szCs w:val="24"/>
        </w:rPr>
        <w:t>30</w:t>
      </w:r>
      <w:r>
        <w:rPr>
          <w:sz w:val="24"/>
          <w:szCs w:val="24"/>
        </w:rPr>
        <w:t>日</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13</w:t>
      </w:r>
      <w:r>
        <w:rPr>
          <w:sz w:val="24"/>
          <w:szCs w:val="24"/>
        </w:rPr>
        <w:t>）《国务院关于印发水污染防治行动计划的通知》</w:t>
      </w:r>
      <w:r>
        <w:rPr>
          <w:sz w:val="24"/>
          <w:szCs w:val="24"/>
        </w:rPr>
        <w:t>(</w:t>
      </w:r>
      <w:r>
        <w:rPr>
          <w:sz w:val="24"/>
          <w:szCs w:val="24"/>
        </w:rPr>
        <w:t>国</w:t>
      </w:r>
      <w:r>
        <w:rPr>
          <w:sz w:val="24"/>
          <w:szCs w:val="24"/>
        </w:rPr>
        <w:t>发〔</w:t>
      </w:r>
      <w:r>
        <w:rPr>
          <w:sz w:val="24"/>
          <w:szCs w:val="24"/>
        </w:rPr>
        <w:t>2015</w:t>
      </w:r>
      <w:r>
        <w:rPr>
          <w:sz w:val="24"/>
          <w:szCs w:val="24"/>
        </w:rPr>
        <w:t>〕</w:t>
      </w:r>
      <w:r>
        <w:rPr>
          <w:sz w:val="24"/>
          <w:szCs w:val="24"/>
        </w:rPr>
        <w:t>17</w:t>
      </w:r>
      <w:r>
        <w:rPr>
          <w:sz w:val="24"/>
          <w:szCs w:val="24"/>
        </w:rPr>
        <w:t>号</w:t>
      </w:r>
      <w:r>
        <w:rPr>
          <w:sz w:val="24"/>
          <w:szCs w:val="24"/>
        </w:rPr>
        <w:t>2015</w:t>
      </w:r>
      <w:r>
        <w:rPr>
          <w:sz w:val="24"/>
          <w:szCs w:val="24"/>
        </w:rPr>
        <w:t>年</w:t>
      </w:r>
      <w:r>
        <w:rPr>
          <w:sz w:val="24"/>
          <w:szCs w:val="24"/>
        </w:rPr>
        <w:t>4</w:t>
      </w:r>
      <w:r>
        <w:rPr>
          <w:sz w:val="24"/>
          <w:szCs w:val="24"/>
        </w:rPr>
        <w:t>月</w:t>
      </w:r>
      <w:r>
        <w:rPr>
          <w:sz w:val="24"/>
          <w:szCs w:val="24"/>
        </w:rPr>
        <w:t>2</w:t>
      </w:r>
      <w:r>
        <w:rPr>
          <w:sz w:val="24"/>
          <w:szCs w:val="24"/>
        </w:rPr>
        <w:t>日</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14</w:t>
      </w:r>
      <w:r>
        <w:rPr>
          <w:sz w:val="24"/>
          <w:szCs w:val="24"/>
        </w:rPr>
        <w:t>）《地下水管理条例》（国务院令第</w:t>
      </w:r>
      <w:r>
        <w:rPr>
          <w:sz w:val="24"/>
          <w:szCs w:val="24"/>
        </w:rPr>
        <w:t>748</w:t>
      </w:r>
      <w:r>
        <w:rPr>
          <w:sz w:val="24"/>
          <w:szCs w:val="24"/>
        </w:rPr>
        <w:t>号，</w:t>
      </w:r>
      <w:r>
        <w:rPr>
          <w:sz w:val="24"/>
          <w:szCs w:val="24"/>
        </w:rPr>
        <w:t>2021</w:t>
      </w:r>
      <w:r>
        <w:rPr>
          <w:sz w:val="24"/>
          <w:szCs w:val="24"/>
        </w:rPr>
        <w:t>年</w:t>
      </w:r>
      <w:r>
        <w:rPr>
          <w:sz w:val="24"/>
          <w:szCs w:val="24"/>
        </w:rPr>
        <w:t>11</w:t>
      </w:r>
      <w:r>
        <w:rPr>
          <w:sz w:val="24"/>
          <w:szCs w:val="24"/>
        </w:rPr>
        <w:t>月</w:t>
      </w:r>
      <w:r>
        <w:rPr>
          <w:sz w:val="24"/>
          <w:szCs w:val="24"/>
        </w:rPr>
        <w:t>9</w:t>
      </w:r>
      <w:r>
        <w:rPr>
          <w:sz w:val="24"/>
          <w:szCs w:val="24"/>
        </w:rPr>
        <w:t>日）；</w:t>
      </w:r>
    </w:p>
    <w:p w:rsidR="00DB7CC8" w:rsidRDefault="002B5250">
      <w:pPr>
        <w:ind w:firstLine="480"/>
        <w:jc w:val="both"/>
        <w:rPr>
          <w:sz w:val="24"/>
          <w:szCs w:val="24"/>
        </w:rPr>
      </w:pPr>
      <w:r>
        <w:rPr>
          <w:sz w:val="24"/>
          <w:szCs w:val="24"/>
        </w:rPr>
        <w:t>（</w:t>
      </w:r>
      <w:r>
        <w:rPr>
          <w:sz w:val="24"/>
          <w:szCs w:val="24"/>
        </w:rPr>
        <w:t>15</w:t>
      </w:r>
      <w:r>
        <w:rPr>
          <w:sz w:val="24"/>
          <w:szCs w:val="24"/>
        </w:rPr>
        <w:t>）《环境影响评价公众参与办法》（生态环境部部令第</w:t>
      </w:r>
      <w:r>
        <w:rPr>
          <w:sz w:val="24"/>
          <w:szCs w:val="24"/>
        </w:rPr>
        <w:t>4</w:t>
      </w:r>
      <w:r>
        <w:rPr>
          <w:sz w:val="24"/>
          <w:szCs w:val="24"/>
        </w:rPr>
        <w:t>号，</w:t>
      </w:r>
      <w:r>
        <w:rPr>
          <w:sz w:val="24"/>
          <w:szCs w:val="24"/>
        </w:rPr>
        <w:t>2019</w:t>
      </w:r>
      <w:r>
        <w:rPr>
          <w:sz w:val="24"/>
          <w:szCs w:val="24"/>
        </w:rPr>
        <w:t>年</w:t>
      </w:r>
      <w:r>
        <w:rPr>
          <w:sz w:val="24"/>
          <w:szCs w:val="24"/>
        </w:rPr>
        <w:t>1</w:t>
      </w:r>
      <w:r>
        <w:rPr>
          <w:sz w:val="24"/>
          <w:szCs w:val="24"/>
        </w:rPr>
        <w:t>月</w:t>
      </w:r>
      <w:r>
        <w:rPr>
          <w:sz w:val="24"/>
          <w:szCs w:val="24"/>
        </w:rPr>
        <w:t>1</w:t>
      </w:r>
      <w:r>
        <w:rPr>
          <w:sz w:val="24"/>
          <w:szCs w:val="24"/>
        </w:rPr>
        <w:t>日实施）；</w:t>
      </w:r>
    </w:p>
    <w:p w:rsidR="00DB7CC8" w:rsidRDefault="002B5250">
      <w:pPr>
        <w:ind w:firstLine="480"/>
        <w:jc w:val="both"/>
        <w:rPr>
          <w:sz w:val="24"/>
          <w:szCs w:val="24"/>
        </w:rPr>
      </w:pPr>
      <w:r>
        <w:rPr>
          <w:sz w:val="24"/>
          <w:szCs w:val="24"/>
        </w:rPr>
        <w:t>（</w:t>
      </w:r>
      <w:r>
        <w:rPr>
          <w:sz w:val="24"/>
          <w:szCs w:val="24"/>
        </w:rPr>
        <w:t>16</w:t>
      </w:r>
      <w:r>
        <w:rPr>
          <w:sz w:val="24"/>
          <w:szCs w:val="24"/>
        </w:rPr>
        <w:t>）国务院关于印发土壤污染防治行动计划的通知《土壤污染防治行动计划》</w:t>
      </w:r>
      <w:r>
        <w:rPr>
          <w:sz w:val="24"/>
          <w:szCs w:val="24"/>
        </w:rPr>
        <w:t xml:space="preserve"> (</w:t>
      </w:r>
      <w:r>
        <w:rPr>
          <w:sz w:val="24"/>
          <w:szCs w:val="24"/>
        </w:rPr>
        <w:t>国发〔</w:t>
      </w:r>
      <w:r>
        <w:rPr>
          <w:sz w:val="24"/>
          <w:szCs w:val="24"/>
        </w:rPr>
        <w:t>2016</w:t>
      </w:r>
      <w:r>
        <w:rPr>
          <w:sz w:val="24"/>
          <w:szCs w:val="24"/>
        </w:rPr>
        <w:t>〕</w:t>
      </w:r>
      <w:r>
        <w:rPr>
          <w:sz w:val="24"/>
          <w:szCs w:val="24"/>
        </w:rPr>
        <w:t>31</w:t>
      </w:r>
      <w:r>
        <w:rPr>
          <w:sz w:val="24"/>
          <w:szCs w:val="24"/>
        </w:rPr>
        <w:t>号，</w:t>
      </w:r>
      <w:r>
        <w:rPr>
          <w:sz w:val="24"/>
          <w:szCs w:val="24"/>
        </w:rPr>
        <w:t>2016</w:t>
      </w:r>
      <w:r>
        <w:rPr>
          <w:sz w:val="24"/>
          <w:szCs w:val="24"/>
        </w:rPr>
        <w:t>年</w:t>
      </w:r>
      <w:r>
        <w:rPr>
          <w:sz w:val="24"/>
          <w:szCs w:val="24"/>
        </w:rPr>
        <w:t>5</w:t>
      </w:r>
      <w:r>
        <w:rPr>
          <w:sz w:val="24"/>
          <w:szCs w:val="24"/>
        </w:rPr>
        <w:t>月</w:t>
      </w:r>
      <w:r>
        <w:rPr>
          <w:sz w:val="24"/>
          <w:szCs w:val="24"/>
        </w:rPr>
        <w:t>28</w:t>
      </w:r>
      <w:r>
        <w:rPr>
          <w:sz w:val="24"/>
          <w:szCs w:val="24"/>
        </w:rPr>
        <w:t>日</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17</w:t>
      </w:r>
      <w:r>
        <w:rPr>
          <w:sz w:val="24"/>
          <w:szCs w:val="24"/>
        </w:rPr>
        <w:t>）《</w:t>
      </w:r>
      <w:r>
        <w:rPr>
          <w:rFonts w:hint="eastAsia"/>
          <w:sz w:val="24"/>
          <w:szCs w:val="24"/>
        </w:rPr>
        <w:t>十四</w:t>
      </w:r>
      <w:r>
        <w:rPr>
          <w:sz w:val="24"/>
          <w:szCs w:val="24"/>
        </w:rPr>
        <w:t>五</w:t>
      </w:r>
      <w:r>
        <w:rPr>
          <w:rFonts w:hint="eastAsia"/>
          <w:sz w:val="24"/>
          <w:szCs w:val="24"/>
        </w:rPr>
        <w:t>生态环境保护</w:t>
      </w:r>
      <w:r>
        <w:rPr>
          <w:sz w:val="24"/>
          <w:szCs w:val="24"/>
        </w:rPr>
        <w:t>规划纲要》；</w:t>
      </w:r>
    </w:p>
    <w:p w:rsidR="00DB7CC8" w:rsidRDefault="002B5250">
      <w:pPr>
        <w:ind w:firstLine="480"/>
        <w:jc w:val="both"/>
        <w:rPr>
          <w:sz w:val="24"/>
          <w:szCs w:val="24"/>
        </w:rPr>
      </w:pPr>
      <w:r>
        <w:rPr>
          <w:sz w:val="24"/>
          <w:szCs w:val="24"/>
        </w:rPr>
        <w:t>（</w:t>
      </w:r>
      <w:r>
        <w:rPr>
          <w:sz w:val="24"/>
          <w:szCs w:val="24"/>
        </w:rPr>
        <w:t>18</w:t>
      </w:r>
      <w:r>
        <w:rPr>
          <w:sz w:val="24"/>
          <w:szCs w:val="24"/>
        </w:rPr>
        <w:t>）关于印发《</w:t>
      </w:r>
      <w:r>
        <w:rPr>
          <w:sz w:val="24"/>
          <w:szCs w:val="24"/>
        </w:rPr>
        <w:t>“</w:t>
      </w:r>
      <w:r>
        <w:rPr>
          <w:sz w:val="24"/>
          <w:szCs w:val="24"/>
        </w:rPr>
        <w:t>十三五</w:t>
      </w:r>
      <w:r>
        <w:rPr>
          <w:sz w:val="24"/>
          <w:szCs w:val="24"/>
        </w:rPr>
        <w:t>”</w:t>
      </w:r>
      <w:r>
        <w:rPr>
          <w:sz w:val="24"/>
          <w:szCs w:val="24"/>
        </w:rPr>
        <w:t>环境影响评价改革实施方案》的通知</w:t>
      </w:r>
      <w:r>
        <w:rPr>
          <w:sz w:val="24"/>
          <w:szCs w:val="24"/>
        </w:rPr>
        <w:t>(</w:t>
      </w:r>
      <w:r>
        <w:rPr>
          <w:sz w:val="24"/>
          <w:szCs w:val="24"/>
        </w:rPr>
        <w:t>环环评〔</w:t>
      </w:r>
      <w:r>
        <w:rPr>
          <w:sz w:val="24"/>
          <w:szCs w:val="24"/>
        </w:rPr>
        <w:t>2016</w:t>
      </w:r>
      <w:r>
        <w:rPr>
          <w:sz w:val="24"/>
          <w:szCs w:val="24"/>
        </w:rPr>
        <w:t>〕</w:t>
      </w:r>
      <w:r>
        <w:rPr>
          <w:sz w:val="24"/>
          <w:szCs w:val="24"/>
        </w:rPr>
        <w:t>95</w:t>
      </w:r>
      <w:r>
        <w:rPr>
          <w:sz w:val="24"/>
          <w:szCs w:val="24"/>
        </w:rPr>
        <w:t>号，</w:t>
      </w:r>
      <w:r>
        <w:rPr>
          <w:sz w:val="24"/>
          <w:szCs w:val="24"/>
        </w:rPr>
        <w:t>2016</w:t>
      </w:r>
      <w:r>
        <w:rPr>
          <w:sz w:val="24"/>
          <w:szCs w:val="24"/>
        </w:rPr>
        <w:t>年</w:t>
      </w:r>
      <w:r>
        <w:rPr>
          <w:sz w:val="24"/>
          <w:szCs w:val="24"/>
        </w:rPr>
        <w:t>7</w:t>
      </w:r>
      <w:r>
        <w:rPr>
          <w:sz w:val="24"/>
          <w:szCs w:val="24"/>
        </w:rPr>
        <w:t>月</w:t>
      </w:r>
      <w:r>
        <w:rPr>
          <w:sz w:val="24"/>
          <w:szCs w:val="24"/>
        </w:rPr>
        <w:t>15</w:t>
      </w:r>
      <w:r>
        <w:rPr>
          <w:sz w:val="24"/>
          <w:szCs w:val="24"/>
        </w:rPr>
        <w:t>日</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19</w:t>
      </w:r>
      <w:r>
        <w:rPr>
          <w:sz w:val="24"/>
          <w:szCs w:val="24"/>
        </w:rPr>
        <w:t>）《关于京津冀大气污染传输通道城市执行大气污染物特别排放限值的公告》（环境保护部公告，</w:t>
      </w:r>
      <w:r>
        <w:rPr>
          <w:sz w:val="24"/>
          <w:szCs w:val="24"/>
        </w:rPr>
        <w:t>2018</w:t>
      </w:r>
      <w:r>
        <w:rPr>
          <w:sz w:val="24"/>
          <w:szCs w:val="24"/>
        </w:rPr>
        <w:t>年第</w:t>
      </w:r>
      <w:r>
        <w:rPr>
          <w:sz w:val="24"/>
          <w:szCs w:val="24"/>
        </w:rPr>
        <w:t>9</w:t>
      </w:r>
      <w:r>
        <w:rPr>
          <w:sz w:val="24"/>
          <w:szCs w:val="24"/>
        </w:rPr>
        <w:t>号）；</w:t>
      </w:r>
    </w:p>
    <w:p w:rsidR="00DB7CC8" w:rsidRDefault="002B5250">
      <w:pPr>
        <w:ind w:firstLine="480"/>
        <w:jc w:val="both"/>
        <w:rPr>
          <w:sz w:val="24"/>
          <w:szCs w:val="24"/>
        </w:rPr>
      </w:pPr>
      <w:r>
        <w:rPr>
          <w:sz w:val="24"/>
          <w:szCs w:val="24"/>
        </w:rPr>
        <w:t>（</w:t>
      </w:r>
      <w:r>
        <w:rPr>
          <w:sz w:val="24"/>
          <w:szCs w:val="24"/>
        </w:rPr>
        <w:t>20</w:t>
      </w:r>
      <w:r>
        <w:rPr>
          <w:sz w:val="24"/>
          <w:szCs w:val="24"/>
        </w:rPr>
        <w:t>）《环境保护部办公厅关于加强和规范声环境功能区划分管理工作的通知》（环办大气函</w:t>
      </w:r>
      <w:r>
        <w:rPr>
          <w:sz w:val="24"/>
          <w:szCs w:val="24"/>
        </w:rPr>
        <w:t xml:space="preserve">[2017]1709 </w:t>
      </w:r>
      <w:r>
        <w:rPr>
          <w:sz w:val="24"/>
          <w:szCs w:val="24"/>
        </w:rPr>
        <w:t>号）；</w:t>
      </w:r>
    </w:p>
    <w:p w:rsidR="00DB7CC8" w:rsidRDefault="002B5250">
      <w:pPr>
        <w:ind w:firstLine="480"/>
        <w:jc w:val="both"/>
        <w:rPr>
          <w:sz w:val="24"/>
          <w:szCs w:val="24"/>
        </w:rPr>
      </w:pPr>
      <w:r>
        <w:rPr>
          <w:sz w:val="24"/>
          <w:szCs w:val="24"/>
        </w:rPr>
        <w:t>（</w:t>
      </w:r>
      <w:r>
        <w:rPr>
          <w:sz w:val="24"/>
          <w:szCs w:val="24"/>
        </w:rPr>
        <w:t>21</w:t>
      </w:r>
      <w:r>
        <w:rPr>
          <w:sz w:val="24"/>
          <w:szCs w:val="24"/>
        </w:rPr>
        <w:t>）《关于以改善环境质量为核心加强环境影响评价管理的通知》（环环评</w:t>
      </w:r>
      <w:r>
        <w:rPr>
          <w:sz w:val="24"/>
          <w:szCs w:val="24"/>
        </w:rPr>
        <w:t>[2016]150</w:t>
      </w:r>
      <w:r>
        <w:rPr>
          <w:sz w:val="24"/>
          <w:szCs w:val="24"/>
        </w:rPr>
        <w:t>号）</w:t>
      </w:r>
    </w:p>
    <w:p w:rsidR="00DB7CC8" w:rsidRDefault="002B5250">
      <w:pPr>
        <w:ind w:firstLine="480"/>
        <w:jc w:val="both"/>
        <w:rPr>
          <w:sz w:val="24"/>
          <w:szCs w:val="24"/>
        </w:rPr>
      </w:pPr>
      <w:r>
        <w:rPr>
          <w:sz w:val="24"/>
          <w:szCs w:val="24"/>
        </w:rPr>
        <w:t>（</w:t>
      </w:r>
      <w:r>
        <w:rPr>
          <w:sz w:val="24"/>
          <w:szCs w:val="24"/>
        </w:rPr>
        <w:t>22</w:t>
      </w:r>
      <w:r>
        <w:rPr>
          <w:sz w:val="24"/>
          <w:szCs w:val="24"/>
        </w:rPr>
        <w:t>）《河北省生态环境保护条例》（河北省人大常委会，</w:t>
      </w:r>
      <w:r>
        <w:rPr>
          <w:sz w:val="24"/>
          <w:szCs w:val="24"/>
        </w:rPr>
        <w:t>2020</w:t>
      </w:r>
      <w:r>
        <w:rPr>
          <w:sz w:val="24"/>
          <w:szCs w:val="24"/>
        </w:rPr>
        <w:t>年</w:t>
      </w:r>
      <w:r>
        <w:rPr>
          <w:sz w:val="24"/>
          <w:szCs w:val="24"/>
        </w:rPr>
        <w:t>7</w:t>
      </w:r>
      <w:r>
        <w:rPr>
          <w:sz w:val="24"/>
          <w:szCs w:val="24"/>
        </w:rPr>
        <w:t>月</w:t>
      </w:r>
      <w:r>
        <w:rPr>
          <w:sz w:val="24"/>
          <w:szCs w:val="24"/>
        </w:rPr>
        <w:t>1</w:t>
      </w:r>
      <w:r>
        <w:rPr>
          <w:sz w:val="24"/>
          <w:szCs w:val="24"/>
        </w:rPr>
        <w:t>日实施）；</w:t>
      </w:r>
    </w:p>
    <w:p w:rsidR="00DB7CC8" w:rsidRDefault="002B5250">
      <w:pPr>
        <w:ind w:firstLine="480"/>
        <w:jc w:val="both"/>
        <w:rPr>
          <w:sz w:val="24"/>
          <w:szCs w:val="24"/>
        </w:rPr>
      </w:pPr>
      <w:r>
        <w:rPr>
          <w:sz w:val="24"/>
          <w:szCs w:val="24"/>
        </w:rPr>
        <w:t>（</w:t>
      </w:r>
      <w:r>
        <w:rPr>
          <w:sz w:val="24"/>
          <w:szCs w:val="24"/>
        </w:rPr>
        <w:t>23</w:t>
      </w:r>
      <w:r>
        <w:rPr>
          <w:sz w:val="24"/>
          <w:szCs w:val="24"/>
        </w:rPr>
        <w:t>）《河北省大气污染防治条例》</w:t>
      </w:r>
      <w:r>
        <w:rPr>
          <w:sz w:val="24"/>
          <w:szCs w:val="24"/>
        </w:rPr>
        <w:t>(20</w:t>
      </w:r>
      <w:r>
        <w:rPr>
          <w:rFonts w:hint="eastAsia"/>
          <w:sz w:val="24"/>
          <w:szCs w:val="24"/>
        </w:rPr>
        <w:t>21</w:t>
      </w:r>
      <w:r>
        <w:rPr>
          <w:sz w:val="24"/>
          <w:szCs w:val="24"/>
        </w:rPr>
        <w:t>年</w:t>
      </w:r>
      <w:r>
        <w:rPr>
          <w:rFonts w:hint="eastAsia"/>
          <w:sz w:val="24"/>
          <w:szCs w:val="24"/>
        </w:rPr>
        <w:t>9</w:t>
      </w:r>
      <w:r>
        <w:rPr>
          <w:sz w:val="24"/>
          <w:szCs w:val="24"/>
        </w:rPr>
        <w:t>月</w:t>
      </w:r>
      <w:r>
        <w:rPr>
          <w:rFonts w:hint="eastAsia"/>
          <w:sz w:val="24"/>
          <w:szCs w:val="24"/>
        </w:rPr>
        <w:t>29</w:t>
      </w:r>
      <w:r>
        <w:rPr>
          <w:sz w:val="24"/>
          <w:szCs w:val="24"/>
        </w:rPr>
        <w:t>日起施行</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24</w:t>
      </w:r>
      <w:r>
        <w:rPr>
          <w:sz w:val="24"/>
          <w:szCs w:val="24"/>
        </w:rPr>
        <w:t>）《河北省水污染防治条例》（</w:t>
      </w:r>
      <w:r>
        <w:rPr>
          <w:sz w:val="24"/>
          <w:szCs w:val="24"/>
        </w:rPr>
        <w:t>201</w:t>
      </w:r>
      <w:r>
        <w:rPr>
          <w:sz w:val="24"/>
          <w:szCs w:val="24"/>
        </w:rPr>
        <w:t>8</w:t>
      </w:r>
      <w:r>
        <w:rPr>
          <w:sz w:val="24"/>
          <w:szCs w:val="24"/>
        </w:rPr>
        <w:t>年</w:t>
      </w:r>
      <w:r>
        <w:rPr>
          <w:sz w:val="24"/>
          <w:szCs w:val="24"/>
        </w:rPr>
        <w:t>5</w:t>
      </w:r>
      <w:r>
        <w:rPr>
          <w:sz w:val="24"/>
          <w:szCs w:val="24"/>
        </w:rPr>
        <w:t>月</w:t>
      </w:r>
      <w:r>
        <w:rPr>
          <w:sz w:val="24"/>
          <w:szCs w:val="24"/>
        </w:rPr>
        <w:t>31</w:t>
      </w:r>
      <w:r>
        <w:rPr>
          <w:sz w:val="24"/>
          <w:szCs w:val="24"/>
        </w:rPr>
        <w:t>日修订，</w:t>
      </w:r>
      <w:r>
        <w:rPr>
          <w:sz w:val="24"/>
          <w:szCs w:val="24"/>
        </w:rPr>
        <w:t>2018</w:t>
      </w:r>
      <w:r>
        <w:rPr>
          <w:sz w:val="24"/>
          <w:szCs w:val="24"/>
        </w:rPr>
        <w:t>年</w:t>
      </w:r>
      <w:r>
        <w:rPr>
          <w:sz w:val="24"/>
          <w:szCs w:val="24"/>
        </w:rPr>
        <w:t>9</w:t>
      </w:r>
      <w:r>
        <w:rPr>
          <w:sz w:val="24"/>
          <w:szCs w:val="24"/>
        </w:rPr>
        <w:t>月</w:t>
      </w:r>
      <w:r>
        <w:rPr>
          <w:sz w:val="24"/>
          <w:szCs w:val="24"/>
        </w:rPr>
        <w:t>1</w:t>
      </w:r>
      <w:r>
        <w:rPr>
          <w:sz w:val="24"/>
          <w:szCs w:val="24"/>
        </w:rPr>
        <w:lastRenderedPageBreak/>
        <w:t>日起施行）；</w:t>
      </w:r>
    </w:p>
    <w:p w:rsidR="00DB7CC8" w:rsidRDefault="002B5250">
      <w:pPr>
        <w:ind w:firstLine="480"/>
        <w:jc w:val="both"/>
        <w:rPr>
          <w:sz w:val="24"/>
          <w:szCs w:val="24"/>
        </w:rPr>
      </w:pPr>
      <w:r>
        <w:rPr>
          <w:sz w:val="24"/>
          <w:szCs w:val="24"/>
        </w:rPr>
        <w:t>（</w:t>
      </w:r>
      <w:r>
        <w:rPr>
          <w:sz w:val="24"/>
          <w:szCs w:val="24"/>
        </w:rPr>
        <w:t>25</w:t>
      </w:r>
      <w:r>
        <w:rPr>
          <w:sz w:val="24"/>
          <w:szCs w:val="24"/>
        </w:rPr>
        <w:t>）《河北省环境敏感区支持、限制及禁止建设项目名录（</w:t>
      </w:r>
      <w:r>
        <w:rPr>
          <w:sz w:val="24"/>
          <w:szCs w:val="24"/>
        </w:rPr>
        <w:t>2005</w:t>
      </w:r>
      <w:r>
        <w:rPr>
          <w:sz w:val="24"/>
          <w:szCs w:val="24"/>
        </w:rPr>
        <w:t>年修订版）》（河北省环境保护局）；</w:t>
      </w:r>
    </w:p>
    <w:p w:rsidR="00DB7CC8" w:rsidRDefault="002B5250">
      <w:pPr>
        <w:ind w:firstLine="480"/>
        <w:jc w:val="both"/>
        <w:rPr>
          <w:sz w:val="24"/>
          <w:szCs w:val="24"/>
        </w:rPr>
      </w:pPr>
      <w:r>
        <w:rPr>
          <w:sz w:val="24"/>
          <w:szCs w:val="24"/>
        </w:rPr>
        <w:t>（</w:t>
      </w:r>
      <w:r>
        <w:rPr>
          <w:sz w:val="24"/>
          <w:szCs w:val="24"/>
        </w:rPr>
        <w:t>26</w:t>
      </w:r>
      <w:r>
        <w:rPr>
          <w:sz w:val="24"/>
          <w:szCs w:val="24"/>
        </w:rPr>
        <w:t>）《建设项目环境管理若干问题的规定》</w:t>
      </w:r>
      <w:r>
        <w:rPr>
          <w:sz w:val="24"/>
          <w:szCs w:val="24"/>
        </w:rPr>
        <w:t>(</w:t>
      </w:r>
      <w:r>
        <w:rPr>
          <w:sz w:val="24"/>
          <w:szCs w:val="24"/>
        </w:rPr>
        <w:t>冀环</w:t>
      </w:r>
      <w:r>
        <w:rPr>
          <w:sz w:val="24"/>
          <w:szCs w:val="24"/>
        </w:rPr>
        <w:t>[2007]65</w:t>
      </w:r>
      <w:r>
        <w:rPr>
          <w:sz w:val="24"/>
          <w:szCs w:val="24"/>
        </w:rPr>
        <w:t>号文</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27</w:t>
      </w:r>
      <w:r>
        <w:rPr>
          <w:sz w:val="24"/>
          <w:szCs w:val="24"/>
        </w:rPr>
        <w:t>）《关于进一步加强环境影响评价技术审核工作的通知》</w:t>
      </w:r>
      <w:r>
        <w:rPr>
          <w:sz w:val="24"/>
          <w:szCs w:val="24"/>
        </w:rPr>
        <w:t>(</w:t>
      </w:r>
      <w:r>
        <w:rPr>
          <w:sz w:val="24"/>
          <w:szCs w:val="24"/>
        </w:rPr>
        <w:t>冀环办</w:t>
      </w:r>
      <w:r>
        <w:rPr>
          <w:sz w:val="24"/>
          <w:szCs w:val="24"/>
        </w:rPr>
        <w:t>[2011]186</w:t>
      </w:r>
      <w:r>
        <w:rPr>
          <w:sz w:val="24"/>
          <w:szCs w:val="24"/>
        </w:rPr>
        <w:t>号</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28</w:t>
      </w:r>
      <w:r>
        <w:rPr>
          <w:sz w:val="24"/>
          <w:szCs w:val="24"/>
        </w:rPr>
        <w:t>）《关于我省建设项目环境现状监测执行</w:t>
      </w:r>
      <w:r>
        <w:rPr>
          <w:sz w:val="24"/>
          <w:szCs w:val="24"/>
        </w:rPr>
        <w:t xml:space="preserve">&lt;GB3095-2012 </w:t>
      </w:r>
      <w:r>
        <w:rPr>
          <w:sz w:val="24"/>
          <w:szCs w:val="24"/>
        </w:rPr>
        <w:t>环境空气质量标准</w:t>
      </w:r>
      <w:r>
        <w:rPr>
          <w:sz w:val="24"/>
          <w:szCs w:val="24"/>
        </w:rPr>
        <w:t>&gt;</w:t>
      </w:r>
      <w:r>
        <w:rPr>
          <w:sz w:val="24"/>
          <w:szCs w:val="24"/>
        </w:rPr>
        <w:t>的通知》</w:t>
      </w:r>
      <w:r>
        <w:rPr>
          <w:sz w:val="24"/>
          <w:szCs w:val="24"/>
        </w:rPr>
        <w:t>(</w:t>
      </w:r>
      <w:r>
        <w:rPr>
          <w:sz w:val="24"/>
          <w:szCs w:val="24"/>
        </w:rPr>
        <w:t>冀环办发〔</w:t>
      </w:r>
      <w:r>
        <w:rPr>
          <w:sz w:val="24"/>
          <w:szCs w:val="24"/>
        </w:rPr>
        <w:t>2012</w:t>
      </w:r>
      <w:r>
        <w:rPr>
          <w:sz w:val="24"/>
          <w:szCs w:val="24"/>
        </w:rPr>
        <w:t>〕</w:t>
      </w:r>
      <w:r>
        <w:rPr>
          <w:sz w:val="24"/>
          <w:szCs w:val="24"/>
        </w:rPr>
        <w:t>225</w:t>
      </w:r>
      <w:r>
        <w:rPr>
          <w:sz w:val="24"/>
          <w:szCs w:val="24"/>
        </w:rPr>
        <w:t>号</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29</w:t>
      </w:r>
      <w:r>
        <w:rPr>
          <w:sz w:val="24"/>
          <w:szCs w:val="24"/>
        </w:rPr>
        <w:t>）中共河北省委河北省人民政府关于印发《河北省大气污染防治行动计</w:t>
      </w:r>
      <w:r>
        <w:rPr>
          <w:sz w:val="24"/>
          <w:szCs w:val="24"/>
        </w:rPr>
        <w:t>划实施方案》的通知（</w:t>
      </w:r>
      <w:r>
        <w:rPr>
          <w:sz w:val="24"/>
          <w:szCs w:val="24"/>
        </w:rPr>
        <w:t>2013</w:t>
      </w:r>
      <w:r>
        <w:rPr>
          <w:sz w:val="24"/>
          <w:szCs w:val="24"/>
        </w:rPr>
        <w:t>年</w:t>
      </w:r>
      <w:r>
        <w:rPr>
          <w:sz w:val="24"/>
          <w:szCs w:val="24"/>
        </w:rPr>
        <w:t>9</w:t>
      </w:r>
      <w:r>
        <w:rPr>
          <w:sz w:val="24"/>
          <w:szCs w:val="24"/>
        </w:rPr>
        <w:t>月</w:t>
      </w:r>
      <w:r>
        <w:rPr>
          <w:sz w:val="24"/>
          <w:szCs w:val="24"/>
        </w:rPr>
        <w:t>6</w:t>
      </w:r>
      <w:r>
        <w:rPr>
          <w:sz w:val="24"/>
          <w:szCs w:val="24"/>
        </w:rPr>
        <w:t>日）；</w:t>
      </w:r>
    </w:p>
    <w:p w:rsidR="00DB7CC8" w:rsidRDefault="002B5250">
      <w:pPr>
        <w:ind w:firstLine="480"/>
        <w:jc w:val="both"/>
        <w:rPr>
          <w:sz w:val="24"/>
          <w:szCs w:val="24"/>
        </w:rPr>
      </w:pPr>
      <w:r>
        <w:rPr>
          <w:sz w:val="24"/>
          <w:szCs w:val="24"/>
        </w:rPr>
        <w:t>（</w:t>
      </w:r>
      <w:r>
        <w:rPr>
          <w:sz w:val="24"/>
          <w:szCs w:val="24"/>
        </w:rPr>
        <w:t>30</w:t>
      </w:r>
      <w:r>
        <w:rPr>
          <w:sz w:val="24"/>
          <w:szCs w:val="24"/>
        </w:rPr>
        <w:t>）《河北省</w:t>
      </w:r>
      <w:r>
        <w:rPr>
          <w:sz w:val="24"/>
          <w:szCs w:val="24"/>
        </w:rPr>
        <w:t>2018</w:t>
      </w:r>
      <w:r>
        <w:rPr>
          <w:sz w:val="24"/>
          <w:szCs w:val="24"/>
        </w:rPr>
        <w:t>年建筑施工与城市道路扬尘整治工作方案》（冀建安（</w:t>
      </w:r>
      <w:r>
        <w:rPr>
          <w:sz w:val="24"/>
          <w:szCs w:val="24"/>
        </w:rPr>
        <w:t>2018</w:t>
      </w:r>
      <w:r>
        <w:rPr>
          <w:sz w:val="24"/>
          <w:szCs w:val="24"/>
        </w:rPr>
        <w:t>）</w:t>
      </w:r>
      <w:r>
        <w:rPr>
          <w:sz w:val="24"/>
          <w:szCs w:val="24"/>
        </w:rPr>
        <w:t>8</w:t>
      </w:r>
      <w:r>
        <w:rPr>
          <w:sz w:val="24"/>
          <w:szCs w:val="24"/>
        </w:rPr>
        <w:t>号）；</w:t>
      </w:r>
    </w:p>
    <w:p w:rsidR="00DB7CC8" w:rsidRDefault="002B5250">
      <w:pPr>
        <w:ind w:firstLine="480"/>
        <w:jc w:val="both"/>
        <w:rPr>
          <w:sz w:val="24"/>
          <w:szCs w:val="24"/>
        </w:rPr>
      </w:pPr>
      <w:r>
        <w:rPr>
          <w:sz w:val="24"/>
          <w:szCs w:val="24"/>
        </w:rPr>
        <w:t>（</w:t>
      </w:r>
      <w:r>
        <w:rPr>
          <w:sz w:val="24"/>
          <w:szCs w:val="24"/>
        </w:rPr>
        <w:t>31</w:t>
      </w:r>
      <w:r>
        <w:rPr>
          <w:sz w:val="24"/>
          <w:szCs w:val="24"/>
        </w:rPr>
        <w:t>）《关于河北省环境保护厅建设项目环评审批实施分类管理的通知》</w:t>
      </w:r>
      <w:r>
        <w:rPr>
          <w:sz w:val="24"/>
          <w:szCs w:val="24"/>
        </w:rPr>
        <w:t>(</w:t>
      </w:r>
      <w:r>
        <w:rPr>
          <w:sz w:val="24"/>
          <w:szCs w:val="24"/>
        </w:rPr>
        <w:t>冀环办</w:t>
      </w:r>
      <w:r>
        <w:rPr>
          <w:sz w:val="24"/>
          <w:szCs w:val="24"/>
        </w:rPr>
        <w:t>[2014]63</w:t>
      </w:r>
      <w:r>
        <w:rPr>
          <w:sz w:val="24"/>
          <w:szCs w:val="24"/>
        </w:rPr>
        <w:t>号</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32</w:t>
      </w:r>
      <w:r>
        <w:rPr>
          <w:sz w:val="24"/>
          <w:szCs w:val="24"/>
        </w:rPr>
        <w:t>）《关于河北省环境保护厅建设项目环评审批实施分类管理的通知》</w:t>
      </w:r>
      <w:r>
        <w:rPr>
          <w:sz w:val="24"/>
          <w:szCs w:val="24"/>
        </w:rPr>
        <w:t>(</w:t>
      </w:r>
      <w:r>
        <w:rPr>
          <w:sz w:val="24"/>
          <w:szCs w:val="24"/>
        </w:rPr>
        <w:t>冀环办</w:t>
      </w:r>
      <w:r>
        <w:rPr>
          <w:sz w:val="24"/>
          <w:szCs w:val="24"/>
        </w:rPr>
        <w:t>[2014]63</w:t>
      </w:r>
      <w:r>
        <w:rPr>
          <w:sz w:val="24"/>
          <w:szCs w:val="24"/>
        </w:rPr>
        <w:t>号</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33</w:t>
      </w:r>
      <w:r>
        <w:rPr>
          <w:sz w:val="24"/>
          <w:szCs w:val="24"/>
        </w:rPr>
        <w:t>）《河北省水污染防治工作方案》</w:t>
      </w:r>
      <w:r>
        <w:rPr>
          <w:rFonts w:ascii="宋体" w:hAnsi="宋体" w:cs="宋体"/>
          <w:sz w:val="24"/>
          <w:szCs w:val="24"/>
        </w:rPr>
        <w:t>(</w:t>
      </w:r>
      <w:r>
        <w:rPr>
          <w:rFonts w:ascii="宋体" w:hAnsi="宋体" w:cs="宋体"/>
          <w:sz w:val="24"/>
          <w:szCs w:val="24"/>
        </w:rPr>
        <w:t>冀发</w:t>
      </w:r>
      <w:r>
        <w:rPr>
          <w:rFonts w:ascii="宋体" w:hAnsi="宋体" w:cs="宋体"/>
          <w:sz w:val="24"/>
          <w:szCs w:val="24"/>
        </w:rPr>
        <w:t xml:space="preserve">[2015]28 </w:t>
      </w:r>
      <w:r>
        <w:rPr>
          <w:rFonts w:ascii="宋体" w:hAnsi="宋体" w:cs="宋体"/>
          <w:sz w:val="24"/>
          <w:szCs w:val="24"/>
        </w:rPr>
        <w:t>号</w:t>
      </w:r>
      <w:r>
        <w:rPr>
          <w:rFonts w:ascii="宋体" w:hAnsi="宋体" w:cs="宋体"/>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34</w:t>
      </w:r>
      <w:r>
        <w:rPr>
          <w:sz w:val="24"/>
          <w:szCs w:val="24"/>
        </w:rPr>
        <w:t>）</w:t>
      </w:r>
      <w:r>
        <w:rPr>
          <w:sz w:val="24"/>
          <w:szCs w:val="24"/>
        </w:rPr>
        <w:t>《河北省固体废物污染环境防治条例》河北省第十</w:t>
      </w:r>
      <w:r>
        <w:rPr>
          <w:rFonts w:hint="eastAsia"/>
          <w:sz w:val="24"/>
          <w:szCs w:val="24"/>
        </w:rPr>
        <w:t>三</w:t>
      </w:r>
      <w:r>
        <w:rPr>
          <w:sz w:val="24"/>
          <w:szCs w:val="24"/>
        </w:rPr>
        <w:t>届人民代表大会常务委员会公告</w:t>
      </w:r>
      <w:r>
        <w:rPr>
          <w:sz w:val="24"/>
          <w:szCs w:val="24"/>
        </w:rPr>
        <w:t>(</w:t>
      </w:r>
      <w:r>
        <w:rPr>
          <w:sz w:val="24"/>
          <w:szCs w:val="24"/>
        </w:rPr>
        <w:t>第</w:t>
      </w:r>
      <w:r>
        <w:rPr>
          <w:rFonts w:hint="eastAsia"/>
          <w:sz w:val="24"/>
          <w:szCs w:val="24"/>
        </w:rPr>
        <w:t>129</w:t>
      </w:r>
      <w:r>
        <w:rPr>
          <w:sz w:val="24"/>
          <w:szCs w:val="24"/>
        </w:rPr>
        <w:t>号</w:t>
      </w:r>
      <w:r>
        <w:rPr>
          <w:sz w:val="24"/>
          <w:szCs w:val="24"/>
        </w:rPr>
        <w:t>) (20</w:t>
      </w:r>
      <w:r>
        <w:rPr>
          <w:rFonts w:hint="eastAsia"/>
          <w:sz w:val="24"/>
          <w:szCs w:val="24"/>
        </w:rPr>
        <w:t>22</w:t>
      </w:r>
      <w:r>
        <w:rPr>
          <w:sz w:val="24"/>
          <w:szCs w:val="24"/>
        </w:rPr>
        <w:t>年</w:t>
      </w:r>
      <w:r>
        <w:rPr>
          <w:rFonts w:hint="eastAsia"/>
          <w:sz w:val="24"/>
          <w:szCs w:val="24"/>
        </w:rPr>
        <w:t>9</w:t>
      </w:r>
      <w:r>
        <w:rPr>
          <w:sz w:val="24"/>
          <w:szCs w:val="24"/>
        </w:rPr>
        <w:t>月</w:t>
      </w:r>
      <w:r>
        <w:rPr>
          <w:rFonts w:hint="eastAsia"/>
          <w:sz w:val="24"/>
          <w:szCs w:val="24"/>
        </w:rPr>
        <w:t>2</w:t>
      </w:r>
      <w:r>
        <w:rPr>
          <w:sz w:val="24"/>
          <w:szCs w:val="24"/>
        </w:rPr>
        <w:t>8</w:t>
      </w:r>
      <w:r>
        <w:rPr>
          <w:sz w:val="24"/>
          <w:szCs w:val="24"/>
        </w:rPr>
        <w:t>号</w:t>
      </w:r>
      <w:r>
        <w:rPr>
          <w:sz w:val="24"/>
          <w:szCs w:val="24"/>
        </w:rPr>
        <w:t>)</w:t>
      </w:r>
      <w:r>
        <w:rPr>
          <w:sz w:val="24"/>
          <w:szCs w:val="24"/>
        </w:rPr>
        <w:t xml:space="preserve"> </w:t>
      </w:r>
      <w:r>
        <w:rPr>
          <w:sz w:val="24"/>
          <w:szCs w:val="24"/>
        </w:rPr>
        <w:t>；</w:t>
      </w:r>
    </w:p>
    <w:p w:rsidR="00DB7CC8" w:rsidRDefault="002B5250">
      <w:pPr>
        <w:ind w:firstLine="480"/>
        <w:jc w:val="both"/>
        <w:rPr>
          <w:sz w:val="24"/>
          <w:szCs w:val="24"/>
        </w:rPr>
      </w:pPr>
      <w:r>
        <w:rPr>
          <w:sz w:val="24"/>
          <w:szCs w:val="24"/>
        </w:rPr>
        <w:t>（</w:t>
      </w:r>
      <w:r>
        <w:rPr>
          <w:sz w:val="24"/>
          <w:szCs w:val="24"/>
        </w:rPr>
        <w:t>35</w:t>
      </w:r>
      <w:r>
        <w:rPr>
          <w:sz w:val="24"/>
          <w:szCs w:val="24"/>
        </w:rPr>
        <w:t>）《河北省人民政府办公厅关于印发河北省新增限制和淘汰类产业目录（</w:t>
      </w:r>
      <w:r>
        <w:rPr>
          <w:sz w:val="24"/>
          <w:szCs w:val="24"/>
        </w:rPr>
        <w:t>2015</w:t>
      </w:r>
      <w:r>
        <w:rPr>
          <w:sz w:val="24"/>
          <w:szCs w:val="24"/>
        </w:rPr>
        <w:t>年版）的通知》</w:t>
      </w:r>
      <w:r>
        <w:rPr>
          <w:sz w:val="24"/>
          <w:szCs w:val="24"/>
        </w:rPr>
        <w:t>(</w:t>
      </w:r>
      <w:r>
        <w:rPr>
          <w:sz w:val="24"/>
          <w:szCs w:val="24"/>
        </w:rPr>
        <w:t>冀政办</w:t>
      </w:r>
      <w:r>
        <w:rPr>
          <w:rFonts w:hint="eastAsia"/>
          <w:sz w:val="24"/>
          <w:szCs w:val="24"/>
        </w:rPr>
        <w:t>发</w:t>
      </w:r>
      <w:r>
        <w:rPr>
          <w:rFonts w:hint="eastAsia"/>
          <w:sz w:val="24"/>
          <w:szCs w:val="24"/>
        </w:rPr>
        <w:t>[2015]7</w:t>
      </w:r>
      <w:r>
        <w:rPr>
          <w:sz w:val="24"/>
          <w:szCs w:val="24"/>
        </w:rPr>
        <w:t>号</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36</w:t>
      </w:r>
      <w:r>
        <w:rPr>
          <w:sz w:val="24"/>
          <w:szCs w:val="24"/>
        </w:rPr>
        <w:t>）关于贯彻落实《环境影响评价公众参与办法》规范环评文件审批的通知（冀环办发</w:t>
      </w:r>
      <w:r>
        <w:rPr>
          <w:sz w:val="24"/>
          <w:szCs w:val="24"/>
        </w:rPr>
        <w:t>[2018]23</w:t>
      </w:r>
      <w:r>
        <w:rPr>
          <w:sz w:val="24"/>
          <w:szCs w:val="24"/>
        </w:rPr>
        <w:t>号）。</w:t>
      </w:r>
    </w:p>
    <w:p w:rsidR="00DB7CC8" w:rsidRDefault="002B5250">
      <w:pPr>
        <w:ind w:firstLine="480"/>
        <w:jc w:val="both"/>
        <w:rPr>
          <w:sz w:val="24"/>
          <w:szCs w:val="24"/>
        </w:rPr>
      </w:pPr>
      <w:r>
        <w:rPr>
          <w:sz w:val="24"/>
          <w:szCs w:val="24"/>
        </w:rPr>
        <w:t>（</w:t>
      </w:r>
      <w:r>
        <w:rPr>
          <w:sz w:val="24"/>
          <w:szCs w:val="24"/>
        </w:rPr>
        <w:t>37</w:t>
      </w:r>
      <w:r>
        <w:rPr>
          <w:sz w:val="24"/>
          <w:szCs w:val="24"/>
        </w:rPr>
        <w:t>）河北省人民政府冀政发〔</w:t>
      </w:r>
      <w:r>
        <w:rPr>
          <w:sz w:val="24"/>
          <w:szCs w:val="24"/>
        </w:rPr>
        <w:t>2017</w:t>
      </w:r>
      <w:r>
        <w:rPr>
          <w:sz w:val="24"/>
          <w:szCs w:val="24"/>
        </w:rPr>
        <w:t>〕</w:t>
      </w:r>
      <w:r>
        <w:rPr>
          <w:sz w:val="24"/>
          <w:szCs w:val="24"/>
        </w:rPr>
        <w:t>3</w:t>
      </w:r>
      <w:r>
        <w:rPr>
          <w:sz w:val="24"/>
          <w:szCs w:val="24"/>
        </w:rPr>
        <w:t>号《关于印发河北省</w:t>
      </w:r>
      <w:r>
        <w:rPr>
          <w:sz w:val="24"/>
          <w:szCs w:val="24"/>
        </w:rPr>
        <w:t>“</w:t>
      </w:r>
      <w:r>
        <w:rPr>
          <w:sz w:val="24"/>
          <w:szCs w:val="24"/>
        </w:rPr>
        <w:t>净土行动</w:t>
      </w:r>
      <w:r>
        <w:rPr>
          <w:sz w:val="24"/>
          <w:szCs w:val="24"/>
        </w:rPr>
        <w:t>”</w:t>
      </w:r>
      <w:r>
        <w:rPr>
          <w:sz w:val="24"/>
          <w:szCs w:val="24"/>
        </w:rPr>
        <w:t>土壤污染防治工作方案的通知》；</w:t>
      </w:r>
    </w:p>
    <w:p w:rsidR="00DB7CC8" w:rsidRDefault="002B5250">
      <w:pPr>
        <w:ind w:firstLine="480"/>
        <w:jc w:val="both"/>
        <w:rPr>
          <w:sz w:val="24"/>
          <w:szCs w:val="24"/>
        </w:rPr>
      </w:pPr>
      <w:r>
        <w:rPr>
          <w:sz w:val="24"/>
          <w:szCs w:val="24"/>
        </w:rPr>
        <w:t>（</w:t>
      </w:r>
      <w:r>
        <w:rPr>
          <w:sz w:val="24"/>
          <w:szCs w:val="24"/>
        </w:rPr>
        <w:t>38</w:t>
      </w:r>
      <w:r>
        <w:rPr>
          <w:sz w:val="24"/>
          <w:szCs w:val="24"/>
        </w:rPr>
        <w:t>）《中共河北省委办公厅河北省人民政府办公厅关于严格控制矿产资源开发加强生态环境保护的通知》（冀办传［</w:t>
      </w:r>
      <w:r>
        <w:rPr>
          <w:sz w:val="24"/>
          <w:szCs w:val="24"/>
        </w:rPr>
        <w:t>2018</w:t>
      </w:r>
      <w:r>
        <w:rPr>
          <w:sz w:val="24"/>
          <w:szCs w:val="24"/>
        </w:rPr>
        <w:t>］</w:t>
      </w:r>
      <w:r>
        <w:rPr>
          <w:sz w:val="24"/>
          <w:szCs w:val="24"/>
        </w:rPr>
        <w:t>25</w:t>
      </w:r>
      <w:r>
        <w:rPr>
          <w:sz w:val="24"/>
          <w:szCs w:val="24"/>
        </w:rPr>
        <w:t>号）；</w:t>
      </w:r>
    </w:p>
    <w:p w:rsidR="00DB7CC8" w:rsidRDefault="002B5250">
      <w:pPr>
        <w:ind w:firstLine="480"/>
        <w:jc w:val="both"/>
        <w:rPr>
          <w:sz w:val="24"/>
          <w:szCs w:val="24"/>
        </w:rPr>
      </w:pPr>
      <w:r>
        <w:rPr>
          <w:sz w:val="24"/>
          <w:szCs w:val="24"/>
        </w:rPr>
        <w:t>（</w:t>
      </w:r>
      <w:r>
        <w:rPr>
          <w:rFonts w:hint="eastAsia"/>
          <w:sz w:val="24"/>
          <w:szCs w:val="24"/>
        </w:rPr>
        <w:t>39</w:t>
      </w:r>
      <w:r>
        <w:rPr>
          <w:sz w:val="24"/>
          <w:szCs w:val="24"/>
        </w:rPr>
        <w:t>）《</w:t>
      </w:r>
      <w:r>
        <w:rPr>
          <w:rFonts w:hint="eastAsia"/>
          <w:sz w:val="24"/>
          <w:szCs w:val="24"/>
        </w:rPr>
        <w:t>河北省</w:t>
      </w:r>
      <w:r>
        <w:rPr>
          <w:rFonts w:hint="eastAsia"/>
          <w:sz w:val="24"/>
          <w:szCs w:val="24"/>
        </w:rPr>
        <w:t>2023</w:t>
      </w:r>
      <w:r>
        <w:rPr>
          <w:rFonts w:hint="eastAsia"/>
          <w:sz w:val="24"/>
          <w:szCs w:val="24"/>
        </w:rPr>
        <w:t>年建筑施工扬</w:t>
      </w:r>
      <w:r>
        <w:rPr>
          <w:rFonts w:hint="eastAsia"/>
          <w:sz w:val="24"/>
          <w:szCs w:val="24"/>
        </w:rPr>
        <w:t>尘污染防治工作方案</w:t>
      </w:r>
      <w:r>
        <w:rPr>
          <w:sz w:val="24"/>
          <w:szCs w:val="24"/>
        </w:rPr>
        <w:t>》</w:t>
      </w:r>
      <w:r>
        <w:rPr>
          <w:sz w:val="24"/>
          <w:szCs w:val="24"/>
        </w:rPr>
        <w:t>(</w:t>
      </w:r>
      <w:r>
        <w:rPr>
          <w:rFonts w:hint="eastAsia"/>
          <w:sz w:val="24"/>
          <w:szCs w:val="24"/>
        </w:rPr>
        <w:t>冀建质安</w:t>
      </w:r>
      <w:r>
        <w:rPr>
          <w:sz w:val="24"/>
          <w:szCs w:val="24"/>
        </w:rPr>
        <w:t>函</w:t>
      </w:r>
      <w:r>
        <w:rPr>
          <w:sz w:val="24"/>
          <w:szCs w:val="24"/>
        </w:rPr>
        <w:t>[20</w:t>
      </w:r>
      <w:r>
        <w:rPr>
          <w:rFonts w:hint="eastAsia"/>
          <w:sz w:val="24"/>
          <w:szCs w:val="24"/>
        </w:rPr>
        <w:t>23</w:t>
      </w:r>
      <w:r>
        <w:rPr>
          <w:sz w:val="24"/>
          <w:szCs w:val="24"/>
        </w:rPr>
        <w:t>]</w:t>
      </w:r>
      <w:r>
        <w:rPr>
          <w:rFonts w:hint="eastAsia"/>
          <w:sz w:val="24"/>
          <w:szCs w:val="24"/>
        </w:rPr>
        <w:t>105</w:t>
      </w:r>
      <w:r>
        <w:rPr>
          <w:sz w:val="24"/>
          <w:szCs w:val="24"/>
        </w:rPr>
        <w:t>号</w:t>
      </w:r>
      <w:r>
        <w:rPr>
          <w:sz w:val="24"/>
          <w:szCs w:val="24"/>
        </w:rPr>
        <w:t>)</w:t>
      </w:r>
      <w:r>
        <w:rPr>
          <w:sz w:val="24"/>
          <w:szCs w:val="24"/>
        </w:rPr>
        <w:t>；</w:t>
      </w:r>
      <w:r>
        <w:rPr>
          <w:sz w:val="24"/>
          <w:szCs w:val="24"/>
        </w:rPr>
        <w:t xml:space="preserve"> </w:t>
      </w:r>
    </w:p>
    <w:p w:rsidR="00DB7CC8" w:rsidRDefault="002B5250">
      <w:pPr>
        <w:ind w:firstLine="480"/>
        <w:jc w:val="both"/>
        <w:rPr>
          <w:sz w:val="24"/>
          <w:szCs w:val="24"/>
        </w:rPr>
      </w:pPr>
      <w:r>
        <w:rPr>
          <w:sz w:val="24"/>
          <w:szCs w:val="24"/>
        </w:rPr>
        <w:t>（</w:t>
      </w:r>
      <w:r>
        <w:rPr>
          <w:sz w:val="24"/>
          <w:szCs w:val="24"/>
        </w:rPr>
        <w:t>40</w:t>
      </w:r>
      <w:r>
        <w:rPr>
          <w:sz w:val="24"/>
          <w:szCs w:val="24"/>
        </w:rPr>
        <w:t>）《唐山市人民政府关于开展工业企业料场其他散料堆场混凝土搅拌站</w:t>
      </w:r>
      <w:r>
        <w:rPr>
          <w:sz w:val="24"/>
          <w:szCs w:val="24"/>
        </w:rPr>
        <w:lastRenderedPageBreak/>
        <w:t>扬尘污染专项整治行动的通知》</w:t>
      </w:r>
      <w:r>
        <w:rPr>
          <w:sz w:val="24"/>
          <w:szCs w:val="24"/>
        </w:rPr>
        <w:t>(</w:t>
      </w:r>
      <w:r>
        <w:rPr>
          <w:sz w:val="24"/>
          <w:szCs w:val="24"/>
        </w:rPr>
        <w:t>唐政函</w:t>
      </w:r>
      <w:r>
        <w:rPr>
          <w:sz w:val="24"/>
          <w:szCs w:val="24"/>
        </w:rPr>
        <w:t>[2014]98</w:t>
      </w:r>
      <w:r>
        <w:rPr>
          <w:sz w:val="24"/>
          <w:szCs w:val="24"/>
        </w:rPr>
        <w:t>号</w:t>
      </w:r>
      <w:r>
        <w:rPr>
          <w:sz w:val="24"/>
          <w:szCs w:val="24"/>
        </w:rPr>
        <w:t>)</w:t>
      </w:r>
      <w:r>
        <w:rPr>
          <w:sz w:val="24"/>
          <w:szCs w:val="24"/>
        </w:rPr>
        <w:t>；</w:t>
      </w:r>
      <w:r>
        <w:rPr>
          <w:sz w:val="24"/>
          <w:szCs w:val="24"/>
        </w:rPr>
        <w:t xml:space="preserve"> </w:t>
      </w:r>
    </w:p>
    <w:p w:rsidR="00DB7CC8" w:rsidRDefault="002B5250">
      <w:pPr>
        <w:ind w:firstLine="480"/>
        <w:jc w:val="both"/>
        <w:rPr>
          <w:sz w:val="24"/>
          <w:szCs w:val="24"/>
        </w:rPr>
      </w:pPr>
      <w:r>
        <w:rPr>
          <w:sz w:val="24"/>
          <w:szCs w:val="24"/>
        </w:rPr>
        <w:t>（</w:t>
      </w:r>
      <w:r>
        <w:rPr>
          <w:sz w:val="24"/>
          <w:szCs w:val="24"/>
        </w:rPr>
        <w:t>41</w:t>
      </w:r>
      <w:r>
        <w:rPr>
          <w:sz w:val="24"/>
          <w:szCs w:val="24"/>
        </w:rPr>
        <w:t>）关于进一步加强建设项目</w:t>
      </w:r>
      <w:r>
        <w:rPr>
          <w:sz w:val="24"/>
          <w:szCs w:val="24"/>
        </w:rPr>
        <w:t>“</w:t>
      </w:r>
      <w:r>
        <w:rPr>
          <w:sz w:val="24"/>
          <w:szCs w:val="24"/>
        </w:rPr>
        <w:t>三同时</w:t>
      </w:r>
      <w:r>
        <w:rPr>
          <w:sz w:val="24"/>
          <w:szCs w:val="24"/>
        </w:rPr>
        <w:t>”</w:t>
      </w:r>
      <w:r>
        <w:rPr>
          <w:sz w:val="24"/>
          <w:szCs w:val="24"/>
        </w:rPr>
        <w:t>管理工作的通知（唐环发</w:t>
      </w:r>
      <w:r>
        <w:rPr>
          <w:sz w:val="24"/>
          <w:szCs w:val="24"/>
        </w:rPr>
        <w:t>[2013]39</w:t>
      </w:r>
      <w:r>
        <w:rPr>
          <w:sz w:val="24"/>
          <w:szCs w:val="24"/>
        </w:rPr>
        <w:t>号），</w:t>
      </w:r>
      <w:r>
        <w:rPr>
          <w:sz w:val="24"/>
          <w:szCs w:val="24"/>
        </w:rPr>
        <w:t>2013</w:t>
      </w:r>
      <w:r>
        <w:rPr>
          <w:sz w:val="24"/>
          <w:szCs w:val="24"/>
        </w:rPr>
        <w:t>年</w:t>
      </w:r>
      <w:r>
        <w:rPr>
          <w:sz w:val="24"/>
          <w:szCs w:val="24"/>
        </w:rPr>
        <w:t>5</w:t>
      </w:r>
      <w:r>
        <w:rPr>
          <w:sz w:val="24"/>
          <w:szCs w:val="24"/>
        </w:rPr>
        <w:t>月</w:t>
      </w:r>
      <w:r>
        <w:rPr>
          <w:sz w:val="24"/>
          <w:szCs w:val="24"/>
        </w:rPr>
        <w:t>2</w:t>
      </w:r>
      <w:r>
        <w:rPr>
          <w:sz w:val="24"/>
          <w:szCs w:val="24"/>
        </w:rPr>
        <w:t>日；</w:t>
      </w:r>
    </w:p>
    <w:p w:rsidR="00DB7CC8" w:rsidRDefault="002B5250">
      <w:pPr>
        <w:ind w:firstLine="480"/>
        <w:jc w:val="both"/>
        <w:rPr>
          <w:sz w:val="24"/>
          <w:szCs w:val="24"/>
        </w:rPr>
      </w:pPr>
      <w:r>
        <w:rPr>
          <w:sz w:val="24"/>
          <w:szCs w:val="24"/>
        </w:rPr>
        <w:t>（</w:t>
      </w:r>
      <w:r>
        <w:rPr>
          <w:sz w:val="24"/>
          <w:szCs w:val="24"/>
        </w:rPr>
        <w:t>42</w:t>
      </w:r>
      <w:r>
        <w:rPr>
          <w:sz w:val="24"/>
          <w:szCs w:val="24"/>
        </w:rPr>
        <w:t>）《唐山市人民政府办公厅关于开展露天铁矿环境保护专项整治工作的通知》（唐政办字〔</w:t>
      </w:r>
      <w:r>
        <w:rPr>
          <w:sz w:val="24"/>
          <w:szCs w:val="24"/>
        </w:rPr>
        <w:t>2016</w:t>
      </w:r>
      <w:r>
        <w:rPr>
          <w:sz w:val="24"/>
          <w:szCs w:val="24"/>
        </w:rPr>
        <w:t>〕</w:t>
      </w:r>
      <w:r>
        <w:rPr>
          <w:sz w:val="24"/>
          <w:szCs w:val="24"/>
        </w:rPr>
        <w:t>198</w:t>
      </w:r>
      <w:r>
        <w:rPr>
          <w:sz w:val="24"/>
          <w:szCs w:val="24"/>
        </w:rPr>
        <w:t>号）；</w:t>
      </w:r>
    </w:p>
    <w:p w:rsidR="00DB7CC8" w:rsidRDefault="002B5250">
      <w:pPr>
        <w:ind w:firstLine="480"/>
        <w:jc w:val="both"/>
        <w:rPr>
          <w:sz w:val="24"/>
          <w:szCs w:val="24"/>
        </w:rPr>
      </w:pPr>
      <w:r>
        <w:rPr>
          <w:sz w:val="24"/>
          <w:szCs w:val="24"/>
        </w:rPr>
        <w:t>（</w:t>
      </w:r>
      <w:r>
        <w:rPr>
          <w:sz w:val="24"/>
          <w:szCs w:val="24"/>
        </w:rPr>
        <w:t>43</w:t>
      </w:r>
      <w:r>
        <w:rPr>
          <w:sz w:val="24"/>
          <w:szCs w:val="24"/>
        </w:rPr>
        <w:t>）《中共唐山市委唐山市人民政府关于强力推进大气污染综合治理的意见》</w:t>
      </w:r>
      <w:r>
        <w:rPr>
          <w:sz w:val="24"/>
          <w:szCs w:val="24"/>
        </w:rPr>
        <w:t>(</w:t>
      </w:r>
      <w:r>
        <w:rPr>
          <w:sz w:val="24"/>
          <w:szCs w:val="24"/>
        </w:rPr>
        <w:t>唐发</w:t>
      </w:r>
      <w:r>
        <w:rPr>
          <w:sz w:val="24"/>
          <w:szCs w:val="24"/>
        </w:rPr>
        <w:t>[2017]7</w:t>
      </w:r>
      <w:r>
        <w:rPr>
          <w:sz w:val="24"/>
          <w:szCs w:val="24"/>
        </w:rPr>
        <w:t>号</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44</w:t>
      </w:r>
      <w:r>
        <w:rPr>
          <w:sz w:val="24"/>
          <w:szCs w:val="24"/>
        </w:rPr>
        <w:t>）《唐山市生态环境局关于印发唐山市</w:t>
      </w:r>
      <w:r>
        <w:rPr>
          <w:sz w:val="24"/>
          <w:szCs w:val="24"/>
        </w:rPr>
        <w:t>2018</w:t>
      </w:r>
      <w:r>
        <w:rPr>
          <w:sz w:val="24"/>
          <w:szCs w:val="24"/>
        </w:rPr>
        <w:t>年重点行业大气污染深度治理专项行动方案的通知》</w:t>
      </w:r>
      <w:r>
        <w:rPr>
          <w:sz w:val="24"/>
          <w:szCs w:val="24"/>
        </w:rPr>
        <w:t>(</w:t>
      </w:r>
      <w:r>
        <w:rPr>
          <w:sz w:val="24"/>
          <w:szCs w:val="24"/>
        </w:rPr>
        <w:t>唐环气</w:t>
      </w:r>
      <w:r>
        <w:rPr>
          <w:sz w:val="24"/>
          <w:szCs w:val="24"/>
        </w:rPr>
        <w:t>[2018]6</w:t>
      </w:r>
      <w:r>
        <w:rPr>
          <w:sz w:val="24"/>
          <w:szCs w:val="24"/>
        </w:rPr>
        <w:t>号）；</w:t>
      </w:r>
    </w:p>
    <w:p w:rsidR="00DB7CC8" w:rsidRDefault="002B5250">
      <w:pPr>
        <w:ind w:firstLine="480"/>
        <w:jc w:val="both"/>
        <w:rPr>
          <w:sz w:val="24"/>
          <w:szCs w:val="24"/>
        </w:rPr>
      </w:pPr>
      <w:r>
        <w:rPr>
          <w:sz w:val="24"/>
          <w:szCs w:val="24"/>
        </w:rPr>
        <w:t>（</w:t>
      </w:r>
      <w:r>
        <w:rPr>
          <w:sz w:val="24"/>
          <w:szCs w:val="24"/>
        </w:rPr>
        <w:t>45</w:t>
      </w:r>
      <w:r>
        <w:rPr>
          <w:sz w:val="24"/>
          <w:szCs w:val="24"/>
        </w:rPr>
        <w:t>）</w:t>
      </w:r>
      <w:r>
        <w:rPr>
          <w:sz w:val="24"/>
          <w:szCs w:val="24"/>
        </w:rPr>
        <w:t>《唐山市人民政府关于实施</w:t>
      </w:r>
      <w:r>
        <w:rPr>
          <w:sz w:val="24"/>
          <w:szCs w:val="24"/>
        </w:rPr>
        <w:t>“</w:t>
      </w:r>
      <w:r>
        <w:rPr>
          <w:sz w:val="24"/>
          <w:szCs w:val="24"/>
        </w:rPr>
        <w:t>三线一单</w:t>
      </w:r>
      <w:r>
        <w:rPr>
          <w:sz w:val="24"/>
          <w:szCs w:val="24"/>
        </w:rPr>
        <w:t>”</w:t>
      </w:r>
      <w:r>
        <w:rPr>
          <w:sz w:val="24"/>
          <w:szCs w:val="24"/>
        </w:rPr>
        <w:t>生态环境分区管控的意见</w:t>
      </w:r>
      <w:r>
        <w:rPr>
          <w:sz w:val="24"/>
          <w:szCs w:val="24"/>
        </w:rPr>
        <w:t>》</w:t>
      </w:r>
      <w:r>
        <w:rPr>
          <w:sz w:val="24"/>
          <w:szCs w:val="24"/>
        </w:rPr>
        <w:t>（唐政字</w:t>
      </w:r>
      <w:r>
        <w:rPr>
          <w:sz w:val="24"/>
          <w:szCs w:val="24"/>
        </w:rPr>
        <w:t>[2021]48</w:t>
      </w:r>
      <w:r>
        <w:rPr>
          <w:sz w:val="24"/>
          <w:szCs w:val="24"/>
        </w:rPr>
        <w:t>号）</w:t>
      </w:r>
      <w:r>
        <w:rPr>
          <w:rFonts w:hint="eastAsia"/>
          <w:sz w:val="24"/>
          <w:szCs w:val="24"/>
        </w:rPr>
        <w:t>；</w:t>
      </w:r>
    </w:p>
    <w:p w:rsidR="00DB7CC8" w:rsidRDefault="002B5250">
      <w:pPr>
        <w:ind w:firstLine="480"/>
        <w:jc w:val="both"/>
        <w:rPr>
          <w:sz w:val="24"/>
          <w:szCs w:val="24"/>
        </w:rPr>
      </w:pPr>
      <w:r>
        <w:rPr>
          <w:sz w:val="24"/>
          <w:szCs w:val="24"/>
        </w:rPr>
        <w:t>（</w:t>
      </w:r>
      <w:r>
        <w:rPr>
          <w:sz w:val="24"/>
          <w:szCs w:val="24"/>
        </w:rPr>
        <w:t>46</w:t>
      </w:r>
      <w:r>
        <w:rPr>
          <w:sz w:val="24"/>
          <w:szCs w:val="24"/>
        </w:rPr>
        <w:t>）</w:t>
      </w:r>
      <w:r>
        <w:rPr>
          <w:sz w:val="24"/>
          <w:szCs w:val="24"/>
        </w:rPr>
        <w:t>唐山市大气污染防治工作领导小组关于印发《唐山市</w:t>
      </w:r>
      <w:r>
        <w:rPr>
          <w:sz w:val="24"/>
          <w:szCs w:val="24"/>
        </w:rPr>
        <w:t>2022</w:t>
      </w:r>
      <w:r>
        <w:rPr>
          <w:sz w:val="24"/>
          <w:szCs w:val="24"/>
        </w:rPr>
        <w:t>年大气污染综合治理工作要点》的通知</w:t>
      </w:r>
      <w:r>
        <w:rPr>
          <w:sz w:val="24"/>
          <w:szCs w:val="24"/>
        </w:rPr>
        <w:t>（</w:t>
      </w:r>
      <w:r>
        <w:rPr>
          <w:rFonts w:hint="eastAsia"/>
          <w:sz w:val="24"/>
          <w:szCs w:val="24"/>
        </w:rPr>
        <w:t>唐气领组</w:t>
      </w:r>
      <w:r>
        <w:rPr>
          <w:sz w:val="24"/>
          <w:szCs w:val="24"/>
        </w:rPr>
        <w:t>[20</w:t>
      </w:r>
      <w:r>
        <w:rPr>
          <w:rFonts w:hint="eastAsia"/>
          <w:sz w:val="24"/>
          <w:szCs w:val="24"/>
        </w:rPr>
        <w:t>22</w:t>
      </w:r>
      <w:r>
        <w:rPr>
          <w:sz w:val="24"/>
          <w:szCs w:val="24"/>
        </w:rPr>
        <w:t>]1</w:t>
      </w:r>
      <w:r>
        <w:rPr>
          <w:sz w:val="24"/>
          <w:szCs w:val="24"/>
        </w:rPr>
        <w:t>号）；</w:t>
      </w:r>
    </w:p>
    <w:p w:rsidR="00DB7CC8" w:rsidRDefault="002B5250">
      <w:pPr>
        <w:ind w:firstLine="480"/>
        <w:jc w:val="both"/>
        <w:rPr>
          <w:sz w:val="24"/>
          <w:szCs w:val="24"/>
        </w:rPr>
      </w:pPr>
      <w:r>
        <w:rPr>
          <w:sz w:val="24"/>
          <w:szCs w:val="24"/>
        </w:rPr>
        <w:t>（</w:t>
      </w:r>
      <w:r>
        <w:rPr>
          <w:sz w:val="24"/>
          <w:szCs w:val="24"/>
        </w:rPr>
        <w:t>4</w:t>
      </w:r>
      <w:r>
        <w:rPr>
          <w:rFonts w:hint="eastAsia"/>
          <w:sz w:val="24"/>
          <w:szCs w:val="24"/>
        </w:rPr>
        <w:t>7</w:t>
      </w:r>
      <w:r>
        <w:rPr>
          <w:sz w:val="24"/>
          <w:szCs w:val="24"/>
        </w:rPr>
        <w:t>）</w:t>
      </w:r>
      <w:r>
        <w:rPr>
          <w:sz w:val="24"/>
          <w:szCs w:val="24"/>
        </w:rPr>
        <w:t>《唐山市</w:t>
      </w:r>
      <w:r>
        <w:rPr>
          <w:rFonts w:hint="eastAsia"/>
          <w:sz w:val="24"/>
          <w:szCs w:val="24"/>
        </w:rPr>
        <w:t>生态环境保护条例</w:t>
      </w:r>
      <w:r>
        <w:rPr>
          <w:sz w:val="24"/>
          <w:szCs w:val="24"/>
        </w:rPr>
        <w:t>》的通知</w:t>
      </w:r>
      <w:r>
        <w:rPr>
          <w:sz w:val="24"/>
          <w:szCs w:val="24"/>
        </w:rPr>
        <w:t>（</w:t>
      </w:r>
      <w:r>
        <w:rPr>
          <w:rFonts w:hint="eastAsia"/>
          <w:sz w:val="24"/>
          <w:szCs w:val="24"/>
        </w:rPr>
        <w:t>唐山市第十六届人民代表大会常务委员会公告</w:t>
      </w:r>
      <w:r>
        <w:rPr>
          <w:sz w:val="24"/>
          <w:szCs w:val="24"/>
        </w:rPr>
        <w:t>[</w:t>
      </w:r>
      <w:r>
        <w:rPr>
          <w:rFonts w:hint="eastAsia"/>
          <w:sz w:val="24"/>
          <w:szCs w:val="24"/>
        </w:rPr>
        <w:t>第</w:t>
      </w:r>
      <w:r>
        <w:rPr>
          <w:rFonts w:hint="eastAsia"/>
          <w:sz w:val="24"/>
          <w:szCs w:val="24"/>
        </w:rPr>
        <w:t>15</w:t>
      </w:r>
      <w:r>
        <w:rPr>
          <w:rFonts w:hint="eastAsia"/>
          <w:sz w:val="24"/>
          <w:szCs w:val="24"/>
        </w:rPr>
        <w:t>号</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45</w:t>
      </w:r>
      <w:r>
        <w:rPr>
          <w:sz w:val="24"/>
          <w:szCs w:val="24"/>
        </w:rPr>
        <w:t>）《遵化市铁选矿综合治理工作实施方案》（遵办字</w:t>
      </w:r>
      <w:r>
        <w:rPr>
          <w:sz w:val="24"/>
          <w:szCs w:val="24"/>
        </w:rPr>
        <w:t>[2017]23</w:t>
      </w:r>
      <w:r>
        <w:rPr>
          <w:sz w:val="24"/>
          <w:szCs w:val="24"/>
        </w:rPr>
        <w:t>号）</w:t>
      </w:r>
      <w:r>
        <w:rPr>
          <w:rFonts w:hint="eastAsia"/>
          <w:sz w:val="24"/>
          <w:szCs w:val="24"/>
        </w:rPr>
        <w:t>。</w:t>
      </w:r>
    </w:p>
    <w:p w:rsidR="00DB7CC8" w:rsidRDefault="002B5250">
      <w:pPr>
        <w:pStyle w:val="3"/>
        <w:numPr>
          <w:ilvl w:val="2"/>
          <w:numId w:val="1"/>
        </w:numPr>
        <w:rPr>
          <w:szCs w:val="28"/>
        </w:rPr>
      </w:pPr>
      <w:bookmarkStart w:id="66" w:name="_Toc4317"/>
      <w:r>
        <w:rPr>
          <w:szCs w:val="28"/>
        </w:rPr>
        <w:t>环境保护技术规范</w:t>
      </w:r>
      <w:bookmarkEnd w:id="66"/>
    </w:p>
    <w:p w:rsidR="00DB7CC8" w:rsidRDefault="002B5250">
      <w:pPr>
        <w:ind w:firstLine="480"/>
        <w:jc w:val="both"/>
        <w:rPr>
          <w:sz w:val="24"/>
          <w:szCs w:val="24"/>
        </w:rPr>
      </w:pPr>
      <w:r>
        <w:rPr>
          <w:sz w:val="24"/>
          <w:szCs w:val="24"/>
        </w:rPr>
        <w:t>（</w:t>
      </w:r>
      <w:r>
        <w:rPr>
          <w:sz w:val="24"/>
          <w:szCs w:val="24"/>
        </w:rPr>
        <w:t>1</w:t>
      </w:r>
      <w:r>
        <w:rPr>
          <w:sz w:val="24"/>
          <w:szCs w:val="24"/>
        </w:rPr>
        <w:t>）《建设项目环境影响评价技术导则</w:t>
      </w:r>
      <w:r>
        <w:rPr>
          <w:sz w:val="24"/>
          <w:szCs w:val="24"/>
        </w:rPr>
        <w:t>_</w:t>
      </w:r>
      <w:r>
        <w:rPr>
          <w:sz w:val="24"/>
          <w:szCs w:val="24"/>
        </w:rPr>
        <w:t>总纲》</w:t>
      </w:r>
      <w:r>
        <w:rPr>
          <w:sz w:val="24"/>
          <w:szCs w:val="24"/>
        </w:rPr>
        <w:t>(HJ2.1-2016)</w:t>
      </w:r>
      <w:r>
        <w:rPr>
          <w:sz w:val="24"/>
          <w:szCs w:val="24"/>
        </w:rPr>
        <w:t>；</w:t>
      </w:r>
    </w:p>
    <w:p w:rsidR="00DB7CC8" w:rsidRDefault="002B5250">
      <w:pPr>
        <w:ind w:firstLine="480"/>
        <w:jc w:val="both"/>
        <w:rPr>
          <w:sz w:val="24"/>
          <w:szCs w:val="24"/>
        </w:rPr>
      </w:pPr>
      <w:r>
        <w:rPr>
          <w:sz w:val="24"/>
          <w:szCs w:val="24"/>
        </w:rPr>
        <w:t>（</w:t>
      </w:r>
      <w:r>
        <w:rPr>
          <w:sz w:val="24"/>
          <w:szCs w:val="24"/>
        </w:rPr>
        <w:t>2</w:t>
      </w:r>
      <w:r>
        <w:rPr>
          <w:sz w:val="24"/>
          <w:szCs w:val="24"/>
        </w:rPr>
        <w:t>）《环境影响评价技术导则</w:t>
      </w:r>
      <w:r>
        <w:rPr>
          <w:sz w:val="24"/>
          <w:szCs w:val="24"/>
        </w:rPr>
        <w:t>_</w:t>
      </w:r>
      <w:r>
        <w:rPr>
          <w:sz w:val="24"/>
          <w:szCs w:val="24"/>
        </w:rPr>
        <w:t>大气环境》</w:t>
      </w:r>
      <w:r>
        <w:rPr>
          <w:sz w:val="24"/>
          <w:szCs w:val="24"/>
        </w:rPr>
        <w:t>(HJ2.2-2018)</w:t>
      </w:r>
      <w:r>
        <w:rPr>
          <w:sz w:val="24"/>
          <w:szCs w:val="24"/>
        </w:rPr>
        <w:t>；</w:t>
      </w:r>
    </w:p>
    <w:p w:rsidR="00DB7CC8" w:rsidRDefault="002B5250">
      <w:pPr>
        <w:ind w:firstLine="480"/>
        <w:jc w:val="both"/>
        <w:rPr>
          <w:sz w:val="24"/>
          <w:szCs w:val="24"/>
        </w:rPr>
      </w:pPr>
      <w:r>
        <w:rPr>
          <w:sz w:val="24"/>
          <w:szCs w:val="24"/>
        </w:rPr>
        <w:t>（</w:t>
      </w:r>
      <w:r>
        <w:rPr>
          <w:sz w:val="24"/>
          <w:szCs w:val="24"/>
        </w:rPr>
        <w:t>3</w:t>
      </w:r>
      <w:r>
        <w:rPr>
          <w:sz w:val="24"/>
          <w:szCs w:val="24"/>
        </w:rPr>
        <w:t>）《环境影响评价技术导则</w:t>
      </w:r>
      <w:r>
        <w:rPr>
          <w:sz w:val="24"/>
          <w:szCs w:val="24"/>
        </w:rPr>
        <w:t>_</w:t>
      </w:r>
      <w:r>
        <w:rPr>
          <w:sz w:val="24"/>
          <w:szCs w:val="24"/>
        </w:rPr>
        <w:t>地</w:t>
      </w:r>
      <w:r>
        <w:rPr>
          <w:rFonts w:hint="eastAsia"/>
          <w:sz w:val="24"/>
          <w:szCs w:val="24"/>
        </w:rPr>
        <w:t>表</w:t>
      </w:r>
      <w:r>
        <w:rPr>
          <w:sz w:val="24"/>
          <w:szCs w:val="24"/>
        </w:rPr>
        <w:t>水环境》</w:t>
      </w:r>
      <w:r>
        <w:rPr>
          <w:rFonts w:hint="eastAsia"/>
          <w:sz w:val="24"/>
          <w:szCs w:val="24"/>
        </w:rPr>
        <w:t>（</w:t>
      </w:r>
      <w:r>
        <w:rPr>
          <w:sz w:val="24"/>
          <w:szCs w:val="24"/>
        </w:rPr>
        <w:t>HJ2.3-</w:t>
      </w:r>
      <w:r>
        <w:rPr>
          <w:rFonts w:hint="eastAsia"/>
          <w:sz w:val="24"/>
          <w:szCs w:val="24"/>
        </w:rPr>
        <w:t>2018</w:t>
      </w:r>
      <w:r>
        <w:rPr>
          <w:rFonts w:hint="eastAsia"/>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4</w:t>
      </w:r>
      <w:r>
        <w:rPr>
          <w:sz w:val="24"/>
          <w:szCs w:val="24"/>
        </w:rPr>
        <w:t>）《环境影响评价技术导则</w:t>
      </w:r>
      <w:r>
        <w:rPr>
          <w:sz w:val="24"/>
          <w:szCs w:val="24"/>
        </w:rPr>
        <w:t>_</w:t>
      </w:r>
      <w:r>
        <w:rPr>
          <w:sz w:val="24"/>
          <w:szCs w:val="24"/>
        </w:rPr>
        <w:t>地下水环境》</w:t>
      </w:r>
      <w:r>
        <w:rPr>
          <w:sz w:val="24"/>
          <w:szCs w:val="24"/>
        </w:rPr>
        <w:t>(HJ610-2016)</w:t>
      </w:r>
      <w:r>
        <w:rPr>
          <w:sz w:val="24"/>
          <w:szCs w:val="24"/>
        </w:rPr>
        <w:t>；</w:t>
      </w:r>
    </w:p>
    <w:p w:rsidR="00DB7CC8" w:rsidRDefault="002B5250">
      <w:pPr>
        <w:ind w:firstLine="480"/>
        <w:jc w:val="both"/>
        <w:rPr>
          <w:sz w:val="24"/>
          <w:szCs w:val="24"/>
        </w:rPr>
      </w:pPr>
      <w:r>
        <w:rPr>
          <w:sz w:val="24"/>
          <w:szCs w:val="24"/>
        </w:rPr>
        <w:t>（</w:t>
      </w:r>
      <w:r>
        <w:rPr>
          <w:sz w:val="24"/>
          <w:szCs w:val="24"/>
        </w:rPr>
        <w:t>5</w:t>
      </w:r>
      <w:r>
        <w:rPr>
          <w:sz w:val="24"/>
          <w:szCs w:val="24"/>
        </w:rPr>
        <w:t>）《环境影响评价技术导则</w:t>
      </w:r>
      <w:r>
        <w:rPr>
          <w:sz w:val="24"/>
          <w:szCs w:val="24"/>
        </w:rPr>
        <w:t>_</w:t>
      </w:r>
      <w:r>
        <w:rPr>
          <w:sz w:val="24"/>
          <w:szCs w:val="24"/>
        </w:rPr>
        <w:t>声环境》</w:t>
      </w:r>
      <w:r>
        <w:rPr>
          <w:sz w:val="24"/>
          <w:szCs w:val="24"/>
        </w:rPr>
        <w:t>(HJ2.4-20</w:t>
      </w:r>
      <w:r>
        <w:rPr>
          <w:rFonts w:hint="eastAsia"/>
          <w:sz w:val="24"/>
          <w:szCs w:val="24"/>
        </w:rPr>
        <w:t>21</w:t>
      </w:r>
      <w:r>
        <w:rPr>
          <w:sz w:val="24"/>
          <w:szCs w:val="24"/>
        </w:rPr>
        <w:t>)</w:t>
      </w:r>
      <w:r>
        <w:rPr>
          <w:sz w:val="24"/>
          <w:szCs w:val="24"/>
        </w:rPr>
        <w:t>；</w:t>
      </w:r>
    </w:p>
    <w:p w:rsidR="00DB7CC8" w:rsidRDefault="002B5250">
      <w:pPr>
        <w:ind w:firstLine="480"/>
        <w:jc w:val="both"/>
        <w:rPr>
          <w:sz w:val="24"/>
          <w:szCs w:val="24"/>
        </w:rPr>
      </w:pPr>
      <w:r>
        <w:rPr>
          <w:sz w:val="24"/>
          <w:szCs w:val="24"/>
        </w:rPr>
        <w:t>（</w:t>
      </w:r>
      <w:r>
        <w:rPr>
          <w:sz w:val="24"/>
          <w:szCs w:val="24"/>
        </w:rPr>
        <w:t>6</w:t>
      </w:r>
      <w:r>
        <w:rPr>
          <w:sz w:val="24"/>
          <w:szCs w:val="24"/>
        </w:rPr>
        <w:t>）《环境影响评价技术导则</w:t>
      </w:r>
      <w:r>
        <w:rPr>
          <w:sz w:val="24"/>
          <w:szCs w:val="24"/>
        </w:rPr>
        <w:t>_</w:t>
      </w:r>
      <w:r>
        <w:rPr>
          <w:sz w:val="24"/>
          <w:szCs w:val="24"/>
        </w:rPr>
        <w:t>生态影响》</w:t>
      </w:r>
      <w:r>
        <w:rPr>
          <w:sz w:val="24"/>
          <w:szCs w:val="24"/>
        </w:rPr>
        <w:t>(HJ19-20</w:t>
      </w:r>
      <w:r>
        <w:rPr>
          <w:rFonts w:hint="eastAsia"/>
          <w:sz w:val="24"/>
          <w:szCs w:val="24"/>
        </w:rPr>
        <w:t>22</w:t>
      </w:r>
      <w:r>
        <w:rPr>
          <w:sz w:val="24"/>
          <w:szCs w:val="24"/>
        </w:rPr>
        <w:t>)</w:t>
      </w:r>
      <w:r>
        <w:rPr>
          <w:sz w:val="24"/>
          <w:szCs w:val="24"/>
        </w:rPr>
        <w:t>；</w:t>
      </w:r>
    </w:p>
    <w:p w:rsidR="00DB7CC8" w:rsidRDefault="002B5250">
      <w:pPr>
        <w:ind w:firstLine="480"/>
        <w:jc w:val="both"/>
        <w:rPr>
          <w:sz w:val="24"/>
          <w:szCs w:val="24"/>
        </w:rPr>
      </w:pPr>
      <w:r>
        <w:rPr>
          <w:rFonts w:hint="eastAsia"/>
          <w:sz w:val="24"/>
          <w:szCs w:val="24"/>
        </w:rPr>
        <w:t>（</w:t>
      </w:r>
      <w:r>
        <w:rPr>
          <w:rFonts w:hint="eastAsia"/>
          <w:sz w:val="24"/>
          <w:szCs w:val="24"/>
        </w:rPr>
        <w:t>7</w:t>
      </w:r>
      <w:r>
        <w:rPr>
          <w:rFonts w:hint="eastAsia"/>
          <w:sz w:val="24"/>
          <w:szCs w:val="24"/>
        </w:rPr>
        <w:t>）</w:t>
      </w:r>
      <w:r>
        <w:rPr>
          <w:rFonts w:hint="eastAsia"/>
          <w:sz w:val="24"/>
          <w:szCs w:val="24"/>
        </w:rPr>
        <w:t>《环境影响评价技术导则</w:t>
      </w:r>
      <w:r>
        <w:rPr>
          <w:rFonts w:hint="eastAsia"/>
          <w:sz w:val="24"/>
          <w:szCs w:val="24"/>
        </w:rPr>
        <w:t xml:space="preserve"> </w:t>
      </w:r>
      <w:r>
        <w:rPr>
          <w:rFonts w:hint="eastAsia"/>
          <w:sz w:val="24"/>
          <w:szCs w:val="24"/>
        </w:rPr>
        <w:t>土壤环境（试行）》（</w:t>
      </w:r>
      <w:r>
        <w:rPr>
          <w:rFonts w:hint="eastAsia"/>
          <w:sz w:val="24"/>
          <w:szCs w:val="24"/>
        </w:rPr>
        <w:t>HJ964-2018</w:t>
      </w:r>
      <w:r>
        <w:rPr>
          <w:rFonts w:hint="eastAsia"/>
          <w:sz w:val="24"/>
          <w:szCs w:val="24"/>
        </w:rPr>
        <w:t>）；</w:t>
      </w:r>
    </w:p>
    <w:p w:rsidR="00DB7CC8" w:rsidRDefault="002B5250">
      <w:pPr>
        <w:widowControl/>
        <w:ind w:firstLine="480"/>
        <w:rPr>
          <w:sz w:val="24"/>
          <w:szCs w:val="24"/>
        </w:rPr>
      </w:pPr>
      <w:r>
        <w:rPr>
          <w:rFonts w:hint="eastAsia"/>
          <w:sz w:val="24"/>
          <w:szCs w:val="24"/>
        </w:rPr>
        <w:t>（</w:t>
      </w:r>
      <w:r>
        <w:rPr>
          <w:rFonts w:hint="eastAsia"/>
          <w:sz w:val="24"/>
          <w:szCs w:val="24"/>
        </w:rPr>
        <w:t>8</w:t>
      </w:r>
      <w:r>
        <w:rPr>
          <w:rFonts w:hint="eastAsia"/>
          <w:sz w:val="24"/>
          <w:szCs w:val="24"/>
        </w:rPr>
        <w:t>）《建设项目环境风险评价技术导则》（</w:t>
      </w:r>
      <w:r>
        <w:rPr>
          <w:rFonts w:hint="eastAsia"/>
          <w:sz w:val="24"/>
          <w:szCs w:val="24"/>
        </w:rPr>
        <w:t>HJ169</w:t>
      </w:r>
      <w:r>
        <w:rPr>
          <w:rFonts w:hint="eastAsia"/>
          <w:sz w:val="24"/>
          <w:szCs w:val="24"/>
        </w:rPr>
        <w:t>—</w:t>
      </w:r>
      <w:r>
        <w:rPr>
          <w:rFonts w:hint="eastAsia"/>
          <w:sz w:val="24"/>
          <w:szCs w:val="24"/>
        </w:rPr>
        <w:t>2018</w:t>
      </w:r>
      <w:r>
        <w:rPr>
          <w:rFonts w:hint="eastAsia"/>
          <w:sz w:val="24"/>
          <w:szCs w:val="24"/>
        </w:rPr>
        <w:t>）；</w:t>
      </w:r>
    </w:p>
    <w:p w:rsidR="00DB7CC8" w:rsidRDefault="002B5250">
      <w:pPr>
        <w:snapToGrid w:val="0"/>
        <w:ind w:firstLine="480"/>
        <w:jc w:val="both"/>
        <w:rPr>
          <w:sz w:val="24"/>
          <w:szCs w:val="24"/>
        </w:rPr>
      </w:pPr>
      <w:r>
        <w:rPr>
          <w:rFonts w:hint="eastAsia"/>
          <w:sz w:val="24"/>
          <w:szCs w:val="24"/>
        </w:rPr>
        <w:t>（</w:t>
      </w:r>
      <w:r>
        <w:rPr>
          <w:rFonts w:hint="eastAsia"/>
          <w:sz w:val="24"/>
          <w:szCs w:val="24"/>
        </w:rPr>
        <w:t>9</w:t>
      </w:r>
      <w:r>
        <w:rPr>
          <w:rFonts w:hint="eastAsia"/>
          <w:sz w:val="24"/>
          <w:szCs w:val="24"/>
        </w:rPr>
        <w:t>）《清洁生产标准</w:t>
      </w:r>
      <w:r>
        <w:rPr>
          <w:rFonts w:hint="eastAsia"/>
          <w:sz w:val="24"/>
          <w:szCs w:val="24"/>
        </w:rPr>
        <w:t xml:space="preserve"> </w:t>
      </w:r>
      <w:r>
        <w:rPr>
          <w:rFonts w:hint="eastAsia"/>
          <w:sz w:val="24"/>
          <w:szCs w:val="24"/>
        </w:rPr>
        <w:t>铁矿采选业》（</w:t>
      </w:r>
      <w:r>
        <w:rPr>
          <w:rFonts w:hint="eastAsia"/>
          <w:sz w:val="24"/>
          <w:szCs w:val="24"/>
        </w:rPr>
        <w:t>HJ/T294-2006</w:t>
      </w:r>
      <w:r>
        <w:rPr>
          <w:rFonts w:hint="eastAsia"/>
          <w:sz w:val="24"/>
          <w:szCs w:val="24"/>
        </w:rPr>
        <w:t>）；</w:t>
      </w:r>
    </w:p>
    <w:p w:rsidR="00DB7CC8" w:rsidRDefault="002B5250">
      <w:pPr>
        <w:snapToGrid w:val="0"/>
        <w:ind w:firstLine="480"/>
        <w:jc w:val="both"/>
        <w:rPr>
          <w:sz w:val="24"/>
          <w:szCs w:val="24"/>
        </w:rPr>
      </w:pPr>
      <w:r>
        <w:rPr>
          <w:rFonts w:hint="eastAsia"/>
          <w:sz w:val="24"/>
          <w:szCs w:val="24"/>
        </w:rPr>
        <w:t>（</w:t>
      </w:r>
      <w:r>
        <w:rPr>
          <w:rFonts w:hint="eastAsia"/>
          <w:sz w:val="24"/>
          <w:szCs w:val="24"/>
        </w:rPr>
        <w:t>10</w:t>
      </w:r>
      <w:r>
        <w:rPr>
          <w:rFonts w:hint="eastAsia"/>
          <w:sz w:val="24"/>
          <w:szCs w:val="24"/>
        </w:rPr>
        <w:t>）《固体废物鉴别导则（试行）》（国家环保总局公告</w:t>
      </w:r>
      <w:r>
        <w:rPr>
          <w:rFonts w:hint="eastAsia"/>
          <w:sz w:val="24"/>
          <w:szCs w:val="24"/>
        </w:rPr>
        <w:t>2006</w:t>
      </w:r>
      <w:r>
        <w:rPr>
          <w:rFonts w:hint="eastAsia"/>
          <w:sz w:val="24"/>
          <w:szCs w:val="24"/>
        </w:rPr>
        <w:t>年</w:t>
      </w:r>
      <w:r>
        <w:rPr>
          <w:rFonts w:hint="eastAsia"/>
          <w:sz w:val="24"/>
          <w:szCs w:val="24"/>
        </w:rPr>
        <w:t>11</w:t>
      </w:r>
      <w:r>
        <w:rPr>
          <w:rFonts w:hint="eastAsia"/>
          <w:sz w:val="24"/>
          <w:szCs w:val="24"/>
        </w:rPr>
        <w:t>号）；</w:t>
      </w:r>
    </w:p>
    <w:p w:rsidR="00DB7CC8" w:rsidRDefault="002B5250">
      <w:pPr>
        <w:snapToGrid w:val="0"/>
        <w:ind w:firstLine="480"/>
        <w:jc w:val="both"/>
        <w:rPr>
          <w:sz w:val="24"/>
          <w:szCs w:val="24"/>
        </w:rPr>
      </w:pPr>
      <w:r>
        <w:rPr>
          <w:rFonts w:hint="eastAsia"/>
          <w:sz w:val="24"/>
          <w:szCs w:val="24"/>
        </w:rPr>
        <w:t>（</w:t>
      </w:r>
      <w:r>
        <w:rPr>
          <w:rFonts w:hint="eastAsia"/>
          <w:sz w:val="24"/>
          <w:szCs w:val="24"/>
        </w:rPr>
        <w:t>11</w:t>
      </w:r>
      <w:r>
        <w:rPr>
          <w:rFonts w:hint="eastAsia"/>
          <w:sz w:val="24"/>
          <w:szCs w:val="24"/>
        </w:rPr>
        <w:t>）《固体废物鉴别标准</w:t>
      </w:r>
      <w:r>
        <w:rPr>
          <w:rFonts w:hint="eastAsia"/>
          <w:sz w:val="24"/>
          <w:szCs w:val="24"/>
        </w:rPr>
        <w:t xml:space="preserve">  </w:t>
      </w:r>
      <w:r>
        <w:rPr>
          <w:rFonts w:hint="eastAsia"/>
          <w:sz w:val="24"/>
          <w:szCs w:val="24"/>
        </w:rPr>
        <w:t>通则》</w:t>
      </w:r>
      <w:r>
        <w:rPr>
          <w:rFonts w:hint="eastAsia"/>
          <w:sz w:val="24"/>
          <w:szCs w:val="24"/>
        </w:rPr>
        <w:t>(GB34330-2017)</w:t>
      </w:r>
      <w:r>
        <w:rPr>
          <w:rFonts w:hint="eastAsia"/>
          <w:sz w:val="24"/>
          <w:szCs w:val="24"/>
        </w:rPr>
        <w:t>；</w:t>
      </w:r>
    </w:p>
    <w:p w:rsidR="00DB7CC8" w:rsidRDefault="002B5250">
      <w:pPr>
        <w:snapToGrid w:val="0"/>
        <w:ind w:firstLine="480"/>
        <w:jc w:val="both"/>
        <w:rPr>
          <w:sz w:val="24"/>
          <w:szCs w:val="24"/>
        </w:rPr>
      </w:pPr>
      <w:r>
        <w:rPr>
          <w:rFonts w:hint="eastAsia"/>
          <w:sz w:val="24"/>
          <w:szCs w:val="24"/>
        </w:rPr>
        <w:t>（</w:t>
      </w:r>
      <w:r>
        <w:rPr>
          <w:rFonts w:hint="eastAsia"/>
          <w:sz w:val="24"/>
          <w:szCs w:val="24"/>
        </w:rPr>
        <w:t>12</w:t>
      </w:r>
      <w:r>
        <w:rPr>
          <w:rFonts w:hint="eastAsia"/>
          <w:sz w:val="24"/>
          <w:szCs w:val="24"/>
        </w:rPr>
        <w:t>）《煤场、料场、渣场扬尘污染控制技术规范》（</w:t>
      </w:r>
      <w:r>
        <w:rPr>
          <w:rFonts w:hint="eastAsia"/>
          <w:sz w:val="24"/>
          <w:szCs w:val="24"/>
        </w:rPr>
        <w:t>DB13/T2352-2016</w:t>
      </w:r>
      <w:r>
        <w:rPr>
          <w:rFonts w:hint="eastAsia"/>
          <w:sz w:val="24"/>
          <w:szCs w:val="24"/>
        </w:rPr>
        <w:t>）。</w:t>
      </w:r>
    </w:p>
    <w:p w:rsidR="00DB7CC8" w:rsidRDefault="002B5250">
      <w:pPr>
        <w:snapToGrid w:val="0"/>
        <w:ind w:firstLine="480"/>
        <w:jc w:val="both"/>
        <w:rPr>
          <w:sz w:val="24"/>
          <w:szCs w:val="24"/>
        </w:rPr>
      </w:pPr>
      <w:r>
        <w:rPr>
          <w:rFonts w:hint="eastAsia"/>
          <w:sz w:val="24"/>
          <w:szCs w:val="24"/>
        </w:rPr>
        <w:t>（</w:t>
      </w:r>
      <w:r>
        <w:rPr>
          <w:rFonts w:hint="eastAsia"/>
          <w:sz w:val="24"/>
          <w:szCs w:val="24"/>
        </w:rPr>
        <w:t>13</w:t>
      </w:r>
      <w:r>
        <w:rPr>
          <w:rFonts w:hint="eastAsia"/>
          <w:sz w:val="24"/>
          <w:szCs w:val="24"/>
        </w:rPr>
        <w:t>）《危险废物鉴别技术规范》（</w:t>
      </w:r>
      <w:r>
        <w:rPr>
          <w:rFonts w:hint="eastAsia"/>
          <w:sz w:val="24"/>
          <w:szCs w:val="24"/>
        </w:rPr>
        <w:t>HJ/T298-2007</w:t>
      </w:r>
      <w:r>
        <w:rPr>
          <w:rFonts w:hint="eastAsia"/>
          <w:sz w:val="24"/>
          <w:szCs w:val="24"/>
        </w:rPr>
        <w:t>）；</w:t>
      </w:r>
    </w:p>
    <w:p w:rsidR="00DB7CC8" w:rsidRDefault="002B5250">
      <w:pPr>
        <w:snapToGrid w:val="0"/>
        <w:ind w:firstLine="480"/>
        <w:jc w:val="both"/>
        <w:rPr>
          <w:sz w:val="24"/>
          <w:szCs w:val="24"/>
        </w:rPr>
      </w:pPr>
      <w:r>
        <w:rPr>
          <w:rFonts w:hint="eastAsia"/>
          <w:sz w:val="24"/>
          <w:szCs w:val="24"/>
        </w:rPr>
        <w:lastRenderedPageBreak/>
        <w:t>（</w:t>
      </w:r>
      <w:r>
        <w:rPr>
          <w:rFonts w:hint="eastAsia"/>
          <w:sz w:val="24"/>
          <w:szCs w:val="24"/>
        </w:rPr>
        <w:t>14</w:t>
      </w:r>
      <w:r>
        <w:rPr>
          <w:rFonts w:hint="eastAsia"/>
          <w:sz w:val="24"/>
          <w:szCs w:val="24"/>
        </w:rPr>
        <w:t>）《国家危</w:t>
      </w:r>
      <w:r>
        <w:rPr>
          <w:rFonts w:hint="eastAsia"/>
          <w:sz w:val="24"/>
          <w:szCs w:val="24"/>
        </w:rPr>
        <w:t>险废物名录（</w:t>
      </w:r>
      <w:r>
        <w:rPr>
          <w:rFonts w:hint="eastAsia"/>
          <w:sz w:val="24"/>
          <w:szCs w:val="24"/>
        </w:rPr>
        <w:t>20</w:t>
      </w:r>
      <w:r>
        <w:rPr>
          <w:rFonts w:hint="eastAsia"/>
          <w:sz w:val="24"/>
          <w:szCs w:val="24"/>
        </w:rPr>
        <w:t>21</w:t>
      </w:r>
      <w:r>
        <w:rPr>
          <w:rFonts w:hint="eastAsia"/>
          <w:sz w:val="24"/>
          <w:szCs w:val="24"/>
        </w:rPr>
        <w:t>年本）》（部令第</w:t>
      </w:r>
      <w:r>
        <w:rPr>
          <w:rFonts w:hint="eastAsia"/>
          <w:sz w:val="24"/>
          <w:szCs w:val="24"/>
        </w:rPr>
        <w:t>15</w:t>
      </w:r>
      <w:r>
        <w:rPr>
          <w:rFonts w:hint="eastAsia"/>
          <w:sz w:val="24"/>
          <w:szCs w:val="24"/>
        </w:rPr>
        <w:t>号）；</w:t>
      </w:r>
    </w:p>
    <w:p w:rsidR="00DB7CC8" w:rsidRDefault="002B5250">
      <w:pPr>
        <w:snapToGrid w:val="0"/>
        <w:ind w:firstLine="480"/>
        <w:jc w:val="both"/>
        <w:rPr>
          <w:sz w:val="24"/>
          <w:szCs w:val="24"/>
        </w:rPr>
      </w:pPr>
      <w:r>
        <w:rPr>
          <w:rFonts w:hint="eastAsia"/>
          <w:sz w:val="24"/>
          <w:szCs w:val="24"/>
        </w:rPr>
        <w:t>（</w:t>
      </w:r>
      <w:r>
        <w:rPr>
          <w:rFonts w:hint="eastAsia"/>
          <w:sz w:val="24"/>
          <w:szCs w:val="24"/>
        </w:rPr>
        <w:t>15</w:t>
      </w:r>
      <w:r>
        <w:rPr>
          <w:rFonts w:hint="eastAsia"/>
          <w:sz w:val="24"/>
          <w:szCs w:val="24"/>
        </w:rPr>
        <w:t>）《大气污染治理工程技术导则》（</w:t>
      </w:r>
      <w:r>
        <w:rPr>
          <w:rFonts w:hint="eastAsia"/>
          <w:sz w:val="24"/>
          <w:szCs w:val="24"/>
        </w:rPr>
        <w:t>HJ2000-2010</w:t>
      </w:r>
      <w:r>
        <w:rPr>
          <w:rFonts w:hint="eastAsia"/>
          <w:sz w:val="24"/>
          <w:szCs w:val="24"/>
        </w:rPr>
        <w:t>）；</w:t>
      </w:r>
    </w:p>
    <w:p w:rsidR="00DB7CC8" w:rsidRDefault="002B5250">
      <w:pPr>
        <w:snapToGrid w:val="0"/>
        <w:ind w:firstLine="480"/>
        <w:jc w:val="both"/>
        <w:rPr>
          <w:sz w:val="24"/>
          <w:szCs w:val="24"/>
        </w:rPr>
      </w:pPr>
      <w:r>
        <w:rPr>
          <w:rFonts w:hint="eastAsia"/>
          <w:sz w:val="24"/>
          <w:szCs w:val="24"/>
        </w:rPr>
        <w:t>（</w:t>
      </w:r>
      <w:r>
        <w:rPr>
          <w:rFonts w:hint="eastAsia"/>
          <w:sz w:val="24"/>
          <w:szCs w:val="24"/>
        </w:rPr>
        <w:t>16</w:t>
      </w:r>
      <w:r>
        <w:rPr>
          <w:rFonts w:hint="eastAsia"/>
          <w:sz w:val="24"/>
          <w:szCs w:val="24"/>
        </w:rPr>
        <w:t>）《水污染治理工程技术导则》</w:t>
      </w:r>
      <w:r>
        <w:rPr>
          <w:rFonts w:hint="eastAsia"/>
          <w:sz w:val="24"/>
          <w:szCs w:val="24"/>
        </w:rPr>
        <w:t>(HJ2015-2012)</w:t>
      </w:r>
      <w:r>
        <w:rPr>
          <w:rFonts w:hint="eastAsia"/>
          <w:sz w:val="24"/>
          <w:szCs w:val="24"/>
        </w:rPr>
        <w:t>；</w:t>
      </w:r>
    </w:p>
    <w:p w:rsidR="00DB7CC8" w:rsidRDefault="002B5250">
      <w:pPr>
        <w:snapToGrid w:val="0"/>
        <w:ind w:firstLine="480"/>
        <w:jc w:val="both"/>
        <w:rPr>
          <w:sz w:val="24"/>
          <w:szCs w:val="24"/>
        </w:rPr>
      </w:pPr>
      <w:r>
        <w:rPr>
          <w:rFonts w:hint="eastAsia"/>
          <w:sz w:val="24"/>
          <w:szCs w:val="24"/>
        </w:rPr>
        <w:t>（</w:t>
      </w:r>
      <w:r>
        <w:rPr>
          <w:rFonts w:hint="eastAsia"/>
          <w:sz w:val="24"/>
          <w:szCs w:val="24"/>
        </w:rPr>
        <w:t>17</w:t>
      </w:r>
      <w:r>
        <w:rPr>
          <w:rFonts w:hint="eastAsia"/>
          <w:sz w:val="24"/>
          <w:szCs w:val="24"/>
        </w:rPr>
        <w:t>）《环境噪声与振动控制工程技术导则》</w:t>
      </w:r>
      <w:r>
        <w:rPr>
          <w:rFonts w:hint="eastAsia"/>
          <w:sz w:val="24"/>
          <w:szCs w:val="24"/>
        </w:rPr>
        <w:t>(HJ2034-2013)</w:t>
      </w:r>
      <w:r>
        <w:rPr>
          <w:rFonts w:hint="eastAsia"/>
          <w:sz w:val="24"/>
          <w:szCs w:val="24"/>
        </w:rPr>
        <w:t>；</w:t>
      </w:r>
    </w:p>
    <w:p w:rsidR="00DB7CC8" w:rsidRDefault="002B5250">
      <w:pPr>
        <w:snapToGrid w:val="0"/>
        <w:ind w:firstLine="480"/>
        <w:jc w:val="both"/>
        <w:rPr>
          <w:sz w:val="24"/>
          <w:szCs w:val="24"/>
        </w:rPr>
      </w:pPr>
      <w:r>
        <w:rPr>
          <w:rFonts w:hint="eastAsia"/>
          <w:sz w:val="24"/>
          <w:szCs w:val="24"/>
        </w:rPr>
        <w:t>（</w:t>
      </w:r>
      <w:r>
        <w:rPr>
          <w:rFonts w:hint="eastAsia"/>
          <w:sz w:val="24"/>
          <w:szCs w:val="24"/>
        </w:rPr>
        <w:t>18</w:t>
      </w:r>
      <w:r>
        <w:rPr>
          <w:rFonts w:hint="eastAsia"/>
          <w:sz w:val="24"/>
          <w:szCs w:val="24"/>
        </w:rPr>
        <w:t>）《固体废物处理处置工程技术导则》</w:t>
      </w:r>
      <w:r>
        <w:rPr>
          <w:rFonts w:hint="eastAsia"/>
          <w:sz w:val="24"/>
          <w:szCs w:val="24"/>
        </w:rPr>
        <w:t>(HJ2035-2013)</w:t>
      </w:r>
      <w:r>
        <w:rPr>
          <w:rFonts w:hint="eastAsia"/>
          <w:sz w:val="24"/>
          <w:szCs w:val="24"/>
        </w:rPr>
        <w:t>；</w:t>
      </w:r>
    </w:p>
    <w:p w:rsidR="00DB7CC8" w:rsidRDefault="002B5250">
      <w:pPr>
        <w:snapToGrid w:val="0"/>
        <w:ind w:firstLine="480"/>
        <w:jc w:val="both"/>
        <w:rPr>
          <w:sz w:val="24"/>
          <w:szCs w:val="24"/>
        </w:rPr>
      </w:pPr>
      <w:r>
        <w:rPr>
          <w:rFonts w:hint="eastAsia"/>
          <w:sz w:val="24"/>
          <w:szCs w:val="24"/>
        </w:rPr>
        <w:t>（</w:t>
      </w:r>
      <w:r>
        <w:rPr>
          <w:rFonts w:hint="eastAsia"/>
          <w:sz w:val="24"/>
          <w:szCs w:val="24"/>
        </w:rPr>
        <w:t>19</w:t>
      </w:r>
      <w:r>
        <w:rPr>
          <w:rFonts w:hint="eastAsia"/>
          <w:sz w:val="24"/>
          <w:szCs w:val="24"/>
        </w:rPr>
        <w:t>）《防治城市扬尘污染技术规范》</w:t>
      </w:r>
      <w:r>
        <w:rPr>
          <w:rFonts w:hint="eastAsia"/>
          <w:sz w:val="24"/>
          <w:szCs w:val="24"/>
        </w:rPr>
        <w:t>(HJ/T393-2007)</w:t>
      </w:r>
      <w:r>
        <w:rPr>
          <w:rFonts w:hint="eastAsia"/>
          <w:sz w:val="24"/>
          <w:szCs w:val="24"/>
        </w:rPr>
        <w:t>；</w:t>
      </w:r>
    </w:p>
    <w:p w:rsidR="00DB7CC8" w:rsidRDefault="002B5250">
      <w:pPr>
        <w:snapToGrid w:val="0"/>
        <w:ind w:firstLine="480"/>
        <w:jc w:val="both"/>
        <w:rPr>
          <w:sz w:val="24"/>
          <w:szCs w:val="24"/>
        </w:rPr>
      </w:pPr>
      <w:r>
        <w:rPr>
          <w:rFonts w:hint="eastAsia"/>
          <w:sz w:val="24"/>
          <w:szCs w:val="24"/>
        </w:rPr>
        <w:t>（</w:t>
      </w:r>
      <w:r>
        <w:rPr>
          <w:rFonts w:hint="eastAsia"/>
          <w:sz w:val="24"/>
          <w:szCs w:val="24"/>
        </w:rPr>
        <w:t>20</w:t>
      </w:r>
      <w:r>
        <w:rPr>
          <w:rFonts w:hint="eastAsia"/>
          <w:sz w:val="24"/>
          <w:szCs w:val="24"/>
        </w:rPr>
        <w:t>）《危险废物收集</w:t>
      </w:r>
      <w:r>
        <w:rPr>
          <w:rFonts w:hint="eastAsia"/>
          <w:sz w:val="24"/>
          <w:szCs w:val="24"/>
        </w:rPr>
        <w:t xml:space="preserve"> </w:t>
      </w:r>
      <w:r>
        <w:rPr>
          <w:rFonts w:hint="eastAsia"/>
          <w:sz w:val="24"/>
          <w:szCs w:val="24"/>
        </w:rPr>
        <w:t>储存</w:t>
      </w:r>
      <w:r>
        <w:rPr>
          <w:rFonts w:hint="eastAsia"/>
          <w:sz w:val="24"/>
          <w:szCs w:val="24"/>
        </w:rPr>
        <w:t xml:space="preserve"> </w:t>
      </w:r>
      <w:r>
        <w:rPr>
          <w:rFonts w:hint="eastAsia"/>
          <w:sz w:val="24"/>
          <w:szCs w:val="24"/>
        </w:rPr>
        <w:t>运输技术规范》</w:t>
      </w:r>
      <w:r>
        <w:rPr>
          <w:rFonts w:hint="eastAsia"/>
          <w:sz w:val="24"/>
          <w:szCs w:val="24"/>
        </w:rPr>
        <w:t>(HJ2025-2012)</w:t>
      </w:r>
      <w:r>
        <w:rPr>
          <w:rFonts w:hint="eastAsia"/>
          <w:sz w:val="24"/>
          <w:szCs w:val="24"/>
        </w:rPr>
        <w:t>；</w:t>
      </w:r>
    </w:p>
    <w:p w:rsidR="00DB7CC8" w:rsidRDefault="002B5250">
      <w:pPr>
        <w:snapToGrid w:val="0"/>
        <w:ind w:firstLine="480"/>
        <w:jc w:val="both"/>
        <w:rPr>
          <w:sz w:val="24"/>
          <w:szCs w:val="24"/>
        </w:rPr>
      </w:pPr>
      <w:r>
        <w:rPr>
          <w:rFonts w:hint="eastAsia"/>
          <w:sz w:val="24"/>
          <w:szCs w:val="24"/>
        </w:rPr>
        <w:t>（</w:t>
      </w:r>
      <w:r>
        <w:rPr>
          <w:rFonts w:hint="eastAsia"/>
          <w:sz w:val="24"/>
          <w:szCs w:val="24"/>
        </w:rPr>
        <w:t>21</w:t>
      </w:r>
      <w:r>
        <w:rPr>
          <w:rFonts w:hint="eastAsia"/>
          <w:sz w:val="24"/>
          <w:szCs w:val="24"/>
        </w:rPr>
        <w:t>）《制定地方大气污染物排放标准的技术方法》（</w:t>
      </w:r>
      <w:r>
        <w:rPr>
          <w:rFonts w:hint="eastAsia"/>
          <w:sz w:val="24"/>
          <w:szCs w:val="24"/>
        </w:rPr>
        <w:t>GB/T3840-91</w:t>
      </w:r>
      <w:r>
        <w:rPr>
          <w:rFonts w:hint="eastAsia"/>
          <w:sz w:val="24"/>
          <w:szCs w:val="24"/>
        </w:rPr>
        <w:t>）；</w:t>
      </w:r>
    </w:p>
    <w:p w:rsidR="00DB7CC8" w:rsidRDefault="002B5250">
      <w:pPr>
        <w:snapToGrid w:val="0"/>
        <w:ind w:firstLine="480"/>
        <w:jc w:val="both"/>
        <w:rPr>
          <w:sz w:val="24"/>
          <w:szCs w:val="24"/>
        </w:rPr>
      </w:pPr>
      <w:r>
        <w:rPr>
          <w:rFonts w:hint="eastAsia"/>
          <w:sz w:val="24"/>
          <w:szCs w:val="24"/>
        </w:rPr>
        <w:t>（</w:t>
      </w:r>
      <w:r>
        <w:rPr>
          <w:rFonts w:hint="eastAsia"/>
          <w:sz w:val="24"/>
          <w:szCs w:val="24"/>
        </w:rPr>
        <w:t>22</w:t>
      </w:r>
      <w:r>
        <w:rPr>
          <w:rFonts w:hint="eastAsia"/>
          <w:sz w:val="24"/>
          <w:szCs w:val="24"/>
        </w:rPr>
        <w:t>）</w:t>
      </w:r>
      <w:r>
        <w:rPr>
          <w:rFonts w:hint="eastAsia"/>
          <w:sz w:val="24"/>
          <w:szCs w:val="24"/>
        </w:rPr>
        <w:t>《</w:t>
      </w:r>
      <w:r>
        <w:rPr>
          <w:rFonts w:hint="eastAsia"/>
          <w:sz w:val="24"/>
          <w:szCs w:val="24"/>
        </w:rPr>
        <w:t>生活与服务业用水定额</w:t>
      </w:r>
      <w:r>
        <w:rPr>
          <w:rFonts w:hint="eastAsia"/>
          <w:sz w:val="24"/>
          <w:szCs w:val="24"/>
        </w:rPr>
        <w:t>》（</w:t>
      </w:r>
      <w:r>
        <w:rPr>
          <w:rFonts w:hint="eastAsia"/>
          <w:sz w:val="24"/>
          <w:szCs w:val="24"/>
        </w:rPr>
        <w:t>DB13/T</w:t>
      </w:r>
      <w:r>
        <w:rPr>
          <w:rFonts w:hint="eastAsia"/>
          <w:sz w:val="24"/>
          <w:szCs w:val="24"/>
        </w:rPr>
        <w:t>5450</w:t>
      </w:r>
      <w:r>
        <w:rPr>
          <w:rFonts w:hint="eastAsia"/>
          <w:sz w:val="24"/>
          <w:szCs w:val="24"/>
        </w:rPr>
        <w:t>.</w:t>
      </w:r>
      <w:r>
        <w:rPr>
          <w:rFonts w:hint="eastAsia"/>
          <w:sz w:val="24"/>
          <w:szCs w:val="24"/>
        </w:rPr>
        <w:t>1</w:t>
      </w:r>
      <w:r>
        <w:rPr>
          <w:rFonts w:hint="eastAsia"/>
          <w:sz w:val="24"/>
          <w:szCs w:val="24"/>
        </w:rPr>
        <w:t>-20</w:t>
      </w:r>
      <w:r>
        <w:rPr>
          <w:rFonts w:hint="eastAsia"/>
          <w:sz w:val="24"/>
          <w:szCs w:val="24"/>
        </w:rPr>
        <w:t>21</w:t>
      </w:r>
      <w:r>
        <w:rPr>
          <w:rFonts w:hint="eastAsia"/>
          <w:sz w:val="24"/>
          <w:szCs w:val="24"/>
        </w:rPr>
        <w:t>）。</w:t>
      </w:r>
    </w:p>
    <w:p w:rsidR="00DB7CC8" w:rsidRDefault="002B5250">
      <w:pPr>
        <w:pStyle w:val="3"/>
        <w:numPr>
          <w:ilvl w:val="2"/>
          <w:numId w:val="1"/>
        </w:numPr>
        <w:rPr>
          <w:szCs w:val="28"/>
        </w:rPr>
      </w:pPr>
      <w:bookmarkStart w:id="67" w:name="_Toc10357"/>
      <w:bookmarkStart w:id="68" w:name="_Toc521591673"/>
      <w:r>
        <w:rPr>
          <w:szCs w:val="28"/>
        </w:rPr>
        <w:t>其他相关文件</w:t>
      </w:r>
      <w:bookmarkEnd w:id="67"/>
      <w:bookmarkEnd w:id="68"/>
    </w:p>
    <w:p w:rsidR="00DB7CC8" w:rsidRDefault="002B5250">
      <w:pPr>
        <w:ind w:firstLine="480"/>
        <w:jc w:val="both"/>
        <w:rPr>
          <w:sz w:val="24"/>
          <w:szCs w:val="24"/>
        </w:rPr>
      </w:pPr>
      <w:r>
        <w:rPr>
          <w:sz w:val="24"/>
          <w:szCs w:val="24"/>
        </w:rPr>
        <w:t>（</w:t>
      </w:r>
      <w:r>
        <w:rPr>
          <w:sz w:val="24"/>
          <w:szCs w:val="24"/>
        </w:rPr>
        <w:t>1</w:t>
      </w:r>
      <w:r>
        <w:rPr>
          <w:sz w:val="24"/>
          <w:szCs w:val="24"/>
        </w:rPr>
        <w:t>）《环境影响评价委托书》；</w:t>
      </w:r>
    </w:p>
    <w:p w:rsidR="00DB7CC8" w:rsidRDefault="002B5250">
      <w:pPr>
        <w:ind w:firstLine="480"/>
        <w:jc w:val="both"/>
        <w:rPr>
          <w:sz w:val="24"/>
          <w:szCs w:val="24"/>
        </w:rPr>
      </w:pPr>
      <w:r>
        <w:rPr>
          <w:sz w:val="24"/>
          <w:szCs w:val="24"/>
        </w:rPr>
        <w:t>（</w:t>
      </w:r>
      <w:r>
        <w:rPr>
          <w:sz w:val="24"/>
          <w:szCs w:val="24"/>
        </w:rPr>
        <w:t>2</w:t>
      </w:r>
      <w:r>
        <w:rPr>
          <w:sz w:val="24"/>
          <w:szCs w:val="24"/>
        </w:rPr>
        <w:t>）《遵化市鑫伟铁选厂年处理</w:t>
      </w:r>
      <w:r>
        <w:rPr>
          <w:sz w:val="24"/>
          <w:szCs w:val="24"/>
        </w:rPr>
        <w:t>70</w:t>
      </w:r>
      <w:r>
        <w:rPr>
          <w:sz w:val="24"/>
          <w:szCs w:val="24"/>
        </w:rPr>
        <w:t>万吨铁矿石项目</w:t>
      </w:r>
      <w:r>
        <w:rPr>
          <w:rFonts w:hint="eastAsia"/>
          <w:sz w:val="24"/>
          <w:szCs w:val="24"/>
        </w:rPr>
        <w:t>环境影响报告书</w:t>
      </w:r>
      <w:r>
        <w:rPr>
          <w:sz w:val="24"/>
          <w:szCs w:val="24"/>
        </w:rPr>
        <w:t>》</w:t>
      </w:r>
      <w:r>
        <w:rPr>
          <w:rFonts w:hint="eastAsia"/>
          <w:sz w:val="24"/>
          <w:szCs w:val="24"/>
        </w:rPr>
        <w:t>及其批复文件</w:t>
      </w:r>
      <w:r>
        <w:rPr>
          <w:sz w:val="24"/>
          <w:szCs w:val="24"/>
        </w:rPr>
        <w:t>；</w:t>
      </w:r>
    </w:p>
    <w:p w:rsidR="00DB7CC8" w:rsidRDefault="002B5250">
      <w:pPr>
        <w:ind w:firstLine="480"/>
        <w:jc w:val="both"/>
        <w:rPr>
          <w:sz w:val="24"/>
          <w:szCs w:val="24"/>
        </w:rPr>
      </w:pPr>
      <w:r>
        <w:rPr>
          <w:sz w:val="24"/>
          <w:szCs w:val="24"/>
        </w:rPr>
        <w:t>（</w:t>
      </w:r>
      <w:r>
        <w:rPr>
          <w:sz w:val="24"/>
          <w:szCs w:val="24"/>
        </w:rPr>
        <w:t>3</w:t>
      </w:r>
      <w:r>
        <w:rPr>
          <w:sz w:val="24"/>
          <w:szCs w:val="24"/>
        </w:rPr>
        <w:t>）河北省发展和改革委员会企业投资项目备案信息（</w:t>
      </w:r>
      <w:r>
        <w:rPr>
          <w:sz w:val="24"/>
          <w:szCs w:val="24"/>
        </w:rPr>
        <w:t>冀发改</w:t>
      </w:r>
      <w:r>
        <w:rPr>
          <w:rFonts w:hint="eastAsia"/>
          <w:sz w:val="24"/>
          <w:szCs w:val="24"/>
        </w:rPr>
        <w:t>政务</w:t>
      </w:r>
      <w:r>
        <w:rPr>
          <w:sz w:val="24"/>
          <w:szCs w:val="24"/>
        </w:rPr>
        <w:t>备字</w:t>
      </w:r>
      <w:r>
        <w:rPr>
          <w:sz w:val="24"/>
          <w:szCs w:val="24"/>
        </w:rPr>
        <w:t>[20</w:t>
      </w:r>
      <w:r>
        <w:rPr>
          <w:rFonts w:hint="eastAsia"/>
          <w:sz w:val="24"/>
          <w:szCs w:val="24"/>
        </w:rPr>
        <w:t>23</w:t>
      </w:r>
      <w:r>
        <w:rPr>
          <w:sz w:val="24"/>
          <w:szCs w:val="24"/>
        </w:rPr>
        <w:t>]</w:t>
      </w:r>
      <w:r>
        <w:rPr>
          <w:rFonts w:hint="eastAsia"/>
          <w:sz w:val="24"/>
          <w:szCs w:val="24"/>
        </w:rPr>
        <w:t>28</w:t>
      </w:r>
      <w:r>
        <w:rPr>
          <w:sz w:val="24"/>
          <w:szCs w:val="24"/>
        </w:rPr>
        <w:t>号</w:t>
      </w:r>
      <w:r>
        <w:rPr>
          <w:sz w:val="24"/>
          <w:szCs w:val="24"/>
        </w:rPr>
        <w:t>）；</w:t>
      </w:r>
    </w:p>
    <w:p w:rsidR="00DB7CC8" w:rsidRDefault="002B5250">
      <w:pPr>
        <w:ind w:firstLine="480"/>
        <w:jc w:val="both"/>
        <w:rPr>
          <w:sz w:val="24"/>
          <w:szCs w:val="24"/>
        </w:rPr>
      </w:pPr>
      <w:r>
        <w:rPr>
          <w:sz w:val="24"/>
          <w:szCs w:val="24"/>
        </w:rPr>
        <w:t>（</w:t>
      </w:r>
      <w:r>
        <w:rPr>
          <w:sz w:val="24"/>
          <w:szCs w:val="24"/>
        </w:rPr>
        <w:t>4</w:t>
      </w:r>
      <w:r>
        <w:rPr>
          <w:sz w:val="24"/>
          <w:szCs w:val="24"/>
        </w:rPr>
        <w:t>）《尾砂销售合同》；</w:t>
      </w:r>
    </w:p>
    <w:p w:rsidR="00DB7CC8" w:rsidRDefault="002B5250">
      <w:pPr>
        <w:ind w:firstLine="480"/>
        <w:jc w:val="both"/>
        <w:rPr>
          <w:sz w:val="24"/>
          <w:szCs w:val="24"/>
        </w:rPr>
      </w:pPr>
      <w:r>
        <w:rPr>
          <w:sz w:val="24"/>
          <w:szCs w:val="24"/>
        </w:rPr>
        <w:t>（</w:t>
      </w:r>
      <w:r>
        <w:rPr>
          <w:sz w:val="24"/>
          <w:szCs w:val="24"/>
        </w:rPr>
        <w:t>5</w:t>
      </w:r>
      <w:r>
        <w:rPr>
          <w:sz w:val="24"/>
          <w:szCs w:val="24"/>
        </w:rPr>
        <w:t>）《遵化市住房和城乡规划建设局关于遵化市建明镇靠山庄村用地性质的说明》（遵化市住房和城乡规划建设局）；</w:t>
      </w:r>
    </w:p>
    <w:p w:rsidR="00DB7CC8" w:rsidRDefault="002B5250">
      <w:pPr>
        <w:ind w:firstLine="480"/>
        <w:jc w:val="both"/>
        <w:rPr>
          <w:sz w:val="24"/>
          <w:szCs w:val="24"/>
        </w:rPr>
      </w:pPr>
      <w:r>
        <w:rPr>
          <w:sz w:val="24"/>
          <w:szCs w:val="24"/>
        </w:rPr>
        <w:t>（</w:t>
      </w:r>
      <w:r>
        <w:rPr>
          <w:rFonts w:hint="eastAsia"/>
          <w:sz w:val="24"/>
          <w:szCs w:val="24"/>
        </w:rPr>
        <w:t>6</w:t>
      </w:r>
      <w:r>
        <w:rPr>
          <w:sz w:val="24"/>
          <w:szCs w:val="24"/>
        </w:rPr>
        <w:t>）检测报</w:t>
      </w:r>
      <w:r>
        <w:rPr>
          <w:sz w:val="24"/>
          <w:szCs w:val="24"/>
        </w:rPr>
        <w:t>告；</w:t>
      </w:r>
    </w:p>
    <w:p w:rsidR="00DB7CC8" w:rsidRDefault="002B5250">
      <w:pPr>
        <w:ind w:firstLine="480"/>
        <w:jc w:val="both"/>
        <w:rPr>
          <w:sz w:val="24"/>
          <w:szCs w:val="24"/>
        </w:rPr>
      </w:pPr>
      <w:r>
        <w:rPr>
          <w:sz w:val="24"/>
          <w:szCs w:val="24"/>
        </w:rPr>
        <w:t>（</w:t>
      </w:r>
      <w:r>
        <w:rPr>
          <w:rFonts w:hint="eastAsia"/>
          <w:sz w:val="24"/>
          <w:szCs w:val="24"/>
        </w:rPr>
        <w:t>7</w:t>
      </w:r>
      <w:r>
        <w:rPr>
          <w:sz w:val="24"/>
          <w:szCs w:val="24"/>
        </w:rPr>
        <w:t>）</w:t>
      </w:r>
      <w:bookmarkStart w:id="69" w:name="_Hlk522220087"/>
      <w:r>
        <w:rPr>
          <w:sz w:val="24"/>
          <w:szCs w:val="24"/>
        </w:rPr>
        <w:t>环评委托方提供的其它有关资料</w:t>
      </w:r>
      <w:bookmarkEnd w:id="69"/>
      <w:r>
        <w:rPr>
          <w:sz w:val="24"/>
          <w:szCs w:val="24"/>
        </w:rPr>
        <w:t>。</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70" w:name="_Toc11216"/>
      <w:bookmarkStart w:id="71" w:name="_Toc521591674"/>
      <w:bookmarkStart w:id="72" w:name="_Toc1057"/>
      <w:bookmarkStart w:id="73" w:name="_Toc503218096"/>
      <w:bookmarkStart w:id="74" w:name="_Toc2994"/>
      <w:bookmarkStart w:id="75" w:name="_Toc524284659"/>
      <w:bookmarkStart w:id="76" w:name="_Toc476574687"/>
      <w:bookmarkStart w:id="77" w:name="_Toc499651397"/>
      <w:bookmarkStart w:id="78" w:name="_Toc9428"/>
      <w:r>
        <w:rPr>
          <w:rFonts w:ascii="Times New Roman" w:eastAsia="宋体" w:hAnsi="Times New Roman"/>
          <w:bCs w:val="0"/>
          <w:snapToGrid w:val="0"/>
          <w:kern w:val="0"/>
          <w:sz w:val="28"/>
          <w:szCs w:val="28"/>
        </w:rPr>
        <w:t>评价目的与评价原则</w:t>
      </w:r>
      <w:bookmarkEnd w:id="70"/>
    </w:p>
    <w:p w:rsidR="00DB7CC8" w:rsidRDefault="002B5250">
      <w:pPr>
        <w:pStyle w:val="3"/>
        <w:numPr>
          <w:ilvl w:val="2"/>
          <w:numId w:val="1"/>
        </w:numPr>
        <w:rPr>
          <w:szCs w:val="28"/>
        </w:rPr>
      </w:pPr>
      <w:bookmarkStart w:id="79" w:name="_Toc246985967"/>
      <w:bookmarkStart w:id="80" w:name="_Toc246749938"/>
      <w:bookmarkStart w:id="81" w:name="_Toc257125152"/>
      <w:bookmarkStart w:id="82" w:name="_Toc258867568"/>
      <w:bookmarkStart w:id="83" w:name="_Toc246815927"/>
      <w:r>
        <w:rPr>
          <w:szCs w:val="28"/>
        </w:rPr>
        <w:t>评价目的</w:t>
      </w:r>
      <w:bookmarkEnd w:id="79"/>
      <w:bookmarkEnd w:id="80"/>
      <w:bookmarkEnd w:id="81"/>
      <w:bookmarkEnd w:id="82"/>
      <w:bookmarkEnd w:id="83"/>
    </w:p>
    <w:p w:rsidR="00DB7CC8" w:rsidRDefault="002B5250">
      <w:pPr>
        <w:ind w:firstLine="480"/>
        <w:rPr>
          <w:sz w:val="24"/>
          <w:szCs w:val="24"/>
        </w:rPr>
      </w:pPr>
      <w:bookmarkStart w:id="84" w:name="_Toc246985968"/>
      <w:bookmarkStart w:id="85" w:name="_Toc246749939"/>
      <w:bookmarkStart w:id="86" w:name="_Toc246815928"/>
      <w:bookmarkStart w:id="87" w:name="_Toc257125153"/>
      <w:bookmarkStart w:id="88" w:name="_Toc258867569"/>
      <w:r>
        <w:rPr>
          <w:sz w:val="24"/>
          <w:szCs w:val="24"/>
        </w:rPr>
        <w:t>（</w:t>
      </w:r>
      <w:r>
        <w:rPr>
          <w:sz w:val="24"/>
          <w:szCs w:val="24"/>
        </w:rPr>
        <w:t>1</w:t>
      </w:r>
      <w:r>
        <w:rPr>
          <w:sz w:val="24"/>
          <w:szCs w:val="24"/>
        </w:rPr>
        <w:t>）通过调查与监测，了解建设项目周围的自然环境、社会经济环境和环境质量现状。</w:t>
      </w:r>
    </w:p>
    <w:p w:rsidR="00DB7CC8" w:rsidRDefault="002B5250">
      <w:pPr>
        <w:ind w:firstLine="480"/>
        <w:rPr>
          <w:sz w:val="24"/>
          <w:szCs w:val="24"/>
        </w:rPr>
      </w:pPr>
      <w:r>
        <w:rPr>
          <w:sz w:val="24"/>
          <w:szCs w:val="24"/>
        </w:rPr>
        <w:t>（</w:t>
      </w:r>
      <w:r>
        <w:rPr>
          <w:sz w:val="24"/>
          <w:szCs w:val="24"/>
        </w:rPr>
        <w:t>2</w:t>
      </w:r>
      <w:r>
        <w:rPr>
          <w:sz w:val="24"/>
          <w:szCs w:val="24"/>
        </w:rPr>
        <w:t>）通过工程分析和类比调查，查清建设项目的主要污染源、污染物及排放量；按</w:t>
      </w:r>
      <w:r>
        <w:rPr>
          <w:rFonts w:hint="eastAsia"/>
          <w:sz w:val="24"/>
          <w:szCs w:val="24"/>
        </w:rPr>
        <w:t>“</w:t>
      </w:r>
      <w:r>
        <w:rPr>
          <w:sz w:val="24"/>
          <w:szCs w:val="24"/>
        </w:rPr>
        <w:t>清洁生产</w:t>
      </w:r>
      <w:r>
        <w:rPr>
          <w:rFonts w:hint="eastAsia"/>
          <w:sz w:val="24"/>
          <w:szCs w:val="24"/>
        </w:rPr>
        <w:t>”</w:t>
      </w:r>
      <w:r>
        <w:rPr>
          <w:sz w:val="24"/>
          <w:szCs w:val="24"/>
        </w:rPr>
        <w:t>的要求，对工程采用的工艺、设备、物耗、能耗等各环节进行分析。</w:t>
      </w:r>
    </w:p>
    <w:p w:rsidR="00DB7CC8" w:rsidRDefault="002B5250">
      <w:pPr>
        <w:ind w:firstLine="480"/>
        <w:rPr>
          <w:sz w:val="24"/>
          <w:szCs w:val="24"/>
        </w:rPr>
      </w:pPr>
      <w:r>
        <w:rPr>
          <w:sz w:val="24"/>
          <w:szCs w:val="24"/>
        </w:rPr>
        <w:t>（</w:t>
      </w:r>
      <w:r>
        <w:rPr>
          <w:sz w:val="24"/>
          <w:szCs w:val="24"/>
        </w:rPr>
        <w:t>3</w:t>
      </w:r>
      <w:r>
        <w:rPr>
          <w:sz w:val="24"/>
          <w:szCs w:val="24"/>
        </w:rPr>
        <w:t>）通过分析和计算，预测主要污染物排放对周围环境的影响程度，判断其是否满足排放标准、环境质量标准和总量控制要求。</w:t>
      </w:r>
    </w:p>
    <w:p w:rsidR="00DB7CC8" w:rsidRDefault="002B5250">
      <w:pPr>
        <w:ind w:firstLine="480"/>
        <w:rPr>
          <w:sz w:val="24"/>
          <w:szCs w:val="24"/>
        </w:rPr>
      </w:pPr>
      <w:r>
        <w:rPr>
          <w:sz w:val="24"/>
          <w:szCs w:val="24"/>
        </w:rPr>
        <w:lastRenderedPageBreak/>
        <w:t>（</w:t>
      </w:r>
      <w:r>
        <w:rPr>
          <w:sz w:val="24"/>
          <w:szCs w:val="24"/>
        </w:rPr>
        <w:t>4</w:t>
      </w:r>
      <w:r>
        <w:rPr>
          <w:sz w:val="24"/>
          <w:szCs w:val="24"/>
        </w:rPr>
        <w:t>）从技术、经济角度分析拟采取的环保措施的可行性，必要时提出替代方案，为主管部门决策和加强环境管理提供依据。</w:t>
      </w:r>
    </w:p>
    <w:p w:rsidR="00DB7CC8" w:rsidRDefault="002B5250">
      <w:pPr>
        <w:ind w:firstLine="480"/>
        <w:rPr>
          <w:sz w:val="24"/>
          <w:szCs w:val="24"/>
        </w:rPr>
      </w:pPr>
      <w:r>
        <w:rPr>
          <w:sz w:val="24"/>
          <w:szCs w:val="24"/>
        </w:rPr>
        <w:t>（</w:t>
      </w:r>
      <w:r>
        <w:rPr>
          <w:sz w:val="24"/>
          <w:szCs w:val="24"/>
        </w:rPr>
        <w:t>5</w:t>
      </w:r>
      <w:r>
        <w:rPr>
          <w:sz w:val="24"/>
          <w:szCs w:val="24"/>
        </w:rPr>
        <w:t>）从环保法规、产业政策、环境特点、污染防治等方面综合分析，对厂址选择的合理性和建设项目的可行性给出明确结论，为管理部门决策、设计部门优化设计和建设单位的环境管理提供科学依据。</w:t>
      </w:r>
    </w:p>
    <w:p w:rsidR="00DB7CC8" w:rsidRDefault="002B5250">
      <w:pPr>
        <w:pStyle w:val="3"/>
        <w:numPr>
          <w:ilvl w:val="2"/>
          <w:numId w:val="1"/>
        </w:numPr>
        <w:rPr>
          <w:szCs w:val="28"/>
        </w:rPr>
      </w:pPr>
      <w:r>
        <w:rPr>
          <w:szCs w:val="28"/>
        </w:rPr>
        <w:t>评价原则</w:t>
      </w:r>
      <w:bookmarkEnd w:id="84"/>
      <w:bookmarkEnd w:id="85"/>
      <w:bookmarkEnd w:id="86"/>
      <w:bookmarkEnd w:id="87"/>
      <w:bookmarkEnd w:id="88"/>
    </w:p>
    <w:p w:rsidR="00DB7CC8" w:rsidRDefault="002B5250">
      <w:pPr>
        <w:pStyle w:val="affff9"/>
        <w:spacing w:before="0" w:after="0" w:line="360" w:lineRule="auto"/>
        <w:ind w:firstLine="480"/>
      </w:pPr>
      <w:r>
        <w:t>突出环境影响评价的源头预防作用，坚持保护和改善环境质量。</w:t>
      </w:r>
    </w:p>
    <w:p w:rsidR="00DB7CC8" w:rsidRDefault="002B5250">
      <w:pPr>
        <w:pStyle w:val="affff9"/>
        <w:spacing w:before="0" w:after="0" w:line="360" w:lineRule="auto"/>
        <w:ind w:firstLine="480"/>
      </w:pPr>
      <w:r>
        <w:t>（</w:t>
      </w:r>
      <w:r>
        <w:t>1</w:t>
      </w:r>
      <w:r>
        <w:t>）依法评价</w:t>
      </w:r>
    </w:p>
    <w:p w:rsidR="00DB7CC8" w:rsidRDefault="002B5250">
      <w:pPr>
        <w:pStyle w:val="affff9"/>
        <w:spacing w:before="0" w:after="0" w:line="360" w:lineRule="auto"/>
        <w:ind w:firstLine="480"/>
      </w:pPr>
      <w:r>
        <w:t>贯彻执行我国环境保护相关法律法规、标准、政策和规划等，优化项目建设，服务环境管理。</w:t>
      </w:r>
    </w:p>
    <w:p w:rsidR="00DB7CC8" w:rsidRDefault="002B5250">
      <w:pPr>
        <w:pStyle w:val="affff9"/>
        <w:spacing w:before="0" w:after="0" w:line="360" w:lineRule="auto"/>
        <w:ind w:firstLine="480"/>
      </w:pPr>
      <w:r>
        <w:t>（</w:t>
      </w:r>
      <w:r>
        <w:t>2</w:t>
      </w:r>
      <w:r>
        <w:t>）科学评价</w:t>
      </w:r>
    </w:p>
    <w:p w:rsidR="00DB7CC8" w:rsidRDefault="002B5250">
      <w:pPr>
        <w:pStyle w:val="affff9"/>
        <w:spacing w:before="0" w:after="0" w:line="360" w:lineRule="auto"/>
        <w:ind w:firstLine="480"/>
      </w:pPr>
      <w:r>
        <w:t>规范环境影响评价方法，科学分析项目建设对环境质量的影响。</w:t>
      </w:r>
    </w:p>
    <w:p w:rsidR="00DB7CC8" w:rsidRDefault="002B5250">
      <w:pPr>
        <w:pStyle w:val="affff9"/>
        <w:spacing w:before="0" w:after="0" w:line="360" w:lineRule="auto"/>
        <w:ind w:firstLine="480"/>
      </w:pPr>
      <w:r>
        <w:t>（</w:t>
      </w:r>
      <w:r>
        <w:t>3</w:t>
      </w:r>
      <w:r>
        <w:t>）突出重点</w:t>
      </w:r>
    </w:p>
    <w:p w:rsidR="00DB7CC8" w:rsidRDefault="002B5250">
      <w:pPr>
        <w:ind w:firstLine="480"/>
        <w:jc w:val="both"/>
        <w:rPr>
          <w:sz w:val="24"/>
          <w:szCs w:val="24"/>
        </w:rPr>
      </w:pPr>
      <w:r>
        <w:rPr>
          <w:sz w:val="24"/>
          <w:szCs w:val="24"/>
        </w:rPr>
        <w:t>根据建设项目的工程内容及其特点，明确与环境要素间的作用效应关系，根据规划环境影响评价结论和审查意见，充分利用符合时效的数据资料及成果，对建设项目主要环境影响予以重点分析和评价</w:t>
      </w:r>
      <w:r>
        <w:rPr>
          <w:rFonts w:hint="eastAsia"/>
          <w:sz w:val="24"/>
          <w:szCs w:val="24"/>
        </w:rPr>
        <w:t>。</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89" w:name="_Toc29093"/>
      <w:bookmarkEnd w:id="71"/>
      <w:bookmarkEnd w:id="72"/>
      <w:bookmarkEnd w:id="73"/>
      <w:bookmarkEnd w:id="74"/>
      <w:bookmarkEnd w:id="75"/>
      <w:bookmarkEnd w:id="76"/>
      <w:bookmarkEnd w:id="77"/>
      <w:bookmarkEnd w:id="78"/>
      <w:r>
        <w:rPr>
          <w:rFonts w:ascii="Times New Roman" w:eastAsia="宋体" w:hAnsi="Times New Roman" w:hint="eastAsia"/>
          <w:bCs w:val="0"/>
          <w:snapToGrid w:val="0"/>
          <w:kern w:val="0"/>
          <w:sz w:val="28"/>
          <w:szCs w:val="28"/>
        </w:rPr>
        <w:t>环境影响要素和评价因子</w:t>
      </w:r>
      <w:bookmarkEnd w:id="89"/>
    </w:p>
    <w:p w:rsidR="00DB7CC8" w:rsidRDefault="002B5250">
      <w:pPr>
        <w:pStyle w:val="3"/>
        <w:numPr>
          <w:ilvl w:val="2"/>
          <w:numId w:val="1"/>
        </w:numPr>
        <w:rPr>
          <w:szCs w:val="28"/>
        </w:rPr>
      </w:pPr>
      <w:bookmarkStart w:id="90" w:name="_Toc20276"/>
      <w:bookmarkStart w:id="91" w:name="_Toc521591675"/>
      <w:r>
        <w:rPr>
          <w:szCs w:val="28"/>
        </w:rPr>
        <w:t>环境影响</w:t>
      </w:r>
      <w:r>
        <w:rPr>
          <w:rFonts w:hint="eastAsia"/>
          <w:szCs w:val="28"/>
        </w:rPr>
        <w:t>要素</w:t>
      </w:r>
      <w:r>
        <w:rPr>
          <w:szCs w:val="28"/>
        </w:rPr>
        <w:t>识别</w:t>
      </w:r>
      <w:bookmarkEnd w:id="90"/>
      <w:bookmarkEnd w:id="91"/>
    </w:p>
    <w:p w:rsidR="00DB7CC8" w:rsidRDefault="002B5250">
      <w:pPr>
        <w:ind w:firstLine="480"/>
        <w:rPr>
          <w:sz w:val="24"/>
          <w:szCs w:val="24"/>
        </w:rPr>
      </w:pPr>
      <w:r>
        <w:rPr>
          <w:sz w:val="24"/>
          <w:szCs w:val="24"/>
        </w:rPr>
        <w:t>根据建设项目的生产工艺流程和排污特征以及建设地区的环境状况，采用矩阵法对项目运营期可能受项目影响的环境要素进行识别，识别结果见表</w:t>
      </w:r>
      <w:r>
        <w:rPr>
          <w:sz w:val="24"/>
          <w:szCs w:val="24"/>
        </w:rPr>
        <w:t>2.3-1</w:t>
      </w:r>
      <w:r>
        <w:rPr>
          <w:sz w:val="24"/>
          <w:szCs w:val="24"/>
        </w:rPr>
        <w:t>。</w:t>
      </w:r>
    </w:p>
    <w:p w:rsidR="00DB7CC8" w:rsidRDefault="002B5250">
      <w:pPr>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 xml:space="preserve">2.3-1    </w:t>
      </w:r>
      <w:r>
        <w:rPr>
          <w:rFonts w:eastAsia="黑体"/>
          <w:kern w:val="2"/>
          <w:sz w:val="21"/>
          <w:szCs w:val="21"/>
        </w:rPr>
        <w:t>环境影响要素识别一览表</w:t>
      </w:r>
    </w:p>
    <w:tbl>
      <w:tblPr>
        <w:tblW w:w="8840" w:type="dxa"/>
        <w:jc w:val="center"/>
        <w:tblBorders>
          <w:top w:val="single" w:sz="4" w:space="0" w:color="auto"/>
          <w:bottom w:val="single" w:sz="4" w:space="0" w:color="auto"/>
          <w:insideH w:val="single" w:sz="6" w:space="0" w:color="auto"/>
          <w:insideV w:val="single" w:sz="6" w:space="0" w:color="auto"/>
        </w:tblBorders>
        <w:tblLayout w:type="fixed"/>
        <w:tblLook w:val="04A0" w:firstRow="1" w:lastRow="0" w:firstColumn="1" w:lastColumn="0" w:noHBand="0" w:noVBand="1"/>
      </w:tblPr>
      <w:tblGrid>
        <w:gridCol w:w="662"/>
        <w:gridCol w:w="1034"/>
        <w:gridCol w:w="1106"/>
        <w:gridCol w:w="1244"/>
        <w:gridCol w:w="1245"/>
        <w:gridCol w:w="973"/>
        <w:gridCol w:w="992"/>
        <w:gridCol w:w="709"/>
        <w:gridCol w:w="875"/>
      </w:tblGrid>
      <w:tr w:rsidR="00DB7CC8">
        <w:trPr>
          <w:trHeight w:val="232"/>
          <w:jc w:val="center"/>
        </w:trPr>
        <w:tc>
          <w:tcPr>
            <w:tcW w:w="1696" w:type="dxa"/>
            <w:gridSpan w:val="2"/>
            <w:vMerge w:val="restart"/>
            <w:tcBorders>
              <w:top w:val="single" w:sz="4" w:space="0" w:color="auto"/>
              <w:left w:val="single" w:sz="4" w:space="0" w:color="auto"/>
              <w:bottom w:val="single" w:sz="6" w:space="0" w:color="auto"/>
            </w:tcBorders>
            <w:tcMar>
              <w:left w:w="0" w:type="dxa"/>
              <w:right w:w="0" w:type="dxa"/>
            </w:tcMar>
            <w:vAlign w:val="center"/>
          </w:tcPr>
          <w:p w:rsidR="00DB7CC8" w:rsidRDefault="002B5250">
            <w:pPr>
              <w:pStyle w:val="afffffffc"/>
              <w:spacing w:line="240" w:lineRule="auto"/>
            </w:pPr>
            <w:r>
              <w:t>类别</w:t>
            </w:r>
          </w:p>
        </w:tc>
        <w:tc>
          <w:tcPr>
            <w:tcW w:w="5560" w:type="dxa"/>
            <w:gridSpan w:val="5"/>
            <w:tcBorders>
              <w:top w:val="single" w:sz="4" w:space="0" w:color="auto"/>
              <w:bottom w:val="single" w:sz="6" w:space="0" w:color="auto"/>
            </w:tcBorders>
            <w:tcMar>
              <w:left w:w="0" w:type="dxa"/>
              <w:right w:w="0" w:type="dxa"/>
            </w:tcMar>
            <w:vAlign w:val="center"/>
          </w:tcPr>
          <w:p w:rsidR="00DB7CC8" w:rsidRDefault="002B5250">
            <w:pPr>
              <w:pStyle w:val="afffffffc"/>
              <w:spacing w:line="240" w:lineRule="auto"/>
            </w:pPr>
            <w:r>
              <w:t>自然环境</w:t>
            </w:r>
          </w:p>
        </w:tc>
        <w:tc>
          <w:tcPr>
            <w:tcW w:w="1584" w:type="dxa"/>
            <w:gridSpan w:val="2"/>
            <w:tcBorders>
              <w:top w:val="single" w:sz="4" w:space="0" w:color="auto"/>
              <w:bottom w:val="single" w:sz="6" w:space="0" w:color="auto"/>
              <w:right w:val="single" w:sz="4" w:space="0" w:color="auto"/>
            </w:tcBorders>
            <w:tcMar>
              <w:left w:w="0" w:type="dxa"/>
              <w:right w:w="0" w:type="dxa"/>
            </w:tcMar>
            <w:vAlign w:val="center"/>
          </w:tcPr>
          <w:p w:rsidR="00DB7CC8" w:rsidRDefault="002B5250">
            <w:pPr>
              <w:pStyle w:val="afffffffc"/>
              <w:spacing w:line="240" w:lineRule="auto"/>
            </w:pPr>
            <w:r>
              <w:t>生态环境</w:t>
            </w:r>
          </w:p>
        </w:tc>
      </w:tr>
      <w:tr w:rsidR="00DB7CC8">
        <w:trPr>
          <w:trHeight w:val="232"/>
          <w:jc w:val="center"/>
        </w:trPr>
        <w:tc>
          <w:tcPr>
            <w:tcW w:w="1696" w:type="dxa"/>
            <w:gridSpan w:val="2"/>
            <w:vMerge/>
            <w:tcBorders>
              <w:top w:val="single" w:sz="6" w:space="0" w:color="auto"/>
              <w:left w:val="single" w:sz="4" w:space="0" w:color="auto"/>
              <w:bottom w:val="single" w:sz="6" w:space="0" w:color="auto"/>
            </w:tcBorders>
            <w:tcMar>
              <w:left w:w="0" w:type="dxa"/>
              <w:right w:w="0" w:type="dxa"/>
            </w:tcMar>
            <w:vAlign w:val="center"/>
          </w:tcPr>
          <w:p w:rsidR="00DB7CC8" w:rsidRDefault="00DB7CC8">
            <w:pPr>
              <w:pStyle w:val="afffffffc"/>
              <w:spacing w:line="240" w:lineRule="auto"/>
            </w:pPr>
          </w:p>
        </w:tc>
        <w:tc>
          <w:tcPr>
            <w:tcW w:w="1106"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环境空气</w:t>
            </w:r>
          </w:p>
        </w:tc>
        <w:tc>
          <w:tcPr>
            <w:tcW w:w="1244"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地表水环境</w:t>
            </w:r>
          </w:p>
        </w:tc>
        <w:tc>
          <w:tcPr>
            <w:tcW w:w="1245"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地下水环境</w:t>
            </w:r>
          </w:p>
        </w:tc>
        <w:tc>
          <w:tcPr>
            <w:tcW w:w="973" w:type="dxa"/>
            <w:tcBorders>
              <w:top w:val="single" w:sz="6" w:space="0" w:color="auto"/>
              <w:bottom w:val="single" w:sz="6" w:space="0" w:color="auto"/>
              <w:right w:val="single" w:sz="4" w:space="0" w:color="auto"/>
            </w:tcBorders>
            <w:tcMar>
              <w:left w:w="0" w:type="dxa"/>
              <w:right w:w="0" w:type="dxa"/>
            </w:tcMar>
            <w:vAlign w:val="center"/>
          </w:tcPr>
          <w:p w:rsidR="00DB7CC8" w:rsidRDefault="002B5250">
            <w:pPr>
              <w:pStyle w:val="afffffffc"/>
              <w:spacing w:line="240" w:lineRule="auto"/>
            </w:pPr>
            <w:r>
              <w:t>声环境</w:t>
            </w:r>
          </w:p>
        </w:tc>
        <w:tc>
          <w:tcPr>
            <w:tcW w:w="992" w:type="dxa"/>
            <w:tcBorders>
              <w:top w:val="single" w:sz="6" w:space="0" w:color="auto"/>
              <w:left w:val="single" w:sz="4" w:space="0" w:color="auto"/>
              <w:bottom w:val="single" w:sz="6" w:space="0" w:color="auto"/>
            </w:tcBorders>
            <w:tcMar>
              <w:left w:w="0" w:type="dxa"/>
              <w:right w:w="0" w:type="dxa"/>
            </w:tcMar>
            <w:vAlign w:val="center"/>
          </w:tcPr>
          <w:p w:rsidR="00DB7CC8" w:rsidRDefault="002B5250">
            <w:pPr>
              <w:pStyle w:val="afffffffc"/>
              <w:spacing w:line="240" w:lineRule="auto"/>
            </w:pPr>
            <w:r>
              <w:rPr>
                <w:rFonts w:hint="eastAsia"/>
              </w:rPr>
              <w:t>土壤环境</w:t>
            </w:r>
          </w:p>
        </w:tc>
        <w:tc>
          <w:tcPr>
            <w:tcW w:w="709"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植被</w:t>
            </w:r>
          </w:p>
        </w:tc>
        <w:tc>
          <w:tcPr>
            <w:tcW w:w="875" w:type="dxa"/>
            <w:tcBorders>
              <w:top w:val="single" w:sz="6" w:space="0" w:color="auto"/>
              <w:bottom w:val="single" w:sz="6" w:space="0" w:color="auto"/>
              <w:right w:val="single" w:sz="4" w:space="0" w:color="auto"/>
            </w:tcBorders>
            <w:tcMar>
              <w:left w:w="0" w:type="dxa"/>
              <w:right w:w="0" w:type="dxa"/>
            </w:tcMar>
            <w:vAlign w:val="center"/>
          </w:tcPr>
          <w:p w:rsidR="00DB7CC8" w:rsidRDefault="002B5250">
            <w:pPr>
              <w:pStyle w:val="afffffffc"/>
              <w:spacing w:line="240" w:lineRule="auto"/>
            </w:pPr>
            <w:r>
              <w:t>水土流失</w:t>
            </w:r>
          </w:p>
        </w:tc>
      </w:tr>
      <w:tr w:rsidR="00DB7CC8">
        <w:trPr>
          <w:trHeight w:val="232"/>
          <w:jc w:val="center"/>
        </w:trPr>
        <w:tc>
          <w:tcPr>
            <w:tcW w:w="662" w:type="dxa"/>
            <w:vMerge w:val="restart"/>
            <w:tcBorders>
              <w:top w:val="single" w:sz="6" w:space="0" w:color="auto"/>
              <w:left w:val="single" w:sz="4" w:space="0" w:color="auto"/>
              <w:bottom w:val="single" w:sz="6" w:space="0" w:color="auto"/>
              <w:right w:val="single" w:sz="4" w:space="0" w:color="auto"/>
            </w:tcBorders>
            <w:tcMar>
              <w:left w:w="0" w:type="dxa"/>
              <w:right w:w="0" w:type="dxa"/>
            </w:tcMar>
            <w:vAlign w:val="center"/>
          </w:tcPr>
          <w:p w:rsidR="00DB7CC8" w:rsidRDefault="002B5250">
            <w:pPr>
              <w:pStyle w:val="afffffffc"/>
              <w:spacing w:line="240" w:lineRule="auto"/>
            </w:pPr>
            <w:r>
              <w:t>施工期</w:t>
            </w:r>
          </w:p>
        </w:tc>
        <w:tc>
          <w:tcPr>
            <w:tcW w:w="1034" w:type="dxa"/>
            <w:tcBorders>
              <w:top w:val="single" w:sz="6" w:space="0" w:color="auto"/>
              <w:left w:val="single" w:sz="4" w:space="0" w:color="auto"/>
              <w:bottom w:val="single" w:sz="6" w:space="0" w:color="auto"/>
            </w:tcBorders>
            <w:tcMar>
              <w:left w:w="0" w:type="dxa"/>
              <w:right w:w="0" w:type="dxa"/>
            </w:tcMar>
            <w:vAlign w:val="center"/>
          </w:tcPr>
          <w:p w:rsidR="00DB7CC8" w:rsidRDefault="002B5250">
            <w:pPr>
              <w:pStyle w:val="afffffffc"/>
              <w:spacing w:line="240" w:lineRule="auto"/>
            </w:pPr>
            <w:r>
              <w:t>土方施工</w:t>
            </w:r>
          </w:p>
        </w:tc>
        <w:tc>
          <w:tcPr>
            <w:tcW w:w="1106"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-2D</w:t>
            </w:r>
          </w:p>
        </w:tc>
        <w:tc>
          <w:tcPr>
            <w:tcW w:w="1244"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rPr>
                <w:u w:val="single"/>
              </w:rPr>
            </w:pPr>
            <w:r>
              <w:t>-1D</w:t>
            </w:r>
          </w:p>
        </w:tc>
        <w:tc>
          <w:tcPr>
            <w:tcW w:w="1245"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w:t>
            </w:r>
          </w:p>
        </w:tc>
        <w:tc>
          <w:tcPr>
            <w:tcW w:w="973" w:type="dxa"/>
            <w:tcBorders>
              <w:top w:val="single" w:sz="6" w:space="0" w:color="auto"/>
              <w:bottom w:val="single" w:sz="6" w:space="0" w:color="auto"/>
              <w:right w:val="single" w:sz="4" w:space="0" w:color="auto"/>
            </w:tcBorders>
            <w:tcMar>
              <w:left w:w="0" w:type="dxa"/>
              <w:right w:w="0" w:type="dxa"/>
            </w:tcMar>
            <w:vAlign w:val="center"/>
          </w:tcPr>
          <w:p w:rsidR="00DB7CC8" w:rsidRDefault="002B5250">
            <w:pPr>
              <w:pStyle w:val="afffffffc"/>
              <w:spacing w:line="240" w:lineRule="auto"/>
            </w:pPr>
            <w:r>
              <w:t>-2D</w:t>
            </w:r>
          </w:p>
        </w:tc>
        <w:tc>
          <w:tcPr>
            <w:tcW w:w="992" w:type="dxa"/>
            <w:tcBorders>
              <w:top w:val="single" w:sz="6" w:space="0" w:color="auto"/>
              <w:left w:val="single" w:sz="4" w:space="0" w:color="auto"/>
              <w:bottom w:val="single" w:sz="6" w:space="0" w:color="auto"/>
            </w:tcBorders>
            <w:tcMar>
              <w:left w:w="0" w:type="dxa"/>
              <w:right w:w="0" w:type="dxa"/>
            </w:tcMar>
            <w:vAlign w:val="center"/>
          </w:tcPr>
          <w:p w:rsidR="00DB7CC8" w:rsidRDefault="002B5250">
            <w:pPr>
              <w:pStyle w:val="afffffffc"/>
              <w:spacing w:line="240" w:lineRule="auto"/>
            </w:pPr>
            <w:r>
              <w:t>--</w:t>
            </w:r>
          </w:p>
        </w:tc>
        <w:tc>
          <w:tcPr>
            <w:tcW w:w="709"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-1D</w:t>
            </w:r>
          </w:p>
        </w:tc>
        <w:tc>
          <w:tcPr>
            <w:tcW w:w="875" w:type="dxa"/>
            <w:tcBorders>
              <w:top w:val="single" w:sz="6" w:space="0" w:color="auto"/>
              <w:bottom w:val="single" w:sz="6" w:space="0" w:color="auto"/>
              <w:right w:val="single" w:sz="4" w:space="0" w:color="auto"/>
            </w:tcBorders>
            <w:tcMar>
              <w:left w:w="0" w:type="dxa"/>
              <w:right w:w="0" w:type="dxa"/>
            </w:tcMar>
            <w:vAlign w:val="center"/>
          </w:tcPr>
          <w:p w:rsidR="00DB7CC8" w:rsidRDefault="002B5250">
            <w:pPr>
              <w:pStyle w:val="afffffffc"/>
              <w:spacing w:line="240" w:lineRule="auto"/>
            </w:pPr>
            <w:r>
              <w:t>-1D</w:t>
            </w:r>
          </w:p>
        </w:tc>
      </w:tr>
      <w:tr w:rsidR="00DB7CC8">
        <w:trPr>
          <w:trHeight w:val="232"/>
          <w:jc w:val="center"/>
        </w:trPr>
        <w:tc>
          <w:tcPr>
            <w:tcW w:w="662" w:type="dxa"/>
            <w:vMerge/>
            <w:tcBorders>
              <w:top w:val="single" w:sz="6" w:space="0" w:color="auto"/>
              <w:left w:val="single" w:sz="4" w:space="0" w:color="auto"/>
              <w:bottom w:val="single" w:sz="6" w:space="0" w:color="auto"/>
              <w:right w:val="single" w:sz="4" w:space="0" w:color="auto"/>
            </w:tcBorders>
            <w:tcMar>
              <w:left w:w="0" w:type="dxa"/>
              <w:right w:w="0" w:type="dxa"/>
            </w:tcMar>
            <w:vAlign w:val="center"/>
          </w:tcPr>
          <w:p w:rsidR="00DB7CC8" w:rsidRDefault="00DB7CC8">
            <w:pPr>
              <w:pStyle w:val="afffffffc"/>
              <w:spacing w:line="240" w:lineRule="auto"/>
            </w:pPr>
          </w:p>
        </w:tc>
        <w:tc>
          <w:tcPr>
            <w:tcW w:w="1034" w:type="dxa"/>
            <w:tcBorders>
              <w:top w:val="single" w:sz="6" w:space="0" w:color="auto"/>
              <w:left w:val="single" w:sz="4" w:space="0" w:color="auto"/>
              <w:bottom w:val="single" w:sz="6" w:space="0" w:color="auto"/>
            </w:tcBorders>
            <w:tcMar>
              <w:left w:w="0" w:type="dxa"/>
              <w:right w:w="0" w:type="dxa"/>
            </w:tcMar>
            <w:vAlign w:val="center"/>
          </w:tcPr>
          <w:p w:rsidR="00DB7CC8" w:rsidRDefault="002B5250">
            <w:pPr>
              <w:pStyle w:val="afffffffc"/>
              <w:spacing w:line="240" w:lineRule="auto"/>
            </w:pPr>
            <w:r>
              <w:t>建筑施工</w:t>
            </w:r>
          </w:p>
        </w:tc>
        <w:tc>
          <w:tcPr>
            <w:tcW w:w="1106"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-1D</w:t>
            </w:r>
          </w:p>
        </w:tc>
        <w:tc>
          <w:tcPr>
            <w:tcW w:w="1244"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w:t>
            </w:r>
          </w:p>
        </w:tc>
        <w:tc>
          <w:tcPr>
            <w:tcW w:w="1245"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w:t>
            </w:r>
          </w:p>
        </w:tc>
        <w:tc>
          <w:tcPr>
            <w:tcW w:w="973" w:type="dxa"/>
            <w:tcBorders>
              <w:top w:val="single" w:sz="6" w:space="0" w:color="auto"/>
              <w:bottom w:val="single" w:sz="6" w:space="0" w:color="auto"/>
              <w:right w:val="single" w:sz="4" w:space="0" w:color="auto"/>
            </w:tcBorders>
            <w:tcMar>
              <w:left w:w="0" w:type="dxa"/>
              <w:right w:w="0" w:type="dxa"/>
            </w:tcMar>
            <w:vAlign w:val="center"/>
          </w:tcPr>
          <w:p w:rsidR="00DB7CC8" w:rsidRDefault="002B5250">
            <w:pPr>
              <w:pStyle w:val="afffffffc"/>
              <w:spacing w:line="240" w:lineRule="auto"/>
            </w:pPr>
            <w:r>
              <w:t>-2D</w:t>
            </w:r>
          </w:p>
        </w:tc>
        <w:tc>
          <w:tcPr>
            <w:tcW w:w="992" w:type="dxa"/>
            <w:tcBorders>
              <w:top w:val="single" w:sz="6" w:space="0" w:color="auto"/>
              <w:left w:val="single" w:sz="4" w:space="0" w:color="auto"/>
              <w:bottom w:val="single" w:sz="6" w:space="0" w:color="auto"/>
            </w:tcBorders>
            <w:tcMar>
              <w:left w:w="0" w:type="dxa"/>
              <w:right w:w="0" w:type="dxa"/>
            </w:tcMar>
            <w:vAlign w:val="center"/>
          </w:tcPr>
          <w:p w:rsidR="00DB7CC8" w:rsidRDefault="002B5250">
            <w:pPr>
              <w:pStyle w:val="afffffffc"/>
              <w:spacing w:line="240" w:lineRule="auto"/>
            </w:pPr>
            <w:r>
              <w:t>--</w:t>
            </w:r>
          </w:p>
        </w:tc>
        <w:tc>
          <w:tcPr>
            <w:tcW w:w="709"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-1D</w:t>
            </w:r>
          </w:p>
        </w:tc>
        <w:tc>
          <w:tcPr>
            <w:tcW w:w="875" w:type="dxa"/>
            <w:tcBorders>
              <w:top w:val="single" w:sz="6" w:space="0" w:color="auto"/>
              <w:bottom w:val="single" w:sz="6" w:space="0" w:color="auto"/>
              <w:right w:val="single" w:sz="4" w:space="0" w:color="auto"/>
            </w:tcBorders>
            <w:tcMar>
              <w:left w:w="0" w:type="dxa"/>
              <w:right w:w="0" w:type="dxa"/>
            </w:tcMar>
            <w:vAlign w:val="center"/>
          </w:tcPr>
          <w:p w:rsidR="00DB7CC8" w:rsidRDefault="002B5250">
            <w:pPr>
              <w:pStyle w:val="afffffffc"/>
              <w:spacing w:line="240" w:lineRule="auto"/>
            </w:pPr>
            <w:r>
              <w:t>-1D</w:t>
            </w:r>
          </w:p>
        </w:tc>
      </w:tr>
      <w:tr w:rsidR="00DB7CC8">
        <w:trPr>
          <w:trHeight w:val="232"/>
          <w:jc w:val="center"/>
        </w:trPr>
        <w:tc>
          <w:tcPr>
            <w:tcW w:w="662" w:type="dxa"/>
            <w:vMerge/>
            <w:tcBorders>
              <w:top w:val="single" w:sz="6" w:space="0" w:color="auto"/>
              <w:left w:val="single" w:sz="4" w:space="0" w:color="auto"/>
              <w:bottom w:val="single" w:sz="6" w:space="0" w:color="auto"/>
              <w:right w:val="single" w:sz="4" w:space="0" w:color="auto"/>
            </w:tcBorders>
            <w:tcMar>
              <w:left w:w="0" w:type="dxa"/>
              <w:right w:w="0" w:type="dxa"/>
            </w:tcMar>
            <w:vAlign w:val="center"/>
          </w:tcPr>
          <w:p w:rsidR="00DB7CC8" w:rsidRDefault="00DB7CC8">
            <w:pPr>
              <w:pStyle w:val="afffffffc"/>
              <w:spacing w:line="240" w:lineRule="auto"/>
            </w:pPr>
          </w:p>
        </w:tc>
        <w:tc>
          <w:tcPr>
            <w:tcW w:w="1034" w:type="dxa"/>
            <w:tcBorders>
              <w:top w:val="single" w:sz="6" w:space="0" w:color="auto"/>
              <w:left w:val="single" w:sz="4" w:space="0" w:color="auto"/>
              <w:bottom w:val="single" w:sz="6" w:space="0" w:color="auto"/>
            </w:tcBorders>
            <w:tcMar>
              <w:left w:w="0" w:type="dxa"/>
              <w:right w:w="0" w:type="dxa"/>
            </w:tcMar>
            <w:vAlign w:val="center"/>
          </w:tcPr>
          <w:p w:rsidR="00DB7CC8" w:rsidRDefault="002B5250">
            <w:pPr>
              <w:pStyle w:val="afffffffc"/>
              <w:spacing w:line="240" w:lineRule="auto"/>
            </w:pPr>
            <w:r>
              <w:t>设备安装</w:t>
            </w:r>
          </w:p>
        </w:tc>
        <w:tc>
          <w:tcPr>
            <w:tcW w:w="1106"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-1D</w:t>
            </w:r>
          </w:p>
        </w:tc>
        <w:tc>
          <w:tcPr>
            <w:tcW w:w="1244"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w:t>
            </w:r>
          </w:p>
        </w:tc>
        <w:tc>
          <w:tcPr>
            <w:tcW w:w="1245"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w:t>
            </w:r>
          </w:p>
        </w:tc>
        <w:tc>
          <w:tcPr>
            <w:tcW w:w="973" w:type="dxa"/>
            <w:tcBorders>
              <w:top w:val="single" w:sz="6" w:space="0" w:color="auto"/>
              <w:bottom w:val="single" w:sz="6" w:space="0" w:color="auto"/>
              <w:right w:val="single" w:sz="4" w:space="0" w:color="auto"/>
            </w:tcBorders>
            <w:tcMar>
              <w:left w:w="0" w:type="dxa"/>
              <w:right w:w="0" w:type="dxa"/>
            </w:tcMar>
            <w:vAlign w:val="center"/>
          </w:tcPr>
          <w:p w:rsidR="00DB7CC8" w:rsidRDefault="002B5250">
            <w:pPr>
              <w:pStyle w:val="afffffffc"/>
              <w:spacing w:line="240" w:lineRule="auto"/>
            </w:pPr>
            <w:r>
              <w:t>-1D</w:t>
            </w:r>
          </w:p>
        </w:tc>
        <w:tc>
          <w:tcPr>
            <w:tcW w:w="992" w:type="dxa"/>
            <w:tcBorders>
              <w:top w:val="single" w:sz="6" w:space="0" w:color="auto"/>
              <w:left w:val="single" w:sz="4" w:space="0" w:color="auto"/>
              <w:bottom w:val="single" w:sz="6" w:space="0" w:color="auto"/>
            </w:tcBorders>
            <w:tcMar>
              <w:left w:w="0" w:type="dxa"/>
              <w:right w:w="0" w:type="dxa"/>
            </w:tcMar>
            <w:vAlign w:val="center"/>
          </w:tcPr>
          <w:p w:rsidR="00DB7CC8" w:rsidRDefault="002B5250">
            <w:pPr>
              <w:pStyle w:val="afffffffc"/>
              <w:spacing w:line="240" w:lineRule="auto"/>
            </w:pPr>
            <w:r>
              <w:t>--</w:t>
            </w:r>
          </w:p>
        </w:tc>
        <w:tc>
          <w:tcPr>
            <w:tcW w:w="709"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w:t>
            </w:r>
          </w:p>
        </w:tc>
        <w:tc>
          <w:tcPr>
            <w:tcW w:w="875" w:type="dxa"/>
            <w:tcBorders>
              <w:top w:val="single" w:sz="6" w:space="0" w:color="auto"/>
              <w:bottom w:val="single" w:sz="6" w:space="0" w:color="auto"/>
              <w:right w:val="single" w:sz="4" w:space="0" w:color="auto"/>
            </w:tcBorders>
            <w:tcMar>
              <w:left w:w="0" w:type="dxa"/>
              <w:right w:w="0" w:type="dxa"/>
            </w:tcMar>
            <w:vAlign w:val="center"/>
          </w:tcPr>
          <w:p w:rsidR="00DB7CC8" w:rsidRDefault="002B5250">
            <w:pPr>
              <w:pStyle w:val="afffffffc"/>
              <w:spacing w:line="240" w:lineRule="auto"/>
            </w:pPr>
            <w:r>
              <w:t>--</w:t>
            </w:r>
          </w:p>
        </w:tc>
      </w:tr>
      <w:tr w:rsidR="00DB7CC8">
        <w:trPr>
          <w:trHeight w:val="232"/>
          <w:jc w:val="center"/>
        </w:trPr>
        <w:tc>
          <w:tcPr>
            <w:tcW w:w="662" w:type="dxa"/>
            <w:vMerge w:val="restart"/>
            <w:tcBorders>
              <w:top w:val="single" w:sz="6" w:space="0" w:color="auto"/>
              <w:left w:val="single" w:sz="4" w:space="0" w:color="auto"/>
              <w:bottom w:val="single" w:sz="6" w:space="0" w:color="auto"/>
              <w:right w:val="single" w:sz="4" w:space="0" w:color="auto"/>
            </w:tcBorders>
            <w:tcMar>
              <w:left w:w="0" w:type="dxa"/>
              <w:right w:w="0" w:type="dxa"/>
            </w:tcMar>
            <w:vAlign w:val="center"/>
          </w:tcPr>
          <w:p w:rsidR="00DB7CC8" w:rsidRDefault="002B5250">
            <w:pPr>
              <w:pStyle w:val="afffffffc"/>
              <w:spacing w:line="240" w:lineRule="auto"/>
            </w:pPr>
            <w:r>
              <w:t>营运期</w:t>
            </w:r>
          </w:p>
        </w:tc>
        <w:tc>
          <w:tcPr>
            <w:tcW w:w="1034" w:type="dxa"/>
            <w:tcBorders>
              <w:top w:val="single" w:sz="6" w:space="0" w:color="auto"/>
              <w:left w:val="single" w:sz="4" w:space="0" w:color="auto"/>
              <w:bottom w:val="single" w:sz="6" w:space="0" w:color="auto"/>
            </w:tcBorders>
            <w:tcMar>
              <w:left w:w="0" w:type="dxa"/>
              <w:right w:w="0" w:type="dxa"/>
            </w:tcMar>
            <w:vAlign w:val="center"/>
          </w:tcPr>
          <w:p w:rsidR="00DB7CC8" w:rsidRDefault="002B5250">
            <w:pPr>
              <w:pStyle w:val="afffffffc"/>
              <w:spacing w:line="240" w:lineRule="auto"/>
            </w:pPr>
            <w:r>
              <w:t>生产</w:t>
            </w:r>
          </w:p>
        </w:tc>
        <w:tc>
          <w:tcPr>
            <w:tcW w:w="1106"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-2C</w:t>
            </w:r>
          </w:p>
        </w:tc>
        <w:tc>
          <w:tcPr>
            <w:tcW w:w="1244"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w:t>
            </w:r>
          </w:p>
        </w:tc>
        <w:tc>
          <w:tcPr>
            <w:tcW w:w="1245"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-1C</w:t>
            </w:r>
          </w:p>
        </w:tc>
        <w:tc>
          <w:tcPr>
            <w:tcW w:w="973" w:type="dxa"/>
            <w:tcBorders>
              <w:top w:val="single" w:sz="6" w:space="0" w:color="auto"/>
              <w:bottom w:val="single" w:sz="6" w:space="0" w:color="auto"/>
              <w:right w:val="single" w:sz="4" w:space="0" w:color="auto"/>
            </w:tcBorders>
            <w:tcMar>
              <w:left w:w="0" w:type="dxa"/>
              <w:right w:w="0" w:type="dxa"/>
            </w:tcMar>
            <w:vAlign w:val="center"/>
          </w:tcPr>
          <w:p w:rsidR="00DB7CC8" w:rsidRDefault="002B5250">
            <w:pPr>
              <w:pStyle w:val="afffffffc"/>
              <w:spacing w:line="240" w:lineRule="auto"/>
            </w:pPr>
            <w:r>
              <w:t>-2C</w:t>
            </w:r>
          </w:p>
        </w:tc>
        <w:tc>
          <w:tcPr>
            <w:tcW w:w="992" w:type="dxa"/>
            <w:tcBorders>
              <w:top w:val="single" w:sz="6" w:space="0" w:color="auto"/>
              <w:left w:val="single" w:sz="4" w:space="0" w:color="auto"/>
              <w:bottom w:val="single" w:sz="6" w:space="0" w:color="auto"/>
            </w:tcBorders>
            <w:tcMar>
              <w:left w:w="0" w:type="dxa"/>
              <w:right w:w="0" w:type="dxa"/>
            </w:tcMar>
            <w:vAlign w:val="center"/>
          </w:tcPr>
          <w:p w:rsidR="00DB7CC8" w:rsidRDefault="002B5250">
            <w:pPr>
              <w:pStyle w:val="afffffffc"/>
              <w:spacing w:line="240" w:lineRule="auto"/>
            </w:pPr>
            <w:r>
              <w:t>-1C</w:t>
            </w:r>
          </w:p>
        </w:tc>
        <w:tc>
          <w:tcPr>
            <w:tcW w:w="709" w:type="dxa"/>
            <w:tcBorders>
              <w:top w:val="single" w:sz="6" w:space="0" w:color="auto"/>
              <w:bottom w:val="single" w:sz="6" w:space="0" w:color="auto"/>
            </w:tcBorders>
            <w:tcMar>
              <w:left w:w="0" w:type="dxa"/>
              <w:right w:w="0" w:type="dxa"/>
            </w:tcMar>
            <w:vAlign w:val="center"/>
          </w:tcPr>
          <w:p w:rsidR="00DB7CC8" w:rsidRDefault="002B5250">
            <w:pPr>
              <w:pStyle w:val="afffffffc"/>
              <w:spacing w:line="240" w:lineRule="auto"/>
            </w:pPr>
            <w:r>
              <w:t>--</w:t>
            </w:r>
          </w:p>
        </w:tc>
        <w:tc>
          <w:tcPr>
            <w:tcW w:w="875" w:type="dxa"/>
            <w:tcBorders>
              <w:top w:val="single" w:sz="6" w:space="0" w:color="auto"/>
              <w:bottom w:val="single" w:sz="6" w:space="0" w:color="auto"/>
              <w:right w:val="single" w:sz="4" w:space="0" w:color="auto"/>
            </w:tcBorders>
            <w:tcMar>
              <w:left w:w="0" w:type="dxa"/>
              <w:right w:w="0" w:type="dxa"/>
            </w:tcMar>
            <w:vAlign w:val="center"/>
          </w:tcPr>
          <w:p w:rsidR="00DB7CC8" w:rsidRDefault="002B5250">
            <w:pPr>
              <w:pStyle w:val="afffffffc"/>
              <w:spacing w:line="240" w:lineRule="auto"/>
            </w:pPr>
            <w:r>
              <w:t>--</w:t>
            </w:r>
          </w:p>
        </w:tc>
      </w:tr>
      <w:tr w:rsidR="00DB7CC8">
        <w:trPr>
          <w:trHeight w:val="232"/>
          <w:jc w:val="center"/>
        </w:trPr>
        <w:tc>
          <w:tcPr>
            <w:tcW w:w="662" w:type="dxa"/>
            <w:vMerge/>
            <w:tcBorders>
              <w:top w:val="single" w:sz="6" w:space="0" w:color="auto"/>
              <w:left w:val="single" w:sz="4" w:space="0" w:color="auto"/>
              <w:bottom w:val="single" w:sz="4" w:space="0" w:color="auto"/>
              <w:right w:val="single" w:sz="4" w:space="0" w:color="auto"/>
            </w:tcBorders>
            <w:tcMar>
              <w:left w:w="0" w:type="dxa"/>
              <w:right w:w="0" w:type="dxa"/>
            </w:tcMar>
            <w:vAlign w:val="center"/>
          </w:tcPr>
          <w:p w:rsidR="00DB7CC8" w:rsidRDefault="00DB7CC8">
            <w:pPr>
              <w:pStyle w:val="afffffffc"/>
              <w:spacing w:line="240" w:lineRule="auto"/>
            </w:pPr>
          </w:p>
        </w:tc>
        <w:tc>
          <w:tcPr>
            <w:tcW w:w="1034" w:type="dxa"/>
            <w:tcBorders>
              <w:top w:val="single" w:sz="6" w:space="0" w:color="auto"/>
              <w:left w:val="single" w:sz="4" w:space="0" w:color="auto"/>
              <w:bottom w:val="single" w:sz="4" w:space="0" w:color="auto"/>
            </w:tcBorders>
            <w:tcMar>
              <w:left w:w="0" w:type="dxa"/>
              <w:right w:w="0" w:type="dxa"/>
            </w:tcMar>
            <w:vAlign w:val="center"/>
          </w:tcPr>
          <w:p w:rsidR="00DB7CC8" w:rsidRDefault="002B5250">
            <w:pPr>
              <w:pStyle w:val="afffffffc"/>
              <w:spacing w:line="240" w:lineRule="auto"/>
            </w:pPr>
            <w:r>
              <w:t>运输</w:t>
            </w:r>
          </w:p>
        </w:tc>
        <w:tc>
          <w:tcPr>
            <w:tcW w:w="1106" w:type="dxa"/>
            <w:tcBorders>
              <w:top w:val="single" w:sz="6" w:space="0" w:color="auto"/>
              <w:bottom w:val="single" w:sz="4" w:space="0" w:color="auto"/>
            </w:tcBorders>
            <w:tcMar>
              <w:left w:w="0" w:type="dxa"/>
              <w:right w:w="0" w:type="dxa"/>
            </w:tcMar>
            <w:vAlign w:val="center"/>
          </w:tcPr>
          <w:p w:rsidR="00DB7CC8" w:rsidRDefault="002B5250">
            <w:pPr>
              <w:pStyle w:val="afffffffc"/>
              <w:spacing w:line="240" w:lineRule="auto"/>
            </w:pPr>
            <w:r>
              <w:t>-1C</w:t>
            </w:r>
          </w:p>
        </w:tc>
        <w:tc>
          <w:tcPr>
            <w:tcW w:w="1244" w:type="dxa"/>
            <w:tcBorders>
              <w:top w:val="single" w:sz="6" w:space="0" w:color="auto"/>
              <w:bottom w:val="single" w:sz="4" w:space="0" w:color="auto"/>
            </w:tcBorders>
            <w:tcMar>
              <w:left w:w="0" w:type="dxa"/>
              <w:right w:w="0" w:type="dxa"/>
            </w:tcMar>
            <w:vAlign w:val="center"/>
          </w:tcPr>
          <w:p w:rsidR="00DB7CC8" w:rsidRDefault="002B5250">
            <w:pPr>
              <w:pStyle w:val="afffffffc"/>
              <w:spacing w:line="240" w:lineRule="auto"/>
            </w:pPr>
            <w:r>
              <w:t>--</w:t>
            </w:r>
          </w:p>
        </w:tc>
        <w:tc>
          <w:tcPr>
            <w:tcW w:w="1245" w:type="dxa"/>
            <w:tcBorders>
              <w:top w:val="single" w:sz="6" w:space="0" w:color="auto"/>
              <w:bottom w:val="single" w:sz="4" w:space="0" w:color="auto"/>
            </w:tcBorders>
            <w:tcMar>
              <w:left w:w="0" w:type="dxa"/>
              <w:right w:w="0" w:type="dxa"/>
            </w:tcMar>
            <w:vAlign w:val="center"/>
          </w:tcPr>
          <w:p w:rsidR="00DB7CC8" w:rsidRDefault="002B5250">
            <w:pPr>
              <w:pStyle w:val="afffffffc"/>
              <w:spacing w:line="240" w:lineRule="auto"/>
            </w:pPr>
            <w:r>
              <w:t>--</w:t>
            </w:r>
          </w:p>
        </w:tc>
        <w:tc>
          <w:tcPr>
            <w:tcW w:w="973" w:type="dxa"/>
            <w:tcBorders>
              <w:top w:val="single" w:sz="6" w:space="0" w:color="auto"/>
              <w:bottom w:val="single" w:sz="4" w:space="0" w:color="auto"/>
              <w:right w:val="single" w:sz="4" w:space="0" w:color="auto"/>
            </w:tcBorders>
            <w:tcMar>
              <w:left w:w="0" w:type="dxa"/>
              <w:right w:w="0" w:type="dxa"/>
            </w:tcMar>
            <w:vAlign w:val="center"/>
          </w:tcPr>
          <w:p w:rsidR="00DB7CC8" w:rsidRDefault="002B5250">
            <w:pPr>
              <w:pStyle w:val="afffffffc"/>
              <w:spacing w:line="240" w:lineRule="auto"/>
            </w:pPr>
            <w:r>
              <w:t>-1C</w:t>
            </w:r>
          </w:p>
        </w:tc>
        <w:tc>
          <w:tcPr>
            <w:tcW w:w="992" w:type="dxa"/>
            <w:tcBorders>
              <w:top w:val="single" w:sz="6" w:space="0" w:color="auto"/>
              <w:left w:val="single" w:sz="4" w:space="0" w:color="auto"/>
              <w:bottom w:val="single" w:sz="4" w:space="0" w:color="auto"/>
            </w:tcBorders>
            <w:tcMar>
              <w:left w:w="0" w:type="dxa"/>
              <w:right w:w="0" w:type="dxa"/>
            </w:tcMar>
            <w:vAlign w:val="center"/>
          </w:tcPr>
          <w:p w:rsidR="00DB7CC8" w:rsidRDefault="002B5250">
            <w:pPr>
              <w:pStyle w:val="afffffffc"/>
              <w:spacing w:line="240" w:lineRule="auto"/>
            </w:pPr>
            <w:r>
              <w:t>-1C</w:t>
            </w:r>
          </w:p>
        </w:tc>
        <w:tc>
          <w:tcPr>
            <w:tcW w:w="709" w:type="dxa"/>
            <w:tcBorders>
              <w:top w:val="single" w:sz="6" w:space="0" w:color="auto"/>
              <w:bottom w:val="single" w:sz="4" w:space="0" w:color="auto"/>
            </w:tcBorders>
            <w:tcMar>
              <w:left w:w="0" w:type="dxa"/>
              <w:right w:w="0" w:type="dxa"/>
            </w:tcMar>
            <w:vAlign w:val="center"/>
          </w:tcPr>
          <w:p w:rsidR="00DB7CC8" w:rsidRDefault="002B5250">
            <w:pPr>
              <w:pStyle w:val="afffffffc"/>
              <w:spacing w:line="240" w:lineRule="auto"/>
            </w:pPr>
            <w:r>
              <w:t>--</w:t>
            </w:r>
          </w:p>
        </w:tc>
        <w:tc>
          <w:tcPr>
            <w:tcW w:w="875" w:type="dxa"/>
            <w:tcBorders>
              <w:top w:val="single" w:sz="6" w:space="0" w:color="auto"/>
              <w:bottom w:val="single" w:sz="4" w:space="0" w:color="auto"/>
              <w:right w:val="single" w:sz="4" w:space="0" w:color="auto"/>
            </w:tcBorders>
            <w:tcMar>
              <w:left w:w="0" w:type="dxa"/>
              <w:right w:w="0" w:type="dxa"/>
            </w:tcMar>
            <w:vAlign w:val="center"/>
          </w:tcPr>
          <w:p w:rsidR="00DB7CC8" w:rsidRDefault="002B5250">
            <w:pPr>
              <w:pStyle w:val="afffffffc"/>
              <w:spacing w:line="240" w:lineRule="auto"/>
            </w:pPr>
            <w:r>
              <w:t>--</w:t>
            </w:r>
          </w:p>
        </w:tc>
      </w:tr>
    </w:tbl>
    <w:p w:rsidR="00DB7CC8" w:rsidRDefault="002B5250">
      <w:pPr>
        <w:ind w:firstLine="360"/>
        <w:rPr>
          <w:sz w:val="18"/>
          <w:szCs w:val="18"/>
        </w:rPr>
      </w:pPr>
      <w:r>
        <w:rPr>
          <w:sz w:val="18"/>
          <w:szCs w:val="18"/>
        </w:rPr>
        <w:t>备注：</w:t>
      </w:r>
      <w:r>
        <w:rPr>
          <w:rFonts w:hint="eastAsia"/>
          <w:sz w:val="18"/>
          <w:szCs w:val="18"/>
        </w:rPr>
        <w:t>①</w:t>
      </w:r>
      <w:r>
        <w:rPr>
          <w:sz w:val="18"/>
          <w:szCs w:val="18"/>
        </w:rPr>
        <w:t>表中</w:t>
      </w:r>
      <w:r>
        <w:rPr>
          <w:sz w:val="18"/>
          <w:szCs w:val="18"/>
        </w:rPr>
        <w:t>“+”</w:t>
      </w:r>
      <w:r>
        <w:rPr>
          <w:sz w:val="18"/>
          <w:szCs w:val="18"/>
        </w:rPr>
        <w:t>表示正面影响，</w:t>
      </w:r>
      <w:r>
        <w:rPr>
          <w:sz w:val="18"/>
          <w:szCs w:val="18"/>
        </w:rPr>
        <w:t>“-”</w:t>
      </w:r>
      <w:r>
        <w:rPr>
          <w:sz w:val="18"/>
          <w:szCs w:val="18"/>
        </w:rPr>
        <w:t>表示负面影响；</w:t>
      </w:r>
    </w:p>
    <w:p w:rsidR="00DB7CC8" w:rsidRDefault="002B5250">
      <w:pPr>
        <w:ind w:firstLineChars="500" w:firstLine="900"/>
        <w:rPr>
          <w:sz w:val="18"/>
          <w:szCs w:val="18"/>
        </w:rPr>
      </w:pPr>
      <w:r>
        <w:rPr>
          <w:rFonts w:hint="eastAsia"/>
          <w:sz w:val="18"/>
          <w:szCs w:val="18"/>
        </w:rPr>
        <w:t>②</w:t>
      </w:r>
      <w:r>
        <w:rPr>
          <w:sz w:val="18"/>
          <w:szCs w:val="18"/>
        </w:rPr>
        <w:t>表中</w:t>
      </w:r>
      <w:r>
        <w:rPr>
          <w:sz w:val="18"/>
          <w:szCs w:val="18"/>
        </w:rPr>
        <w:t>“1”</w:t>
      </w:r>
      <w:r>
        <w:rPr>
          <w:sz w:val="18"/>
          <w:szCs w:val="18"/>
        </w:rPr>
        <w:t>表示影响较小，</w:t>
      </w:r>
      <w:r>
        <w:rPr>
          <w:sz w:val="18"/>
          <w:szCs w:val="18"/>
        </w:rPr>
        <w:t>“2”</w:t>
      </w:r>
      <w:r>
        <w:rPr>
          <w:sz w:val="18"/>
          <w:szCs w:val="18"/>
        </w:rPr>
        <w:t>表示影响中等，</w:t>
      </w:r>
      <w:r>
        <w:rPr>
          <w:sz w:val="18"/>
          <w:szCs w:val="18"/>
        </w:rPr>
        <w:t>“3”</w:t>
      </w:r>
      <w:r>
        <w:rPr>
          <w:sz w:val="18"/>
          <w:szCs w:val="18"/>
        </w:rPr>
        <w:t>表示影响较大；</w:t>
      </w:r>
    </w:p>
    <w:p w:rsidR="00DB7CC8" w:rsidRDefault="002B5250">
      <w:pPr>
        <w:ind w:firstLineChars="500" w:firstLine="900"/>
        <w:rPr>
          <w:sz w:val="18"/>
          <w:szCs w:val="18"/>
        </w:rPr>
      </w:pPr>
      <w:r>
        <w:rPr>
          <w:rFonts w:hint="eastAsia"/>
          <w:sz w:val="18"/>
          <w:szCs w:val="18"/>
        </w:rPr>
        <w:t>③</w:t>
      </w:r>
      <w:r>
        <w:rPr>
          <w:sz w:val="18"/>
          <w:szCs w:val="18"/>
        </w:rPr>
        <w:t>表中</w:t>
      </w:r>
      <w:r>
        <w:rPr>
          <w:sz w:val="18"/>
          <w:szCs w:val="18"/>
        </w:rPr>
        <w:t>“D”</w:t>
      </w:r>
      <w:r>
        <w:rPr>
          <w:sz w:val="18"/>
          <w:szCs w:val="18"/>
        </w:rPr>
        <w:t>表示短期影响，</w:t>
      </w:r>
      <w:r>
        <w:rPr>
          <w:sz w:val="18"/>
          <w:szCs w:val="18"/>
        </w:rPr>
        <w:t>“C</w:t>
      </w:r>
      <w:r>
        <w:rPr>
          <w:sz w:val="18"/>
          <w:szCs w:val="18"/>
        </w:rPr>
        <w:t>表示长期影响</w:t>
      </w:r>
      <w:r>
        <w:rPr>
          <w:sz w:val="18"/>
          <w:szCs w:val="18"/>
        </w:rPr>
        <w:t>”</w:t>
      </w:r>
      <w:r>
        <w:rPr>
          <w:sz w:val="18"/>
          <w:szCs w:val="18"/>
        </w:rPr>
        <w:t>；</w:t>
      </w:r>
    </w:p>
    <w:p w:rsidR="00DB7CC8" w:rsidRDefault="002B5250">
      <w:pPr>
        <w:ind w:firstLineChars="500" w:firstLine="900"/>
        <w:rPr>
          <w:sz w:val="18"/>
          <w:szCs w:val="18"/>
        </w:rPr>
      </w:pPr>
      <w:r>
        <w:rPr>
          <w:rFonts w:hint="eastAsia"/>
          <w:sz w:val="18"/>
          <w:szCs w:val="18"/>
        </w:rPr>
        <w:t>④</w:t>
      </w:r>
      <w:r>
        <w:rPr>
          <w:sz w:val="18"/>
          <w:szCs w:val="18"/>
        </w:rPr>
        <w:t>空白表示相互作用不明显或不确定。</w:t>
      </w:r>
    </w:p>
    <w:p w:rsidR="00DB7CC8" w:rsidRDefault="002B5250">
      <w:pPr>
        <w:ind w:firstLine="480"/>
        <w:rPr>
          <w:sz w:val="24"/>
          <w:szCs w:val="24"/>
        </w:rPr>
      </w:pPr>
      <w:r>
        <w:rPr>
          <w:sz w:val="24"/>
          <w:szCs w:val="24"/>
        </w:rPr>
        <w:t>由表</w:t>
      </w:r>
      <w:r>
        <w:rPr>
          <w:sz w:val="24"/>
          <w:szCs w:val="24"/>
        </w:rPr>
        <w:t>2.3-1</w:t>
      </w:r>
      <w:r>
        <w:rPr>
          <w:sz w:val="24"/>
          <w:szCs w:val="24"/>
        </w:rPr>
        <w:t>分析可知，本项目对环境的影响是多方面的，主要表现在营运期</w:t>
      </w:r>
      <w:r>
        <w:rPr>
          <w:sz w:val="24"/>
          <w:szCs w:val="24"/>
        </w:rPr>
        <w:lastRenderedPageBreak/>
        <w:t>对环境空气、声环境、地下水环境的影响，施工期的影响是局部的、短期的，并随着施工期的结束而消失。</w:t>
      </w:r>
    </w:p>
    <w:p w:rsidR="00DB7CC8" w:rsidRDefault="002B5250">
      <w:pPr>
        <w:ind w:firstLine="480"/>
        <w:rPr>
          <w:sz w:val="24"/>
          <w:szCs w:val="24"/>
        </w:rPr>
      </w:pPr>
      <w:r>
        <w:rPr>
          <w:sz w:val="24"/>
          <w:szCs w:val="24"/>
        </w:rPr>
        <w:t>项目投入运营后对环境的影响是长期的，主要影响因素是生产过程中产生的废气、废水、噪声、固体废物等污染物的排放，对周围环境空气、地下水环境</w:t>
      </w:r>
      <w:r>
        <w:rPr>
          <w:rFonts w:hint="eastAsia"/>
          <w:sz w:val="24"/>
          <w:szCs w:val="24"/>
        </w:rPr>
        <w:t>、土壤环境</w:t>
      </w:r>
      <w:r>
        <w:rPr>
          <w:sz w:val="24"/>
          <w:szCs w:val="24"/>
        </w:rPr>
        <w:t>和声环境存在一定不利影响；在经济和就业等诸多方面的影响是积极的，有利于当地经济的发展</w:t>
      </w:r>
      <w:r>
        <w:rPr>
          <w:rFonts w:hint="eastAsia"/>
          <w:sz w:val="24"/>
          <w:szCs w:val="24"/>
        </w:rPr>
        <w:t>。</w:t>
      </w:r>
    </w:p>
    <w:p w:rsidR="00DB7CC8" w:rsidRDefault="002B5250">
      <w:pPr>
        <w:pStyle w:val="3"/>
        <w:numPr>
          <w:ilvl w:val="2"/>
          <w:numId w:val="1"/>
        </w:numPr>
        <w:rPr>
          <w:szCs w:val="28"/>
        </w:rPr>
      </w:pPr>
      <w:bookmarkStart w:id="92" w:name="_Toc521591676"/>
      <w:bookmarkStart w:id="93" w:name="_Toc30406"/>
      <w:r>
        <w:rPr>
          <w:szCs w:val="28"/>
        </w:rPr>
        <w:t>评价因子筛选</w:t>
      </w:r>
      <w:bookmarkEnd w:id="92"/>
      <w:bookmarkEnd w:id="93"/>
    </w:p>
    <w:p w:rsidR="00DB7CC8" w:rsidRDefault="002B5250">
      <w:pPr>
        <w:ind w:firstLine="480"/>
        <w:rPr>
          <w:sz w:val="24"/>
          <w:szCs w:val="24"/>
        </w:rPr>
      </w:pPr>
      <w:r>
        <w:rPr>
          <w:sz w:val="24"/>
          <w:szCs w:val="24"/>
        </w:rPr>
        <w:t>根据环境影响因素识别结果，结合区域环境质量现状</w:t>
      </w:r>
      <w:r>
        <w:rPr>
          <w:sz w:val="24"/>
          <w:szCs w:val="24"/>
        </w:rPr>
        <w:t>,</w:t>
      </w:r>
      <w:r>
        <w:rPr>
          <w:sz w:val="24"/>
          <w:szCs w:val="24"/>
        </w:rPr>
        <w:t>以及工程特点和污染物排放特征，确定本项目评价因子见表</w:t>
      </w:r>
      <w:r>
        <w:rPr>
          <w:sz w:val="24"/>
          <w:szCs w:val="24"/>
        </w:rPr>
        <w:t>2.3-2</w:t>
      </w:r>
      <w:r>
        <w:rPr>
          <w:sz w:val="24"/>
          <w:szCs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 xml:space="preserve">2.3-2  </w:t>
      </w:r>
      <w:r>
        <w:rPr>
          <w:rFonts w:eastAsia="黑体"/>
          <w:kern w:val="2"/>
          <w:sz w:val="21"/>
          <w:szCs w:val="21"/>
        </w:rPr>
        <w:t>本项目评价因子</w:t>
      </w:r>
    </w:p>
    <w:tbl>
      <w:tblPr>
        <w:tblW w:w="8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114"/>
        <w:gridCol w:w="1114"/>
        <w:gridCol w:w="1349"/>
        <w:gridCol w:w="4853"/>
      </w:tblGrid>
      <w:tr w:rsidR="00DB7CC8">
        <w:trPr>
          <w:trHeight w:val="340"/>
          <w:tblHeader/>
        </w:trPr>
        <w:tc>
          <w:tcPr>
            <w:tcW w:w="1114"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时段</w:t>
            </w:r>
          </w:p>
        </w:tc>
        <w:tc>
          <w:tcPr>
            <w:tcW w:w="1114"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类别</w:t>
            </w: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项目</w:t>
            </w:r>
          </w:p>
        </w:tc>
        <w:tc>
          <w:tcPr>
            <w:tcW w:w="4853"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评价因子</w:t>
            </w:r>
          </w:p>
        </w:tc>
      </w:tr>
      <w:tr w:rsidR="00DB7CC8">
        <w:trPr>
          <w:trHeight w:val="340"/>
        </w:trPr>
        <w:tc>
          <w:tcPr>
            <w:tcW w:w="1114" w:type="dxa"/>
            <w:vMerge w:val="restart"/>
            <w:tcBorders>
              <w:tl2br w:val="nil"/>
              <w:tr2bl w:val="nil"/>
            </w:tcBorders>
            <w:vAlign w:val="center"/>
          </w:tcPr>
          <w:p w:rsidR="00DB7CC8" w:rsidRDefault="002B5250">
            <w:pPr>
              <w:spacing w:line="240" w:lineRule="auto"/>
              <w:ind w:firstLineChars="0" w:firstLine="0"/>
              <w:jc w:val="center"/>
              <w:rPr>
                <w:snapToGrid w:val="0"/>
                <w:sz w:val="21"/>
                <w:szCs w:val="21"/>
              </w:rPr>
            </w:pPr>
            <w:r>
              <w:rPr>
                <w:rFonts w:hint="eastAsia"/>
                <w:snapToGrid w:val="0"/>
                <w:sz w:val="21"/>
                <w:szCs w:val="21"/>
              </w:rPr>
              <w:t>施工期</w:t>
            </w:r>
          </w:p>
        </w:tc>
        <w:tc>
          <w:tcPr>
            <w:tcW w:w="1114" w:type="dxa"/>
            <w:vMerge w:val="restart"/>
            <w:tcBorders>
              <w:tl2br w:val="nil"/>
              <w:tr2bl w:val="nil"/>
            </w:tcBorders>
            <w:vAlign w:val="center"/>
          </w:tcPr>
          <w:p w:rsidR="00DB7CC8" w:rsidRDefault="002B5250">
            <w:pPr>
              <w:spacing w:line="240" w:lineRule="auto"/>
              <w:ind w:firstLineChars="0" w:firstLine="0"/>
              <w:jc w:val="center"/>
              <w:rPr>
                <w:snapToGrid w:val="0"/>
                <w:sz w:val="21"/>
                <w:szCs w:val="21"/>
              </w:rPr>
            </w:pPr>
            <w:r>
              <w:rPr>
                <w:rFonts w:hint="eastAsia"/>
                <w:snapToGrid w:val="0"/>
                <w:sz w:val="21"/>
                <w:szCs w:val="21"/>
              </w:rPr>
              <w:t>大气环境</w:t>
            </w: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rFonts w:hint="eastAsia"/>
                <w:snapToGrid w:val="0"/>
                <w:sz w:val="21"/>
                <w:szCs w:val="21"/>
              </w:rPr>
              <w:t>污染源</w:t>
            </w:r>
          </w:p>
        </w:tc>
        <w:tc>
          <w:tcPr>
            <w:tcW w:w="4853" w:type="dxa"/>
            <w:tcBorders>
              <w:tl2br w:val="nil"/>
              <w:tr2bl w:val="nil"/>
            </w:tcBorders>
            <w:vAlign w:val="center"/>
          </w:tcPr>
          <w:p w:rsidR="00DB7CC8" w:rsidRDefault="002B5250">
            <w:pPr>
              <w:pStyle w:val="afffffffc"/>
              <w:spacing w:line="240" w:lineRule="auto"/>
            </w:pPr>
            <w:r>
              <w:rPr>
                <w:rFonts w:hint="eastAsia"/>
              </w:rPr>
              <w:t>颗粒物</w:t>
            </w:r>
          </w:p>
        </w:tc>
      </w:tr>
      <w:tr w:rsidR="00DB7CC8">
        <w:trPr>
          <w:trHeight w:val="340"/>
        </w:trPr>
        <w:tc>
          <w:tcPr>
            <w:tcW w:w="1114" w:type="dxa"/>
            <w:vMerge/>
            <w:tcBorders>
              <w:tl2br w:val="nil"/>
              <w:tr2bl w:val="nil"/>
            </w:tcBorders>
            <w:vAlign w:val="center"/>
          </w:tcPr>
          <w:p w:rsidR="00DB7CC8" w:rsidRDefault="00DB7CC8">
            <w:pPr>
              <w:snapToGrid w:val="0"/>
              <w:spacing w:line="240" w:lineRule="auto"/>
              <w:ind w:firstLineChars="0" w:firstLine="0"/>
              <w:jc w:val="center"/>
              <w:rPr>
                <w:snapToGrid w:val="0"/>
                <w:sz w:val="21"/>
                <w:szCs w:val="21"/>
              </w:rPr>
            </w:pPr>
          </w:p>
        </w:tc>
        <w:tc>
          <w:tcPr>
            <w:tcW w:w="1114" w:type="dxa"/>
            <w:vMerge/>
            <w:tcBorders>
              <w:tl2br w:val="nil"/>
              <w:tr2bl w:val="nil"/>
            </w:tcBorders>
            <w:vAlign w:val="center"/>
          </w:tcPr>
          <w:p w:rsidR="00DB7CC8" w:rsidRDefault="00DB7CC8">
            <w:pPr>
              <w:snapToGrid w:val="0"/>
              <w:spacing w:line="240" w:lineRule="auto"/>
              <w:ind w:firstLineChars="0" w:firstLine="0"/>
              <w:jc w:val="center"/>
              <w:rPr>
                <w:snapToGrid w:val="0"/>
                <w:sz w:val="21"/>
                <w:szCs w:val="21"/>
              </w:rPr>
            </w:pPr>
          </w:p>
        </w:tc>
        <w:tc>
          <w:tcPr>
            <w:tcW w:w="1349" w:type="dxa"/>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影响分析</w:t>
            </w:r>
          </w:p>
        </w:tc>
        <w:tc>
          <w:tcPr>
            <w:tcW w:w="4853" w:type="dxa"/>
            <w:tcBorders>
              <w:tl2br w:val="nil"/>
              <w:tr2bl w:val="nil"/>
            </w:tcBorders>
            <w:vAlign w:val="center"/>
          </w:tcPr>
          <w:p w:rsidR="00DB7CC8" w:rsidRDefault="002B5250">
            <w:pPr>
              <w:pStyle w:val="afffffffc"/>
              <w:spacing w:line="240" w:lineRule="auto"/>
            </w:pPr>
            <w:r>
              <w:t>PM</w:t>
            </w:r>
            <w:r>
              <w:rPr>
                <w:vertAlign w:val="subscript"/>
              </w:rPr>
              <w:t>10</w:t>
            </w:r>
          </w:p>
        </w:tc>
      </w:tr>
      <w:tr w:rsidR="00DB7CC8">
        <w:trPr>
          <w:trHeight w:val="340"/>
        </w:trPr>
        <w:tc>
          <w:tcPr>
            <w:tcW w:w="1114" w:type="dxa"/>
            <w:vMerge/>
            <w:tcBorders>
              <w:tl2br w:val="nil"/>
              <w:tr2bl w:val="nil"/>
            </w:tcBorders>
            <w:vAlign w:val="center"/>
          </w:tcPr>
          <w:p w:rsidR="00DB7CC8" w:rsidRDefault="00DB7CC8">
            <w:pPr>
              <w:snapToGrid w:val="0"/>
              <w:spacing w:line="240" w:lineRule="auto"/>
              <w:ind w:firstLineChars="0" w:firstLine="0"/>
              <w:jc w:val="center"/>
              <w:rPr>
                <w:snapToGrid w:val="0"/>
                <w:sz w:val="21"/>
                <w:szCs w:val="21"/>
              </w:rPr>
            </w:pPr>
          </w:p>
        </w:tc>
        <w:tc>
          <w:tcPr>
            <w:tcW w:w="1114" w:type="dxa"/>
            <w:vMerge w:val="restart"/>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水环境</w:t>
            </w:r>
          </w:p>
        </w:tc>
        <w:tc>
          <w:tcPr>
            <w:tcW w:w="1349" w:type="dxa"/>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污染源</w:t>
            </w:r>
          </w:p>
        </w:tc>
        <w:tc>
          <w:tcPr>
            <w:tcW w:w="4853" w:type="dxa"/>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SS</w:t>
            </w:r>
            <w:r>
              <w:rPr>
                <w:rFonts w:hint="eastAsia"/>
                <w:snapToGrid w:val="0"/>
                <w:sz w:val="21"/>
                <w:szCs w:val="21"/>
              </w:rPr>
              <w:t>、</w:t>
            </w:r>
            <w:r>
              <w:rPr>
                <w:rFonts w:hint="eastAsia"/>
                <w:snapToGrid w:val="0"/>
                <w:sz w:val="21"/>
                <w:szCs w:val="21"/>
              </w:rPr>
              <w:t>COD</w:t>
            </w:r>
            <w:r>
              <w:rPr>
                <w:rFonts w:hint="eastAsia"/>
                <w:snapToGrid w:val="0"/>
                <w:sz w:val="21"/>
                <w:szCs w:val="21"/>
              </w:rPr>
              <w:t>、氨氮</w:t>
            </w:r>
          </w:p>
        </w:tc>
      </w:tr>
      <w:tr w:rsidR="00DB7CC8">
        <w:trPr>
          <w:trHeight w:val="340"/>
        </w:trPr>
        <w:tc>
          <w:tcPr>
            <w:tcW w:w="1114" w:type="dxa"/>
            <w:vMerge/>
            <w:tcBorders>
              <w:tl2br w:val="nil"/>
              <w:tr2bl w:val="nil"/>
            </w:tcBorders>
            <w:vAlign w:val="center"/>
          </w:tcPr>
          <w:p w:rsidR="00DB7CC8" w:rsidRDefault="00DB7CC8">
            <w:pPr>
              <w:snapToGrid w:val="0"/>
              <w:spacing w:line="240" w:lineRule="auto"/>
              <w:ind w:firstLineChars="0" w:firstLine="0"/>
              <w:jc w:val="center"/>
              <w:rPr>
                <w:snapToGrid w:val="0"/>
                <w:sz w:val="21"/>
                <w:szCs w:val="21"/>
              </w:rPr>
            </w:pPr>
          </w:p>
        </w:tc>
        <w:tc>
          <w:tcPr>
            <w:tcW w:w="1114" w:type="dxa"/>
            <w:vMerge/>
            <w:tcBorders>
              <w:tl2br w:val="nil"/>
              <w:tr2bl w:val="nil"/>
            </w:tcBorders>
            <w:vAlign w:val="center"/>
          </w:tcPr>
          <w:p w:rsidR="00DB7CC8" w:rsidRDefault="00DB7CC8">
            <w:pPr>
              <w:snapToGrid w:val="0"/>
              <w:spacing w:line="240" w:lineRule="auto"/>
              <w:ind w:firstLineChars="0" w:firstLine="0"/>
              <w:jc w:val="center"/>
              <w:rPr>
                <w:snapToGrid w:val="0"/>
                <w:sz w:val="21"/>
                <w:szCs w:val="21"/>
              </w:rPr>
            </w:pPr>
          </w:p>
        </w:tc>
        <w:tc>
          <w:tcPr>
            <w:tcW w:w="1349" w:type="dxa"/>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影响分析</w:t>
            </w:r>
          </w:p>
        </w:tc>
        <w:tc>
          <w:tcPr>
            <w:tcW w:w="4853" w:type="dxa"/>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SS</w:t>
            </w:r>
            <w:r>
              <w:rPr>
                <w:rFonts w:hint="eastAsia"/>
                <w:snapToGrid w:val="0"/>
                <w:sz w:val="21"/>
                <w:szCs w:val="21"/>
              </w:rPr>
              <w:t>、</w:t>
            </w:r>
            <w:r>
              <w:rPr>
                <w:rFonts w:hint="eastAsia"/>
                <w:snapToGrid w:val="0"/>
                <w:sz w:val="21"/>
                <w:szCs w:val="21"/>
              </w:rPr>
              <w:t>COD</w:t>
            </w:r>
            <w:r>
              <w:rPr>
                <w:rFonts w:hint="eastAsia"/>
                <w:snapToGrid w:val="0"/>
                <w:sz w:val="21"/>
                <w:szCs w:val="21"/>
              </w:rPr>
              <w:t>、氨氮</w:t>
            </w:r>
          </w:p>
        </w:tc>
      </w:tr>
      <w:tr w:rsidR="00DB7CC8">
        <w:trPr>
          <w:trHeight w:val="340"/>
        </w:trPr>
        <w:tc>
          <w:tcPr>
            <w:tcW w:w="1114" w:type="dxa"/>
            <w:vMerge/>
            <w:tcBorders>
              <w:tl2br w:val="nil"/>
              <w:tr2bl w:val="nil"/>
            </w:tcBorders>
            <w:vAlign w:val="center"/>
          </w:tcPr>
          <w:p w:rsidR="00DB7CC8" w:rsidRDefault="00DB7CC8">
            <w:pPr>
              <w:snapToGrid w:val="0"/>
              <w:spacing w:line="240" w:lineRule="auto"/>
              <w:ind w:firstLineChars="0" w:firstLine="0"/>
              <w:jc w:val="center"/>
              <w:rPr>
                <w:snapToGrid w:val="0"/>
                <w:sz w:val="21"/>
                <w:szCs w:val="21"/>
              </w:rPr>
            </w:pPr>
          </w:p>
        </w:tc>
        <w:tc>
          <w:tcPr>
            <w:tcW w:w="1114" w:type="dxa"/>
            <w:vMerge w:val="restart"/>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声环境</w:t>
            </w:r>
          </w:p>
        </w:tc>
        <w:tc>
          <w:tcPr>
            <w:tcW w:w="1349" w:type="dxa"/>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污染源</w:t>
            </w:r>
          </w:p>
        </w:tc>
        <w:tc>
          <w:tcPr>
            <w:tcW w:w="4853" w:type="dxa"/>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A</w:t>
            </w:r>
            <w:r>
              <w:rPr>
                <w:rFonts w:hint="eastAsia"/>
                <w:snapToGrid w:val="0"/>
                <w:sz w:val="21"/>
                <w:szCs w:val="21"/>
              </w:rPr>
              <w:t>声级</w:t>
            </w:r>
          </w:p>
        </w:tc>
      </w:tr>
      <w:tr w:rsidR="00DB7CC8">
        <w:trPr>
          <w:trHeight w:val="340"/>
        </w:trPr>
        <w:tc>
          <w:tcPr>
            <w:tcW w:w="1114" w:type="dxa"/>
            <w:vMerge/>
            <w:tcBorders>
              <w:tl2br w:val="nil"/>
              <w:tr2bl w:val="nil"/>
            </w:tcBorders>
            <w:vAlign w:val="center"/>
          </w:tcPr>
          <w:p w:rsidR="00DB7CC8" w:rsidRDefault="00DB7CC8">
            <w:pPr>
              <w:snapToGrid w:val="0"/>
              <w:spacing w:line="240" w:lineRule="auto"/>
              <w:ind w:firstLineChars="0" w:firstLine="0"/>
              <w:jc w:val="center"/>
              <w:rPr>
                <w:snapToGrid w:val="0"/>
                <w:sz w:val="21"/>
                <w:szCs w:val="21"/>
              </w:rPr>
            </w:pPr>
          </w:p>
        </w:tc>
        <w:tc>
          <w:tcPr>
            <w:tcW w:w="1114" w:type="dxa"/>
            <w:vMerge/>
            <w:tcBorders>
              <w:tl2br w:val="nil"/>
              <w:tr2bl w:val="nil"/>
            </w:tcBorders>
            <w:vAlign w:val="center"/>
          </w:tcPr>
          <w:p w:rsidR="00DB7CC8" w:rsidRDefault="00DB7CC8">
            <w:pPr>
              <w:snapToGrid w:val="0"/>
              <w:spacing w:line="240" w:lineRule="auto"/>
              <w:ind w:firstLineChars="0" w:firstLine="0"/>
              <w:jc w:val="center"/>
              <w:rPr>
                <w:snapToGrid w:val="0"/>
                <w:sz w:val="21"/>
                <w:szCs w:val="21"/>
              </w:rPr>
            </w:pPr>
          </w:p>
        </w:tc>
        <w:tc>
          <w:tcPr>
            <w:tcW w:w="1349" w:type="dxa"/>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影响分析</w:t>
            </w:r>
          </w:p>
        </w:tc>
        <w:tc>
          <w:tcPr>
            <w:tcW w:w="4853" w:type="dxa"/>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Leq</w:t>
            </w:r>
            <w:r>
              <w:rPr>
                <w:rFonts w:hint="eastAsia"/>
                <w:snapToGrid w:val="0"/>
                <w:sz w:val="21"/>
                <w:szCs w:val="21"/>
              </w:rPr>
              <w:t>（</w:t>
            </w:r>
            <w:r>
              <w:rPr>
                <w:rFonts w:hint="eastAsia"/>
                <w:snapToGrid w:val="0"/>
                <w:sz w:val="21"/>
                <w:szCs w:val="21"/>
              </w:rPr>
              <w:t>A</w:t>
            </w:r>
            <w:r>
              <w:rPr>
                <w:rFonts w:hint="eastAsia"/>
                <w:snapToGrid w:val="0"/>
                <w:sz w:val="21"/>
                <w:szCs w:val="21"/>
              </w:rPr>
              <w:t>）</w:t>
            </w:r>
          </w:p>
        </w:tc>
      </w:tr>
      <w:tr w:rsidR="00DB7CC8">
        <w:trPr>
          <w:trHeight w:val="340"/>
        </w:trPr>
        <w:tc>
          <w:tcPr>
            <w:tcW w:w="1114" w:type="dxa"/>
            <w:vMerge/>
            <w:tcBorders>
              <w:tl2br w:val="nil"/>
              <w:tr2bl w:val="nil"/>
            </w:tcBorders>
            <w:vAlign w:val="center"/>
          </w:tcPr>
          <w:p w:rsidR="00DB7CC8" w:rsidRDefault="00DB7CC8">
            <w:pPr>
              <w:snapToGrid w:val="0"/>
              <w:spacing w:line="240" w:lineRule="auto"/>
              <w:ind w:firstLineChars="0" w:firstLine="0"/>
              <w:jc w:val="center"/>
              <w:rPr>
                <w:snapToGrid w:val="0"/>
                <w:sz w:val="21"/>
                <w:szCs w:val="21"/>
              </w:rPr>
            </w:pPr>
          </w:p>
        </w:tc>
        <w:tc>
          <w:tcPr>
            <w:tcW w:w="1114" w:type="dxa"/>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固体废物</w:t>
            </w:r>
          </w:p>
        </w:tc>
        <w:tc>
          <w:tcPr>
            <w:tcW w:w="1349" w:type="dxa"/>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影响分析</w:t>
            </w:r>
          </w:p>
        </w:tc>
        <w:tc>
          <w:tcPr>
            <w:tcW w:w="4853" w:type="dxa"/>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建筑垃圾、生活垃圾</w:t>
            </w:r>
          </w:p>
        </w:tc>
      </w:tr>
      <w:tr w:rsidR="00DB7CC8">
        <w:trPr>
          <w:trHeight w:val="340"/>
        </w:trPr>
        <w:tc>
          <w:tcPr>
            <w:tcW w:w="1114" w:type="dxa"/>
            <w:vMerge/>
            <w:tcBorders>
              <w:tl2br w:val="nil"/>
              <w:tr2bl w:val="nil"/>
            </w:tcBorders>
            <w:vAlign w:val="center"/>
          </w:tcPr>
          <w:p w:rsidR="00DB7CC8" w:rsidRDefault="00DB7CC8">
            <w:pPr>
              <w:snapToGrid w:val="0"/>
              <w:spacing w:line="240" w:lineRule="auto"/>
              <w:ind w:firstLineChars="0" w:firstLine="0"/>
              <w:jc w:val="center"/>
              <w:rPr>
                <w:snapToGrid w:val="0"/>
                <w:sz w:val="21"/>
                <w:szCs w:val="21"/>
              </w:rPr>
            </w:pPr>
          </w:p>
        </w:tc>
        <w:tc>
          <w:tcPr>
            <w:tcW w:w="1114" w:type="dxa"/>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生态环境</w:t>
            </w:r>
          </w:p>
        </w:tc>
        <w:tc>
          <w:tcPr>
            <w:tcW w:w="1349" w:type="dxa"/>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影响分析</w:t>
            </w:r>
          </w:p>
        </w:tc>
        <w:tc>
          <w:tcPr>
            <w:tcW w:w="4853" w:type="dxa"/>
            <w:tcBorders>
              <w:tl2br w:val="nil"/>
              <w:tr2bl w:val="nil"/>
            </w:tcBorders>
            <w:vAlign w:val="center"/>
          </w:tcPr>
          <w:p w:rsidR="00DB7CC8" w:rsidRDefault="002B5250">
            <w:pPr>
              <w:snapToGrid w:val="0"/>
              <w:spacing w:line="240" w:lineRule="auto"/>
              <w:ind w:firstLineChars="0" w:firstLine="0"/>
              <w:jc w:val="center"/>
              <w:rPr>
                <w:snapToGrid w:val="0"/>
                <w:sz w:val="21"/>
                <w:szCs w:val="21"/>
              </w:rPr>
            </w:pPr>
            <w:r>
              <w:rPr>
                <w:rFonts w:hint="eastAsia"/>
                <w:snapToGrid w:val="0"/>
                <w:sz w:val="21"/>
                <w:szCs w:val="21"/>
              </w:rPr>
              <w:t>植被、水土流失</w:t>
            </w:r>
          </w:p>
        </w:tc>
      </w:tr>
      <w:tr w:rsidR="00DB7CC8">
        <w:trPr>
          <w:trHeight w:val="340"/>
        </w:trPr>
        <w:tc>
          <w:tcPr>
            <w:tcW w:w="1114" w:type="dxa"/>
            <w:vMerge w:val="restart"/>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运营期</w:t>
            </w:r>
          </w:p>
        </w:tc>
        <w:tc>
          <w:tcPr>
            <w:tcW w:w="1114" w:type="dxa"/>
            <w:vMerge w:val="restart"/>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大气环境</w:t>
            </w: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现状评价</w:t>
            </w:r>
          </w:p>
        </w:tc>
        <w:tc>
          <w:tcPr>
            <w:tcW w:w="4853"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z w:val="21"/>
                <w:szCs w:val="21"/>
              </w:rPr>
              <w:t>TSP</w:t>
            </w:r>
            <w:r>
              <w:rPr>
                <w:sz w:val="21"/>
                <w:szCs w:val="21"/>
              </w:rPr>
              <w:t>、</w:t>
            </w:r>
            <w:r>
              <w:rPr>
                <w:sz w:val="21"/>
                <w:szCs w:val="21"/>
              </w:rPr>
              <w:t>PM</w:t>
            </w:r>
            <w:r>
              <w:rPr>
                <w:sz w:val="21"/>
                <w:szCs w:val="21"/>
                <w:vertAlign w:val="subscript"/>
              </w:rPr>
              <w:t>2.5</w:t>
            </w:r>
            <w:r>
              <w:rPr>
                <w:sz w:val="21"/>
                <w:szCs w:val="21"/>
              </w:rPr>
              <w:t>、</w:t>
            </w:r>
            <w:r>
              <w:rPr>
                <w:sz w:val="21"/>
                <w:szCs w:val="21"/>
              </w:rPr>
              <w:t>PM</w:t>
            </w:r>
            <w:r>
              <w:rPr>
                <w:sz w:val="21"/>
                <w:szCs w:val="21"/>
                <w:vertAlign w:val="subscript"/>
              </w:rPr>
              <w:t>10</w:t>
            </w:r>
            <w:r>
              <w:rPr>
                <w:sz w:val="21"/>
                <w:szCs w:val="21"/>
              </w:rPr>
              <w:t>、</w:t>
            </w:r>
            <w:r>
              <w:rPr>
                <w:sz w:val="21"/>
                <w:szCs w:val="21"/>
              </w:rPr>
              <w:t>SO</w:t>
            </w:r>
            <w:r>
              <w:rPr>
                <w:sz w:val="21"/>
                <w:szCs w:val="21"/>
                <w:vertAlign w:val="subscript"/>
              </w:rPr>
              <w:t>2</w:t>
            </w:r>
            <w:r>
              <w:rPr>
                <w:sz w:val="21"/>
                <w:szCs w:val="21"/>
              </w:rPr>
              <w:t>、</w:t>
            </w:r>
            <w:r>
              <w:rPr>
                <w:sz w:val="21"/>
                <w:szCs w:val="21"/>
              </w:rPr>
              <w:t>NO</w:t>
            </w:r>
            <w:r>
              <w:rPr>
                <w:sz w:val="21"/>
                <w:szCs w:val="21"/>
                <w:vertAlign w:val="subscript"/>
              </w:rPr>
              <w:t>2</w:t>
            </w:r>
            <w:r>
              <w:rPr>
                <w:sz w:val="21"/>
                <w:szCs w:val="21"/>
              </w:rPr>
              <w:t>、</w:t>
            </w:r>
            <w:r>
              <w:rPr>
                <w:sz w:val="21"/>
                <w:szCs w:val="21"/>
              </w:rPr>
              <w:t>CO</w:t>
            </w:r>
            <w:r>
              <w:rPr>
                <w:sz w:val="21"/>
                <w:szCs w:val="21"/>
              </w:rPr>
              <w:t>、</w:t>
            </w:r>
            <w:r>
              <w:rPr>
                <w:sz w:val="21"/>
                <w:szCs w:val="21"/>
              </w:rPr>
              <w:t>O</w:t>
            </w:r>
            <w:r>
              <w:rPr>
                <w:sz w:val="21"/>
                <w:szCs w:val="21"/>
                <w:vertAlign w:val="subscript"/>
              </w:rPr>
              <w:t>3</w:t>
            </w:r>
          </w:p>
        </w:tc>
      </w:tr>
      <w:tr w:rsidR="00DB7CC8">
        <w:trPr>
          <w:trHeight w:val="288"/>
        </w:trPr>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污染源评价</w:t>
            </w:r>
          </w:p>
        </w:tc>
        <w:tc>
          <w:tcPr>
            <w:tcW w:w="4853" w:type="dxa"/>
            <w:tcBorders>
              <w:tl2br w:val="nil"/>
              <w:tr2bl w:val="nil"/>
            </w:tcBorders>
            <w:vAlign w:val="center"/>
          </w:tcPr>
          <w:p w:rsidR="00DB7CC8" w:rsidRDefault="002B5250">
            <w:pPr>
              <w:spacing w:line="240" w:lineRule="auto"/>
              <w:ind w:firstLineChars="0" w:firstLine="0"/>
              <w:jc w:val="center"/>
              <w:rPr>
                <w:snapToGrid w:val="0"/>
                <w:sz w:val="21"/>
                <w:szCs w:val="21"/>
              </w:rPr>
            </w:pPr>
            <w:r>
              <w:rPr>
                <w:rFonts w:hint="eastAsia"/>
                <w:snapToGrid w:val="0"/>
                <w:sz w:val="21"/>
                <w:szCs w:val="21"/>
              </w:rPr>
              <w:t>颗粒物</w:t>
            </w:r>
          </w:p>
        </w:tc>
      </w:tr>
      <w:tr w:rsidR="00DB7CC8">
        <w:trPr>
          <w:trHeight w:val="340"/>
        </w:trPr>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影响评价</w:t>
            </w:r>
          </w:p>
        </w:tc>
        <w:tc>
          <w:tcPr>
            <w:tcW w:w="4853"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z w:val="20"/>
              </w:rPr>
              <w:t>PM</w:t>
            </w:r>
            <w:r>
              <w:rPr>
                <w:sz w:val="20"/>
                <w:vertAlign w:val="subscript"/>
              </w:rPr>
              <w:t>2.5</w:t>
            </w:r>
            <w:r>
              <w:rPr>
                <w:sz w:val="20"/>
              </w:rPr>
              <w:t>、</w:t>
            </w:r>
            <w:r>
              <w:rPr>
                <w:sz w:val="21"/>
                <w:szCs w:val="21"/>
              </w:rPr>
              <w:t>PM</w:t>
            </w:r>
            <w:r>
              <w:rPr>
                <w:sz w:val="21"/>
                <w:szCs w:val="21"/>
                <w:vertAlign w:val="subscript"/>
              </w:rPr>
              <w:t>10</w:t>
            </w:r>
            <w:r>
              <w:rPr>
                <w:sz w:val="21"/>
                <w:szCs w:val="21"/>
              </w:rPr>
              <w:t>、</w:t>
            </w:r>
            <w:r>
              <w:rPr>
                <w:sz w:val="21"/>
                <w:szCs w:val="21"/>
              </w:rPr>
              <w:t>TSP</w:t>
            </w:r>
          </w:p>
        </w:tc>
      </w:tr>
      <w:tr w:rsidR="00DB7CC8">
        <w:trPr>
          <w:trHeight w:val="340"/>
        </w:trPr>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114"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地表水环境</w:t>
            </w: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rFonts w:hint="eastAsia"/>
                <w:snapToGrid w:val="0"/>
                <w:sz w:val="21"/>
                <w:szCs w:val="21"/>
              </w:rPr>
              <w:t>影响分析</w:t>
            </w:r>
          </w:p>
        </w:tc>
        <w:tc>
          <w:tcPr>
            <w:tcW w:w="485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COD</w:t>
            </w:r>
            <w:r>
              <w:rPr>
                <w:sz w:val="21"/>
                <w:szCs w:val="21"/>
              </w:rPr>
              <w:t>、</w:t>
            </w:r>
            <w:r>
              <w:rPr>
                <w:sz w:val="21"/>
                <w:szCs w:val="21"/>
              </w:rPr>
              <w:t>SS</w:t>
            </w:r>
          </w:p>
        </w:tc>
      </w:tr>
      <w:tr w:rsidR="00DB7CC8">
        <w:trPr>
          <w:trHeight w:val="1268"/>
        </w:trPr>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114" w:type="dxa"/>
            <w:vMerge w:val="restart"/>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地下水环境</w:t>
            </w: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现状评价</w:t>
            </w:r>
          </w:p>
        </w:tc>
        <w:tc>
          <w:tcPr>
            <w:tcW w:w="4853"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z w:val="21"/>
                <w:szCs w:val="21"/>
              </w:rPr>
              <w:t>K</w:t>
            </w:r>
            <w:r>
              <w:rPr>
                <w:sz w:val="21"/>
                <w:szCs w:val="21"/>
                <w:vertAlign w:val="superscript"/>
              </w:rPr>
              <w:t>+</w:t>
            </w:r>
            <w:r>
              <w:rPr>
                <w:sz w:val="21"/>
                <w:szCs w:val="21"/>
              </w:rPr>
              <w:t>、</w:t>
            </w:r>
            <w:r>
              <w:rPr>
                <w:sz w:val="21"/>
                <w:szCs w:val="21"/>
              </w:rPr>
              <w:t>Na</w:t>
            </w:r>
            <w:r>
              <w:rPr>
                <w:sz w:val="21"/>
                <w:szCs w:val="21"/>
                <w:vertAlign w:val="superscript"/>
              </w:rPr>
              <w:t>+</w:t>
            </w:r>
            <w:r>
              <w:rPr>
                <w:sz w:val="21"/>
                <w:szCs w:val="21"/>
              </w:rPr>
              <w:t>、</w:t>
            </w:r>
            <w:r>
              <w:rPr>
                <w:sz w:val="21"/>
                <w:szCs w:val="21"/>
              </w:rPr>
              <w:t>Ca</w:t>
            </w:r>
            <w:r>
              <w:rPr>
                <w:sz w:val="21"/>
                <w:szCs w:val="21"/>
                <w:vertAlign w:val="superscript"/>
              </w:rPr>
              <w:t>2+</w:t>
            </w:r>
            <w:r>
              <w:rPr>
                <w:sz w:val="21"/>
                <w:szCs w:val="21"/>
              </w:rPr>
              <w:t>、</w:t>
            </w:r>
            <w:r>
              <w:rPr>
                <w:sz w:val="21"/>
                <w:szCs w:val="21"/>
              </w:rPr>
              <w:t>Mg</w:t>
            </w:r>
            <w:r>
              <w:rPr>
                <w:sz w:val="21"/>
                <w:szCs w:val="21"/>
                <w:vertAlign w:val="superscript"/>
              </w:rPr>
              <w:t>2+</w:t>
            </w:r>
            <w:r>
              <w:rPr>
                <w:sz w:val="21"/>
                <w:szCs w:val="21"/>
              </w:rPr>
              <w:t>、</w:t>
            </w:r>
            <w:r>
              <w:rPr>
                <w:sz w:val="21"/>
                <w:szCs w:val="21"/>
              </w:rPr>
              <w:t>CO</w:t>
            </w:r>
            <w:r>
              <w:rPr>
                <w:sz w:val="21"/>
                <w:szCs w:val="21"/>
                <w:vertAlign w:val="subscript"/>
              </w:rPr>
              <w:t>3</w:t>
            </w:r>
            <w:r>
              <w:rPr>
                <w:sz w:val="21"/>
                <w:szCs w:val="21"/>
                <w:vertAlign w:val="superscript"/>
              </w:rPr>
              <w:t>2-</w:t>
            </w:r>
            <w:r>
              <w:rPr>
                <w:sz w:val="21"/>
                <w:szCs w:val="21"/>
              </w:rPr>
              <w:t>、</w:t>
            </w:r>
            <w:r>
              <w:rPr>
                <w:sz w:val="21"/>
                <w:szCs w:val="21"/>
              </w:rPr>
              <w:t>HCO</w:t>
            </w:r>
            <w:r>
              <w:rPr>
                <w:sz w:val="21"/>
                <w:szCs w:val="21"/>
                <w:vertAlign w:val="subscript"/>
              </w:rPr>
              <w:t>3</w:t>
            </w:r>
            <w:r>
              <w:rPr>
                <w:sz w:val="21"/>
                <w:szCs w:val="21"/>
                <w:vertAlign w:val="superscript"/>
              </w:rPr>
              <w:t>2-</w:t>
            </w:r>
            <w:r>
              <w:rPr>
                <w:sz w:val="21"/>
                <w:szCs w:val="21"/>
              </w:rPr>
              <w:t>、</w:t>
            </w:r>
            <w:r>
              <w:rPr>
                <w:sz w:val="21"/>
                <w:szCs w:val="21"/>
              </w:rPr>
              <w:t>Cl</w:t>
            </w:r>
            <w:r>
              <w:rPr>
                <w:sz w:val="21"/>
                <w:szCs w:val="21"/>
                <w:vertAlign w:val="superscript"/>
              </w:rPr>
              <w:t>-</w:t>
            </w:r>
            <w:r>
              <w:rPr>
                <w:sz w:val="21"/>
                <w:szCs w:val="21"/>
              </w:rPr>
              <w:t>、</w:t>
            </w:r>
            <w:r>
              <w:rPr>
                <w:sz w:val="21"/>
                <w:szCs w:val="21"/>
              </w:rPr>
              <w:t>SO</w:t>
            </w:r>
            <w:r>
              <w:rPr>
                <w:sz w:val="21"/>
                <w:szCs w:val="21"/>
                <w:vertAlign w:val="subscript"/>
              </w:rPr>
              <w:t>4</w:t>
            </w:r>
            <w:r>
              <w:rPr>
                <w:sz w:val="21"/>
                <w:szCs w:val="21"/>
                <w:vertAlign w:val="superscript"/>
              </w:rPr>
              <w:t>2-</w:t>
            </w:r>
            <w:r>
              <w:rPr>
                <w:sz w:val="21"/>
                <w:szCs w:val="21"/>
              </w:rPr>
              <w:t>、</w:t>
            </w:r>
            <w:r>
              <w:rPr>
                <w:sz w:val="21"/>
                <w:szCs w:val="21"/>
              </w:rPr>
              <w:t xml:space="preserve"> pH</w:t>
            </w:r>
            <w:r>
              <w:rPr>
                <w:sz w:val="21"/>
                <w:szCs w:val="21"/>
              </w:rPr>
              <w:t>、氨氮、硝酸盐、亚硝酸盐、挥发酚、氰化物、砷、汞、铬（六价）、总硬度、铅、氟化物、镉、铁、锰、铜、锌、石油类、硫化物、溶解性总固体、耗氧量、总大肠菌群、细菌总数。</w:t>
            </w:r>
          </w:p>
        </w:tc>
      </w:tr>
      <w:tr w:rsidR="00DB7CC8">
        <w:trPr>
          <w:trHeight w:val="340"/>
        </w:trPr>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污染源</w:t>
            </w:r>
          </w:p>
        </w:tc>
        <w:tc>
          <w:tcPr>
            <w:tcW w:w="4853"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Fe</w:t>
            </w:r>
          </w:p>
        </w:tc>
      </w:tr>
      <w:tr w:rsidR="00DB7CC8">
        <w:trPr>
          <w:trHeight w:val="340"/>
        </w:trPr>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影响评价</w:t>
            </w:r>
          </w:p>
        </w:tc>
        <w:tc>
          <w:tcPr>
            <w:tcW w:w="4853"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Fe</w:t>
            </w:r>
          </w:p>
        </w:tc>
      </w:tr>
      <w:tr w:rsidR="00DB7CC8">
        <w:trPr>
          <w:trHeight w:val="340"/>
        </w:trPr>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114" w:type="dxa"/>
            <w:vMerge w:val="restart"/>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声环境</w:t>
            </w: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现状评价</w:t>
            </w:r>
          </w:p>
        </w:tc>
        <w:tc>
          <w:tcPr>
            <w:tcW w:w="4853"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等效连续</w:t>
            </w:r>
            <w:r>
              <w:rPr>
                <w:snapToGrid w:val="0"/>
                <w:sz w:val="21"/>
                <w:szCs w:val="21"/>
              </w:rPr>
              <w:t>A</w:t>
            </w:r>
            <w:r>
              <w:rPr>
                <w:snapToGrid w:val="0"/>
                <w:sz w:val="21"/>
                <w:szCs w:val="21"/>
              </w:rPr>
              <w:t>声级</w:t>
            </w:r>
          </w:p>
        </w:tc>
      </w:tr>
      <w:tr w:rsidR="00DB7CC8">
        <w:trPr>
          <w:trHeight w:val="90"/>
        </w:trPr>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污染源</w:t>
            </w:r>
          </w:p>
        </w:tc>
        <w:tc>
          <w:tcPr>
            <w:tcW w:w="4853"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A</w:t>
            </w:r>
            <w:r>
              <w:rPr>
                <w:snapToGrid w:val="0"/>
                <w:sz w:val="21"/>
                <w:szCs w:val="21"/>
              </w:rPr>
              <w:t>声级</w:t>
            </w:r>
          </w:p>
        </w:tc>
      </w:tr>
      <w:tr w:rsidR="00DB7CC8">
        <w:trPr>
          <w:trHeight w:val="340"/>
        </w:trPr>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影响</w:t>
            </w:r>
            <w:r>
              <w:rPr>
                <w:rFonts w:hint="eastAsia"/>
                <w:snapToGrid w:val="0"/>
                <w:sz w:val="21"/>
                <w:szCs w:val="21"/>
              </w:rPr>
              <w:t>评价</w:t>
            </w:r>
            <w:r>
              <w:rPr>
                <w:rFonts w:hint="eastAsia"/>
                <w:snapToGrid w:val="0"/>
                <w:sz w:val="21"/>
                <w:szCs w:val="21"/>
              </w:rPr>
              <w:t>】</w:t>
            </w:r>
          </w:p>
        </w:tc>
        <w:tc>
          <w:tcPr>
            <w:tcW w:w="4853"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等效连续</w:t>
            </w:r>
            <w:r>
              <w:rPr>
                <w:snapToGrid w:val="0"/>
                <w:sz w:val="21"/>
                <w:szCs w:val="21"/>
              </w:rPr>
              <w:t>A</w:t>
            </w:r>
            <w:r>
              <w:rPr>
                <w:snapToGrid w:val="0"/>
                <w:sz w:val="21"/>
                <w:szCs w:val="21"/>
              </w:rPr>
              <w:t>声级</w:t>
            </w:r>
          </w:p>
        </w:tc>
      </w:tr>
      <w:tr w:rsidR="00DB7CC8">
        <w:trPr>
          <w:trHeight w:val="302"/>
        </w:trPr>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114" w:type="dxa"/>
            <w:vMerge w:val="restart"/>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固体废物</w:t>
            </w: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污染源</w:t>
            </w:r>
          </w:p>
        </w:tc>
        <w:tc>
          <w:tcPr>
            <w:tcW w:w="4853" w:type="dxa"/>
            <w:vMerge w:val="restart"/>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废机油、废油桶、废钢球、尾矿砂</w:t>
            </w:r>
            <w:r>
              <w:rPr>
                <w:rFonts w:hint="eastAsia"/>
                <w:snapToGrid w:val="0"/>
                <w:sz w:val="21"/>
                <w:szCs w:val="21"/>
              </w:rPr>
              <w:t>、除尘灰</w:t>
            </w:r>
          </w:p>
        </w:tc>
      </w:tr>
      <w:tr w:rsidR="00DB7CC8">
        <w:trPr>
          <w:trHeight w:val="340"/>
        </w:trPr>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影响分析</w:t>
            </w:r>
          </w:p>
        </w:tc>
        <w:tc>
          <w:tcPr>
            <w:tcW w:w="4853"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r>
      <w:tr w:rsidR="00DB7CC8">
        <w:trPr>
          <w:trHeight w:val="340"/>
        </w:trPr>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114" w:type="dxa"/>
            <w:vMerge w:val="restart"/>
            <w:tcBorders>
              <w:tl2br w:val="nil"/>
              <w:tr2bl w:val="nil"/>
            </w:tcBorders>
            <w:vAlign w:val="center"/>
          </w:tcPr>
          <w:p w:rsidR="00DB7CC8" w:rsidRDefault="002B5250">
            <w:pPr>
              <w:pStyle w:val="afffffffc"/>
            </w:pPr>
            <w:r>
              <w:rPr>
                <w:rFonts w:hint="eastAsia"/>
              </w:rPr>
              <w:t>土壤环境</w:t>
            </w:r>
          </w:p>
        </w:tc>
        <w:tc>
          <w:tcPr>
            <w:tcW w:w="1349" w:type="dxa"/>
            <w:tcBorders>
              <w:tl2br w:val="nil"/>
              <w:tr2bl w:val="nil"/>
            </w:tcBorders>
            <w:vAlign w:val="center"/>
          </w:tcPr>
          <w:p w:rsidR="00DB7CC8" w:rsidRDefault="002B5250">
            <w:pPr>
              <w:pStyle w:val="afffffffc"/>
              <w:spacing w:line="240" w:lineRule="auto"/>
            </w:pPr>
            <w:r>
              <w:rPr>
                <w:rFonts w:hint="eastAsia"/>
              </w:rPr>
              <w:t>现状评价</w:t>
            </w:r>
          </w:p>
        </w:tc>
        <w:tc>
          <w:tcPr>
            <w:tcW w:w="4853" w:type="dxa"/>
            <w:tcBorders>
              <w:tl2br w:val="nil"/>
              <w:tr2bl w:val="nil"/>
            </w:tcBorders>
            <w:vAlign w:val="center"/>
          </w:tcPr>
          <w:p w:rsidR="00DB7CC8" w:rsidRDefault="002B5250">
            <w:pPr>
              <w:pStyle w:val="afffffffc"/>
              <w:spacing w:line="240" w:lineRule="auto"/>
            </w:pPr>
            <w:r>
              <w:rPr>
                <w:rFonts w:hint="eastAsia"/>
              </w:rPr>
              <w:t>砷、镉、六价铬、铜、铅、汞、镍、硝基苯、</w:t>
            </w:r>
            <w:r>
              <w:rPr>
                <w:rFonts w:hint="eastAsia"/>
              </w:rPr>
              <w:t>2-</w:t>
            </w:r>
            <w:r>
              <w:rPr>
                <w:rFonts w:hint="eastAsia"/>
              </w:rPr>
              <w:t>氯酚、苯并</w:t>
            </w:r>
            <w:r>
              <w:rPr>
                <w:rFonts w:hint="eastAsia"/>
              </w:rPr>
              <w:t>[a]</w:t>
            </w:r>
            <w:r>
              <w:rPr>
                <w:rFonts w:hint="eastAsia"/>
              </w:rPr>
              <w:t>蒽、苯并</w:t>
            </w:r>
            <w:r>
              <w:rPr>
                <w:rFonts w:hint="eastAsia"/>
              </w:rPr>
              <w:t>[a]</w:t>
            </w:r>
            <w:r>
              <w:rPr>
                <w:rFonts w:hint="eastAsia"/>
              </w:rPr>
              <w:t>芘、苯并</w:t>
            </w:r>
            <w:r>
              <w:rPr>
                <w:rFonts w:hint="eastAsia"/>
              </w:rPr>
              <w:t>[b]</w:t>
            </w:r>
            <w:r>
              <w:rPr>
                <w:rFonts w:hint="eastAsia"/>
              </w:rPr>
              <w:t>荧蒽、苯并</w:t>
            </w:r>
            <w:r>
              <w:rPr>
                <w:rFonts w:hint="eastAsia"/>
              </w:rPr>
              <w:t>[k]</w:t>
            </w:r>
            <w:r>
              <w:rPr>
                <w:rFonts w:hint="eastAsia"/>
              </w:rPr>
              <w:t>荧蒽、窟、二苯并</w:t>
            </w:r>
            <w:r>
              <w:rPr>
                <w:rFonts w:hint="eastAsia"/>
              </w:rPr>
              <w:t>[a</w:t>
            </w:r>
            <w:r>
              <w:rPr>
                <w:rFonts w:hint="eastAsia"/>
              </w:rPr>
              <w:t>，</w:t>
            </w:r>
            <w:r>
              <w:rPr>
                <w:rFonts w:hint="eastAsia"/>
              </w:rPr>
              <w:t>h]</w:t>
            </w:r>
            <w:r>
              <w:rPr>
                <w:rFonts w:hint="eastAsia"/>
              </w:rPr>
              <w:t>蒽、茚并</w:t>
            </w:r>
            <w:r>
              <w:rPr>
                <w:rFonts w:hint="eastAsia"/>
              </w:rPr>
              <w:t>[1</w:t>
            </w:r>
            <w:r>
              <w:rPr>
                <w:rFonts w:hint="eastAsia"/>
              </w:rPr>
              <w:t>，</w:t>
            </w:r>
            <w:r>
              <w:rPr>
                <w:rFonts w:hint="eastAsia"/>
              </w:rPr>
              <w:t>2</w:t>
            </w:r>
            <w:r>
              <w:rPr>
                <w:rFonts w:hint="eastAsia"/>
              </w:rPr>
              <w:t>，</w:t>
            </w:r>
            <w:r>
              <w:rPr>
                <w:rFonts w:hint="eastAsia"/>
              </w:rPr>
              <w:t>3-cd]</w:t>
            </w:r>
            <w:r>
              <w:rPr>
                <w:rFonts w:hint="eastAsia"/>
              </w:rPr>
              <w:t>芘、萘、苯胺、四氯化碳、氯仿、氯甲烷、</w:t>
            </w:r>
            <w:r>
              <w:rPr>
                <w:rFonts w:hint="eastAsia"/>
              </w:rPr>
              <w:t>1,1-</w:t>
            </w:r>
            <w:r>
              <w:rPr>
                <w:rFonts w:hint="eastAsia"/>
              </w:rPr>
              <w:t>二氯乙烷、</w:t>
            </w:r>
            <w:r>
              <w:rPr>
                <w:rFonts w:hint="eastAsia"/>
              </w:rPr>
              <w:t>1,2-</w:t>
            </w:r>
            <w:r>
              <w:rPr>
                <w:rFonts w:hint="eastAsia"/>
              </w:rPr>
              <w:t>二氯乙</w:t>
            </w:r>
            <w:r>
              <w:rPr>
                <w:rFonts w:hint="eastAsia"/>
              </w:rPr>
              <w:lastRenderedPageBreak/>
              <w:t>烷、</w:t>
            </w:r>
            <w:r>
              <w:rPr>
                <w:rFonts w:hint="eastAsia"/>
              </w:rPr>
              <w:t>1,1-</w:t>
            </w:r>
            <w:r>
              <w:rPr>
                <w:rFonts w:hint="eastAsia"/>
              </w:rPr>
              <w:t>二氯乙烯、</w:t>
            </w:r>
            <w:r>
              <w:rPr>
                <w:rFonts w:hint="eastAsia"/>
              </w:rPr>
              <w:t>1,2-</w:t>
            </w:r>
            <w:r>
              <w:rPr>
                <w:rFonts w:hint="eastAsia"/>
              </w:rPr>
              <w:t>二氯乙烯（顺式）、</w:t>
            </w:r>
            <w:r>
              <w:rPr>
                <w:rFonts w:hint="eastAsia"/>
              </w:rPr>
              <w:t>1,2-</w:t>
            </w:r>
            <w:r>
              <w:rPr>
                <w:rFonts w:hint="eastAsia"/>
              </w:rPr>
              <w:t>二氯乙烯（反式）、二氯甲烷、</w:t>
            </w:r>
            <w:r>
              <w:rPr>
                <w:rFonts w:hint="eastAsia"/>
              </w:rPr>
              <w:t>1,2-</w:t>
            </w:r>
            <w:r>
              <w:rPr>
                <w:rFonts w:hint="eastAsia"/>
              </w:rPr>
              <w:t>二氯乙烷、</w:t>
            </w:r>
            <w:r>
              <w:rPr>
                <w:rFonts w:hint="eastAsia"/>
              </w:rPr>
              <w:t xml:space="preserve"> </w:t>
            </w:r>
            <w:r>
              <w:rPr>
                <w:rFonts w:hint="eastAsia"/>
              </w:rPr>
              <w:t>1,1,1,2-</w:t>
            </w:r>
            <w:r>
              <w:rPr>
                <w:rFonts w:hint="eastAsia"/>
              </w:rPr>
              <w:t>四氯乙烷、</w:t>
            </w:r>
            <w:r>
              <w:rPr>
                <w:rFonts w:hint="eastAsia"/>
              </w:rPr>
              <w:t>1,1,2,2-</w:t>
            </w:r>
            <w:r>
              <w:rPr>
                <w:rFonts w:hint="eastAsia"/>
              </w:rPr>
              <w:t>四氯乙烷、四氯乙烯、</w:t>
            </w:r>
            <w:r>
              <w:rPr>
                <w:rFonts w:hint="eastAsia"/>
              </w:rPr>
              <w:t>1,1,1-</w:t>
            </w:r>
            <w:r>
              <w:rPr>
                <w:rFonts w:hint="eastAsia"/>
              </w:rPr>
              <w:t>三氯乙烷、</w:t>
            </w:r>
            <w:r>
              <w:rPr>
                <w:rFonts w:hint="eastAsia"/>
              </w:rPr>
              <w:t>1,1,2-</w:t>
            </w:r>
            <w:r>
              <w:rPr>
                <w:rFonts w:hint="eastAsia"/>
              </w:rPr>
              <w:t>三氯乙烷、三氯乙烯、</w:t>
            </w:r>
            <w:r>
              <w:rPr>
                <w:rFonts w:hint="eastAsia"/>
              </w:rPr>
              <w:t>1,2,3-</w:t>
            </w:r>
            <w:r>
              <w:rPr>
                <w:rFonts w:hint="eastAsia"/>
              </w:rPr>
              <w:t>三氯丙烯、氯乙烯、苯、氯苯、</w:t>
            </w:r>
            <w:r>
              <w:rPr>
                <w:rFonts w:hint="eastAsia"/>
              </w:rPr>
              <w:t>1,2-</w:t>
            </w:r>
            <w:r>
              <w:rPr>
                <w:rFonts w:hint="eastAsia"/>
              </w:rPr>
              <w:t>二氯苯、</w:t>
            </w:r>
            <w:r>
              <w:rPr>
                <w:rFonts w:hint="eastAsia"/>
              </w:rPr>
              <w:t>1,4-</w:t>
            </w:r>
            <w:r>
              <w:rPr>
                <w:rFonts w:hint="eastAsia"/>
              </w:rPr>
              <w:t>二氯苯、乙苯、苯乙烯、甲苯、间二甲苯</w:t>
            </w:r>
            <w:r>
              <w:rPr>
                <w:rFonts w:hint="eastAsia"/>
              </w:rPr>
              <w:t>+</w:t>
            </w:r>
            <w:r>
              <w:rPr>
                <w:rFonts w:hint="eastAsia"/>
              </w:rPr>
              <w:t>对二甲苯、邻二甲苯，</w:t>
            </w:r>
            <w:r>
              <w:t>pH</w:t>
            </w:r>
            <w:r>
              <w:t>、石油</w:t>
            </w:r>
            <w:r>
              <w:rPr>
                <w:rFonts w:hint="eastAsia"/>
              </w:rPr>
              <w:t>烃</w:t>
            </w:r>
            <w:r>
              <w:t>、铁</w:t>
            </w:r>
            <w:r>
              <w:rPr>
                <w:rFonts w:hint="eastAsia"/>
              </w:rPr>
              <w:t>共</w:t>
            </w:r>
            <w:r>
              <w:rPr>
                <w:rFonts w:hint="eastAsia"/>
              </w:rPr>
              <w:t>48</w:t>
            </w:r>
            <w:r>
              <w:rPr>
                <w:rFonts w:hint="eastAsia"/>
              </w:rPr>
              <w:t>项</w:t>
            </w:r>
          </w:p>
        </w:tc>
      </w:tr>
      <w:tr w:rsidR="00DB7CC8">
        <w:trPr>
          <w:trHeight w:val="340"/>
        </w:trPr>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114" w:type="dxa"/>
            <w:vMerge/>
            <w:tcBorders>
              <w:tl2br w:val="nil"/>
              <w:tr2bl w:val="nil"/>
            </w:tcBorders>
            <w:vAlign w:val="center"/>
          </w:tcPr>
          <w:p w:rsidR="00DB7CC8" w:rsidRDefault="00DB7CC8">
            <w:pPr>
              <w:pStyle w:val="afffffffc"/>
            </w:pPr>
          </w:p>
        </w:tc>
        <w:tc>
          <w:tcPr>
            <w:tcW w:w="1349" w:type="dxa"/>
            <w:tcBorders>
              <w:tl2br w:val="nil"/>
              <w:tr2bl w:val="nil"/>
            </w:tcBorders>
            <w:vAlign w:val="center"/>
          </w:tcPr>
          <w:p w:rsidR="00DB7CC8" w:rsidRDefault="002B5250">
            <w:pPr>
              <w:pStyle w:val="afffffffc"/>
              <w:spacing w:line="240" w:lineRule="auto"/>
            </w:pPr>
            <w:r>
              <w:t>影响分析</w:t>
            </w:r>
          </w:p>
        </w:tc>
        <w:tc>
          <w:tcPr>
            <w:tcW w:w="4853" w:type="dxa"/>
            <w:tcBorders>
              <w:tl2br w:val="nil"/>
              <w:tr2bl w:val="nil"/>
            </w:tcBorders>
            <w:vAlign w:val="center"/>
          </w:tcPr>
          <w:p w:rsidR="00DB7CC8" w:rsidRDefault="002B5250">
            <w:pPr>
              <w:pStyle w:val="afffffffc"/>
              <w:spacing w:line="240" w:lineRule="auto"/>
            </w:pPr>
            <w:r>
              <w:t>pH</w:t>
            </w:r>
            <w:r>
              <w:t>、石油</w:t>
            </w:r>
            <w:r>
              <w:rPr>
                <w:rFonts w:hint="eastAsia"/>
              </w:rPr>
              <w:t>烃</w:t>
            </w:r>
            <w:r>
              <w:t>、</w:t>
            </w:r>
            <w:r>
              <w:t>Fe</w:t>
            </w:r>
          </w:p>
        </w:tc>
      </w:tr>
      <w:tr w:rsidR="00DB7CC8">
        <w:trPr>
          <w:trHeight w:val="58"/>
        </w:trPr>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114"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生态环境</w:t>
            </w: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污染源</w:t>
            </w:r>
          </w:p>
        </w:tc>
        <w:tc>
          <w:tcPr>
            <w:tcW w:w="4853"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地貌景观、土地利用、水土流失、植被</w:t>
            </w:r>
          </w:p>
        </w:tc>
      </w:tr>
      <w:tr w:rsidR="00DB7CC8">
        <w:trPr>
          <w:trHeight w:val="58"/>
        </w:trPr>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114" w:type="dxa"/>
            <w:vMerge w:val="restart"/>
            <w:tcBorders>
              <w:tl2br w:val="nil"/>
              <w:tr2bl w:val="nil"/>
            </w:tcBorders>
            <w:vAlign w:val="center"/>
          </w:tcPr>
          <w:p w:rsidR="00DB7CC8" w:rsidRDefault="002B5250">
            <w:pPr>
              <w:spacing w:line="240" w:lineRule="auto"/>
              <w:ind w:firstLineChars="0" w:firstLine="0"/>
              <w:jc w:val="center"/>
              <w:rPr>
                <w:snapToGrid w:val="0"/>
                <w:sz w:val="21"/>
                <w:szCs w:val="21"/>
              </w:rPr>
            </w:pPr>
            <w:r>
              <w:rPr>
                <w:rFonts w:hint="eastAsia"/>
                <w:snapToGrid w:val="0"/>
                <w:sz w:val="21"/>
                <w:szCs w:val="21"/>
              </w:rPr>
              <w:t>环境风险</w:t>
            </w: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污染源</w:t>
            </w:r>
          </w:p>
        </w:tc>
        <w:tc>
          <w:tcPr>
            <w:tcW w:w="4853" w:type="dxa"/>
            <w:vMerge w:val="restart"/>
            <w:tcBorders>
              <w:tl2br w:val="nil"/>
              <w:tr2bl w:val="nil"/>
            </w:tcBorders>
            <w:vAlign w:val="center"/>
          </w:tcPr>
          <w:p w:rsidR="00DB7CC8" w:rsidRDefault="002B5250">
            <w:pPr>
              <w:spacing w:line="240" w:lineRule="auto"/>
              <w:ind w:firstLineChars="0" w:firstLine="0"/>
              <w:jc w:val="center"/>
              <w:rPr>
                <w:snapToGrid w:val="0"/>
                <w:sz w:val="21"/>
                <w:szCs w:val="21"/>
              </w:rPr>
            </w:pPr>
            <w:r>
              <w:rPr>
                <w:rFonts w:hint="eastAsia"/>
                <w:snapToGrid w:val="0"/>
                <w:sz w:val="21"/>
                <w:szCs w:val="21"/>
              </w:rPr>
              <w:t>废矿物油</w:t>
            </w:r>
          </w:p>
        </w:tc>
      </w:tr>
      <w:tr w:rsidR="00DB7CC8">
        <w:trPr>
          <w:trHeight w:val="58"/>
        </w:trPr>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114"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c>
          <w:tcPr>
            <w:tcW w:w="1349"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影响分析</w:t>
            </w:r>
          </w:p>
        </w:tc>
        <w:tc>
          <w:tcPr>
            <w:tcW w:w="4853" w:type="dxa"/>
            <w:vMerge/>
            <w:tcBorders>
              <w:tl2br w:val="nil"/>
              <w:tr2bl w:val="nil"/>
            </w:tcBorders>
            <w:vAlign w:val="center"/>
          </w:tcPr>
          <w:p w:rsidR="00DB7CC8" w:rsidRDefault="00DB7CC8">
            <w:pPr>
              <w:spacing w:line="240" w:lineRule="auto"/>
              <w:ind w:firstLineChars="0" w:firstLine="0"/>
              <w:jc w:val="center"/>
              <w:rPr>
                <w:snapToGrid w:val="0"/>
                <w:sz w:val="21"/>
                <w:szCs w:val="21"/>
              </w:rPr>
            </w:pPr>
          </w:p>
        </w:tc>
      </w:tr>
    </w:tbl>
    <w:p w:rsidR="00DB7CC8" w:rsidRDefault="00DB7CC8">
      <w:pPr>
        <w:spacing w:line="240" w:lineRule="auto"/>
        <w:ind w:firstLineChars="0" w:firstLine="0"/>
        <w:jc w:val="center"/>
        <w:textAlignment w:val="auto"/>
        <w:rPr>
          <w:rFonts w:eastAsia="黑体"/>
          <w:kern w:val="2"/>
          <w:sz w:val="21"/>
          <w:szCs w:val="21"/>
        </w:rPr>
      </w:pPr>
    </w:p>
    <w:p w:rsidR="00DB7CC8" w:rsidRDefault="002B5250">
      <w:pPr>
        <w:pStyle w:val="2"/>
        <w:keepNext w:val="0"/>
        <w:keepLines w:val="0"/>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94" w:name="_Toc29019"/>
      <w:bookmarkStart w:id="95" w:name="_Toc15383"/>
      <w:bookmarkStart w:id="96" w:name="_Toc499651398"/>
      <w:bookmarkStart w:id="97" w:name="_Toc15469"/>
      <w:bookmarkStart w:id="98" w:name="_Toc524284660"/>
      <w:bookmarkStart w:id="99" w:name="_Toc521591742"/>
      <w:bookmarkStart w:id="100" w:name="_Toc503218097"/>
      <w:bookmarkStart w:id="101" w:name="_Toc30444"/>
      <w:r>
        <w:rPr>
          <w:rFonts w:ascii="Times New Roman" w:eastAsia="宋体" w:hAnsi="Times New Roman"/>
          <w:bCs w:val="0"/>
          <w:snapToGrid w:val="0"/>
          <w:kern w:val="0"/>
          <w:sz w:val="28"/>
          <w:szCs w:val="28"/>
        </w:rPr>
        <w:t>评价等级和评价范围</w:t>
      </w:r>
      <w:bookmarkEnd w:id="94"/>
    </w:p>
    <w:p w:rsidR="00DB7CC8" w:rsidRDefault="002B5250">
      <w:pPr>
        <w:pStyle w:val="3"/>
        <w:keepNext w:val="0"/>
        <w:keepLines w:val="0"/>
        <w:numPr>
          <w:ilvl w:val="2"/>
          <w:numId w:val="1"/>
        </w:numPr>
        <w:rPr>
          <w:szCs w:val="28"/>
        </w:rPr>
      </w:pPr>
      <w:r>
        <w:rPr>
          <w:szCs w:val="28"/>
        </w:rPr>
        <w:t>评价等级</w:t>
      </w:r>
    </w:p>
    <w:p w:rsidR="00DB7CC8" w:rsidRDefault="002B5250">
      <w:pPr>
        <w:pStyle w:val="4"/>
        <w:keepNext w:val="0"/>
        <w:keepLines w:val="0"/>
        <w:numPr>
          <w:ilvl w:val="3"/>
          <w:numId w:val="1"/>
        </w:numPr>
        <w:ind w:left="709" w:hanging="709"/>
        <w:rPr>
          <w:rFonts w:eastAsia="宋体"/>
          <w:b/>
        </w:rPr>
      </w:pPr>
      <w:r>
        <w:rPr>
          <w:rFonts w:eastAsia="宋体"/>
          <w:b/>
        </w:rPr>
        <w:t>大气环境</w:t>
      </w:r>
      <w:r>
        <w:rPr>
          <w:rFonts w:eastAsia="宋体" w:hint="eastAsia"/>
          <w:b/>
        </w:rPr>
        <w:t>影响评价等级</w:t>
      </w:r>
    </w:p>
    <w:p w:rsidR="00DB7CC8" w:rsidRDefault="002B5250">
      <w:pPr>
        <w:ind w:firstLine="480"/>
        <w:rPr>
          <w:sz w:val="24"/>
          <w:szCs w:val="24"/>
        </w:rPr>
      </w:pPr>
      <w:r>
        <w:rPr>
          <w:sz w:val="24"/>
          <w:szCs w:val="24"/>
        </w:rPr>
        <w:t>选择《环境影响评价技术导则</w:t>
      </w:r>
      <w:r>
        <w:rPr>
          <w:sz w:val="24"/>
          <w:szCs w:val="24"/>
        </w:rPr>
        <w:t>—</w:t>
      </w:r>
      <w:r>
        <w:rPr>
          <w:sz w:val="24"/>
          <w:szCs w:val="24"/>
        </w:rPr>
        <w:t>大气环境》（</w:t>
      </w:r>
      <w:r>
        <w:rPr>
          <w:sz w:val="24"/>
          <w:szCs w:val="24"/>
        </w:rPr>
        <w:t>HJ2.2—2018</w:t>
      </w:r>
      <w:r>
        <w:rPr>
          <w:sz w:val="24"/>
          <w:szCs w:val="24"/>
        </w:rPr>
        <w:t>）中推荐估算模型</w:t>
      </w:r>
      <w:r>
        <w:rPr>
          <w:sz w:val="24"/>
          <w:szCs w:val="24"/>
        </w:rPr>
        <w:t xml:space="preserve">ARESCREEN </w:t>
      </w:r>
      <w:r>
        <w:rPr>
          <w:sz w:val="24"/>
          <w:szCs w:val="24"/>
        </w:rPr>
        <w:t>对本项目建成后全厂的大气环境评价工作进行分级。结合项目的工程分析结果，选择正常排放的主要污染物及排放参数，计算各污染物的最大地面空气质量浓度占标率（</w:t>
      </w:r>
      <w:r>
        <w:rPr>
          <w:sz w:val="24"/>
          <w:szCs w:val="24"/>
        </w:rPr>
        <w:t>P</w:t>
      </w:r>
      <w:r>
        <w:rPr>
          <w:sz w:val="24"/>
          <w:szCs w:val="24"/>
          <w:vertAlign w:val="subscript"/>
        </w:rPr>
        <w:t>max</w:t>
      </w:r>
      <w:r>
        <w:rPr>
          <w:sz w:val="24"/>
          <w:szCs w:val="24"/>
        </w:rPr>
        <w:t>）和最远影响距离（</w:t>
      </w:r>
      <w:r>
        <w:rPr>
          <w:sz w:val="24"/>
          <w:szCs w:val="24"/>
        </w:rPr>
        <w:t>D</w:t>
      </w:r>
      <w:r>
        <w:rPr>
          <w:sz w:val="24"/>
          <w:szCs w:val="24"/>
          <w:vertAlign w:val="subscript"/>
        </w:rPr>
        <w:t>10%</w:t>
      </w:r>
      <w:r>
        <w:rPr>
          <w:sz w:val="24"/>
          <w:szCs w:val="24"/>
        </w:rPr>
        <w:t>），然后按评价工作分级判据进行分级。</w:t>
      </w:r>
    </w:p>
    <w:p w:rsidR="00DB7CC8" w:rsidRDefault="002B5250">
      <w:pPr>
        <w:ind w:firstLine="480"/>
        <w:rPr>
          <w:sz w:val="24"/>
          <w:szCs w:val="24"/>
        </w:rPr>
      </w:pPr>
      <w:r>
        <w:rPr>
          <w:sz w:val="24"/>
          <w:szCs w:val="24"/>
        </w:rPr>
        <w:t>根据工程分析结果，本项目排放的主要废气污染物为颗粒物，计算各污染源污染因子最大地面浓度占质量标准值的比率</w:t>
      </w:r>
      <w:r>
        <w:rPr>
          <w:sz w:val="24"/>
          <w:szCs w:val="24"/>
        </w:rPr>
        <w:t>P</w:t>
      </w:r>
      <w:r>
        <w:rPr>
          <w:sz w:val="24"/>
          <w:szCs w:val="24"/>
          <w:vertAlign w:val="subscript"/>
        </w:rPr>
        <w:t>i</w:t>
      </w:r>
      <w:r>
        <w:rPr>
          <w:sz w:val="24"/>
          <w:szCs w:val="24"/>
        </w:rPr>
        <w:t>。</w:t>
      </w:r>
    </w:p>
    <w:p w:rsidR="00DB7CC8" w:rsidRDefault="002B5250">
      <w:pPr>
        <w:ind w:firstLine="480"/>
        <w:rPr>
          <w:sz w:val="24"/>
          <w:szCs w:val="24"/>
        </w:rPr>
      </w:pPr>
      <w:r>
        <w:rPr>
          <w:sz w:val="24"/>
          <w:szCs w:val="24"/>
        </w:rPr>
        <w:t>按估算模式进行预测，主要相关参数见</w:t>
      </w:r>
      <w:r>
        <w:rPr>
          <w:rFonts w:hint="eastAsia"/>
          <w:sz w:val="24"/>
          <w:szCs w:val="24"/>
        </w:rPr>
        <w:t>表</w:t>
      </w:r>
      <w:r>
        <w:rPr>
          <w:rFonts w:hint="eastAsia"/>
          <w:sz w:val="24"/>
          <w:szCs w:val="24"/>
        </w:rPr>
        <w:t>2.4-1</w:t>
      </w:r>
      <w:r>
        <w:rPr>
          <w:sz w:val="24"/>
          <w:szCs w:val="24"/>
        </w:rPr>
        <w:t>。</w:t>
      </w:r>
    </w:p>
    <w:p w:rsidR="00DB7CC8" w:rsidRDefault="002B5250">
      <w:pPr>
        <w:spacing w:line="240" w:lineRule="auto"/>
        <w:ind w:firstLineChars="0" w:firstLine="0"/>
        <w:jc w:val="center"/>
        <w:textAlignment w:val="auto"/>
        <w:rPr>
          <w:rFonts w:eastAsia="黑体"/>
          <w:kern w:val="2"/>
          <w:sz w:val="21"/>
          <w:szCs w:val="21"/>
        </w:rPr>
      </w:pPr>
      <w:bookmarkStart w:id="102" w:name="_Ref6754032"/>
      <w:r>
        <w:rPr>
          <w:rFonts w:eastAsia="黑体"/>
          <w:kern w:val="2"/>
          <w:sz w:val="21"/>
          <w:szCs w:val="21"/>
        </w:rPr>
        <w:t>表</w:t>
      </w:r>
      <w:r>
        <w:rPr>
          <w:rFonts w:eastAsia="黑体" w:hint="eastAsia"/>
          <w:kern w:val="2"/>
          <w:sz w:val="21"/>
          <w:szCs w:val="21"/>
        </w:rPr>
        <w:t>2.4-1</w:t>
      </w:r>
      <w:bookmarkEnd w:id="102"/>
      <w:r>
        <w:rPr>
          <w:rFonts w:eastAsia="黑体"/>
          <w:kern w:val="2"/>
          <w:sz w:val="21"/>
          <w:szCs w:val="21"/>
        </w:rPr>
        <w:t xml:space="preserve">   </w:t>
      </w:r>
      <w:r>
        <w:rPr>
          <w:rFonts w:eastAsia="黑体"/>
          <w:kern w:val="2"/>
          <w:sz w:val="21"/>
          <w:szCs w:val="21"/>
        </w:rPr>
        <w:t>大气估算模式的相</w:t>
      </w:r>
      <w:r>
        <w:rPr>
          <w:rFonts w:eastAsia="黑体"/>
          <w:kern w:val="2"/>
          <w:sz w:val="21"/>
          <w:szCs w:val="21"/>
        </w:rPr>
        <w:t>关参数表</w:t>
      </w:r>
    </w:p>
    <w:tbl>
      <w:tblPr>
        <w:tblW w:w="8316" w:type="dxa"/>
        <w:tblInd w:w="-5"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301"/>
        <w:gridCol w:w="3077"/>
        <w:gridCol w:w="2938"/>
      </w:tblGrid>
      <w:tr w:rsidR="00DB7CC8">
        <w:trPr>
          <w:trHeight w:val="397"/>
        </w:trPr>
        <w:tc>
          <w:tcPr>
            <w:tcW w:w="5378" w:type="dxa"/>
            <w:gridSpan w:val="2"/>
            <w:vAlign w:val="center"/>
          </w:tcPr>
          <w:p w:rsidR="00DB7CC8" w:rsidRDefault="002B5250">
            <w:pPr>
              <w:pStyle w:val="afffffffc"/>
              <w:spacing w:line="240" w:lineRule="auto"/>
            </w:pPr>
            <w:r>
              <w:t>参数</w:t>
            </w:r>
          </w:p>
        </w:tc>
        <w:tc>
          <w:tcPr>
            <w:tcW w:w="2938" w:type="dxa"/>
            <w:vAlign w:val="center"/>
          </w:tcPr>
          <w:p w:rsidR="00DB7CC8" w:rsidRDefault="002B5250">
            <w:pPr>
              <w:pStyle w:val="afffffffc"/>
              <w:spacing w:line="240" w:lineRule="auto"/>
            </w:pPr>
            <w:r>
              <w:t>取值</w:t>
            </w:r>
          </w:p>
        </w:tc>
      </w:tr>
      <w:tr w:rsidR="00DB7CC8">
        <w:trPr>
          <w:trHeight w:val="397"/>
        </w:trPr>
        <w:tc>
          <w:tcPr>
            <w:tcW w:w="2301" w:type="dxa"/>
            <w:vMerge w:val="restart"/>
            <w:vAlign w:val="center"/>
          </w:tcPr>
          <w:p w:rsidR="00DB7CC8" w:rsidRDefault="002B5250">
            <w:pPr>
              <w:pStyle w:val="afffffffc"/>
              <w:spacing w:line="240" w:lineRule="auto"/>
            </w:pPr>
            <w:r>
              <w:t>城市</w:t>
            </w:r>
            <w:r>
              <w:t>/</w:t>
            </w:r>
            <w:r>
              <w:t>农村选项</w:t>
            </w:r>
          </w:p>
        </w:tc>
        <w:tc>
          <w:tcPr>
            <w:tcW w:w="3077" w:type="dxa"/>
            <w:vAlign w:val="center"/>
          </w:tcPr>
          <w:p w:rsidR="00DB7CC8" w:rsidRDefault="002B5250">
            <w:pPr>
              <w:pStyle w:val="afffffffc"/>
              <w:spacing w:line="240" w:lineRule="auto"/>
            </w:pPr>
            <w:r>
              <w:t>城市</w:t>
            </w:r>
            <w:r>
              <w:t>/</w:t>
            </w:r>
            <w:r>
              <w:t>农村</w:t>
            </w:r>
          </w:p>
        </w:tc>
        <w:tc>
          <w:tcPr>
            <w:tcW w:w="2938" w:type="dxa"/>
            <w:vAlign w:val="center"/>
          </w:tcPr>
          <w:p w:rsidR="00DB7CC8" w:rsidRDefault="002B5250">
            <w:pPr>
              <w:pStyle w:val="afffffffc"/>
              <w:spacing w:line="240" w:lineRule="auto"/>
            </w:pPr>
            <w:r>
              <w:t>农村</w:t>
            </w:r>
          </w:p>
        </w:tc>
      </w:tr>
      <w:tr w:rsidR="00DB7CC8">
        <w:trPr>
          <w:trHeight w:val="397"/>
        </w:trPr>
        <w:tc>
          <w:tcPr>
            <w:tcW w:w="2301" w:type="dxa"/>
            <w:vMerge/>
            <w:vAlign w:val="center"/>
          </w:tcPr>
          <w:p w:rsidR="00DB7CC8" w:rsidRDefault="00DB7CC8">
            <w:pPr>
              <w:pStyle w:val="afffffffc"/>
              <w:spacing w:line="240" w:lineRule="auto"/>
            </w:pPr>
          </w:p>
        </w:tc>
        <w:tc>
          <w:tcPr>
            <w:tcW w:w="3077" w:type="dxa"/>
            <w:vAlign w:val="center"/>
          </w:tcPr>
          <w:p w:rsidR="00DB7CC8" w:rsidRDefault="002B5250">
            <w:pPr>
              <w:pStyle w:val="afffffffc"/>
              <w:spacing w:line="240" w:lineRule="auto"/>
            </w:pPr>
            <w:r>
              <w:t>人口数（城市选项时）</w:t>
            </w:r>
          </w:p>
        </w:tc>
        <w:tc>
          <w:tcPr>
            <w:tcW w:w="2938" w:type="dxa"/>
            <w:vAlign w:val="center"/>
          </w:tcPr>
          <w:p w:rsidR="00DB7CC8" w:rsidRDefault="002B5250">
            <w:pPr>
              <w:pStyle w:val="afffffffc"/>
              <w:spacing w:line="240" w:lineRule="auto"/>
            </w:pPr>
            <w:r>
              <w:t>0</w:t>
            </w:r>
          </w:p>
        </w:tc>
      </w:tr>
      <w:tr w:rsidR="00DB7CC8">
        <w:trPr>
          <w:trHeight w:val="397"/>
        </w:trPr>
        <w:tc>
          <w:tcPr>
            <w:tcW w:w="5378" w:type="dxa"/>
            <w:gridSpan w:val="2"/>
            <w:vAlign w:val="center"/>
          </w:tcPr>
          <w:p w:rsidR="00DB7CC8" w:rsidRDefault="002B5250">
            <w:pPr>
              <w:pStyle w:val="afffffffc"/>
              <w:spacing w:line="240" w:lineRule="auto"/>
            </w:pPr>
            <w:r>
              <w:t>最高环境温度</w:t>
            </w:r>
            <w:r>
              <w:t>/℃</w:t>
            </w:r>
          </w:p>
        </w:tc>
        <w:tc>
          <w:tcPr>
            <w:tcW w:w="2938" w:type="dxa"/>
            <w:vAlign w:val="center"/>
          </w:tcPr>
          <w:p w:rsidR="00DB7CC8" w:rsidRDefault="002B5250">
            <w:pPr>
              <w:pStyle w:val="afffffffc"/>
              <w:spacing w:line="240" w:lineRule="auto"/>
            </w:pPr>
            <w:r>
              <w:t>40.5</w:t>
            </w:r>
          </w:p>
        </w:tc>
      </w:tr>
      <w:tr w:rsidR="00DB7CC8">
        <w:trPr>
          <w:trHeight w:val="397"/>
        </w:trPr>
        <w:tc>
          <w:tcPr>
            <w:tcW w:w="5378" w:type="dxa"/>
            <w:gridSpan w:val="2"/>
            <w:vAlign w:val="center"/>
          </w:tcPr>
          <w:p w:rsidR="00DB7CC8" w:rsidRDefault="002B5250">
            <w:pPr>
              <w:pStyle w:val="afffffffc"/>
              <w:spacing w:line="240" w:lineRule="auto"/>
            </w:pPr>
            <w:r>
              <w:t>最低环境温度</w:t>
            </w:r>
            <w:r>
              <w:t>/℃</w:t>
            </w:r>
          </w:p>
        </w:tc>
        <w:tc>
          <w:tcPr>
            <w:tcW w:w="2938" w:type="dxa"/>
            <w:vAlign w:val="center"/>
          </w:tcPr>
          <w:p w:rsidR="00DB7CC8" w:rsidRDefault="002B5250">
            <w:pPr>
              <w:pStyle w:val="afffffffc"/>
              <w:spacing w:line="240" w:lineRule="auto"/>
            </w:pPr>
            <w:r>
              <w:t>-25.7</w:t>
            </w:r>
          </w:p>
        </w:tc>
      </w:tr>
      <w:tr w:rsidR="00DB7CC8">
        <w:trPr>
          <w:trHeight w:val="397"/>
        </w:trPr>
        <w:tc>
          <w:tcPr>
            <w:tcW w:w="5378" w:type="dxa"/>
            <w:gridSpan w:val="2"/>
            <w:vAlign w:val="center"/>
          </w:tcPr>
          <w:p w:rsidR="00DB7CC8" w:rsidRDefault="002B5250">
            <w:pPr>
              <w:pStyle w:val="afffffffc"/>
              <w:spacing w:line="240" w:lineRule="auto"/>
            </w:pPr>
            <w:r>
              <w:t>土地利用类型</w:t>
            </w:r>
          </w:p>
        </w:tc>
        <w:tc>
          <w:tcPr>
            <w:tcW w:w="2938" w:type="dxa"/>
            <w:vAlign w:val="center"/>
          </w:tcPr>
          <w:p w:rsidR="00DB7CC8" w:rsidRDefault="002B5250">
            <w:pPr>
              <w:pStyle w:val="afffffffc"/>
              <w:spacing w:line="240" w:lineRule="auto"/>
            </w:pPr>
            <w:r>
              <w:t>耕地</w:t>
            </w:r>
          </w:p>
        </w:tc>
      </w:tr>
      <w:tr w:rsidR="00DB7CC8">
        <w:trPr>
          <w:trHeight w:val="397"/>
        </w:trPr>
        <w:tc>
          <w:tcPr>
            <w:tcW w:w="5378" w:type="dxa"/>
            <w:gridSpan w:val="2"/>
            <w:vAlign w:val="center"/>
          </w:tcPr>
          <w:p w:rsidR="00DB7CC8" w:rsidRDefault="002B5250">
            <w:pPr>
              <w:pStyle w:val="afffffffc"/>
              <w:spacing w:line="240" w:lineRule="auto"/>
            </w:pPr>
            <w:r>
              <w:t>区域湿度条件</w:t>
            </w:r>
          </w:p>
        </w:tc>
        <w:tc>
          <w:tcPr>
            <w:tcW w:w="2938" w:type="dxa"/>
            <w:vAlign w:val="center"/>
          </w:tcPr>
          <w:p w:rsidR="00DB7CC8" w:rsidRDefault="002B5250">
            <w:pPr>
              <w:pStyle w:val="afffffffc"/>
              <w:spacing w:line="240" w:lineRule="auto"/>
            </w:pPr>
            <w:r>
              <w:t>中等湿度</w:t>
            </w:r>
          </w:p>
        </w:tc>
      </w:tr>
      <w:tr w:rsidR="00DB7CC8">
        <w:trPr>
          <w:trHeight w:val="397"/>
        </w:trPr>
        <w:tc>
          <w:tcPr>
            <w:tcW w:w="2301" w:type="dxa"/>
            <w:vMerge w:val="restart"/>
            <w:vAlign w:val="center"/>
          </w:tcPr>
          <w:p w:rsidR="00DB7CC8" w:rsidRDefault="002B5250">
            <w:pPr>
              <w:pStyle w:val="afffffffc"/>
              <w:spacing w:line="240" w:lineRule="auto"/>
            </w:pPr>
            <w:r>
              <w:t>是否考虑地形</w:t>
            </w:r>
          </w:p>
        </w:tc>
        <w:tc>
          <w:tcPr>
            <w:tcW w:w="3077" w:type="dxa"/>
            <w:vAlign w:val="center"/>
          </w:tcPr>
          <w:p w:rsidR="00DB7CC8" w:rsidRDefault="002B5250">
            <w:pPr>
              <w:pStyle w:val="afffffffc"/>
              <w:spacing w:line="240" w:lineRule="auto"/>
            </w:pPr>
            <w:r>
              <w:t>考虑地形</w:t>
            </w:r>
          </w:p>
        </w:tc>
        <w:tc>
          <w:tcPr>
            <w:tcW w:w="2938" w:type="dxa"/>
            <w:vAlign w:val="center"/>
          </w:tcPr>
          <w:p w:rsidR="00DB7CC8" w:rsidRDefault="002B5250">
            <w:pPr>
              <w:pStyle w:val="afffffffc"/>
              <w:spacing w:line="240" w:lineRule="auto"/>
            </w:pPr>
            <w:r>
              <w:t>是</w:t>
            </w:r>
          </w:p>
        </w:tc>
      </w:tr>
      <w:tr w:rsidR="00DB7CC8">
        <w:trPr>
          <w:trHeight w:val="397"/>
        </w:trPr>
        <w:tc>
          <w:tcPr>
            <w:tcW w:w="2301" w:type="dxa"/>
            <w:vMerge/>
            <w:vAlign w:val="center"/>
          </w:tcPr>
          <w:p w:rsidR="00DB7CC8" w:rsidRDefault="00DB7CC8">
            <w:pPr>
              <w:pStyle w:val="afffffffc"/>
              <w:spacing w:line="240" w:lineRule="auto"/>
            </w:pPr>
          </w:p>
        </w:tc>
        <w:tc>
          <w:tcPr>
            <w:tcW w:w="3077" w:type="dxa"/>
            <w:vAlign w:val="center"/>
          </w:tcPr>
          <w:p w:rsidR="00DB7CC8" w:rsidRDefault="002B5250">
            <w:pPr>
              <w:pStyle w:val="afffffffc"/>
              <w:spacing w:line="240" w:lineRule="auto"/>
            </w:pPr>
            <w:r>
              <w:t>地形数据分辨率</w:t>
            </w:r>
            <w:r>
              <w:t>/m</w:t>
            </w:r>
          </w:p>
        </w:tc>
        <w:tc>
          <w:tcPr>
            <w:tcW w:w="2938" w:type="dxa"/>
            <w:vAlign w:val="center"/>
          </w:tcPr>
          <w:p w:rsidR="00DB7CC8" w:rsidRDefault="002B5250">
            <w:pPr>
              <w:pStyle w:val="afffffffc"/>
              <w:spacing w:line="240" w:lineRule="auto"/>
            </w:pPr>
            <w:r>
              <w:t>90</w:t>
            </w:r>
          </w:p>
        </w:tc>
      </w:tr>
      <w:tr w:rsidR="00DB7CC8">
        <w:trPr>
          <w:trHeight w:val="397"/>
        </w:trPr>
        <w:tc>
          <w:tcPr>
            <w:tcW w:w="2301" w:type="dxa"/>
            <w:vMerge w:val="restart"/>
            <w:vAlign w:val="center"/>
          </w:tcPr>
          <w:p w:rsidR="00DB7CC8" w:rsidRDefault="002B5250">
            <w:pPr>
              <w:pStyle w:val="afffffffc"/>
              <w:spacing w:line="240" w:lineRule="auto"/>
            </w:pPr>
            <w:r>
              <w:t>是否考虑岸线熏烟</w:t>
            </w:r>
          </w:p>
        </w:tc>
        <w:tc>
          <w:tcPr>
            <w:tcW w:w="3077" w:type="dxa"/>
            <w:vAlign w:val="center"/>
          </w:tcPr>
          <w:p w:rsidR="00DB7CC8" w:rsidRDefault="002B5250">
            <w:pPr>
              <w:pStyle w:val="afffffffc"/>
              <w:spacing w:line="240" w:lineRule="auto"/>
            </w:pPr>
            <w:r>
              <w:t>考虑岸线熏烟</w:t>
            </w:r>
          </w:p>
        </w:tc>
        <w:tc>
          <w:tcPr>
            <w:tcW w:w="2938" w:type="dxa"/>
            <w:vAlign w:val="center"/>
          </w:tcPr>
          <w:p w:rsidR="00DB7CC8" w:rsidRDefault="002B5250">
            <w:pPr>
              <w:pStyle w:val="afffffffc"/>
              <w:spacing w:line="240" w:lineRule="auto"/>
            </w:pPr>
            <w:r>
              <w:t>否</w:t>
            </w:r>
          </w:p>
        </w:tc>
      </w:tr>
      <w:tr w:rsidR="00DB7CC8">
        <w:trPr>
          <w:trHeight w:val="397"/>
        </w:trPr>
        <w:tc>
          <w:tcPr>
            <w:tcW w:w="2301" w:type="dxa"/>
            <w:vMerge/>
            <w:vAlign w:val="center"/>
          </w:tcPr>
          <w:p w:rsidR="00DB7CC8" w:rsidRDefault="00DB7CC8">
            <w:pPr>
              <w:pStyle w:val="afffffffc"/>
              <w:spacing w:line="240" w:lineRule="auto"/>
            </w:pPr>
          </w:p>
        </w:tc>
        <w:tc>
          <w:tcPr>
            <w:tcW w:w="3077" w:type="dxa"/>
            <w:vAlign w:val="center"/>
          </w:tcPr>
          <w:p w:rsidR="00DB7CC8" w:rsidRDefault="002B5250">
            <w:pPr>
              <w:pStyle w:val="afffffffc"/>
              <w:spacing w:line="240" w:lineRule="auto"/>
            </w:pPr>
            <w:r>
              <w:t>岸线距离</w:t>
            </w:r>
            <w:r>
              <w:t>/km</w:t>
            </w:r>
          </w:p>
        </w:tc>
        <w:tc>
          <w:tcPr>
            <w:tcW w:w="2938" w:type="dxa"/>
            <w:vAlign w:val="center"/>
          </w:tcPr>
          <w:p w:rsidR="00DB7CC8" w:rsidRDefault="002B5250">
            <w:pPr>
              <w:pStyle w:val="afffffffc"/>
              <w:spacing w:line="240" w:lineRule="auto"/>
            </w:pPr>
            <w:r>
              <w:t>---</w:t>
            </w:r>
          </w:p>
        </w:tc>
      </w:tr>
      <w:tr w:rsidR="00DB7CC8">
        <w:trPr>
          <w:trHeight w:val="397"/>
        </w:trPr>
        <w:tc>
          <w:tcPr>
            <w:tcW w:w="2301" w:type="dxa"/>
            <w:vMerge/>
            <w:vAlign w:val="center"/>
          </w:tcPr>
          <w:p w:rsidR="00DB7CC8" w:rsidRDefault="00DB7CC8">
            <w:pPr>
              <w:pStyle w:val="afffffffc"/>
              <w:spacing w:line="240" w:lineRule="auto"/>
            </w:pPr>
          </w:p>
        </w:tc>
        <w:tc>
          <w:tcPr>
            <w:tcW w:w="3077" w:type="dxa"/>
            <w:vAlign w:val="center"/>
          </w:tcPr>
          <w:p w:rsidR="00DB7CC8" w:rsidRDefault="002B5250">
            <w:pPr>
              <w:pStyle w:val="afffffffc"/>
              <w:spacing w:line="240" w:lineRule="auto"/>
            </w:pPr>
            <w:r>
              <w:t>岸线方向</w:t>
            </w:r>
            <w:r>
              <w:t>/°</w:t>
            </w:r>
          </w:p>
        </w:tc>
        <w:tc>
          <w:tcPr>
            <w:tcW w:w="2938" w:type="dxa"/>
            <w:vAlign w:val="center"/>
          </w:tcPr>
          <w:p w:rsidR="00DB7CC8" w:rsidRDefault="002B5250">
            <w:pPr>
              <w:pStyle w:val="afffffffc"/>
              <w:spacing w:line="240" w:lineRule="auto"/>
            </w:pPr>
            <w:r>
              <w:t>---</w:t>
            </w:r>
          </w:p>
        </w:tc>
      </w:tr>
    </w:tbl>
    <w:p w:rsidR="00DB7CC8" w:rsidRDefault="002B5250">
      <w:pPr>
        <w:ind w:firstLine="480"/>
        <w:rPr>
          <w:sz w:val="24"/>
          <w:szCs w:val="24"/>
        </w:rPr>
      </w:pPr>
      <w:r>
        <w:rPr>
          <w:sz w:val="24"/>
          <w:szCs w:val="24"/>
        </w:rPr>
        <w:t>本项目评价因子及评价标准表见</w:t>
      </w:r>
      <w:r>
        <w:rPr>
          <w:rFonts w:hint="eastAsia"/>
          <w:sz w:val="24"/>
          <w:szCs w:val="24"/>
        </w:rPr>
        <w:t>表</w:t>
      </w:r>
      <w:r>
        <w:rPr>
          <w:rFonts w:hint="eastAsia"/>
          <w:sz w:val="24"/>
          <w:szCs w:val="24"/>
        </w:rPr>
        <w:t>2.4-2</w:t>
      </w:r>
      <w:r>
        <w:rPr>
          <w:sz w:val="24"/>
          <w:szCs w:val="24"/>
        </w:rPr>
        <w:t>，主要废气污染源排放参数见</w:t>
      </w:r>
      <w:r>
        <w:rPr>
          <w:rFonts w:hint="eastAsia"/>
          <w:sz w:val="24"/>
          <w:szCs w:val="24"/>
        </w:rPr>
        <w:t>表</w:t>
      </w:r>
      <w:r>
        <w:rPr>
          <w:rFonts w:hint="eastAsia"/>
          <w:sz w:val="24"/>
          <w:szCs w:val="24"/>
        </w:rPr>
        <w:t>2</w:t>
      </w:r>
      <w:r>
        <w:rPr>
          <w:sz w:val="24"/>
          <w:szCs w:val="24"/>
        </w:rPr>
        <w:t>.4-3</w:t>
      </w:r>
      <w:r>
        <w:rPr>
          <w:sz w:val="24"/>
          <w:szCs w:val="24"/>
        </w:rPr>
        <w:t>、</w:t>
      </w:r>
      <w:r>
        <w:rPr>
          <w:rFonts w:hint="eastAsia"/>
          <w:sz w:val="24"/>
          <w:szCs w:val="24"/>
        </w:rPr>
        <w:t>表</w:t>
      </w:r>
      <w:r>
        <w:rPr>
          <w:rFonts w:hint="eastAsia"/>
          <w:sz w:val="24"/>
          <w:szCs w:val="24"/>
        </w:rPr>
        <w:t>2</w:t>
      </w:r>
      <w:r>
        <w:rPr>
          <w:sz w:val="24"/>
          <w:szCs w:val="24"/>
        </w:rPr>
        <w:t>.4-4</w:t>
      </w:r>
      <w:r>
        <w:rPr>
          <w:sz w:val="24"/>
          <w:szCs w:val="24"/>
        </w:rPr>
        <w:t>。</w:t>
      </w:r>
    </w:p>
    <w:p w:rsidR="00DB7CC8" w:rsidRDefault="002B5250">
      <w:pPr>
        <w:spacing w:line="240" w:lineRule="auto"/>
        <w:ind w:firstLineChars="0" w:firstLine="0"/>
        <w:jc w:val="center"/>
        <w:textAlignment w:val="auto"/>
        <w:rPr>
          <w:rFonts w:eastAsia="黑体"/>
          <w:kern w:val="2"/>
          <w:sz w:val="21"/>
          <w:szCs w:val="21"/>
        </w:rPr>
      </w:pPr>
      <w:bookmarkStart w:id="103" w:name="_Ref8598476"/>
      <w:r>
        <w:rPr>
          <w:rFonts w:eastAsia="黑体" w:hint="eastAsia"/>
          <w:kern w:val="2"/>
          <w:sz w:val="21"/>
          <w:szCs w:val="21"/>
        </w:rPr>
        <w:t>表</w:t>
      </w:r>
      <w:r>
        <w:rPr>
          <w:rFonts w:eastAsia="黑体" w:hint="eastAsia"/>
          <w:kern w:val="2"/>
          <w:sz w:val="21"/>
          <w:szCs w:val="21"/>
        </w:rPr>
        <w:t>2.4-2</w:t>
      </w:r>
      <w:bookmarkEnd w:id="103"/>
      <w:r>
        <w:rPr>
          <w:rFonts w:eastAsia="黑体"/>
          <w:kern w:val="2"/>
          <w:sz w:val="21"/>
          <w:szCs w:val="21"/>
        </w:rPr>
        <w:t xml:space="preserve">  </w:t>
      </w:r>
      <w:r>
        <w:rPr>
          <w:rFonts w:eastAsia="黑体"/>
          <w:kern w:val="2"/>
          <w:sz w:val="21"/>
          <w:szCs w:val="21"/>
        </w:rPr>
        <w:t>评价因子和评价标准表</w:t>
      </w:r>
    </w:p>
    <w:tbl>
      <w:tblPr>
        <w:tblW w:w="8522"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655"/>
        <w:gridCol w:w="2153"/>
        <w:gridCol w:w="2234"/>
        <w:gridCol w:w="2480"/>
      </w:tblGrid>
      <w:tr w:rsidR="00DB7CC8">
        <w:trPr>
          <w:trHeight w:val="340"/>
          <w:jc w:val="center"/>
        </w:trPr>
        <w:tc>
          <w:tcPr>
            <w:tcW w:w="1655" w:type="dxa"/>
            <w:vAlign w:val="center"/>
          </w:tcPr>
          <w:p w:rsidR="00DB7CC8" w:rsidRDefault="002B5250">
            <w:pPr>
              <w:pStyle w:val="afffffffc"/>
              <w:spacing w:line="240" w:lineRule="auto"/>
            </w:pPr>
            <w:r>
              <w:t>评价因子</w:t>
            </w:r>
          </w:p>
        </w:tc>
        <w:tc>
          <w:tcPr>
            <w:tcW w:w="2153" w:type="dxa"/>
            <w:vAlign w:val="center"/>
          </w:tcPr>
          <w:p w:rsidR="00DB7CC8" w:rsidRDefault="002B5250">
            <w:pPr>
              <w:pStyle w:val="afffffffc"/>
              <w:spacing w:line="240" w:lineRule="auto"/>
            </w:pPr>
            <w:r>
              <w:t>取值时间</w:t>
            </w:r>
          </w:p>
        </w:tc>
        <w:tc>
          <w:tcPr>
            <w:tcW w:w="2234" w:type="dxa"/>
            <w:vAlign w:val="center"/>
          </w:tcPr>
          <w:p w:rsidR="00DB7CC8" w:rsidRDefault="002B5250">
            <w:pPr>
              <w:pStyle w:val="afffffffc"/>
              <w:spacing w:line="240" w:lineRule="auto"/>
            </w:pPr>
            <w:r>
              <w:t>标准值</w:t>
            </w:r>
          </w:p>
          <w:p w:rsidR="00DB7CC8" w:rsidRDefault="002B5250">
            <w:pPr>
              <w:pStyle w:val="afffffffc"/>
              <w:spacing w:line="240" w:lineRule="auto"/>
            </w:pPr>
            <w:r>
              <w:t>(μg/m³)</w:t>
            </w:r>
          </w:p>
        </w:tc>
        <w:tc>
          <w:tcPr>
            <w:tcW w:w="2480" w:type="dxa"/>
            <w:vAlign w:val="center"/>
          </w:tcPr>
          <w:p w:rsidR="00DB7CC8" w:rsidRDefault="002B5250">
            <w:pPr>
              <w:pStyle w:val="afffffffc"/>
            </w:pPr>
            <w:r>
              <w:t>标准来源</w:t>
            </w:r>
          </w:p>
        </w:tc>
      </w:tr>
      <w:tr w:rsidR="00DB7CC8">
        <w:trPr>
          <w:trHeight w:val="340"/>
          <w:jc w:val="center"/>
        </w:trPr>
        <w:tc>
          <w:tcPr>
            <w:tcW w:w="1655" w:type="dxa"/>
            <w:vMerge w:val="restart"/>
            <w:vAlign w:val="center"/>
          </w:tcPr>
          <w:p w:rsidR="00DB7CC8" w:rsidRDefault="002B5250">
            <w:pPr>
              <w:pStyle w:val="afffffffc"/>
              <w:spacing w:line="240" w:lineRule="auto"/>
            </w:pPr>
            <w:r>
              <w:t>PM</w:t>
            </w:r>
            <w:r>
              <w:rPr>
                <w:rFonts w:hint="eastAsia"/>
                <w:vertAlign w:val="subscript"/>
              </w:rPr>
              <w:t>2.5</w:t>
            </w:r>
          </w:p>
        </w:tc>
        <w:tc>
          <w:tcPr>
            <w:tcW w:w="2153" w:type="dxa"/>
            <w:vAlign w:val="center"/>
          </w:tcPr>
          <w:p w:rsidR="00DB7CC8" w:rsidRDefault="002B5250">
            <w:pPr>
              <w:pStyle w:val="afffffffc"/>
              <w:spacing w:line="240" w:lineRule="auto"/>
            </w:pPr>
            <w:r>
              <w:t>日均</w:t>
            </w:r>
          </w:p>
        </w:tc>
        <w:tc>
          <w:tcPr>
            <w:tcW w:w="2234" w:type="dxa"/>
            <w:vAlign w:val="center"/>
          </w:tcPr>
          <w:p w:rsidR="00DB7CC8" w:rsidRDefault="002B5250">
            <w:pPr>
              <w:pStyle w:val="afffffffc"/>
              <w:spacing w:line="240" w:lineRule="auto"/>
            </w:pPr>
            <w:r>
              <w:rPr>
                <w:rFonts w:hint="eastAsia"/>
              </w:rPr>
              <w:t>75.0</w:t>
            </w:r>
          </w:p>
        </w:tc>
        <w:tc>
          <w:tcPr>
            <w:tcW w:w="2480" w:type="dxa"/>
            <w:vMerge w:val="restart"/>
            <w:vAlign w:val="center"/>
          </w:tcPr>
          <w:p w:rsidR="00DB7CC8" w:rsidRDefault="002B5250">
            <w:pPr>
              <w:pStyle w:val="afffffffc"/>
            </w:pPr>
            <w:r>
              <w:t>GB 3095-2012</w:t>
            </w:r>
          </w:p>
        </w:tc>
      </w:tr>
      <w:tr w:rsidR="00DB7CC8">
        <w:trPr>
          <w:trHeight w:val="340"/>
          <w:jc w:val="center"/>
        </w:trPr>
        <w:tc>
          <w:tcPr>
            <w:tcW w:w="1655" w:type="dxa"/>
            <w:vMerge/>
            <w:tcBorders>
              <w:bottom w:val="single" w:sz="4" w:space="0" w:color="auto"/>
            </w:tcBorders>
            <w:vAlign w:val="center"/>
          </w:tcPr>
          <w:p w:rsidR="00DB7CC8" w:rsidRDefault="00DB7CC8">
            <w:pPr>
              <w:pStyle w:val="afffffffc"/>
              <w:spacing w:line="240" w:lineRule="auto"/>
            </w:pPr>
          </w:p>
        </w:tc>
        <w:tc>
          <w:tcPr>
            <w:tcW w:w="2153" w:type="dxa"/>
            <w:vAlign w:val="center"/>
          </w:tcPr>
          <w:p w:rsidR="00DB7CC8" w:rsidRDefault="002B5250">
            <w:pPr>
              <w:pStyle w:val="afffffffc"/>
              <w:spacing w:line="240" w:lineRule="auto"/>
            </w:pPr>
            <w:r>
              <w:t>1h</w:t>
            </w:r>
            <w:r>
              <w:t>平均</w:t>
            </w:r>
          </w:p>
        </w:tc>
        <w:tc>
          <w:tcPr>
            <w:tcW w:w="2234" w:type="dxa"/>
            <w:vAlign w:val="center"/>
          </w:tcPr>
          <w:p w:rsidR="00DB7CC8" w:rsidRDefault="002B5250">
            <w:pPr>
              <w:pStyle w:val="afffffffc"/>
              <w:spacing w:line="240" w:lineRule="auto"/>
            </w:pPr>
            <w:r>
              <w:rPr>
                <w:rFonts w:hint="eastAsia"/>
              </w:rPr>
              <w:t>225.0</w:t>
            </w:r>
          </w:p>
        </w:tc>
        <w:tc>
          <w:tcPr>
            <w:tcW w:w="2480" w:type="dxa"/>
            <w:vMerge/>
            <w:vAlign w:val="center"/>
          </w:tcPr>
          <w:p w:rsidR="00DB7CC8" w:rsidRDefault="00DB7CC8">
            <w:pPr>
              <w:pStyle w:val="afffffffc"/>
            </w:pPr>
          </w:p>
        </w:tc>
      </w:tr>
      <w:tr w:rsidR="00DB7CC8">
        <w:trPr>
          <w:trHeight w:val="340"/>
          <w:jc w:val="center"/>
        </w:trPr>
        <w:tc>
          <w:tcPr>
            <w:tcW w:w="1655" w:type="dxa"/>
            <w:vMerge w:val="restart"/>
            <w:tcBorders>
              <w:top w:val="single" w:sz="4" w:space="0" w:color="auto"/>
            </w:tcBorders>
            <w:vAlign w:val="center"/>
          </w:tcPr>
          <w:p w:rsidR="00DB7CC8" w:rsidRDefault="002B5250">
            <w:pPr>
              <w:pStyle w:val="afffffffc"/>
              <w:spacing w:line="240" w:lineRule="auto"/>
            </w:pPr>
            <w:r>
              <w:t>PM</w:t>
            </w:r>
            <w:r>
              <w:rPr>
                <w:vertAlign w:val="subscript"/>
              </w:rPr>
              <w:t>10</w:t>
            </w:r>
          </w:p>
        </w:tc>
        <w:tc>
          <w:tcPr>
            <w:tcW w:w="2153" w:type="dxa"/>
            <w:vAlign w:val="center"/>
          </w:tcPr>
          <w:p w:rsidR="00DB7CC8" w:rsidRDefault="002B5250">
            <w:pPr>
              <w:pStyle w:val="afffffffc"/>
              <w:spacing w:line="240" w:lineRule="auto"/>
            </w:pPr>
            <w:r>
              <w:t>日均</w:t>
            </w:r>
          </w:p>
        </w:tc>
        <w:tc>
          <w:tcPr>
            <w:tcW w:w="2234" w:type="dxa"/>
            <w:vAlign w:val="center"/>
          </w:tcPr>
          <w:p w:rsidR="00DB7CC8" w:rsidRDefault="002B5250">
            <w:pPr>
              <w:pStyle w:val="afffffffc"/>
              <w:spacing w:line="240" w:lineRule="auto"/>
            </w:pPr>
            <w:r>
              <w:t>150.0</w:t>
            </w:r>
          </w:p>
        </w:tc>
        <w:tc>
          <w:tcPr>
            <w:tcW w:w="2480" w:type="dxa"/>
            <w:vMerge/>
            <w:vAlign w:val="center"/>
          </w:tcPr>
          <w:p w:rsidR="00DB7CC8" w:rsidRDefault="00DB7CC8">
            <w:pPr>
              <w:pStyle w:val="afffffffc"/>
            </w:pPr>
          </w:p>
        </w:tc>
      </w:tr>
      <w:tr w:rsidR="00DB7CC8">
        <w:trPr>
          <w:trHeight w:val="340"/>
          <w:jc w:val="center"/>
        </w:trPr>
        <w:tc>
          <w:tcPr>
            <w:tcW w:w="1655" w:type="dxa"/>
            <w:vMerge/>
            <w:vAlign w:val="center"/>
          </w:tcPr>
          <w:p w:rsidR="00DB7CC8" w:rsidRDefault="00DB7CC8">
            <w:pPr>
              <w:pStyle w:val="afffffffc"/>
              <w:spacing w:line="240" w:lineRule="auto"/>
            </w:pPr>
          </w:p>
        </w:tc>
        <w:tc>
          <w:tcPr>
            <w:tcW w:w="2153" w:type="dxa"/>
            <w:vAlign w:val="center"/>
          </w:tcPr>
          <w:p w:rsidR="00DB7CC8" w:rsidRDefault="002B5250">
            <w:pPr>
              <w:pStyle w:val="afffffffc"/>
              <w:spacing w:line="240" w:lineRule="auto"/>
            </w:pPr>
            <w:r>
              <w:t>1h</w:t>
            </w:r>
            <w:r>
              <w:t>平均</w:t>
            </w:r>
          </w:p>
        </w:tc>
        <w:tc>
          <w:tcPr>
            <w:tcW w:w="2234" w:type="dxa"/>
            <w:vAlign w:val="center"/>
          </w:tcPr>
          <w:p w:rsidR="00DB7CC8" w:rsidRDefault="002B5250">
            <w:pPr>
              <w:pStyle w:val="afffffffc"/>
              <w:spacing w:line="240" w:lineRule="auto"/>
            </w:pPr>
            <w:r>
              <w:t>450.0</w:t>
            </w:r>
          </w:p>
        </w:tc>
        <w:tc>
          <w:tcPr>
            <w:tcW w:w="2480" w:type="dxa"/>
            <w:vMerge/>
            <w:vAlign w:val="center"/>
          </w:tcPr>
          <w:p w:rsidR="00DB7CC8" w:rsidRDefault="00DB7CC8">
            <w:pPr>
              <w:pStyle w:val="afffffffc"/>
            </w:pPr>
          </w:p>
        </w:tc>
      </w:tr>
      <w:tr w:rsidR="00DB7CC8">
        <w:trPr>
          <w:trHeight w:val="340"/>
          <w:jc w:val="center"/>
        </w:trPr>
        <w:tc>
          <w:tcPr>
            <w:tcW w:w="1655" w:type="dxa"/>
            <w:vMerge w:val="restart"/>
            <w:vAlign w:val="center"/>
          </w:tcPr>
          <w:p w:rsidR="00DB7CC8" w:rsidRDefault="002B5250">
            <w:pPr>
              <w:pStyle w:val="afffffffc"/>
              <w:spacing w:line="240" w:lineRule="auto"/>
            </w:pPr>
            <w:r>
              <w:t>TSP</w:t>
            </w:r>
          </w:p>
        </w:tc>
        <w:tc>
          <w:tcPr>
            <w:tcW w:w="2153" w:type="dxa"/>
            <w:vAlign w:val="center"/>
          </w:tcPr>
          <w:p w:rsidR="00DB7CC8" w:rsidRDefault="002B5250">
            <w:pPr>
              <w:pStyle w:val="afffffffc"/>
              <w:spacing w:line="240" w:lineRule="auto"/>
            </w:pPr>
            <w:r>
              <w:t>日均</w:t>
            </w:r>
          </w:p>
        </w:tc>
        <w:tc>
          <w:tcPr>
            <w:tcW w:w="2234" w:type="dxa"/>
            <w:vAlign w:val="center"/>
          </w:tcPr>
          <w:p w:rsidR="00DB7CC8" w:rsidRDefault="002B5250">
            <w:pPr>
              <w:pStyle w:val="afffffffc"/>
              <w:spacing w:line="240" w:lineRule="auto"/>
            </w:pPr>
            <w:r>
              <w:t>300.0</w:t>
            </w:r>
          </w:p>
        </w:tc>
        <w:tc>
          <w:tcPr>
            <w:tcW w:w="2480" w:type="dxa"/>
            <w:vMerge/>
            <w:vAlign w:val="center"/>
          </w:tcPr>
          <w:p w:rsidR="00DB7CC8" w:rsidRDefault="00DB7CC8">
            <w:pPr>
              <w:pStyle w:val="afffffffc"/>
            </w:pPr>
          </w:p>
        </w:tc>
      </w:tr>
      <w:tr w:rsidR="00DB7CC8">
        <w:trPr>
          <w:trHeight w:val="340"/>
          <w:jc w:val="center"/>
        </w:trPr>
        <w:tc>
          <w:tcPr>
            <w:tcW w:w="1655" w:type="dxa"/>
            <w:vMerge/>
            <w:vAlign w:val="center"/>
          </w:tcPr>
          <w:p w:rsidR="00DB7CC8" w:rsidRDefault="00DB7CC8">
            <w:pPr>
              <w:pStyle w:val="afffffffc"/>
              <w:spacing w:line="240" w:lineRule="auto"/>
            </w:pPr>
          </w:p>
        </w:tc>
        <w:tc>
          <w:tcPr>
            <w:tcW w:w="2153" w:type="dxa"/>
            <w:vAlign w:val="center"/>
          </w:tcPr>
          <w:p w:rsidR="00DB7CC8" w:rsidRDefault="002B5250">
            <w:pPr>
              <w:pStyle w:val="afffffffc"/>
              <w:spacing w:line="240" w:lineRule="auto"/>
            </w:pPr>
            <w:r>
              <w:t>1h</w:t>
            </w:r>
            <w:r>
              <w:t>平均</w:t>
            </w:r>
          </w:p>
        </w:tc>
        <w:tc>
          <w:tcPr>
            <w:tcW w:w="2234" w:type="dxa"/>
            <w:vAlign w:val="center"/>
          </w:tcPr>
          <w:p w:rsidR="00DB7CC8" w:rsidRDefault="002B5250">
            <w:pPr>
              <w:pStyle w:val="afffffffc"/>
              <w:spacing w:line="240" w:lineRule="auto"/>
            </w:pPr>
            <w:r>
              <w:t>900.0</w:t>
            </w:r>
          </w:p>
        </w:tc>
        <w:tc>
          <w:tcPr>
            <w:tcW w:w="2480" w:type="dxa"/>
            <w:vMerge/>
            <w:vAlign w:val="center"/>
          </w:tcPr>
          <w:p w:rsidR="00DB7CC8" w:rsidRDefault="00DB7CC8">
            <w:pPr>
              <w:pStyle w:val="afffffffc"/>
            </w:pPr>
          </w:p>
        </w:tc>
      </w:tr>
    </w:tbl>
    <w:p w:rsidR="00DB7CC8" w:rsidRDefault="00DB7CC8">
      <w:pPr>
        <w:spacing w:line="240" w:lineRule="auto"/>
        <w:ind w:firstLineChars="0" w:firstLine="0"/>
        <w:jc w:val="both"/>
        <w:textAlignment w:val="auto"/>
        <w:rPr>
          <w:rFonts w:eastAsia="黑体"/>
          <w:kern w:val="2"/>
          <w:sz w:val="21"/>
          <w:szCs w:val="21"/>
        </w:rPr>
      </w:pPr>
    </w:p>
    <w:p w:rsidR="00DB7CC8" w:rsidRDefault="002B5250">
      <w:pPr>
        <w:spacing w:line="240" w:lineRule="auto"/>
        <w:ind w:firstLineChars="0"/>
        <w:jc w:val="center"/>
        <w:textAlignment w:val="auto"/>
        <w:rPr>
          <w:rFonts w:eastAsia="黑体"/>
          <w:kern w:val="2"/>
          <w:sz w:val="21"/>
          <w:szCs w:val="21"/>
        </w:rPr>
      </w:pPr>
      <w:r>
        <w:rPr>
          <w:rFonts w:eastAsia="黑体"/>
          <w:kern w:val="2"/>
          <w:sz w:val="21"/>
          <w:szCs w:val="21"/>
        </w:rPr>
        <w:t>表</w:t>
      </w:r>
      <w:r>
        <w:rPr>
          <w:rFonts w:eastAsia="黑体"/>
          <w:kern w:val="2"/>
          <w:sz w:val="21"/>
          <w:szCs w:val="21"/>
        </w:rPr>
        <w:t>2.</w:t>
      </w:r>
      <w:r>
        <w:rPr>
          <w:rFonts w:eastAsia="黑体" w:hint="eastAsia"/>
          <w:kern w:val="2"/>
          <w:sz w:val="21"/>
          <w:szCs w:val="21"/>
        </w:rPr>
        <w:t>4</w:t>
      </w:r>
      <w:r>
        <w:rPr>
          <w:rFonts w:eastAsia="黑体"/>
          <w:kern w:val="2"/>
          <w:sz w:val="21"/>
          <w:szCs w:val="21"/>
        </w:rPr>
        <w:t xml:space="preserve">-3      </w:t>
      </w:r>
      <w:r>
        <w:rPr>
          <w:rFonts w:eastAsia="黑体"/>
          <w:kern w:val="2"/>
          <w:sz w:val="21"/>
          <w:szCs w:val="21"/>
        </w:rPr>
        <w:t>点源大气估算模式的相关参数表</w:t>
      </w:r>
    </w:p>
    <w:tbl>
      <w:tblPr>
        <w:tblW w:w="8362" w:type="dxa"/>
        <w:tblBorders>
          <w:top w:val="single" w:sz="4" w:space="0" w:color="auto"/>
          <w:bottom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184"/>
        <w:gridCol w:w="1030"/>
        <w:gridCol w:w="1030"/>
        <w:gridCol w:w="895"/>
        <w:gridCol w:w="567"/>
        <w:gridCol w:w="709"/>
        <w:gridCol w:w="689"/>
        <w:gridCol w:w="529"/>
        <w:gridCol w:w="615"/>
        <w:gridCol w:w="1114"/>
      </w:tblGrid>
      <w:tr w:rsidR="00DB7CC8">
        <w:tc>
          <w:tcPr>
            <w:tcW w:w="1184" w:type="dxa"/>
            <w:vMerge w:val="restart"/>
            <w:tcBorders>
              <w:left w:val="single" w:sz="4" w:space="0" w:color="auto"/>
            </w:tcBorders>
            <w:vAlign w:val="center"/>
          </w:tcPr>
          <w:p w:rsidR="00DB7CC8" w:rsidRDefault="002B5250">
            <w:pPr>
              <w:adjustRightInd w:val="0"/>
              <w:snapToGrid w:val="0"/>
              <w:spacing w:line="240" w:lineRule="auto"/>
              <w:ind w:firstLineChars="0" w:firstLine="0"/>
              <w:jc w:val="center"/>
              <w:rPr>
                <w:sz w:val="21"/>
                <w:szCs w:val="21"/>
              </w:rPr>
            </w:pPr>
            <w:r>
              <w:rPr>
                <w:sz w:val="21"/>
                <w:szCs w:val="21"/>
              </w:rPr>
              <w:t>污染源名称</w:t>
            </w:r>
          </w:p>
        </w:tc>
        <w:tc>
          <w:tcPr>
            <w:tcW w:w="2060" w:type="dxa"/>
            <w:gridSpan w:val="2"/>
            <w:vAlign w:val="center"/>
          </w:tcPr>
          <w:p w:rsidR="00DB7CC8" w:rsidRDefault="002B5250">
            <w:pPr>
              <w:adjustRightInd w:val="0"/>
              <w:snapToGrid w:val="0"/>
              <w:spacing w:line="240" w:lineRule="auto"/>
              <w:ind w:firstLineChars="0" w:firstLine="0"/>
              <w:jc w:val="center"/>
              <w:rPr>
                <w:sz w:val="21"/>
                <w:szCs w:val="21"/>
              </w:rPr>
            </w:pPr>
            <w:r>
              <w:rPr>
                <w:sz w:val="21"/>
                <w:szCs w:val="21"/>
              </w:rPr>
              <w:t>排气筒底部中心坐标</w:t>
            </w:r>
            <w:r>
              <w:rPr>
                <w:sz w:val="21"/>
                <w:szCs w:val="21"/>
              </w:rPr>
              <w:t>(</w:t>
            </w:r>
            <w:r>
              <w:rPr>
                <w:sz w:val="21"/>
                <w:szCs w:val="21"/>
                <w:vertAlign w:val="superscript"/>
              </w:rPr>
              <w:t>o</w:t>
            </w:r>
            <w:r>
              <w:rPr>
                <w:sz w:val="21"/>
                <w:szCs w:val="21"/>
              </w:rPr>
              <w:t>)</w:t>
            </w:r>
          </w:p>
        </w:tc>
        <w:tc>
          <w:tcPr>
            <w:tcW w:w="895" w:type="dxa"/>
            <w:vMerge w:val="restart"/>
            <w:vAlign w:val="center"/>
          </w:tcPr>
          <w:p w:rsidR="00DB7CC8" w:rsidRDefault="002B5250">
            <w:pPr>
              <w:adjustRightInd w:val="0"/>
              <w:snapToGrid w:val="0"/>
              <w:spacing w:line="240" w:lineRule="auto"/>
              <w:ind w:firstLineChars="0" w:firstLine="0"/>
              <w:jc w:val="center"/>
              <w:rPr>
                <w:sz w:val="21"/>
                <w:szCs w:val="21"/>
              </w:rPr>
            </w:pPr>
            <w:r>
              <w:rPr>
                <w:sz w:val="21"/>
                <w:szCs w:val="21"/>
              </w:rPr>
              <w:t>排气筒底部海拔高度</w:t>
            </w:r>
            <w:r>
              <w:rPr>
                <w:sz w:val="21"/>
                <w:szCs w:val="21"/>
              </w:rPr>
              <w:t>(m)</w:t>
            </w:r>
          </w:p>
        </w:tc>
        <w:tc>
          <w:tcPr>
            <w:tcW w:w="2494" w:type="dxa"/>
            <w:gridSpan w:val="4"/>
            <w:vAlign w:val="center"/>
          </w:tcPr>
          <w:p w:rsidR="00DB7CC8" w:rsidRDefault="002B5250">
            <w:pPr>
              <w:adjustRightInd w:val="0"/>
              <w:snapToGrid w:val="0"/>
              <w:spacing w:line="240" w:lineRule="auto"/>
              <w:ind w:firstLineChars="0" w:firstLine="0"/>
              <w:jc w:val="center"/>
              <w:rPr>
                <w:sz w:val="21"/>
                <w:szCs w:val="21"/>
              </w:rPr>
            </w:pPr>
            <w:r>
              <w:rPr>
                <w:sz w:val="21"/>
                <w:szCs w:val="21"/>
              </w:rPr>
              <w:t>排气筒参数</w:t>
            </w:r>
          </w:p>
        </w:tc>
        <w:tc>
          <w:tcPr>
            <w:tcW w:w="615" w:type="dxa"/>
            <w:vMerge w:val="restart"/>
            <w:vAlign w:val="center"/>
          </w:tcPr>
          <w:p w:rsidR="00DB7CC8" w:rsidRDefault="002B5250">
            <w:pPr>
              <w:adjustRightInd w:val="0"/>
              <w:snapToGrid w:val="0"/>
              <w:spacing w:line="240" w:lineRule="auto"/>
              <w:ind w:firstLineChars="0" w:firstLine="0"/>
              <w:jc w:val="center"/>
              <w:rPr>
                <w:sz w:val="21"/>
                <w:szCs w:val="21"/>
              </w:rPr>
            </w:pPr>
            <w:r>
              <w:rPr>
                <w:sz w:val="21"/>
                <w:szCs w:val="21"/>
              </w:rPr>
              <w:t>污染物</w:t>
            </w:r>
          </w:p>
          <w:p w:rsidR="00DB7CC8" w:rsidRDefault="002B5250">
            <w:pPr>
              <w:adjustRightInd w:val="0"/>
              <w:snapToGrid w:val="0"/>
              <w:spacing w:line="240" w:lineRule="auto"/>
              <w:ind w:firstLineChars="0" w:firstLine="0"/>
              <w:jc w:val="center"/>
              <w:rPr>
                <w:sz w:val="21"/>
                <w:szCs w:val="21"/>
              </w:rPr>
            </w:pPr>
            <w:r>
              <w:rPr>
                <w:sz w:val="21"/>
                <w:szCs w:val="21"/>
              </w:rPr>
              <w:t>名称</w:t>
            </w:r>
          </w:p>
        </w:tc>
        <w:tc>
          <w:tcPr>
            <w:tcW w:w="1114" w:type="dxa"/>
            <w:vMerge w:val="restart"/>
            <w:tcBorders>
              <w:right w:val="single" w:sz="4" w:space="0" w:color="auto"/>
            </w:tcBorders>
            <w:vAlign w:val="center"/>
          </w:tcPr>
          <w:p w:rsidR="00DB7CC8" w:rsidRDefault="002B5250">
            <w:pPr>
              <w:adjustRightInd w:val="0"/>
              <w:snapToGrid w:val="0"/>
              <w:spacing w:line="240" w:lineRule="auto"/>
              <w:ind w:firstLineChars="0" w:firstLine="0"/>
              <w:jc w:val="center"/>
              <w:rPr>
                <w:sz w:val="21"/>
                <w:szCs w:val="21"/>
              </w:rPr>
            </w:pPr>
            <w:r>
              <w:rPr>
                <w:sz w:val="21"/>
                <w:szCs w:val="21"/>
              </w:rPr>
              <w:t>排放</w:t>
            </w:r>
          </w:p>
          <w:p w:rsidR="00DB7CC8" w:rsidRDefault="002B5250">
            <w:pPr>
              <w:adjustRightInd w:val="0"/>
              <w:snapToGrid w:val="0"/>
              <w:spacing w:line="240" w:lineRule="auto"/>
              <w:ind w:firstLineChars="0" w:firstLine="0"/>
              <w:jc w:val="center"/>
              <w:rPr>
                <w:sz w:val="21"/>
                <w:szCs w:val="21"/>
              </w:rPr>
            </w:pPr>
            <w:r>
              <w:rPr>
                <w:sz w:val="21"/>
                <w:szCs w:val="21"/>
              </w:rPr>
              <w:t>速率（</w:t>
            </w:r>
            <w:r>
              <w:rPr>
                <w:sz w:val="21"/>
                <w:szCs w:val="21"/>
              </w:rPr>
              <w:t>kg/h</w:t>
            </w:r>
            <w:r>
              <w:rPr>
                <w:sz w:val="21"/>
                <w:szCs w:val="21"/>
              </w:rPr>
              <w:t>）</w:t>
            </w:r>
          </w:p>
        </w:tc>
      </w:tr>
      <w:tr w:rsidR="00DB7CC8">
        <w:tc>
          <w:tcPr>
            <w:tcW w:w="1184" w:type="dxa"/>
            <w:vMerge/>
            <w:tcBorders>
              <w:left w:val="single" w:sz="4" w:space="0" w:color="auto"/>
            </w:tcBorders>
            <w:vAlign w:val="center"/>
          </w:tcPr>
          <w:p w:rsidR="00DB7CC8" w:rsidRDefault="00DB7CC8">
            <w:pPr>
              <w:adjustRightInd w:val="0"/>
              <w:snapToGrid w:val="0"/>
              <w:spacing w:line="240" w:lineRule="auto"/>
              <w:ind w:firstLineChars="0" w:firstLine="0"/>
              <w:jc w:val="center"/>
              <w:rPr>
                <w:sz w:val="21"/>
                <w:szCs w:val="21"/>
              </w:rPr>
            </w:pPr>
          </w:p>
        </w:tc>
        <w:tc>
          <w:tcPr>
            <w:tcW w:w="1030" w:type="dxa"/>
            <w:vAlign w:val="center"/>
          </w:tcPr>
          <w:p w:rsidR="00DB7CC8" w:rsidRDefault="002B5250">
            <w:pPr>
              <w:adjustRightInd w:val="0"/>
              <w:snapToGrid w:val="0"/>
              <w:spacing w:line="240" w:lineRule="auto"/>
              <w:ind w:firstLineChars="0" w:firstLine="0"/>
              <w:jc w:val="center"/>
              <w:rPr>
                <w:sz w:val="21"/>
                <w:szCs w:val="21"/>
              </w:rPr>
            </w:pPr>
            <w:r>
              <w:rPr>
                <w:sz w:val="21"/>
                <w:szCs w:val="21"/>
              </w:rPr>
              <w:t>经度</w:t>
            </w:r>
          </w:p>
        </w:tc>
        <w:tc>
          <w:tcPr>
            <w:tcW w:w="1030" w:type="dxa"/>
            <w:vAlign w:val="center"/>
          </w:tcPr>
          <w:p w:rsidR="00DB7CC8" w:rsidRDefault="002B5250">
            <w:pPr>
              <w:adjustRightInd w:val="0"/>
              <w:snapToGrid w:val="0"/>
              <w:spacing w:line="240" w:lineRule="auto"/>
              <w:ind w:firstLineChars="0" w:firstLine="0"/>
              <w:jc w:val="center"/>
              <w:rPr>
                <w:sz w:val="21"/>
                <w:szCs w:val="21"/>
              </w:rPr>
            </w:pPr>
            <w:r>
              <w:rPr>
                <w:sz w:val="21"/>
                <w:szCs w:val="21"/>
              </w:rPr>
              <w:t>纬度</w:t>
            </w:r>
          </w:p>
        </w:tc>
        <w:tc>
          <w:tcPr>
            <w:tcW w:w="895" w:type="dxa"/>
            <w:vMerge/>
            <w:vAlign w:val="center"/>
          </w:tcPr>
          <w:p w:rsidR="00DB7CC8" w:rsidRDefault="00DB7CC8">
            <w:pPr>
              <w:adjustRightInd w:val="0"/>
              <w:snapToGrid w:val="0"/>
              <w:spacing w:line="240" w:lineRule="auto"/>
              <w:ind w:firstLineChars="0" w:firstLine="0"/>
              <w:jc w:val="center"/>
              <w:rPr>
                <w:sz w:val="21"/>
                <w:szCs w:val="21"/>
              </w:rPr>
            </w:pPr>
          </w:p>
        </w:tc>
        <w:tc>
          <w:tcPr>
            <w:tcW w:w="567" w:type="dxa"/>
            <w:vAlign w:val="center"/>
          </w:tcPr>
          <w:p w:rsidR="00DB7CC8" w:rsidRDefault="002B5250">
            <w:pPr>
              <w:adjustRightInd w:val="0"/>
              <w:snapToGrid w:val="0"/>
              <w:spacing w:line="240" w:lineRule="auto"/>
              <w:ind w:firstLineChars="0" w:firstLine="0"/>
              <w:jc w:val="center"/>
              <w:rPr>
                <w:sz w:val="21"/>
                <w:szCs w:val="21"/>
              </w:rPr>
            </w:pPr>
            <w:r>
              <w:rPr>
                <w:sz w:val="21"/>
                <w:szCs w:val="21"/>
              </w:rPr>
              <w:t>高度</w:t>
            </w:r>
          </w:p>
          <w:p w:rsidR="00DB7CC8" w:rsidRDefault="002B5250">
            <w:pPr>
              <w:adjustRightInd w:val="0"/>
              <w:snapToGrid w:val="0"/>
              <w:spacing w:line="240" w:lineRule="auto"/>
              <w:ind w:firstLineChars="0" w:firstLine="0"/>
              <w:jc w:val="center"/>
              <w:rPr>
                <w:sz w:val="21"/>
                <w:szCs w:val="21"/>
              </w:rPr>
            </w:pPr>
            <w:r>
              <w:rPr>
                <w:sz w:val="21"/>
                <w:szCs w:val="21"/>
              </w:rPr>
              <w:t>(m)</w:t>
            </w:r>
          </w:p>
        </w:tc>
        <w:tc>
          <w:tcPr>
            <w:tcW w:w="709" w:type="dxa"/>
            <w:vAlign w:val="center"/>
          </w:tcPr>
          <w:p w:rsidR="00DB7CC8" w:rsidRDefault="002B5250">
            <w:pPr>
              <w:adjustRightInd w:val="0"/>
              <w:snapToGrid w:val="0"/>
              <w:spacing w:line="240" w:lineRule="auto"/>
              <w:ind w:firstLineChars="0" w:firstLine="0"/>
              <w:jc w:val="center"/>
              <w:rPr>
                <w:sz w:val="21"/>
                <w:szCs w:val="21"/>
              </w:rPr>
            </w:pPr>
            <w:r>
              <w:rPr>
                <w:sz w:val="21"/>
                <w:szCs w:val="21"/>
              </w:rPr>
              <w:t>内径</w:t>
            </w:r>
          </w:p>
          <w:p w:rsidR="00DB7CC8" w:rsidRDefault="002B5250">
            <w:pPr>
              <w:adjustRightInd w:val="0"/>
              <w:snapToGrid w:val="0"/>
              <w:spacing w:line="240" w:lineRule="auto"/>
              <w:ind w:firstLineChars="0" w:firstLine="0"/>
              <w:jc w:val="center"/>
              <w:rPr>
                <w:sz w:val="21"/>
                <w:szCs w:val="21"/>
              </w:rPr>
            </w:pPr>
            <w:r>
              <w:rPr>
                <w:sz w:val="21"/>
                <w:szCs w:val="21"/>
              </w:rPr>
              <w:t>(m)</w:t>
            </w:r>
          </w:p>
        </w:tc>
        <w:tc>
          <w:tcPr>
            <w:tcW w:w="689" w:type="dxa"/>
            <w:vAlign w:val="center"/>
          </w:tcPr>
          <w:p w:rsidR="00DB7CC8" w:rsidRDefault="002B5250">
            <w:pPr>
              <w:adjustRightInd w:val="0"/>
              <w:snapToGrid w:val="0"/>
              <w:spacing w:line="240" w:lineRule="auto"/>
              <w:ind w:firstLineChars="0" w:firstLine="0"/>
              <w:jc w:val="center"/>
              <w:rPr>
                <w:sz w:val="21"/>
                <w:szCs w:val="21"/>
              </w:rPr>
            </w:pPr>
            <w:r>
              <w:rPr>
                <w:sz w:val="21"/>
                <w:szCs w:val="21"/>
              </w:rPr>
              <w:t>温度</w:t>
            </w:r>
          </w:p>
          <w:p w:rsidR="00DB7CC8" w:rsidRDefault="002B5250">
            <w:pPr>
              <w:adjustRightInd w:val="0"/>
              <w:snapToGrid w:val="0"/>
              <w:spacing w:line="240" w:lineRule="auto"/>
              <w:ind w:firstLineChars="0" w:firstLine="0"/>
              <w:jc w:val="center"/>
              <w:rPr>
                <w:sz w:val="21"/>
                <w:szCs w:val="21"/>
              </w:rPr>
            </w:pPr>
            <w:r>
              <w:rPr>
                <w:sz w:val="21"/>
                <w:szCs w:val="21"/>
              </w:rPr>
              <w:t>(℃)</w:t>
            </w:r>
          </w:p>
        </w:tc>
        <w:tc>
          <w:tcPr>
            <w:tcW w:w="529" w:type="dxa"/>
            <w:vAlign w:val="center"/>
          </w:tcPr>
          <w:p w:rsidR="00DB7CC8" w:rsidRDefault="002B5250">
            <w:pPr>
              <w:adjustRightInd w:val="0"/>
              <w:snapToGrid w:val="0"/>
              <w:spacing w:line="240" w:lineRule="auto"/>
              <w:ind w:firstLineChars="0" w:firstLine="0"/>
              <w:jc w:val="center"/>
              <w:rPr>
                <w:sz w:val="21"/>
                <w:szCs w:val="21"/>
              </w:rPr>
            </w:pPr>
            <w:r>
              <w:rPr>
                <w:sz w:val="21"/>
                <w:szCs w:val="21"/>
              </w:rPr>
              <w:t>流速</w:t>
            </w:r>
          </w:p>
          <w:p w:rsidR="00DB7CC8" w:rsidRDefault="002B5250">
            <w:pPr>
              <w:adjustRightInd w:val="0"/>
              <w:snapToGrid w:val="0"/>
              <w:spacing w:line="240" w:lineRule="auto"/>
              <w:ind w:firstLineChars="0" w:firstLine="0"/>
              <w:jc w:val="center"/>
              <w:rPr>
                <w:sz w:val="21"/>
                <w:szCs w:val="21"/>
              </w:rPr>
            </w:pPr>
            <w:r>
              <w:rPr>
                <w:sz w:val="21"/>
                <w:szCs w:val="21"/>
              </w:rPr>
              <w:t>(m/s)</w:t>
            </w:r>
          </w:p>
        </w:tc>
        <w:tc>
          <w:tcPr>
            <w:tcW w:w="615" w:type="dxa"/>
            <w:vMerge/>
            <w:vAlign w:val="center"/>
          </w:tcPr>
          <w:p w:rsidR="00DB7CC8" w:rsidRDefault="00DB7CC8">
            <w:pPr>
              <w:adjustRightInd w:val="0"/>
              <w:snapToGrid w:val="0"/>
              <w:spacing w:line="240" w:lineRule="auto"/>
              <w:ind w:firstLineChars="0" w:firstLine="0"/>
              <w:jc w:val="center"/>
              <w:rPr>
                <w:sz w:val="21"/>
                <w:szCs w:val="21"/>
              </w:rPr>
            </w:pPr>
          </w:p>
        </w:tc>
        <w:tc>
          <w:tcPr>
            <w:tcW w:w="1114" w:type="dxa"/>
            <w:vMerge/>
            <w:tcBorders>
              <w:right w:val="single" w:sz="4" w:space="0" w:color="auto"/>
            </w:tcBorders>
            <w:vAlign w:val="center"/>
          </w:tcPr>
          <w:p w:rsidR="00DB7CC8" w:rsidRDefault="00DB7CC8">
            <w:pPr>
              <w:adjustRightInd w:val="0"/>
              <w:snapToGrid w:val="0"/>
              <w:spacing w:line="240" w:lineRule="auto"/>
              <w:ind w:firstLineChars="0" w:firstLine="0"/>
              <w:jc w:val="center"/>
              <w:rPr>
                <w:sz w:val="21"/>
                <w:szCs w:val="21"/>
              </w:rPr>
            </w:pPr>
          </w:p>
        </w:tc>
      </w:tr>
      <w:tr w:rsidR="00DB7CC8">
        <w:trPr>
          <w:trHeight w:val="279"/>
        </w:trPr>
        <w:tc>
          <w:tcPr>
            <w:tcW w:w="1184" w:type="dxa"/>
            <w:vMerge w:val="restart"/>
            <w:tcBorders>
              <w:left w:val="single" w:sz="4" w:space="0" w:color="auto"/>
            </w:tcBorders>
          </w:tcPr>
          <w:p w:rsidR="00DB7CC8" w:rsidRDefault="002B5250">
            <w:pPr>
              <w:adjustRightInd w:val="0"/>
              <w:snapToGrid w:val="0"/>
              <w:spacing w:line="240" w:lineRule="auto"/>
              <w:ind w:firstLineChars="0" w:firstLine="0"/>
              <w:jc w:val="center"/>
              <w:rPr>
                <w:sz w:val="21"/>
                <w:szCs w:val="21"/>
              </w:rPr>
            </w:pPr>
            <w:r>
              <w:rPr>
                <w:rFonts w:hint="eastAsia"/>
                <w:sz w:val="21"/>
                <w:szCs w:val="21"/>
              </w:rPr>
              <w:t>3</w:t>
            </w:r>
            <w:r>
              <w:rPr>
                <w:sz w:val="21"/>
                <w:szCs w:val="21"/>
              </w:rPr>
              <w:t>#</w:t>
            </w:r>
            <w:r>
              <w:rPr>
                <w:sz w:val="21"/>
                <w:szCs w:val="21"/>
              </w:rPr>
              <w:t>破碎</w:t>
            </w:r>
            <w:r>
              <w:rPr>
                <w:rFonts w:hint="eastAsia"/>
                <w:sz w:val="21"/>
                <w:szCs w:val="21"/>
              </w:rPr>
              <w:t>粗选</w:t>
            </w:r>
            <w:r>
              <w:rPr>
                <w:sz w:val="21"/>
                <w:szCs w:val="21"/>
              </w:rPr>
              <w:t>车间排气筒</w:t>
            </w:r>
          </w:p>
        </w:tc>
        <w:tc>
          <w:tcPr>
            <w:tcW w:w="1030" w:type="dxa"/>
            <w:vMerge w:val="restart"/>
            <w:vAlign w:val="center"/>
          </w:tcPr>
          <w:p w:rsidR="00DB7CC8" w:rsidRDefault="002B5250">
            <w:pPr>
              <w:adjustRightInd w:val="0"/>
              <w:snapToGrid w:val="0"/>
              <w:spacing w:line="240" w:lineRule="auto"/>
              <w:ind w:firstLineChars="0" w:firstLine="0"/>
              <w:jc w:val="center"/>
              <w:rPr>
                <w:sz w:val="21"/>
                <w:szCs w:val="21"/>
              </w:rPr>
            </w:pPr>
            <w:r>
              <w:rPr>
                <w:rFonts w:hint="eastAsia"/>
                <w:sz w:val="21"/>
                <w:szCs w:val="21"/>
              </w:rPr>
              <w:t>118.12136</w:t>
            </w:r>
          </w:p>
        </w:tc>
        <w:tc>
          <w:tcPr>
            <w:tcW w:w="1030" w:type="dxa"/>
            <w:vMerge w:val="restart"/>
            <w:vAlign w:val="center"/>
          </w:tcPr>
          <w:p w:rsidR="00DB7CC8" w:rsidRDefault="002B5250">
            <w:pPr>
              <w:adjustRightInd w:val="0"/>
              <w:snapToGrid w:val="0"/>
              <w:spacing w:line="240" w:lineRule="auto"/>
              <w:ind w:firstLineChars="0" w:firstLine="0"/>
              <w:jc w:val="center"/>
              <w:rPr>
                <w:sz w:val="21"/>
                <w:szCs w:val="21"/>
              </w:rPr>
            </w:pPr>
            <w:r>
              <w:rPr>
                <w:rFonts w:hint="eastAsia"/>
                <w:sz w:val="21"/>
                <w:szCs w:val="21"/>
              </w:rPr>
              <w:t>40.18614</w:t>
            </w:r>
          </w:p>
        </w:tc>
        <w:tc>
          <w:tcPr>
            <w:tcW w:w="895" w:type="dxa"/>
            <w:vMerge w:val="restart"/>
            <w:vAlign w:val="center"/>
          </w:tcPr>
          <w:p w:rsidR="00DB7CC8" w:rsidRDefault="002B5250">
            <w:pPr>
              <w:adjustRightInd w:val="0"/>
              <w:snapToGrid w:val="0"/>
              <w:spacing w:line="240" w:lineRule="auto"/>
              <w:ind w:firstLineChars="0" w:firstLine="0"/>
              <w:jc w:val="center"/>
              <w:rPr>
                <w:sz w:val="21"/>
                <w:szCs w:val="21"/>
              </w:rPr>
            </w:pPr>
            <w:r>
              <w:rPr>
                <w:sz w:val="21"/>
                <w:szCs w:val="21"/>
              </w:rPr>
              <w:t>85</w:t>
            </w:r>
          </w:p>
        </w:tc>
        <w:tc>
          <w:tcPr>
            <w:tcW w:w="567" w:type="dxa"/>
            <w:vMerge w:val="restart"/>
            <w:vAlign w:val="center"/>
          </w:tcPr>
          <w:p w:rsidR="00DB7CC8" w:rsidRDefault="002B5250">
            <w:pPr>
              <w:adjustRightInd w:val="0"/>
              <w:snapToGrid w:val="0"/>
              <w:spacing w:line="240" w:lineRule="auto"/>
              <w:ind w:firstLineChars="0" w:firstLine="0"/>
              <w:jc w:val="center"/>
              <w:rPr>
                <w:sz w:val="21"/>
                <w:szCs w:val="21"/>
              </w:rPr>
            </w:pPr>
            <w:r>
              <w:rPr>
                <w:rFonts w:hint="eastAsia"/>
                <w:sz w:val="21"/>
                <w:szCs w:val="21"/>
              </w:rPr>
              <w:t>18</w:t>
            </w:r>
          </w:p>
        </w:tc>
        <w:tc>
          <w:tcPr>
            <w:tcW w:w="709" w:type="dxa"/>
            <w:vMerge w:val="restart"/>
            <w:vAlign w:val="center"/>
          </w:tcPr>
          <w:p w:rsidR="00DB7CC8" w:rsidRDefault="002B5250">
            <w:pPr>
              <w:adjustRightInd w:val="0"/>
              <w:snapToGrid w:val="0"/>
              <w:spacing w:line="240" w:lineRule="auto"/>
              <w:ind w:firstLineChars="0" w:firstLine="0"/>
              <w:jc w:val="center"/>
              <w:rPr>
                <w:sz w:val="21"/>
                <w:szCs w:val="21"/>
              </w:rPr>
            </w:pPr>
            <w:r>
              <w:rPr>
                <w:sz w:val="21"/>
                <w:szCs w:val="21"/>
              </w:rPr>
              <w:t>1</w:t>
            </w:r>
          </w:p>
        </w:tc>
        <w:tc>
          <w:tcPr>
            <w:tcW w:w="689" w:type="dxa"/>
            <w:vMerge w:val="restart"/>
            <w:vAlign w:val="center"/>
          </w:tcPr>
          <w:p w:rsidR="00DB7CC8" w:rsidRDefault="002B5250">
            <w:pPr>
              <w:adjustRightInd w:val="0"/>
              <w:snapToGrid w:val="0"/>
              <w:spacing w:line="240" w:lineRule="auto"/>
              <w:ind w:firstLineChars="0" w:firstLine="0"/>
              <w:jc w:val="center"/>
              <w:rPr>
                <w:sz w:val="21"/>
                <w:szCs w:val="21"/>
              </w:rPr>
            </w:pPr>
            <w:r>
              <w:rPr>
                <w:sz w:val="21"/>
                <w:szCs w:val="21"/>
              </w:rPr>
              <w:t>20</w:t>
            </w:r>
          </w:p>
        </w:tc>
        <w:tc>
          <w:tcPr>
            <w:tcW w:w="529" w:type="dxa"/>
            <w:vMerge w:val="restart"/>
            <w:vAlign w:val="center"/>
          </w:tcPr>
          <w:p w:rsidR="00DB7CC8" w:rsidRDefault="002B5250">
            <w:pPr>
              <w:adjustRightInd w:val="0"/>
              <w:snapToGrid w:val="0"/>
              <w:spacing w:line="240" w:lineRule="auto"/>
              <w:ind w:firstLineChars="0" w:firstLine="0"/>
              <w:jc w:val="center"/>
              <w:rPr>
                <w:sz w:val="21"/>
                <w:szCs w:val="21"/>
              </w:rPr>
            </w:pPr>
            <w:r>
              <w:rPr>
                <w:sz w:val="21"/>
                <w:szCs w:val="21"/>
              </w:rPr>
              <w:t>12.73</w:t>
            </w:r>
          </w:p>
        </w:tc>
        <w:tc>
          <w:tcPr>
            <w:tcW w:w="615" w:type="dxa"/>
            <w:vAlign w:val="center"/>
          </w:tcPr>
          <w:p w:rsidR="00DB7CC8" w:rsidRDefault="002B5250">
            <w:pPr>
              <w:adjustRightInd w:val="0"/>
              <w:snapToGrid w:val="0"/>
              <w:spacing w:line="240" w:lineRule="auto"/>
              <w:ind w:firstLineChars="0" w:firstLine="0"/>
              <w:jc w:val="center"/>
              <w:rPr>
                <w:sz w:val="21"/>
                <w:szCs w:val="21"/>
              </w:rPr>
            </w:pPr>
            <w:r>
              <w:rPr>
                <w:sz w:val="21"/>
                <w:szCs w:val="21"/>
              </w:rPr>
              <w:t>PM</w:t>
            </w:r>
            <w:r>
              <w:rPr>
                <w:sz w:val="21"/>
                <w:szCs w:val="21"/>
                <w:vertAlign w:val="subscript"/>
              </w:rPr>
              <w:t>10</w:t>
            </w:r>
          </w:p>
        </w:tc>
        <w:tc>
          <w:tcPr>
            <w:tcW w:w="1114" w:type="dxa"/>
            <w:tcBorders>
              <w:right w:val="single" w:sz="4" w:space="0" w:color="auto"/>
            </w:tcBorders>
            <w:vAlign w:val="center"/>
          </w:tcPr>
          <w:p w:rsidR="00DB7CC8" w:rsidRDefault="002B5250">
            <w:pPr>
              <w:adjustRightInd w:val="0"/>
              <w:snapToGrid w:val="0"/>
              <w:spacing w:line="240" w:lineRule="auto"/>
              <w:ind w:firstLineChars="0" w:firstLine="0"/>
              <w:jc w:val="center"/>
              <w:rPr>
                <w:sz w:val="21"/>
                <w:szCs w:val="21"/>
              </w:rPr>
            </w:pPr>
            <w:r>
              <w:rPr>
                <w:sz w:val="21"/>
                <w:szCs w:val="21"/>
              </w:rPr>
              <w:t>0.136</w:t>
            </w:r>
          </w:p>
        </w:tc>
      </w:tr>
      <w:tr w:rsidR="00DB7CC8">
        <w:trPr>
          <w:trHeight w:val="285"/>
        </w:trPr>
        <w:tc>
          <w:tcPr>
            <w:tcW w:w="1184" w:type="dxa"/>
            <w:vMerge/>
            <w:tcBorders>
              <w:left w:val="single" w:sz="4" w:space="0" w:color="auto"/>
            </w:tcBorders>
          </w:tcPr>
          <w:p w:rsidR="00DB7CC8" w:rsidRDefault="00DB7CC8">
            <w:pPr>
              <w:adjustRightInd w:val="0"/>
              <w:snapToGrid w:val="0"/>
              <w:spacing w:line="240" w:lineRule="auto"/>
              <w:ind w:firstLineChars="0" w:firstLine="0"/>
              <w:jc w:val="center"/>
              <w:rPr>
                <w:sz w:val="21"/>
                <w:szCs w:val="21"/>
              </w:rPr>
            </w:pPr>
          </w:p>
        </w:tc>
        <w:tc>
          <w:tcPr>
            <w:tcW w:w="1030" w:type="dxa"/>
            <w:vMerge/>
            <w:vAlign w:val="center"/>
          </w:tcPr>
          <w:p w:rsidR="00DB7CC8" w:rsidRDefault="00DB7CC8">
            <w:pPr>
              <w:adjustRightInd w:val="0"/>
              <w:snapToGrid w:val="0"/>
              <w:spacing w:line="240" w:lineRule="auto"/>
              <w:ind w:firstLineChars="0" w:firstLine="0"/>
              <w:jc w:val="center"/>
              <w:rPr>
                <w:sz w:val="21"/>
                <w:szCs w:val="21"/>
              </w:rPr>
            </w:pPr>
          </w:p>
        </w:tc>
        <w:tc>
          <w:tcPr>
            <w:tcW w:w="1030" w:type="dxa"/>
            <w:vMerge/>
            <w:vAlign w:val="center"/>
          </w:tcPr>
          <w:p w:rsidR="00DB7CC8" w:rsidRDefault="00DB7CC8">
            <w:pPr>
              <w:adjustRightInd w:val="0"/>
              <w:snapToGrid w:val="0"/>
              <w:spacing w:line="240" w:lineRule="auto"/>
              <w:ind w:firstLineChars="0" w:firstLine="0"/>
              <w:jc w:val="center"/>
              <w:rPr>
                <w:sz w:val="21"/>
                <w:szCs w:val="21"/>
              </w:rPr>
            </w:pPr>
          </w:p>
        </w:tc>
        <w:tc>
          <w:tcPr>
            <w:tcW w:w="895" w:type="dxa"/>
            <w:vMerge/>
            <w:vAlign w:val="center"/>
          </w:tcPr>
          <w:p w:rsidR="00DB7CC8" w:rsidRDefault="00DB7CC8">
            <w:pPr>
              <w:adjustRightInd w:val="0"/>
              <w:snapToGrid w:val="0"/>
              <w:spacing w:line="240" w:lineRule="auto"/>
              <w:ind w:firstLineChars="0" w:firstLine="0"/>
              <w:jc w:val="center"/>
              <w:rPr>
                <w:sz w:val="21"/>
                <w:szCs w:val="21"/>
              </w:rPr>
            </w:pPr>
          </w:p>
        </w:tc>
        <w:tc>
          <w:tcPr>
            <w:tcW w:w="567" w:type="dxa"/>
            <w:vMerge/>
            <w:vAlign w:val="center"/>
          </w:tcPr>
          <w:p w:rsidR="00DB7CC8" w:rsidRDefault="00DB7CC8">
            <w:pPr>
              <w:adjustRightInd w:val="0"/>
              <w:snapToGrid w:val="0"/>
              <w:spacing w:line="240" w:lineRule="auto"/>
              <w:ind w:firstLineChars="0" w:firstLine="0"/>
              <w:jc w:val="center"/>
              <w:rPr>
                <w:sz w:val="21"/>
                <w:szCs w:val="21"/>
              </w:rPr>
            </w:pPr>
          </w:p>
        </w:tc>
        <w:tc>
          <w:tcPr>
            <w:tcW w:w="709" w:type="dxa"/>
            <w:vMerge/>
            <w:vAlign w:val="center"/>
          </w:tcPr>
          <w:p w:rsidR="00DB7CC8" w:rsidRDefault="00DB7CC8">
            <w:pPr>
              <w:adjustRightInd w:val="0"/>
              <w:snapToGrid w:val="0"/>
              <w:spacing w:line="240" w:lineRule="auto"/>
              <w:ind w:firstLineChars="0" w:firstLine="0"/>
              <w:jc w:val="center"/>
              <w:rPr>
                <w:sz w:val="21"/>
                <w:szCs w:val="21"/>
              </w:rPr>
            </w:pPr>
          </w:p>
        </w:tc>
        <w:tc>
          <w:tcPr>
            <w:tcW w:w="689" w:type="dxa"/>
            <w:vMerge/>
            <w:vAlign w:val="center"/>
          </w:tcPr>
          <w:p w:rsidR="00DB7CC8" w:rsidRDefault="00DB7CC8">
            <w:pPr>
              <w:adjustRightInd w:val="0"/>
              <w:snapToGrid w:val="0"/>
              <w:spacing w:line="240" w:lineRule="auto"/>
              <w:ind w:firstLineChars="0" w:firstLine="0"/>
              <w:jc w:val="center"/>
              <w:rPr>
                <w:sz w:val="21"/>
                <w:szCs w:val="21"/>
              </w:rPr>
            </w:pPr>
          </w:p>
        </w:tc>
        <w:tc>
          <w:tcPr>
            <w:tcW w:w="529" w:type="dxa"/>
            <w:vMerge/>
            <w:vAlign w:val="center"/>
          </w:tcPr>
          <w:p w:rsidR="00DB7CC8" w:rsidRDefault="00DB7CC8">
            <w:pPr>
              <w:adjustRightInd w:val="0"/>
              <w:snapToGrid w:val="0"/>
              <w:spacing w:line="240" w:lineRule="auto"/>
              <w:ind w:firstLineChars="0" w:firstLine="0"/>
              <w:jc w:val="center"/>
              <w:rPr>
                <w:sz w:val="21"/>
                <w:szCs w:val="21"/>
              </w:rPr>
            </w:pPr>
          </w:p>
        </w:tc>
        <w:tc>
          <w:tcPr>
            <w:tcW w:w="615" w:type="dxa"/>
            <w:vAlign w:val="center"/>
          </w:tcPr>
          <w:p w:rsidR="00DB7CC8" w:rsidRDefault="002B5250">
            <w:pPr>
              <w:adjustRightInd w:val="0"/>
              <w:snapToGrid w:val="0"/>
              <w:spacing w:line="240" w:lineRule="auto"/>
              <w:ind w:firstLineChars="0" w:firstLine="0"/>
              <w:jc w:val="center"/>
              <w:rPr>
                <w:sz w:val="21"/>
                <w:szCs w:val="21"/>
              </w:rPr>
            </w:pPr>
            <w:r>
              <w:rPr>
                <w:sz w:val="21"/>
                <w:szCs w:val="21"/>
              </w:rPr>
              <w:t>PM</w:t>
            </w:r>
            <w:r>
              <w:rPr>
                <w:rFonts w:hint="eastAsia"/>
                <w:sz w:val="21"/>
                <w:szCs w:val="21"/>
                <w:vertAlign w:val="subscript"/>
              </w:rPr>
              <w:t>2.5</w:t>
            </w:r>
          </w:p>
        </w:tc>
        <w:tc>
          <w:tcPr>
            <w:tcW w:w="1114" w:type="dxa"/>
            <w:tcBorders>
              <w:right w:val="single" w:sz="4" w:space="0" w:color="auto"/>
            </w:tcBorders>
            <w:vAlign w:val="center"/>
          </w:tcPr>
          <w:p w:rsidR="00DB7CC8" w:rsidRDefault="002B5250">
            <w:pPr>
              <w:adjustRightInd w:val="0"/>
              <w:snapToGrid w:val="0"/>
              <w:spacing w:line="240" w:lineRule="auto"/>
              <w:ind w:firstLineChars="0" w:firstLine="0"/>
              <w:jc w:val="center"/>
              <w:rPr>
                <w:sz w:val="21"/>
                <w:szCs w:val="21"/>
              </w:rPr>
            </w:pPr>
            <w:r>
              <w:rPr>
                <w:sz w:val="21"/>
                <w:szCs w:val="21"/>
              </w:rPr>
              <w:t>0.</w:t>
            </w:r>
            <w:r>
              <w:rPr>
                <w:rFonts w:hint="eastAsia"/>
                <w:sz w:val="21"/>
                <w:szCs w:val="21"/>
              </w:rPr>
              <w:t>068</w:t>
            </w:r>
          </w:p>
        </w:tc>
      </w:tr>
    </w:tbl>
    <w:p w:rsidR="00DB7CC8" w:rsidRDefault="002B5250">
      <w:pPr>
        <w:spacing w:line="480" w:lineRule="exact"/>
        <w:ind w:firstLineChars="176" w:firstLine="370"/>
        <w:jc w:val="center"/>
        <w:rPr>
          <w:rFonts w:eastAsia="黑体"/>
          <w:kern w:val="2"/>
          <w:sz w:val="21"/>
          <w:szCs w:val="21"/>
        </w:rPr>
      </w:pPr>
      <w:r>
        <w:rPr>
          <w:rFonts w:eastAsia="黑体"/>
          <w:kern w:val="2"/>
          <w:sz w:val="21"/>
          <w:szCs w:val="21"/>
        </w:rPr>
        <w:t>表</w:t>
      </w:r>
      <w:r>
        <w:rPr>
          <w:rFonts w:eastAsia="黑体"/>
          <w:kern w:val="2"/>
          <w:sz w:val="21"/>
          <w:szCs w:val="21"/>
        </w:rPr>
        <w:t>2.</w:t>
      </w:r>
      <w:r>
        <w:rPr>
          <w:rFonts w:eastAsia="黑体" w:hint="eastAsia"/>
          <w:kern w:val="2"/>
          <w:sz w:val="21"/>
          <w:szCs w:val="21"/>
        </w:rPr>
        <w:t>4</w:t>
      </w:r>
      <w:r>
        <w:rPr>
          <w:rFonts w:eastAsia="黑体"/>
          <w:kern w:val="2"/>
          <w:sz w:val="21"/>
          <w:szCs w:val="21"/>
        </w:rPr>
        <w:t xml:space="preserve">-4  </w:t>
      </w:r>
      <w:r>
        <w:rPr>
          <w:rFonts w:eastAsia="黑体"/>
          <w:kern w:val="2"/>
          <w:sz w:val="21"/>
          <w:szCs w:val="21"/>
        </w:rPr>
        <w:t>矩形面源大气估算模式的相关参数表</w:t>
      </w:r>
    </w:p>
    <w:tbl>
      <w:tblPr>
        <w:tblW w:w="8522" w:type="dxa"/>
        <w:tblBorders>
          <w:top w:val="single" w:sz="4" w:space="0" w:color="auto"/>
          <w:bottom w:val="single" w:sz="4" w:space="0" w:color="auto"/>
          <w:insideH w:val="single" w:sz="6" w:space="0" w:color="auto"/>
          <w:insideV w:val="single" w:sz="6" w:space="0" w:color="auto"/>
        </w:tblBorders>
        <w:tblLayout w:type="fixed"/>
        <w:tblLook w:val="04A0" w:firstRow="1" w:lastRow="0" w:firstColumn="1" w:lastColumn="0" w:noHBand="0" w:noVBand="1"/>
      </w:tblPr>
      <w:tblGrid>
        <w:gridCol w:w="1375"/>
        <w:gridCol w:w="1264"/>
        <w:gridCol w:w="1109"/>
        <w:gridCol w:w="684"/>
        <w:gridCol w:w="829"/>
        <w:gridCol w:w="685"/>
        <w:gridCol w:w="685"/>
        <w:gridCol w:w="881"/>
        <w:gridCol w:w="1010"/>
      </w:tblGrid>
      <w:tr w:rsidR="00DB7CC8">
        <w:trPr>
          <w:trHeight w:val="485"/>
        </w:trPr>
        <w:tc>
          <w:tcPr>
            <w:tcW w:w="1375" w:type="dxa"/>
            <w:vMerge w:val="restart"/>
            <w:tcBorders>
              <w:left w:val="single" w:sz="4" w:space="0" w:color="auto"/>
            </w:tcBorders>
            <w:vAlign w:val="center"/>
          </w:tcPr>
          <w:p w:rsidR="00DB7CC8" w:rsidRDefault="002B5250">
            <w:pPr>
              <w:adjustRightInd w:val="0"/>
              <w:snapToGrid w:val="0"/>
              <w:spacing w:line="240" w:lineRule="auto"/>
              <w:ind w:firstLineChars="0" w:firstLine="0"/>
              <w:jc w:val="center"/>
              <w:rPr>
                <w:sz w:val="21"/>
                <w:szCs w:val="21"/>
              </w:rPr>
            </w:pPr>
            <w:r>
              <w:rPr>
                <w:sz w:val="21"/>
                <w:szCs w:val="21"/>
              </w:rPr>
              <w:t>污染源名称</w:t>
            </w:r>
          </w:p>
        </w:tc>
        <w:tc>
          <w:tcPr>
            <w:tcW w:w="2373" w:type="dxa"/>
            <w:gridSpan w:val="2"/>
            <w:vAlign w:val="center"/>
          </w:tcPr>
          <w:p w:rsidR="00DB7CC8" w:rsidRDefault="002B5250">
            <w:pPr>
              <w:adjustRightInd w:val="0"/>
              <w:snapToGrid w:val="0"/>
              <w:spacing w:line="240" w:lineRule="auto"/>
              <w:ind w:firstLineChars="0" w:firstLine="0"/>
              <w:jc w:val="center"/>
              <w:rPr>
                <w:sz w:val="21"/>
                <w:szCs w:val="21"/>
              </w:rPr>
            </w:pPr>
            <w:r>
              <w:rPr>
                <w:sz w:val="21"/>
                <w:szCs w:val="21"/>
              </w:rPr>
              <w:t>坐标</w:t>
            </w:r>
          </w:p>
        </w:tc>
        <w:tc>
          <w:tcPr>
            <w:tcW w:w="684" w:type="dxa"/>
            <w:vMerge w:val="restart"/>
            <w:vAlign w:val="center"/>
          </w:tcPr>
          <w:p w:rsidR="00DB7CC8" w:rsidRDefault="002B5250">
            <w:pPr>
              <w:adjustRightInd w:val="0"/>
              <w:snapToGrid w:val="0"/>
              <w:spacing w:line="240" w:lineRule="auto"/>
              <w:ind w:firstLineChars="0" w:firstLine="0"/>
              <w:jc w:val="center"/>
              <w:rPr>
                <w:sz w:val="21"/>
                <w:szCs w:val="21"/>
              </w:rPr>
            </w:pPr>
            <w:r>
              <w:rPr>
                <w:sz w:val="21"/>
                <w:szCs w:val="21"/>
              </w:rPr>
              <w:t>海拔高度</w:t>
            </w:r>
            <w:r>
              <w:rPr>
                <w:sz w:val="21"/>
                <w:szCs w:val="21"/>
              </w:rPr>
              <w:t>/m</w:t>
            </w:r>
          </w:p>
        </w:tc>
        <w:tc>
          <w:tcPr>
            <w:tcW w:w="2199" w:type="dxa"/>
            <w:gridSpan w:val="3"/>
            <w:vAlign w:val="center"/>
          </w:tcPr>
          <w:p w:rsidR="00DB7CC8" w:rsidRDefault="002B5250">
            <w:pPr>
              <w:adjustRightInd w:val="0"/>
              <w:snapToGrid w:val="0"/>
              <w:spacing w:line="240" w:lineRule="auto"/>
              <w:ind w:firstLineChars="0" w:firstLine="0"/>
              <w:jc w:val="center"/>
              <w:rPr>
                <w:sz w:val="21"/>
                <w:szCs w:val="21"/>
              </w:rPr>
            </w:pPr>
            <w:r>
              <w:rPr>
                <w:sz w:val="21"/>
                <w:szCs w:val="21"/>
              </w:rPr>
              <w:t>矩形面源</w:t>
            </w:r>
          </w:p>
        </w:tc>
        <w:tc>
          <w:tcPr>
            <w:tcW w:w="881" w:type="dxa"/>
            <w:vMerge w:val="restart"/>
            <w:vAlign w:val="center"/>
          </w:tcPr>
          <w:p w:rsidR="00DB7CC8" w:rsidRDefault="002B5250">
            <w:pPr>
              <w:adjustRightInd w:val="0"/>
              <w:snapToGrid w:val="0"/>
              <w:spacing w:line="240" w:lineRule="auto"/>
              <w:ind w:firstLineChars="0" w:firstLine="0"/>
              <w:jc w:val="center"/>
              <w:rPr>
                <w:sz w:val="21"/>
                <w:szCs w:val="21"/>
              </w:rPr>
            </w:pPr>
            <w:r>
              <w:rPr>
                <w:sz w:val="21"/>
                <w:szCs w:val="21"/>
              </w:rPr>
              <w:t>污染物</w:t>
            </w:r>
          </w:p>
          <w:p w:rsidR="00DB7CC8" w:rsidRDefault="002B5250">
            <w:pPr>
              <w:adjustRightInd w:val="0"/>
              <w:snapToGrid w:val="0"/>
              <w:spacing w:line="240" w:lineRule="auto"/>
              <w:ind w:firstLineChars="0" w:firstLine="0"/>
              <w:jc w:val="center"/>
              <w:rPr>
                <w:sz w:val="21"/>
                <w:szCs w:val="21"/>
              </w:rPr>
            </w:pPr>
            <w:r>
              <w:rPr>
                <w:sz w:val="21"/>
                <w:szCs w:val="21"/>
              </w:rPr>
              <w:t>名称</w:t>
            </w:r>
          </w:p>
        </w:tc>
        <w:tc>
          <w:tcPr>
            <w:tcW w:w="1010" w:type="dxa"/>
            <w:vMerge w:val="restart"/>
            <w:tcBorders>
              <w:right w:val="single" w:sz="4" w:space="0" w:color="auto"/>
            </w:tcBorders>
            <w:vAlign w:val="center"/>
          </w:tcPr>
          <w:p w:rsidR="00DB7CC8" w:rsidRDefault="002B5250">
            <w:pPr>
              <w:adjustRightInd w:val="0"/>
              <w:snapToGrid w:val="0"/>
              <w:spacing w:line="240" w:lineRule="auto"/>
              <w:ind w:firstLineChars="0" w:firstLine="0"/>
              <w:jc w:val="center"/>
              <w:rPr>
                <w:sz w:val="21"/>
                <w:szCs w:val="21"/>
              </w:rPr>
            </w:pPr>
            <w:r>
              <w:rPr>
                <w:sz w:val="21"/>
                <w:szCs w:val="21"/>
              </w:rPr>
              <w:t>排放</w:t>
            </w:r>
          </w:p>
          <w:p w:rsidR="00DB7CC8" w:rsidRDefault="002B5250">
            <w:pPr>
              <w:adjustRightInd w:val="0"/>
              <w:snapToGrid w:val="0"/>
              <w:spacing w:line="240" w:lineRule="auto"/>
              <w:ind w:firstLineChars="0" w:firstLine="0"/>
              <w:jc w:val="center"/>
              <w:rPr>
                <w:sz w:val="21"/>
                <w:szCs w:val="21"/>
              </w:rPr>
            </w:pPr>
            <w:r>
              <w:rPr>
                <w:sz w:val="21"/>
                <w:szCs w:val="21"/>
              </w:rPr>
              <w:t>速率</w:t>
            </w:r>
          </w:p>
          <w:p w:rsidR="00DB7CC8" w:rsidRDefault="002B5250">
            <w:pPr>
              <w:adjustRightInd w:val="0"/>
              <w:snapToGrid w:val="0"/>
              <w:spacing w:line="240" w:lineRule="auto"/>
              <w:ind w:firstLineChars="0" w:firstLine="0"/>
              <w:jc w:val="center"/>
              <w:rPr>
                <w:sz w:val="21"/>
                <w:szCs w:val="21"/>
              </w:rPr>
            </w:pPr>
            <w:r>
              <w:rPr>
                <w:sz w:val="21"/>
                <w:szCs w:val="21"/>
              </w:rPr>
              <w:t>（</w:t>
            </w:r>
            <w:r>
              <w:rPr>
                <w:sz w:val="21"/>
                <w:szCs w:val="21"/>
              </w:rPr>
              <w:t>kg/h</w:t>
            </w:r>
            <w:r>
              <w:rPr>
                <w:sz w:val="21"/>
                <w:szCs w:val="21"/>
              </w:rPr>
              <w:t>）</w:t>
            </w:r>
          </w:p>
        </w:tc>
      </w:tr>
      <w:tr w:rsidR="00DB7CC8">
        <w:trPr>
          <w:trHeight w:val="649"/>
        </w:trPr>
        <w:tc>
          <w:tcPr>
            <w:tcW w:w="1375" w:type="dxa"/>
            <w:vMerge/>
            <w:tcBorders>
              <w:left w:val="single" w:sz="4" w:space="0" w:color="auto"/>
            </w:tcBorders>
            <w:vAlign w:val="center"/>
          </w:tcPr>
          <w:p w:rsidR="00DB7CC8" w:rsidRDefault="00DB7CC8">
            <w:pPr>
              <w:adjustRightInd w:val="0"/>
              <w:snapToGrid w:val="0"/>
              <w:spacing w:line="240" w:lineRule="auto"/>
              <w:ind w:firstLineChars="0" w:firstLine="0"/>
              <w:jc w:val="center"/>
              <w:rPr>
                <w:sz w:val="21"/>
                <w:szCs w:val="21"/>
              </w:rPr>
            </w:pPr>
          </w:p>
        </w:tc>
        <w:tc>
          <w:tcPr>
            <w:tcW w:w="1264" w:type="dxa"/>
            <w:vAlign w:val="center"/>
          </w:tcPr>
          <w:p w:rsidR="00DB7CC8" w:rsidRDefault="002B5250">
            <w:pPr>
              <w:adjustRightInd w:val="0"/>
              <w:snapToGrid w:val="0"/>
              <w:spacing w:line="240" w:lineRule="auto"/>
              <w:ind w:firstLineChars="0" w:firstLine="0"/>
              <w:jc w:val="center"/>
              <w:rPr>
                <w:sz w:val="21"/>
                <w:szCs w:val="21"/>
              </w:rPr>
            </w:pPr>
            <w:r>
              <w:rPr>
                <w:sz w:val="21"/>
                <w:szCs w:val="21"/>
              </w:rPr>
              <w:t>X</w:t>
            </w:r>
          </w:p>
        </w:tc>
        <w:tc>
          <w:tcPr>
            <w:tcW w:w="1109" w:type="dxa"/>
            <w:vAlign w:val="center"/>
          </w:tcPr>
          <w:p w:rsidR="00DB7CC8" w:rsidRDefault="002B5250">
            <w:pPr>
              <w:adjustRightInd w:val="0"/>
              <w:snapToGrid w:val="0"/>
              <w:spacing w:line="240" w:lineRule="auto"/>
              <w:ind w:firstLineChars="0" w:firstLine="0"/>
              <w:jc w:val="center"/>
              <w:rPr>
                <w:sz w:val="21"/>
                <w:szCs w:val="21"/>
              </w:rPr>
            </w:pPr>
            <w:r>
              <w:rPr>
                <w:sz w:val="21"/>
                <w:szCs w:val="21"/>
              </w:rPr>
              <w:t>Y</w:t>
            </w:r>
          </w:p>
        </w:tc>
        <w:tc>
          <w:tcPr>
            <w:tcW w:w="684" w:type="dxa"/>
            <w:vMerge/>
            <w:vAlign w:val="center"/>
          </w:tcPr>
          <w:p w:rsidR="00DB7CC8" w:rsidRDefault="00DB7CC8">
            <w:pPr>
              <w:adjustRightInd w:val="0"/>
              <w:snapToGrid w:val="0"/>
              <w:spacing w:line="240" w:lineRule="auto"/>
              <w:ind w:firstLineChars="0" w:firstLine="0"/>
              <w:jc w:val="center"/>
              <w:rPr>
                <w:sz w:val="21"/>
                <w:szCs w:val="21"/>
              </w:rPr>
            </w:pPr>
          </w:p>
        </w:tc>
        <w:tc>
          <w:tcPr>
            <w:tcW w:w="829" w:type="dxa"/>
            <w:vAlign w:val="center"/>
          </w:tcPr>
          <w:p w:rsidR="00DB7CC8" w:rsidRDefault="002B5250">
            <w:pPr>
              <w:adjustRightInd w:val="0"/>
              <w:snapToGrid w:val="0"/>
              <w:spacing w:line="240" w:lineRule="auto"/>
              <w:ind w:firstLineChars="0" w:firstLine="0"/>
              <w:jc w:val="center"/>
              <w:rPr>
                <w:sz w:val="21"/>
                <w:szCs w:val="21"/>
              </w:rPr>
            </w:pPr>
            <w:r>
              <w:rPr>
                <w:sz w:val="21"/>
                <w:szCs w:val="21"/>
              </w:rPr>
              <w:t>长度</w:t>
            </w:r>
          </w:p>
          <w:p w:rsidR="00DB7CC8" w:rsidRDefault="002B5250">
            <w:pPr>
              <w:adjustRightInd w:val="0"/>
              <w:snapToGrid w:val="0"/>
              <w:spacing w:line="240" w:lineRule="auto"/>
              <w:ind w:firstLineChars="0" w:firstLine="0"/>
              <w:jc w:val="center"/>
              <w:rPr>
                <w:sz w:val="21"/>
                <w:szCs w:val="21"/>
              </w:rPr>
            </w:pPr>
            <w:r>
              <w:rPr>
                <w:sz w:val="21"/>
                <w:szCs w:val="21"/>
              </w:rPr>
              <w:t>(m)</w:t>
            </w:r>
          </w:p>
        </w:tc>
        <w:tc>
          <w:tcPr>
            <w:tcW w:w="685" w:type="dxa"/>
            <w:vAlign w:val="center"/>
          </w:tcPr>
          <w:p w:rsidR="00DB7CC8" w:rsidRDefault="002B5250">
            <w:pPr>
              <w:adjustRightInd w:val="0"/>
              <w:snapToGrid w:val="0"/>
              <w:spacing w:line="240" w:lineRule="auto"/>
              <w:ind w:firstLineChars="0" w:firstLine="0"/>
              <w:jc w:val="center"/>
              <w:rPr>
                <w:sz w:val="21"/>
                <w:szCs w:val="21"/>
              </w:rPr>
            </w:pPr>
            <w:r>
              <w:rPr>
                <w:sz w:val="21"/>
                <w:szCs w:val="21"/>
              </w:rPr>
              <w:t>宽度</w:t>
            </w:r>
          </w:p>
          <w:p w:rsidR="00DB7CC8" w:rsidRDefault="002B5250">
            <w:pPr>
              <w:adjustRightInd w:val="0"/>
              <w:snapToGrid w:val="0"/>
              <w:spacing w:line="240" w:lineRule="auto"/>
              <w:ind w:firstLineChars="0" w:firstLine="0"/>
              <w:jc w:val="center"/>
              <w:rPr>
                <w:sz w:val="21"/>
                <w:szCs w:val="21"/>
              </w:rPr>
            </w:pPr>
            <w:r>
              <w:rPr>
                <w:sz w:val="21"/>
                <w:szCs w:val="21"/>
              </w:rPr>
              <w:t>(m)</w:t>
            </w:r>
          </w:p>
        </w:tc>
        <w:tc>
          <w:tcPr>
            <w:tcW w:w="685" w:type="dxa"/>
            <w:vAlign w:val="center"/>
          </w:tcPr>
          <w:p w:rsidR="00DB7CC8" w:rsidRDefault="002B5250">
            <w:pPr>
              <w:adjustRightInd w:val="0"/>
              <w:snapToGrid w:val="0"/>
              <w:spacing w:line="240" w:lineRule="auto"/>
              <w:ind w:firstLineChars="0" w:firstLine="0"/>
              <w:jc w:val="center"/>
              <w:rPr>
                <w:sz w:val="21"/>
                <w:szCs w:val="21"/>
              </w:rPr>
            </w:pPr>
            <w:r>
              <w:rPr>
                <w:sz w:val="21"/>
                <w:szCs w:val="21"/>
              </w:rPr>
              <w:t>有效</w:t>
            </w:r>
          </w:p>
          <w:p w:rsidR="00DB7CC8" w:rsidRDefault="002B5250">
            <w:pPr>
              <w:adjustRightInd w:val="0"/>
              <w:snapToGrid w:val="0"/>
              <w:spacing w:line="240" w:lineRule="auto"/>
              <w:ind w:firstLineChars="0" w:firstLine="0"/>
              <w:jc w:val="center"/>
              <w:rPr>
                <w:sz w:val="21"/>
                <w:szCs w:val="21"/>
              </w:rPr>
            </w:pPr>
            <w:r>
              <w:rPr>
                <w:sz w:val="21"/>
                <w:szCs w:val="21"/>
              </w:rPr>
              <w:t>高度</w:t>
            </w:r>
          </w:p>
          <w:p w:rsidR="00DB7CC8" w:rsidRDefault="002B5250">
            <w:pPr>
              <w:adjustRightInd w:val="0"/>
              <w:snapToGrid w:val="0"/>
              <w:spacing w:line="240" w:lineRule="auto"/>
              <w:ind w:firstLineChars="0" w:firstLine="0"/>
              <w:jc w:val="center"/>
              <w:rPr>
                <w:sz w:val="21"/>
                <w:szCs w:val="21"/>
              </w:rPr>
            </w:pPr>
            <w:r>
              <w:rPr>
                <w:sz w:val="21"/>
                <w:szCs w:val="21"/>
              </w:rPr>
              <w:t>(m)</w:t>
            </w:r>
          </w:p>
        </w:tc>
        <w:tc>
          <w:tcPr>
            <w:tcW w:w="881" w:type="dxa"/>
            <w:vMerge/>
            <w:vAlign w:val="center"/>
          </w:tcPr>
          <w:p w:rsidR="00DB7CC8" w:rsidRDefault="00DB7CC8">
            <w:pPr>
              <w:adjustRightInd w:val="0"/>
              <w:snapToGrid w:val="0"/>
              <w:spacing w:line="240" w:lineRule="auto"/>
              <w:ind w:firstLineChars="0" w:firstLine="0"/>
              <w:jc w:val="center"/>
              <w:rPr>
                <w:sz w:val="21"/>
                <w:szCs w:val="21"/>
              </w:rPr>
            </w:pPr>
          </w:p>
        </w:tc>
        <w:tc>
          <w:tcPr>
            <w:tcW w:w="1010" w:type="dxa"/>
            <w:vMerge/>
            <w:tcBorders>
              <w:right w:val="single" w:sz="4" w:space="0" w:color="auto"/>
            </w:tcBorders>
            <w:vAlign w:val="center"/>
          </w:tcPr>
          <w:p w:rsidR="00DB7CC8" w:rsidRDefault="00DB7CC8">
            <w:pPr>
              <w:adjustRightInd w:val="0"/>
              <w:snapToGrid w:val="0"/>
              <w:spacing w:line="240" w:lineRule="auto"/>
              <w:ind w:firstLineChars="0" w:firstLine="0"/>
              <w:jc w:val="center"/>
              <w:rPr>
                <w:sz w:val="21"/>
                <w:szCs w:val="21"/>
              </w:rPr>
            </w:pPr>
          </w:p>
        </w:tc>
      </w:tr>
      <w:tr w:rsidR="00DB7CC8">
        <w:trPr>
          <w:trHeight w:val="300"/>
        </w:trPr>
        <w:tc>
          <w:tcPr>
            <w:tcW w:w="1375" w:type="dxa"/>
            <w:tcBorders>
              <w:left w:val="single" w:sz="4" w:space="0" w:color="auto"/>
            </w:tcBorders>
            <w:vAlign w:val="center"/>
          </w:tcPr>
          <w:p w:rsidR="00DB7CC8" w:rsidRDefault="002B5250">
            <w:pPr>
              <w:adjustRightInd w:val="0"/>
              <w:snapToGrid w:val="0"/>
              <w:spacing w:line="240" w:lineRule="auto"/>
              <w:ind w:firstLineChars="0" w:firstLine="0"/>
              <w:jc w:val="center"/>
              <w:rPr>
                <w:sz w:val="21"/>
                <w:szCs w:val="21"/>
              </w:rPr>
            </w:pPr>
            <w:r>
              <w:rPr>
                <w:rFonts w:hint="eastAsia"/>
                <w:sz w:val="21"/>
                <w:szCs w:val="21"/>
              </w:rPr>
              <w:t>3</w:t>
            </w:r>
            <w:r>
              <w:rPr>
                <w:sz w:val="21"/>
                <w:szCs w:val="21"/>
              </w:rPr>
              <w:t>#</w:t>
            </w:r>
            <w:r>
              <w:rPr>
                <w:sz w:val="21"/>
                <w:szCs w:val="21"/>
              </w:rPr>
              <w:t>破碎</w:t>
            </w:r>
            <w:r>
              <w:rPr>
                <w:rFonts w:hint="eastAsia"/>
                <w:sz w:val="21"/>
                <w:szCs w:val="21"/>
              </w:rPr>
              <w:t>粗选</w:t>
            </w:r>
            <w:r>
              <w:rPr>
                <w:sz w:val="21"/>
                <w:szCs w:val="21"/>
              </w:rPr>
              <w:t>车间</w:t>
            </w:r>
          </w:p>
        </w:tc>
        <w:tc>
          <w:tcPr>
            <w:tcW w:w="1264" w:type="dxa"/>
            <w:vAlign w:val="center"/>
          </w:tcPr>
          <w:p w:rsidR="00DB7CC8" w:rsidRDefault="002B5250">
            <w:pPr>
              <w:adjustRightInd w:val="0"/>
              <w:snapToGrid w:val="0"/>
              <w:spacing w:line="240" w:lineRule="auto"/>
              <w:ind w:firstLineChars="0" w:firstLine="0"/>
              <w:jc w:val="center"/>
              <w:rPr>
                <w:sz w:val="21"/>
                <w:szCs w:val="21"/>
              </w:rPr>
            </w:pPr>
            <w:r>
              <w:rPr>
                <w:rFonts w:hint="eastAsia"/>
                <w:sz w:val="21"/>
                <w:szCs w:val="21"/>
              </w:rPr>
              <w:t>118.121631</w:t>
            </w:r>
          </w:p>
        </w:tc>
        <w:tc>
          <w:tcPr>
            <w:tcW w:w="1109" w:type="dxa"/>
            <w:vAlign w:val="center"/>
          </w:tcPr>
          <w:p w:rsidR="00DB7CC8" w:rsidRDefault="002B5250">
            <w:pPr>
              <w:adjustRightInd w:val="0"/>
              <w:snapToGrid w:val="0"/>
              <w:spacing w:line="240" w:lineRule="auto"/>
              <w:ind w:firstLineChars="0" w:firstLine="0"/>
              <w:jc w:val="center"/>
              <w:rPr>
                <w:sz w:val="21"/>
                <w:szCs w:val="21"/>
              </w:rPr>
            </w:pPr>
            <w:r>
              <w:rPr>
                <w:rFonts w:hint="eastAsia"/>
                <w:sz w:val="21"/>
                <w:szCs w:val="21"/>
              </w:rPr>
              <w:t>40.185963</w:t>
            </w:r>
          </w:p>
        </w:tc>
        <w:tc>
          <w:tcPr>
            <w:tcW w:w="684" w:type="dxa"/>
            <w:vAlign w:val="center"/>
          </w:tcPr>
          <w:p w:rsidR="00DB7CC8" w:rsidRDefault="002B5250">
            <w:pPr>
              <w:adjustRightInd w:val="0"/>
              <w:snapToGrid w:val="0"/>
              <w:spacing w:line="240" w:lineRule="auto"/>
              <w:ind w:firstLineChars="0" w:firstLine="0"/>
              <w:jc w:val="center"/>
              <w:rPr>
                <w:sz w:val="21"/>
                <w:szCs w:val="21"/>
              </w:rPr>
            </w:pPr>
            <w:r>
              <w:rPr>
                <w:sz w:val="21"/>
                <w:szCs w:val="21"/>
              </w:rPr>
              <w:t>85.0</w:t>
            </w:r>
          </w:p>
        </w:tc>
        <w:tc>
          <w:tcPr>
            <w:tcW w:w="829" w:type="dxa"/>
            <w:vAlign w:val="center"/>
          </w:tcPr>
          <w:p w:rsidR="00DB7CC8" w:rsidRDefault="002B5250">
            <w:pPr>
              <w:adjustRightInd w:val="0"/>
              <w:snapToGrid w:val="0"/>
              <w:spacing w:line="240" w:lineRule="auto"/>
              <w:ind w:firstLineChars="0" w:firstLine="0"/>
              <w:jc w:val="center"/>
              <w:rPr>
                <w:sz w:val="21"/>
                <w:szCs w:val="21"/>
              </w:rPr>
            </w:pPr>
            <w:r>
              <w:rPr>
                <w:rFonts w:hint="eastAsia"/>
                <w:sz w:val="21"/>
                <w:szCs w:val="21"/>
              </w:rPr>
              <w:t>60</w:t>
            </w:r>
          </w:p>
        </w:tc>
        <w:tc>
          <w:tcPr>
            <w:tcW w:w="685" w:type="dxa"/>
            <w:vAlign w:val="center"/>
          </w:tcPr>
          <w:p w:rsidR="00DB7CC8" w:rsidRDefault="002B5250">
            <w:pPr>
              <w:adjustRightInd w:val="0"/>
              <w:snapToGrid w:val="0"/>
              <w:spacing w:line="240" w:lineRule="auto"/>
              <w:ind w:firstLineChars="0" w:firstLine="0"/>
              <w:jc w:val="center"/>
              <w:rPr>
                <w:sz w:val="21"/>
                <w:szCs w:val="21"/>
              </w:rPr>
            </w:pPr>
            <w:r>
              <w:rPr>
                <w:rFonts w:hint="eastAsia"/>
                <w:bCs/>
                <w:sz w:val="21"/>
                <w:szCs w:val="21"/>
              </w:rPr>
              <w:t>25</w:t>
            </w:r>
          </w:p>
        </w:tc>
        <w:tc>
          <w:tcPr>
            <w:tcW w:w="685" w:type="dxa"/>
            <w:vAlign w:val="center"/>
          </w:tcPr>
          <w:p w:rsidR="00DB7CC8" w:rsidRDefault="002B5250">
            <w:pPr>
              <w:adjustRightInd w:val="0"/>
              <w:snapToGrid w:val="0"/>
              <w:spacing w:line="240" w:lineRule="auto"/>
              <w:ind w:firstLineChars="0" w:firstLine="0"/>
              <w:jc w:val="center"/>
              <w:rPr>
                <w:sz w:val="21"/>
                <w:szCs w:val="21"/>
              </w:rPr>
            </w:pPr>
            <w:r>
              <w:rPr>
                <w:sz w:val="21"/>
                <w:szCs w:val="21"/>
              </w:rPr>
              <w:t>12</w:t>
            </w:r>
          </w:p>
        </w:tc>
        <w:tc>
          <w:tcPr>
            <w:tcW w:w="881" w:type="dxa"/>
            <w:vAlign w:val="center"/>
          </w:tcPr>
          <w:p w:rsidR="00DB7CC8" w:rsidRDefault="002B5250">
            <w:pPr>
              <w:adjustRightInd w:val="0"/>
              <w:snapToGrid w:val="0"/>
              <w:spacing w:line="240" w:lineRule="auto"/>
              <w:ind w:firstLineChars="0" w:firstLine="0"/>
              <w:jc w:val="center"/>
              <w:rPr>
                <w:sz w:val="21"/>
                <w:szCs w:val="21"/>
              </w:rPr>
            </w:pPr>
            <w:r>
              <w:rPr>
                <w:sz w:val="21"/>
                <w:szCs w:val="21"/>
              </w:rPr>
              <w:t>TSP</w:t>
            </w:r>
          </w:p>
        </w:tc>
        <w:tc>
          <w:tcPr>
            <w:tcW w:w="1010" w:type="dxa"/>
            <w:tcBorders>
              <w:right w:val="single" w:sz="4" w:space="0" w:color="auto"/>
            </w:tcBorders>
            <w:vAlign w:val="center"/>
          </w:tcPr>
          <w:p w:rsidR="00DB7CC8" w:rsidRDefault="002B5250">
            <w:pPr>
              <w:adjustRightInd w:val="0"/>
              <w:snapToGrid w:val="0"/>
              <w:spacing w:line="240" w:lineRule="auto"/>
              <w:ind w:firstLineChars="0" w:firstLine="0"/>
              <w:jc w:val="center"/>
              <w:rPr>
                <w:sz w:val="21"/>
                <w:szCs w:val="21"/>
              </w:rPr>
            </w:pPr>
            <w:r>
              <w:rPr>
                <w:sz w:val="21"/>
                <w:szCs w:val="21"/>
              </w:rPr>
              <w:t>0.0</w:t>
            </w:r>
            <w:r>
              <w:rPr>
                <w:rFonts w:hint="eastAsia"/>
                <w:sz w:val="21"/>
                <w:szCs w:val="21"/>
              </w:rPr>
              <w:t>75</w:t>
            </w:r>
          </w:p>
        </w:tc>
      </w:tr>
      <w:tr w:rsidR="00DB7CC8">
        <w:trPr>
          <w:trHeight w:val="300"/>
        </w:trPr>
        <w:tc>
          <w:tcPr>
            <w:tcW w:w="1375" w:type="dxa"/>
            <w:tcBorders>
              <w:left w:val="single" w:sz="4" w:space="0" w:color="auto"/>
            </w:tcBorders>
            <w:vAlign w:val="center"/>
          </w:tcPr>
          <w:p w:rsidR="00DB7CC8" w:rsidRDefault="002B5250">
            <w:pPr>
              <w:adjustRightInd w:val="0"/>
              <w:snapToGrid w:val="0"/>
              <w:spacing w:line="240" w:lineRule="auto"/>
              <w:ind w:firstLineChars="0" w:firstLine="0"/>
              <w:jc w:val="center"/>
              <w:rPr>
                <w:sz w:val="21"/>
                <w:szCs w:val="21"/>
              </w:rPr>
            </w:pPr>
            <w:r>
              <w:rPr>
                <w:rFonts w:hint="eastAsia"/>
                <w:sz w:val="21"/>
                <w:szCs w:val="21"/>
              </w:rPr>
              <w:t>成品库</w:t>
            </w:r>
          </w:p>
        </w:tc>
        <w:tc>
          <w:tcPr>
            <w:tcW w:w="1264" w:type="dxa"/>
          </w:tcPr>
          <w:p w:rsidR="00DB7CC8" w:rsidRDefault="002B5250">
            <w:pPr>
              <w:adjustRightInd w:val="0"/>
              <w:snapToGrid w:val="0"/>
              <w:spacing w:line="240" w:lineRule="auto"/>
              <w:ind w:firstLineChars="0" w:firstLine="0"/>
              <w:jc w:val="center"/>
              <w:rPr>
                <w:sz w:val="21"/>
                <w:szCs w:val="21"/>
              </w:rPr>
            </w:pPr>
            <w:r>
              <w:rPr>
                <w:rFonts w:hint="eastAsia"/>
                <w:sz w:val="21"/>
                <w:szCs w:val="21"/>
              </w:rPr>
              <w:t>118.11989</w:t>
            </w:r>
            <w:r>
              <w:rPr>
                <w:rFonts w:hint="eastAsia"/>
                <w:sz w:val="21"/>
                <w:szCs w:val="21"/>
              </w:rPr>
              <w:t>8</w:t>
            </w:r>
          </w:p>
        </w:tc>
        <w:tc>
          <w:tcPr>
            <w:tcW w:w="1109" w:type="dxa"/>
          </w:tcPr>
          <w:p w:rsidR="00DB7CC8" w:rsidRDefault="002B5250">
            <w:pPr>
              <w:adjustRightInd w:val="0"/>
              <w:snapToGrid w:val="0"/>
              <w:spacing w:line="240" w:lineRule="auto"/>
              <w:ind w:firstLineChars="0" w:firstLine="0"/>
              <w:jc w:val="center"/>
              <w:rPr>
                <w:sz w:val="21"/>
                <w:szCs w:val="21"/>
              </w:rPr>
            </w:pPr>
            <w:r>
              <w:rPr>
                <w:rFonts w:hint="eastAsia"/>
                <w:sz w:val="21"/>
                <w:szCs w:val="21"/>
              </w:rPr>
              <w:t>40.186184</w:t>
            </w:r>
          </w:p>
        </w:tc>
        <w:tc>
          <w:tcPr>
            <w:tcW w:w="684" w:type="dxa"/>
          </w:tcPr>
          <w:p w:rsidR="00DB7CC8" w:rsidRDefault="002B5250">
            <w:pPr>
              <w:adjustRightInd w:val="0"/>
              <w:snapToGrid w:val="0"/>
              <w:spacing w:line="240" w:lineRule="auto"/>
              <w:ind w:firstLineChars="0" w:firstLine="0"/>
              <w:jc w:val="center"/>
              <w:rPr>
                <w:sz w:val="21"/>
                <w:szCs w:val="21"/>
              </w:rPr>
            </w:pPr>
            <w:r>
              <w:rPr>
                <w:sz w:val="21"/>
                <w:szCs w:val="21"/>
              </w:rPr>
              <w:t>85.0</w:t>
            </w:r>
          </w:p>
        </w:tc>
        <w:tc>
          <w:tcPr>
            <w:tcW w:w="829" w:type="dxa"/>
            <w:vAlign w:val="center"/>
          </w:tcPr>
          <w:p w:rsidR="00DB7CC8" w:rsidRDefault="002B5250">
            <w:pPr>
              <w:adjustRightInd w:val="0"/>
              <w:snapToGrid w:val="0"/>
              <w:spacing w:line="240" w:lineRule="auto"/>
              <w:ind w:firstLineChars="0" w:firstLine="0"/>
              <w:jc w:val="center"/>
              <w:rPr>
                <w:sz w:val="21"/>
                <w:szCs w:val="21"/>
              </w:rPr>
            </w:pPr>
            <w:r>
              <w:rPr>
                <w:rFonts w:hint="eastAsia"/>
                <w:sz w:val="21"/>
                <w:szCs w:val="21"/>
              </w:rPr>
              <w:t>40</w:t>
            </w:r>
          </w:p>
        </w:tc>
        <w:tc>
          <w:tcPr>
            <w:tcW w:w="685" w:type="dxa"/>
            <w:vAlign w:val="center"/>
          </w:tcPr>
          <w:p w:rsidR="00DB7CC8" w:rsidRDefault="002B5250">
            <w:pPr>
              <w:adjustRightInd w:val="0"/>
              <w:snapToGrid w:val="0"/>
              <w:spacing w:line="240" w:lineRule="auto"/>
              <w:ind w:firstLineChars="0" w:firstLine="0"/>
              <w:jc w:val="center"/>
              <w:rPr>
                <w:bCs/>
                <w:sz w:val="21"/>
                <w:szCs w:val="21"/>
              </w:rPr>
            </w:pPr>
            <w:r>
              <w:rPr>
                <w:rFonts w:hint="eastAsia"/>
                <w:bCs/>
                <w:sz w:val="21"/>
                <w:szCs w:val="21"/>
              </w:rPr>
              <w:t>25</w:t>
            </w:r>
          </w:p>
        </w:tc>
        <w:tc>
          <w:tcPr>
            <w:tcW w:w="685" w:type="dxa"/>
            <w:vAlign w:val="center"/>
          </w:tcPr>
          <w:p w:rsidR="00DB7CC8" w:rsidRDefault="002B5250">
            <w:pPr>
              <w:adjustRightInd w:val="0"/>
              <w:snapToGrid w:val="0"/>
              <w:spacing w:line="240" w:lineRule="auto"/>
              <w:ind w:firstLineChars="0" w:firstLine="0"/>
              <w:jc w:val="center"/>
              <w:rPr>
                <w:sz w:val="21"/>
                <w:szCs w:val="21"/>
              </w:rPr>
            </w:pPr>
            <w:r>
              <w:rPr>
                <w:rFonts w:hint="eastAsia"/>
                <w:sz w:val="21"/>
                <w:szCs w:val="21"/>
              </w:rPr>
              <w:t>11</w:t>
            </w:r>
          </w:p>
        </w:tc>
        <w:tc>
          <w:tcPr>
            <w:tcW w:w="881" w:type="dxa"/>
          </w:tcPr>
          <w:p w:rsidR="00DB7CC8" w:rsidRDefault="002B5250">
            <w:pPr>
              <w:adjustRightInd w:val="0"/>
              <w:snapToGrid w:val="0"/>
              <w:spacing w:line="240" w:lineRule="auto"/>
              <w:ind w:firstLineChars="0" w:firstLine="0"/>
              <w:jc w:val="center"/>
              <w:rPr>
                <w:sz w:val="21"/>
                <w:szCs w:val="21"/>
              </w:rPr>
            </w:pPr>
            <w:r>
              <w:rPr>
                <w:sz w:val="21"/>
                <w:szCs w:val="21"/>
              </w:rPr>
              <w:t>TSP</w:t>
            </w:r>
          </w:p>
        </w:tc>
        <w:tc>
          <w:tcPr>
            <w:tcW w:w="1010" w:type="dxa"/>
            <w:tcBorders>
              <w:right w:val="single" w:sz="4" w:space="0" w:color="auto"/>
            </w:tcBorders>
            <w:vAlign w:val="center"/>
          </w:tcPr>
          <w:p w:rsidR="00DB7CC8" w:rsidRDefault="002B5250">
            <w:pPr>
              <w:adjustRightInd w:val="0"/>
              <w:snapToGrid w:val="0"/>
              <w:spacing w:line="240" w:lineRule="auto"/>
              <w:ind w:firstLineChars="0" w:firstLine="0"/>
              <w:jc w:val="center"/>
              <w:rPr>
                <w:sz w:val="21"/>
                <w:szCs w:val="21"/>
              </w:rPr>
            </w:pPr>
            <w:r>
              <w:rPr>
                <w:rFonts w:hint="eastAsia"/>
                <w:sz w:val="21"/>
                <w:szCs w:val="21"/>
              </w:rPr>
              <w:t>0.21</w:t>
            </w:r>
          </w:p>
        </w:tc>
      </w:tr>
    </w:tbl>
    <w:p w:rsidR="00DB7CC8" w:rsidRDefault="002B5250">
      <w:pPr>
        <w:ind w:firstLine="480"/>
        <w:rPr>
          <w:sz w:val="24"/>
          <w:szCs w:val="24"/>
        </w:rPr>
      </w:pPr>
      <w:r>
        <w:rPr>
          <w:rFonts w:hint="eastAsia"/>
          <w:sz w:val="24"/>
          <w:szCs w:val="24"/>
        </w:rPr>
        <w:t>②</w:t>
      </w:r>
      <w:r>
        <w:rPr>
          <w:sz w:val="24"/>
          <w:szCs w:val="24"/>
        </w:rPr>
        <w:t>根据估算模式计算结果，计算污染物的最大地面浓度占标率</w:t>
      </w:r>
      <w:r>
        <w:rPr>
          <w:sz w:val="24"/>
          <w:szCs w:val="24"/>
        </w:rPr>
        <w:t>Pi</w:t>
      </w:r>
      <w:r>
        <w:rPr>
          <w:sz w:val="24"/>
          <w:szCs w:val="24"/>
        </w:rPr>
        <w:t>，及该污染物的地面浓度达标准限值</w:t>
      </w:r>
      <w:r>
        <w:rPr>
          <w:sz w:val="24"/>
          <w:szCs w:val="24"/>
        </w:rPr>
        <w:t>10%</w:t>
      </w:r>
      <w:r>
        <w:rPr>
          <w:sz w:val="24"/>
          <w:szCs w:val="24"/>
        </w:rPr>
        <w:t>时所对应的最远距离</w:t>
      </w:r>
      <w:r>
        <w:rPr>
          <w:sz w:val="24"/>
          <w:szCs w:val="24"/>
        </w:rPr>
        <w:t>D</w:t>
      </w:r>
      <w:r>
        <w:rPr>
          <w:sz w:val="24"/>
          <w:szCs w:val="24"/>
          <w:vertAlign w:val="subscript"/>
        </w:rPr>
        <w:t>10%</w:t>
      </w:r>
      <w:r>
        <w:rPr>
          <w:sz w:val="24"/>
          <w:szCs w:val="24"/>
        </w:rPr>
        <w:t>。计算公式为：</w:t>
      </w:r>
    </w:p>
    <w:p w:rsidR="00DB7CC8" w:rsidRDefault="002B5250">
      <w:pPr>
        <w:ind w:firstLineChars="0" w:firstLine="0"/>
        <w:jc w:val="center"/>
        <w:rPr>
          <w:sz w:val="24"/>
          <w:szCs w:val="24"/>
        </w:rPr>
      </w:pPr>
      <w:r>
        <w:rPr>
          <w:noProof/>
          <w:sz w:val="24"/>
          <w:szCs w:val="24"/>
        </w:rPr>
        <w:drawing>
          <wp:inline distT="0" distB="0" distL="0" distR="0">
            <wp:extent cx="914400" cy="396240"/>
            <wp:effectExtent l="0" t="0" r="0" b="317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18" cstate="print"/>
                    <a:srcRect/>
                    <a:stretch>
                      <a:fillRect/>
                    </a:stretch>
                  </pic:blipFill>
                  <pic:spPr>
                    <a:xfrm>
                      <a:off x="0" y="0"/>
                      <a:ext cx="914400" cy="396240"/>
                    </a:xfrm>
                    <a:prstGeom prst="rect">
                      <a:avLst/>
                    </a:prstGeom>
                    <a:noFill/>
                    <a:ln w="9525">
                      <a:noFill/>
                      <a:miter lim="800000"/>
                      <a:headEnd/>
                      <a:tailEnd/>
                    </a:ln>
                  </pic:spPr>
                </pic:pic>
              </a:graphicData>
            </a:graphic>
          </wp:inline>
        </w:drawing>
      </w:r>
    </w:p>
    <w:p w:rsidR="00DB7CC8" w:rsidRDefault="002B5250">
      <w:pPr>
        <w:ind w:firstLine="480"/>
        <w:rPr>
          <w:sz w:val="24"/>
          <w:szCs w:val="24"/>
        </w:rPr>
      </w:pPr>
      <w:r>
        <w:rPr>
          <w:sz w:val="24"/>
          <w:szCs w:val="24"/>
        </w:rPr>
        <w:t>式中：</w:t>
      </w:r>
    </w:p>
    <w:p w:rsidR="00DB7CC8" w:rsidRDefault="002B5250">
      <w:pPr>
        <w:ind w:firstLine="480"/>
        <w:rPr>
          <w:sz w:val="24"/>
          <w:szCs w:val="24"/>
        </w:rPr>
      </w:pPr>
      <w:r>
        <w:rPr>
          <w:i/>
          <w:sz w:val="24"/>
          <w:szCs w:val="24"/>
        </w:rPr>
        <w:t>P</w:t>
      </w:r>
      <w:r>
        <w:rPr>
          <w:sz w:val="24"/>
          <w:szCs w:val="24"/>
          <w:vertAlign w:val="subscript"/>
        </w:rPr>
        <w:t>i</w:t>
      </w:r>
      <w:r>
        <w:rPr>
          <w:sz w:val="24"/>
          <w:szCs w:val="24"/>
        </w:rPr>
        <w:t>——</w:t>
      </w:r>
      <w:r>
        <w:rPr>
          <w:sz w:val="24"/>
          <w:szCs w:val="24"/>
        </w:rPr>
        <w:t>第</w:t>
      </w:r>
      <w:r>
        <w:rPr>
          <w:i/>
          <w:sz w:val="24"/>
          <w:szCs w:val="24"/>
        </w:rPr>
        <w:t>i</w:t>
      </w:r>
      <w:r>
        <w:rPr>
          <w:sz w:val="24"/>
          <w:szCs w:val="24"/>
        </w:rPr>
        <w:t>个污染物的最大地面空气质量浓度占标率，</w:t>
      </w:r>
      <w:r>
        <w:rPr>
          <w:sz w:val="24"/>
          <w:szCs w:val="24"/>
        </w:rPr>
        <w:t>%</w:t>
      </w:r>
      <w:r>
        <w:rPr>
          <w:sz w:val="24"/>
          <w:szCs w:val="24"/>
        </w:rPr>
        <w:t>；</w:t>
      </w:r>
    </w:p>
    <w:p w:rsidR="00DB7CC8" w:rsidRDefault="002B5250">
      <w:pPr>
        <w:ind w:firstLine="480"/>
        <w:rPr>
          <w:sz w:val="24"/>
          <w:szCs w:val="24"/>
        </w:rPr>
      </w:pPr>
      <w:r>
        <w:rPr>
          <w:i/>
          <w:sz w:val="24"/>
          <w:szCs w:val="24"/>
        </w:rPr>
        <w:t>C</w:t>
      </w:r>
      <w:r>
        <w:rPr>
          <w:sz w:val="24"/>
          <w:szCs w:val="24"/>
          <w:vertAlign w:val="subscript"/>
        </w:rPr>
        <w:t>i</w:t>
      </w:r>
      <w:r>
        <w:rPr>
          <w:sz w:val="24"/>
          <w:szCs w:val="24"/>
        </w:rPr>
        <w:t>——</w:t>
      </w:r>
      <w:r>
        <w:rPr>
          <w:sz w:val="24"/>
          <w:szCs w:val="24"/>
        </w:rPr>
        <w:t>采用估算模式计算出的第</w:t>
      </w:r>
      <w:r>
        <w:rPr>
          <w:i/>
          <w:sz w:val="24"/>
          <w:szCs w:val="24"/>
        </w:rPr>
        <w:t>i</w:t>
      </w:r>
      <w:r>
        <w:rPr>
          <w:sz w:val="24"/>
          <w:szCs w:val="24"/>
        </w:rPr>
        <w:t>个污染物的最大</w:t>
      </w:r>
      <w:r>
        <w:rPr>
          <w:sz w:val="24"/>
          <w:szCs w:val="24"/>
        </w:rPr>
        <w:t>1h</w:t>
      </w:r>
      <w:r>
        <w:rPr>
          <w:sz w:val="24"/>
          <w:szCs w:val="24"/>
        </w:rPr>
        <w:t>地面空气质量浓度，</w:t>
      </w:r>
      <w:r>
        <w:rPr>
          <w:sz w:val="24"/>
          <w:szCs w:val="24"/>
        </w:rPr>
        <w:t>μg/m</w:t>
      </w:r>
      <w:r>
        <w:rPr>
          <w:sz w:val="24"/>
          <w:szCs w:val="24"/>
          <w:vertAlign w:val="superscript"/>
        </w:rPr>
        <w:t>3</w:t>
      </w:r>
      <w:r>
        <w:rPr>
          <w:sz w:val="24"/>
          <w:szCs w:val="24"/>
        </w:rPr>
        <w:t>；</w:t>
      </w:r>
    </w:p>
    <w:p w:rsidR="00DB7CC8" w:rsidRDefault="002B5250">
      <w:pPr>
        <w:ind w:firstLine="480"/>
        <w:rPr>
          <w:sz w:val="24"/>
          <w:szCs w:val="24"/>
        </w:rPr>
      </w:pPr>
      <w:r>
        <w:rPr>
          <w:i/>
          <w:sz w:val="24"/>
          <w:szCs w:val="24"/>
        </w:rPr>
        <w:t>C</w:t>
      </w:r>
      <w:r>
        <w:rPr>
          <w:sz w:val="24"/>
          <w:szCs w:val="24"/>
          <w:vertAlign w:val="subscript"/>
        </w:rPr>
        <w:t>0i</w:t>
      </w:r>
      <w:r>
        <w:rPr>
          <w:sz w:val="24"/>
          <w:szCs w:val="24"/>
        </w:rPr>
        <w:t>——</w:t>
      </w:r>
      <w:r>
        <w:rPr>
          <w:sz w:val="24"/>
          <w:szCs w:val="24"/>
        </w:rPr>
        <w:t>第</w:t>
      </w:r>
      <w:r>
        <w:rPr>
          <w:i/>
          <w:sz w:val="24"/>
          <w:szCs w:val="24"/>
        </w:rPr>
        <w:t>i</w:t>
      </w:r>
      <w:r>
        <w:rPr>
          <w:sz w:val="24"/>
          <w:szCs w:val="24"/>
        </w:rPr>
        <w:t>个污染物的环境空气质量浓度标准，</w:t>
      </w:r>
      <w:r>
        <w:rPr>
          <w:sz w:val="24"/>
          <w:szCs w:val="24"/>
        </w:rPr>
        <w:t>μg/m</w:t>
      </w:r>
      <w:r>
        <w:rPr>
          <w:sz w:val="24"/>
          <w:szCs w:val="24"/>
          <w:vertAlign w:val="superscript"/>
        </w:rPr>
        <w:t>3</w:t>
      </w:r>
      <w:r>
        <w:rPr>
          <w:sz w:val="24"/>
          <w:szCs w:val="24"/>
        </w:rPr>
        <w:t>。</w:t>
      </w:r>
    </w:p>
    <w:p w:rsidR="00DB7CC8" w:rsidRDefault="002B5250">
      <w:pPr>
        <w:ind w:firstLine="480"/>
        <w:rPr>
          <w:sz w:val="24"/>
          <w:szCs w:val="24"/>
        </w:rPr>
      </w:pPr>
      <w:r>
        <w:rPr>
          <w:i/>
          <w:sz w:val="24"/>
          <w:szCs w:val="24"/>
        </w:rPr>
        <w:t>C</w:t>
      </w:r>
      <w:r>
        <w:rPr>
          <w:sz w:val="24"/>
          <w:szCs w:val="24"/>
          <w:vertAlign w:val="subscript"/>
        </w:rPr>
        <w:t>0i</w:t>
      </w:r>
      <w:r>
        <w:rPr>
          <w:sz w:val="24"/>
          <w:szCs w:val="24"/>
        </w:rPr>
        <w:t>一般选用</w:t>
      </w:r>
      <w:r>
        <w:rPr>
          <w:sz w:val="24"/>
          <w:szCs w:val="24"/>
        </w:rPr>
        <w:t>GB 3095</w:t>
      </w:r>
      <w:r>
        <w:rPr>
          <w:sz w:val="24"/>
          <w:szCs w:val="24"/>
        </w:rPr>
        <w:t>中</w:t>
      </w:r>
      <w:r>
        <w:rPr>
          <w:sz w:val="24"/>
          <w:szCs w:val="24"/>
        </w:rPr>
        <w:t>1h</w:t>
      </w:r>
      <w:r>
        <w:rPr>
          <w:sz w:val="24"/>
          <w:szCs w:val="24"/>
        </w:rPr>
        <w:t>平均质量浓度的二级浓度限值；对于没有</w:t>
      </w:r>
      <w:r>
        <w:rPr>
          <w:sz w:val="24"/>
          <w:szCs w:val="24"/>
        </w:rPr>
        <w:t>1h</w:t>
      </w:r>
      <w:r>
        <w:rPr>
          <w:sz w:val="24"/>
          <w:szCs w:val="24"/>
        </w:rPr>
        <w:t>平均质量浓度限值的污染物，可取日平均浓度限值的</w:t>
      </w:r>
      <w:r>
        <w:rPr>
          <w:sz w:val="24"/>
          <w:szCs w:val="24"/>
        </w:rPr>
        <w:t>3</w:t>
      </w:r>
      <w:r>
        <w:rPr>
          <w:sz w:val="24"/>
          <w:szCs w:val="24"/>
        </w:rPr>
        <w:t>倍值。</w:t>
      </w:r>
    </w:p>
    <w:p w:rsidR="00DB7CC8" w:rsidRDefault="002B5250">
      <w:pPr>
        <w:ind w:firstLine="480"/>
        <w:rPr>
          <w:sz w:val="24"/>
          <w:szCs w:val="24"/>
        </w:rPr>
      </w:pPr>
      <w:r>
        <w:rPr>
          <w:sz w:val="24"/>
          <w:szCs w:val="24"/>
        </w:rPr>
        <w:lastRenderedPageBreak/>
        <w:t>按照《环境影响评价技术导则</w:t>
      </w:r>
      <w:r>
        <w:rPr>
          <w:sz w:val="24"/>
          <w:szCs w:val="24"/>
        </w:rPr>
        <w:t>—</w:t>
      </w:r>
      <w:r>
        <w:rPr>
          <w:sz w:val="24"/>
          <w:szCs w:val="24"/>
        </w:rPr>
        <w:t>大气环境》（</w:t>
      </w:r>
      <w:r>
        <w:rPr>
          <w:sz w:val="24"/>
          <w:szCs w:val="24"/>
        </w:rPr>
        <w:t>HJ2.2—2018</w:t>
      </w:r>
      <w:r>
        <w:rPr>
          <w:sz w:val="24"/>
          <w:szCs w:val="24"/>
        </w:rPr>
        <w:t>）中估算模式及参数，计算生产过程产生的颗粒物的落地浓度及出现距离，计算结果见</w:t>
      </w:r>
      <w:r>
        <w:rPr>
          <w:rFonts w:hint="eastAsia"/>
          <w:sz w:val="24"/>
          <w:szCs w:val="24"/>
        </w:rPr>
        <w:t>表</w:t>
      </w:r>
      <w:r>
        <w:rPr>
          <w:rFonts w:hint="eastAsia"/>
          <w:sz w:val="24"/>
          <w:szCs w:val="24"/>
        </w:rPr>
        <w:t>2.4-5</w:t>
      </w:r>
      <w:r>
        <w:rPr>
          <w:sz w:val="24"/>
          <w:szCs w:val="24"/>
        </w:rPr>
        <w:t>。</w:t>
      </w:r>
    </w:p>
    <w:p w:rsidR="00DB7CC8" w:rsidRDefault="002B5250">
      <w:pPr>
        <w:spacing w:line="240" w:lineRule="auto"/>
        <w:ind w:firstLineChars="0"/>
        <w:jc w:val="center"/>
        <w:textAlignment w:val="auto"/>
        <w:rPr>
          <w:rFonts w:eastAsia="黑体"/>
          <w:kern w:val="2"/>
          <w:sz w:val="21"/>
          <w:szCs w:val="21"/>
        </w:rPr>
      </w:pPr>
      <w:r>
        <w:rPr>
          <w:rFonts w:eastAsia="黑体"/>
          <w:kern w:val="2"/>
          <w:sz w:val="21"/>
          <w:szCs w:val="21"/>
        </w:rPr>
        <w:t>表</w:t>
      </w:r>
      <w:r>
        <w:rPr>
          <w:rFonts w:eastAsia="黑体"/>
          <w:kern w:val="2"/>
          <w:sz w:val="21"/>
          <w:szCs w:val="21"/>
        </w:rPr>
        <w:t>2.</w:t>
      </w:r>
      <w:r>
        <w:rPr>
          <w:rFonts w:eastAsia="黑体" w:hint="eastAsia"/>
          <w:kern w:val="2"/>
          <w:sz w:val="21"/>
          <w:szCs w:val="21"/>
        </w:rPr>
        <w:t>4</w:t>
      </w:r>
      <w:r>
        <w:rPr>
          <w:rFonts w:eastAsia="黑体"/>
          <w:kern w:val="2"/>
          <w:sz w:val="21"/>
          <w:szCs w:val="21"/>
        </w:rPr>
        <w:t>-</w:t>
      </w:r>
      <w:r>
        <w:rPr>
          <w:rFonts w:eastAsia="黑体" w:hint="eastAsia"/>
          <w:kern w:val="2"/>
          <w:sz w:val="21"/>
          <w:szCs w:val="21"/>
        </w:rPr>
        <w:t>5</w:t>
      </w:r>
      <w:r>
        <w:rPr>
          <w:rFonts w:eastAsia="黑体"/>
          <w:kern w:val="2"/>
          <w:sz w:val="21"/>
          <w:szCs w:val="21"/>
        </w:rPr>
        <w:t xml:space="preserve">  </w:t>
      </w:r>
      <w:r>
        <w:rPr>
          <w:rFonts w:eastAsia="黑体"/>
          <w:kern w:val="2"/>
          <w:sz w:val="21"/>
          <w:szCs w:val="21"/>
        </w:rPr>
        <w:t>估算模式计算结果</w:t>
      </w:r>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Look w:val="04A0" w:firstRow="1" w:lastRow="0" w:firstColumn="1" w:lastColumn="0" w:noHBand="0" w:noVBand="1"/>
      </w:tblPr>
      <w:tblGrid>
        <w:gridCol w:w="1848"/>
        <w:gridCol w:w="1243"/>
        <w:gridCol w:w="1514"/>
        <w:gridCol w:w="1611"/>
        <w:gridCol w:w="1197"/>
        <w:gridCol w:w="1091"/>
      </w:tblGrid>
      <w:tr w:rsidR="00DB7CC8">
        <w:trPr>
          <w:trHeight w:val="800"/>
        </w:trPr>
        <w:tc>
          <w:tcPr>
            <w:tcW w:w="1848" w:type="dxa"/>
            <w:vAlign w:val="center"/>
          </w:tcPr>
          <w:p w:rsidR="00DB7CC8" w:rsidRDefault="002B5250">
            <w:pPr>
              <w:widowControl/>
              <w:spacing w:line="240" w:lineRule="auto"/>
              <w:ind w:firstLineChars="0" w:firstLine="0"/>
              <w:jc w:val="center"/>
              <w:textAlignment w:val="auto"/>
              <w:rPr>
                <w:sz w:val="21"/>
                <w:szCs w:val="21"/>
              </w:rPr>
            </w:pPr>
            <w:r>
              <w:rPr>
                <w:sz w:val="21"/>
                <w:szCs w:val="21"/>
              </w:rPr>
              <w:t>污染源名称</w:t>
            </w:r>
          </w:p>
        </w:tc>
        <w:tc>
          <w:tcPr>
            <w:tcW w:w="1243" w:type="dxa"/>
            <w:vAlign w:val="center"/>
          </w:tcPr>
          <w:p w:rsidR="00DB7CC8" w:rsidRDefault="002B5250">
            <w:pPr>
              <w:widowControl/>
              <w:spacing w:line="240" w:lineRule="auto"/>
              <w:ind w:firstLineChars="0" w:firstLine="0"/>
              <w:jc w:val="center"/>
              <w:textAlignment w:val="auto"/>
              <w:rPr>
                <w:sz w:val="21"/>
                <w:szCs w:val="21"/>
              </w:rPr>
            </w:pPr>
            <w:r>
              <w:rPr>
                <w:sz w:val="21"/>
                <w:szCs w:val="21"/>
              </w:rPr>
              <w:t>评价因子</w:t>
            </w:r>
          </w:p>
        </w:tc>
        <w:tc>
          <w:tcPr>
            <w:tcW w:w="1514" w:type="dxa"/>
            <w:vAlign w:val="center"/>
          </w:tcPr>
          <w:p w:rsidR="00DB7CC8" w:rsidRDefault="002B5250">
            <w:pPr>
              <w:widowControl/>
              <w:spacing w:line="240" w:lineRule="auto"/>
              <w:ind w:firstLineChars="0" w:firstLine="0"/>
              <w:jc w:val="center"/>
              <w:textAlignment w:val="auto"/>
              <w:rPr>
                <w:sz w:val="21"/>
                <w:szCs w:val="21"/>
              </w:rPr>
            </w:pPr>
            <w:r>
              <w:rPr>
                <w:sz w:val="21"/>
                <w:szCs w:val="21"/>
              </w:rPr>
              <w:t>评价标准</w:t>
            </w:r>
            <w:r>
              <w:rPr>
                <w:sz w:val="21"/>
                <w:szCs w:val="21"/>
              </w:rPr>
              <w:t>(μg/m³)</w:t>
            </w:r>
          </w:p>
        </w:tc>
        <w:tc>
          <w:tcPr>
            <w:tcW w:w="1611" w:type="dxa"/>
            <w:vAlign w:val="center"/>
          </w:tcPr>
          <w:p w:rsidR="00DB7CC8" w:rsidRDefault="002B5250">
            <w:pPr>
              <w:widowControl/>
              <w:spacing w:line="240" w:lineRule="auto"/>
              <w:ind w:firstLineChars="0" w:firstLine="0"/>
              <w:jc w:val="center"/>
              <w:textAlignment w:val="auto"/>
              <w:rPr>
                <w:sz w:val="21"/>
                <w:szCs w:val="21"/>
              </w:rPr>
            </w:pPr>
            <w:r>
              <w:rPr>
                <w:sz w:val="21"/>
                <w:szCs w:val="21"/>
              </w:rPr>
              <w:t>Cmax(μg/m³)</w:t>
            </w:r>
          </w:p>
        </w:tc>
        <w:tc>
          <w:tcPr>
            <w:tcW w:w="1197" w:type="dxa"/>
            <w:vAlign w:val="center"/>
          </w:tcPr>
          <w:p w:rsidR="00DB7CC8" w:rsidRDefault="002B5250">
            <w:pPr>
              <w:widowControl/>
              <w:spacing w:line="240" w:lineRule="auto"/>
              <w:ind w:firstLineChars="0" w:firstLine="0"/>
              <w:jc w:val="center"/>
              <w:textAlignment w:val="auto"/>
              <w:rPr>
                <w:sz w:val="21"/>
                <w:szCs w:val="21"/>
              </w:rPr>
            </w:pPr>
            <w:r>
              <w:rPr>
                <w:sz w:val="21"/>
                <w:szCs w:val="21"/>
              </w:rPr>
              <w:t>Pmax(%)</w:t>
            </w:r>
          </w:p>
        </w:tc>
        <w:tc>
          <w:tcPr>
            <w:tcW w:w="1091" w:type="dxa"/>
            <w:vAlign w:val="center"/>
          </w:tcPr>
          <w:p w:rsidR="00DB7CC8" w:rsidRDefault="002B5250">
            <w:pPr>
              <w:widowControl/>
              <w:spacing w:line="240" w:lineRule="auto"/>
              <w:ind w:firstLineChars="0" w:firstLine="0"/>
              <w:jc w:val="center"/>
              <w:textAlignment w:val="auto"/>
              <w:rPr>
                <w:sz w:val="21"/>
                <w:szCs w:val="21"/>
              </w:rPr>
            </w:pPr>
            <w:r>
              <w:rPr>
                <w:sz w:val="21"/>
                <w:szCs w:val="21"/>
              </w:rPr>
              <w:t>D10%(m)</w:t>
            </w:r>
          </w:p>
        </w:tc>
      </w:tr>
      <w:tr w:rsidR="00DB7CC8">
        <w:trPr>
          <w:trHeight w:val="327"/>
        </w:trPr>
        <w:tc>
          <w:tcPr>
            <w:tcW w:w="1848" w:type="dxa"/>
            <w:vMerge w:val="restart"/>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3#</w:t>
            </w:r>
            <w:r>
              <w:rPr>
                <w:rFonts w:hint="eastAsia"/>
                <w:sz w:val="21"/>
                <w:szCs w:val="21"/>
              </w:rPr>
              <w:t>破碎</w:t>
            </w:r>
            <w:r>
              <w:rPr>
                <w:sz w:val="21"/>
                <w:szCs w:val="21"/>
              </w:rPr>
              <w:t>粗选生产线</w:t>
            </w:r>
            <w:r>
              <w:rPr>
                <w:sz w:val="21"/>
                <w:szCs w:val="21"/>
              </w:rPr>
              <w:t>（</w:t>
            </w:r>
            <w:r>
              <w:rPr>
                <w:sz w:val="21"/>
                <w:szCs w:val="21"/>
              </w:rPr>
              <w:t>P1</w:t>
            </w:r>
            <w:r>
              <w:rPr>
                <w:sz w:val="21"/>
                <w:szCs w:val="21"/>
              </w:rPr>
              <w:t>）</w:t>
            </w:r>
          </w:p>
        </w:tc>
        <w:tc>
          <w:tcPr>
            <w:tcW w:w="1243" w:type="dxa"/>
            <w:vAlign w:val="center"/>
          </w:tcPr>
          <w:p w:rsidR="00DB7CC8" w:rsidRDefault="002B5250">
            <w:pPr>
              <w:widowControl/>
              <w:spacing w:line="240" w:lineRule="auto"/>
              <w:ind w:firstLineChars="0" w:firstLine="0"/>
              <w:jc w:val="center"/>
              <w:textAlignment w:val="auto"/>
              <w:rPr>
                <w:sz w:val="21"/>
                <w:szCs w:val="21"/>
              </w:rPr>
            </w:pPr>
            <w:r>
              <w:rPr>
                <w:sz w:val="21"/>
                <w:szCs w:val="21"/>
              </w:rPr>
              <w:t>PM</w:t>
            </w:r>
            <w:r>
              <w:rPr>
                <w:sz w:val="21"/>
                <w:szCs w:val="21"/>
                <w:vertAlign w:val="subscript"/>
              </w:rPr>
              <w:t>10</w:t>
            </w:r>
          </w:p>
        </w:tc>
        <w:tc>
          <w:tcPr>
            <w:tcW w:w="1514" w:type="dxa"/>
            <w:vAlign w:val="center"/>
          </w:tcPr>
          <w:p w:rsidR="00DB7CC8" w:rsidRDefault="002B5250">
            <w:pPr>
              <w:widowControl/>
              <w:spacing w:line="240" w:lineRule="auto"/>
              <w:ind w:firstLineChars="0" w:firstLine="0"/>
              <w:jc w:val="center"/>
              <w:textAlignment w:val="auto"/>
              <w:rPr>
                <w:sz w:val="21"/>
                <w:szCs w:val="21"/>
              </w:rPr>
            </w:pPr>
            <w:r>
              <w:rPr>
                <w:sz w:val="21"/>
                <w:szCs w:val="21"/>
              </w:rPr>
              <w:t>450.0</w:t>
            </w:r>
          </w:p>
        </w:tc>
        <w:tc>
          <w:tcPr>
            <w:tcW w:w="1611"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6.72</w:t>
            </w:r>
          </w:p>
        </w:tc>
        <w:tc>
          <w:tcPr>
            <w:tcW w:w="1197"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1.49</w:t>
            </w:r>
          </w:p>
        </w:tc>
        <w:tc>
          <w:tcPr>
            <w:tcW w:w="1091" w:type="dxa"/>
            <w:vAlign w:val="center"/>
          </w:tcPr>
          <w:p w:rsidR="00DB7CC8" w:rsidRDefault="002B5250">
            <w:pPr>
              <w:widowControl/>
              <w:spacing w:line="240" w:lineRule="auto"/>
              <w:ind w:firstLineChars="0" w:firstLine="0"/>
              <w:jc w:val="center"/>
              <w:textAlignment w:val="auto"/>
              <w:rPr>
                <w:sz w:val="21"/>
                <w:szCs w:val="21"/>
              </w:rPr>
            </w:pPr>
            <w:r>
              <w:rPr>
                <w:sz w:val="21"/>
                <w:szCs w:val="21"/>
              </w:rPr>
              <w:t>/</w:t>
            </w:r>
          </w:p>
        </w:tc>
      </w:tr>
      <w:tr w:rsidR="00DB7CC8">
        <w:trPr>
          <w:trHeight w:val="327"/>
        </w:trPr>
        <w:tc>
          <w:tcPr>
            <w:tcW w:w="1848" w:type="dxa"/>
            <w:vMerge/>
            <w:vAlign w:val="center"/>
          </w:tcPr>
          <w:p w:rsidR="00DB7CC8" w:rsidRDefault="00DB7CC8">
            <w:pPr>
              <w:widowControl/>
              <w:spacing w:line="240" w:lineRule="auto"/>
              <w:ind w:firstLineChars="0" w:firstLine="0"/>
              <w:jc w:val="center"/>
              <w:textAlignment w:val="auto"/>
              <w:rPr>
                <w:sz w:val="21"/>
                <w:szCs w:val="21"/>
              </w:rPr>
            </w:pPr>
          </w:p>
        </w:tc>
        <w:tc>
          <w:tcPr>
            <w:tcW w:w="1243" w:type="dxa"/>
            <w:vAlign w:val="center"/>
          </w:tcPr>
          <w:p w:rsidR="00DB7CC8" w:rsidRDefault="002B5250">
            <w:pPr>
              <w:widowControl/>
              <w:spacing w:line="240" w:lineRule="auto"/>
              <w:ind w:firstLineChars="0" w:firstLine="0"/>
              <w:jc w:val="center"/>
              <w:textAlignment w:val="auto"/>
              <w:rPr>
                <w:sz w:val="21"/>
                <w:szCs w:val="21"/>
              </w:rPr>
            </w:pPr>
            <w:r>
              <w:rPr>
                <w:sz w:val="21"/>
                <w:szCs w:val="21"/>
              </w:rPr>
              <w:t>PM</w:t>
            </w:r>
            <w:r>
              <w:rPr>
                <w:rFonts w:hint="eastAsia"/>
                <w:sz w:val="21"/>
                <w:szCs w:val="21"/>
                <w:vertAlign w:val="subscript"/>
              </w:rPr>
              <w:t>2.5</w:t>
            </w:r>
          </w:p>
        </w:tc>
        <w:tc>
          <w:tcPr>
            <w:tcW w:w="1514"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225</w:t>
            </w:r>
            <w:r>
              <w:rPr>
                <w:sz w:val="21"/>
                <w:szCs w:val="21"/>
              </w:rPr>
              <w:t>.0</w:t>
            </w:r>
          </w:p>
        </w:tc>
        <w:tc>
          <w:tcPr>
            <w:tcW w:w="1611"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3.36</w:t>
            </w:r>
          </w:p>
        </w:tc>
        <w:tc>
          <w:tcPr>
            <w:tcW w:w="1197"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1.49</w:t>
            </w:r>
          </w:p>
        </w:tc>
        <w:tc>
          <w:tcPr>
            <w:tcW w:w="1091" w:type="dxa"/>
            <w:vAlign w:val="center"/>
          </w:tcPr>
          <w:p w:rsidR="00DB7CC8" w:rsidRDefault="002B5250">
            <w:pPr>
              <w:widowControl/>
              <w:spacing w:line="240" w:lineRule="auto"/>
              <w:ind w:firstLineChars="0" w:firstLine="0"/>
              <w:jc w:val="center"/>
              <w:textAlignment w:val="auto"/>
              <w:rPr>
                <w:sz w:val="21"/>
                <w:szCs w:val="21"/>
              </w:rPr>
            </w:pPr>
            <w:r>
              <w:rPr>
                <w:sz w:val="21"/>
                <w:szCs w:val="21"/>
              </w:rPr>
              <w:t>/</w:t>
            </w:r>
          </w:p>
        </w:tc>
      </w:tr>
      <w:tr w:rsidR="00DB7CC8">
        <w:trPr>
          <w:trHeight w:val="495"/>
        </w:trPr>
        <w:tc>
          <w:tcPr>
            <w:tcW w:w="1848"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成品库</w:t>
            </w:r>
          </w:p>
        </w:tc>
        <w:tc>
          <w:tcPr>
            <w:tcW w:w="1243" w:type="dxa"/>
            <w:vAlign w:val="center"/>
          </w:tcPr>
          <w:p w:rsidR="00DB7CC8" w:rsidRDefault="002B5250">
            <w:pPr>
              <w:widowControl/>
              <w:spacing w:line="240" w:lineRule="auto"/>
              <w:ind w:firstLineChars="0" w:firstLine="0"/>
              <w:jc w:val="center"/>
              <w:textAlignment w:val="auto"/>
              <w:rPr>
                <w:sz w:val="21"/>
                <w:szCs w:val="21"/>
              </w:rPr>
            </w:pPr>
            <w:r>
              <w:rPr>
                <w:sz w:val="21"/>
                <w:szCs w:val="21"/>
              </w:rPr>
              <w:t>TSP</w:t>
            </w:r>
          </w:p>
        </w:tc>
        <w:tc>
          <w:tcPr>
            <w:tcW w:w="1514" w:type="dxa"/>
            <w:vAlign w:val="center"/>
          </w:tcPr>
          <w:p w:rsidR="00DB7CC8" w:rsidRDefault="002B5250">
            <w:pPr>
              <w:widowControl/>
              <w:spacing w:line="240" w:lineRule="auto"/>
              <w:ind w:firstLineChars="0" w:firstLine="0"/>
              <w:jc w:val="center"/>
              <w:textAlignment w:val="auto"/>
              <w:rPr>
                <w:sz w:val="21"/>
                <w:szCs w:val="21"/>
              </w:rPr>
            </w:pPr>
            <w:r>
              <w:rPr>
                <w:sz w:val="21"/>
                <w:szCs w:val="21"/>
              </w:rPr>
              <w:t>900.0</w:t>
            </w:r>
          </w:p>
        </w:tc>
        <w:tc>
          <w:tcPr>
            <w:tcW w:w="1611"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15.2</w:t>
            </w:r>
          </w:p>
        </w:tc>
        <w:tc>
          <w:tcPr>
            <w:tcW w:w="1197"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1.69</w:t>
            </w:r>
          </w:p>
        </w:tc>
        <w:tc>
          <w:tcPr>
            <w:tcW w:w="1091" w:type="dxa"/>
            <w:vAlign w:val="center"/>
          </w:tcPr>
          <w:p w:rsidR="00DB7CC8" w:rsidRDefault="002B5250">
            <w:pPr>
              <w:widowControl/>
              <w:spacing w:line="240" w:lineRule="auto"/>
              <w:ind w:firstLineChars="0" w:firstLine="0"/>
              <w:jc w:val="center"/>
              <w:textAlignment w:val="auto"/>
              <w:rPr>
                <w:sz w:val="21"/>
                <w:szCs w:val="21"/>
              </w:rPr>
            </w:pPr>
            <w:r>
              <w:rPr>
                <w:sz w:val="21"/>
                <w:szCs w:val="21"/>
              </w:rPr>
              <w:t>/</w:t>
            </w:r>
          </w:p>
        </w:tc>
      </w:tr>
      <w:tr w:rsidR="00DB7CC8">
        <w:trPr>
          <w:trHeight w:val="495"/>
        </w:trPr>
        <w:tc>
          <w:tcPr>
            <w:tcW w:w="1848"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3#</w:t>
            </w:r>
            <w:r>
              <w:rPr>
                <w:rFonts w:hint="eastAsia"/>
                <w:sz w:val="21"/>
                <w:szCs w:val="21"/>
              </w:rPr>
              <w:t>破碎</w:t>
            </w:r>
            <w:r>
              <w:rPr>
                <w:sz w:val="21"/>
                <w:szCs w:val="21"/>
              </w:rPr>
              <w:t>粗选</w:t>
            </w:r>
            <w:r>
              <w:rPr>
                <w:rFonts w:hint="eastAsia"/>
                <w:sz w:val="21"/>
                <w:szCs w:val="21"/>
              </w:rPr>
              <w:t>车间</w:t>
            </w:r>
          </w:p>
        </w:tc>
        <w:tc>
          <w:tcPr>
            <w:tcW w:w="1243" w:type="dxa"/>
            <w:vAlign w:val="center"/>
          </w:tcPr>
          <w:p w:rsidR="00DB7CC8" w:rsidRDefault="002B5250">
            <w:pPr>
              <w:widowControl/>
              <w:spacing w:line="240" w:lineRule="auto"/>
              <w:ind w:firstLineChars="0" w:firstLine="0"/>
              <w:jc w:val="center"/>
              <w:textAlignment w:val="auto"/>
              <w:rPr>
                <w:sz w:val="21"/>
                <w:szCs w:val="21"/>
              </w:rPr>
            </w:pPr>
            <w:r>
              <w:rPr>
                <w:sz w:val="21"/>
                <w:szCs w:val="21"/>
              </w:rPr>
              <w:t>TSP</w:t>
            </w:r>
          </w:p>
        </w:tc>
        <w:tc>
          <w:tcPr>
            <w:tcW w:w="1514" w:type="dxa"/>
            <w:vAlign w:val="center"/>
          </w:tcPr>
          <w:p w:rsidR="00DB7CC8" w:rsidRDefault="002B5250">
            <w:pPr>
              <w:widowControl/>
              <w:spacing w:line="240" w:lineRule="auto"/>
              <w:ind w:firstLineChars="0" w:firstLine="0"/>
              <w:jc w:val="center"/>
              <w:textAlignment w:val="auto"/>
              <w:rPr>
                <w:sz w:val="21"/>
                <w:szCs w:val="21"/>
              </w:rPr>
            </w:pPr>
            <w:r>
              <w:rPr>
                <w:sz w:val="21"/>
                <w:szCs w:val="21"/>
              </w:rPr>
              <w:t>900.0</w:t>
            </w:r>
          </w:p>
        </w:tc>
        <w:tc>
          <w:tcPr>
            <w:tcW w:w="1611"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43.39</w:t>
            </w:r>
          </w:p>
        </w:tc>
        <w:tc>
          <w:tcPr>
            <w:tcW w:w="1197"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4.82</w:t>
            </w:r>
          </w:p>
        </w:tc>
        <w:tc>
          <w:tcPr>
            <w:tcW w:w="1091" w:type="dxa"/>
            <w:vAlign w:val="center"/>
          </w:tcPr>
          <w:p w:rsidR="00DB7CC8" w:rsidRDefault="002B5250">
            <w:pPr>
              <w:widowControl/>
              <w:spacing w:line="240" w:lineRule="auto"/>
              <w:ind w:firstLineChars="0" w:firstLine="0"/>
              <w:jc w:val="center"/>
              <w:textAlignment w:val="auto"/>
              <w:rPr>
                <w:sz w:val="21"/>
                <w:szCs w:val="21"/>
              </w:rPr>
            </w:pPr>
            <w:r>
              <w:rPr>
                <w:sz w:val="21"/>
                <w:szCs w:val="21"/>
              </w:rPr>
              <w:t>/</w:t>
            </w:r>
          </w:p>
        </w:tc>
      </w:tr>
    </w:tbl>
    <w:p w:rsidR="00DB7CC8" w:rsidRDefault="00DB7CC8">
      <w:pPr>
        <w:spacing w:line="240" w:lineRule="auto"/>
        <w:ind w:firstLineChars="0"/>
        <w:jc w:val="center"/>
        <w:textAlignment w:val="auto"/>
        <w:rPr>
          <w:rFonts w:eastAsia="黑体"/>
          <w:kern w:val="2"/>
          <w:sz w:val="21"/>
          <w:szCs w:val="21"/>
        </w:rPr>
      </w:pPr>
    </w:p>
    <w:p w:rsidR="00DB7CC8" w:rsidRDefault="002B5250">
      <w:pPr>
        <w:ind w:firstLine="480"/>
        <w:rPr>
          <w:sz w:val="24"/>
          <w:szCs w:val="24"/>
        </w:rPr>
      </w:pPr>
      <w:r>
        <w:rPr>
          <w:rFonts w:hint="eastAsia"/>
          <w:sz w:val="24"/>
          <w:szCs w:val="24"/>
        </w:rPr>
        <w:t>③</w:t>
      </w:r>
      <w:r>
        <w:rPr>
          <w:sz w:val="24"/>
          <w:szCs w:val="24"/>
        </w:rPr>
        <w:t>项目大气环境评价工作级别划分依据列于</w:t>
      </w:r>
      <w:r>
        <w:rPr>
          <w:rFonts w:hint="eastAsia"/>
          <w:sz w:val="24"/>
          <w:szCs w:val="24"/>
        </w:rPr>
        <w:t>表</w:t>
      </w:r>
      <w:r>
        <w:rPr>
          <w:rFonts w:hint="eastAsia"/>
          <w:sz w:val="24"/>
          <w:szCs w:val="24"/>
        </w:rPr>
        <w:t>2.4-6</w:t>
      </w:r>
      <w:r>
        <w:rPr>
          <w:sz w:val="24"/>
          <w:szCs w:val="24"/>
        </w:rPr>
        <w:t>。</w:t>
      </w:r>
    </w:p>
    <w:p w:rsidR="00DB7CC8" w:rsidRDefault="002B5250">
      <w:pPr>
        <w:spacing w:line="240" w:lineRule="auto"/>
        <w:ind w:firstLineChars="0"/>
        <w:jc w:val="center"/>
        <w:textAlignment w:val="auto"/>
        <w:rPr>
          <w:rFonts w:eastAsia="黑体"/>
          <w:kern w:val="2"/>
          <w:sz w:val="21"/>
          <w:szCs w:val="21"/>
        </w:rPr>
      </w:pPr>
      <w:r>
        <w:rPr>
          <w:rFonts w:eastAsia="黑体"/>
          <w:kern w:val="2"/>
          <w:sz w:val="21"/>
          <w:szCs w:val="21"/>
        </w:rPr>
        <w:t>表</w:t>
      </w:r>
      <w:r>
        <w:rPr>
          <w:rFonts w:eastAsia="黑体"/>
          <w:kern w:val="2"/>
          <w:sz w:val="21"/>
          <w:szCs w:val="21"/>
        </w:rPr>
        <w:t>2.</w:t>
      </w:r>
      <w:r>
        <w:rPr>
          <w:rFonts w:eastAsia="黑体" w:hint="eastAsia"/>
          <w:kern w:val="2"/>
          <w:sz w:val="21"/>
          <w:szCs w:val="21"/>
        </w:rPr>
        <w:t>4</w:t>
      </w:r>
      <w:r>
        <w:rPr>
          <w:rFonts w:eastAsia="黑体"/>
          <w:kern w:val="2"/>
          <w:sz w:val="21"/>
          <w:szCs w:val="21"/>
        </w:rPr>
        <w:t>-</w:t>
      </w:r>
      <w:r>
        <w:rPr>
          <w:rFonts w:eastAsia="黑体" w:hint="eastAsia"/>
          <w:kern w:val="2"/>
          <w:sz w:val="21"/>
          <w:szCs w:val="21"/>
        </w:rPr>
        <w:t>6</w:t>
      </w:r>
      <w:r>
        <w:rPr>
          <w:rFonts w:eastAsia="黑体"/>
          <w:kern w:val="2"/>
          <w:sz w:val="21"/>
          <w:szCs w:val="21"/>
        </w:rPr>
        <w:t xml:space="preserve"> </w:t>
      </w:r>
      <w:r>
        <w:rPr>
          <w:rFonts w:eastAsia="黑体"/>
          <w:kern w:val="2"/>
          <w:sz w:val="21"/>
          <w:szCs w:val="21"/>
        </w:rPr>
        <w:t>评价等级判别表</w:t>
      </w:r>
    </w:p>
    <w:tbl>
      <w:tblPr>
        <w:tblW w:w="8316" w:type="dxa"/>
        <w:tblInd w:w="-5"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031"/>
        <w:gridCol w:w="5285"/>
      </w:tblGrid>
      <w:tr w:rsidR="00DB7CC8">
        <w:trPr>
          <w:trHeight w:val="397"/>
          <w:tblHeader/>
        </w:trPr>
        <w:tc>
          <w:tcPr>
            <w:tcW w:w="3031" w:type="dxa"/>
            <w:vAlign w:val="center"/>
          </w:tcPr>
          <w:p w:rsidR="00DB7CC8" w:rsidRDefault="002B5250">
            <w:pPr>
              <w:pStyle w:val="afffffffc"/>
            </w:pPr>
            <w:r>
              <w:t>评价工作等级</w:t>
            </w:r>
          </w:p>
        </w:tc>
        <w:tc>
          <w:tcPr>
            <w:tcW w:w="5285" w:type="dxa"/>
            <w:vAlign w:val="center"/>
          </w:tcPr>
          <w:p w:rsidR="00DB7CC8" w:rsidRDefault="002B5250">
            <w:pPr>
              <w:pStyle w:val="afffffffc"/>
            </w:pPr>
            <w:r>
              <w:t>评价工作分级判据</w:t>
            </w:r>
          </w:p>
        </w:tc>
      </w:tr>
      <w:tr w:rsidR="00DB7CC8">
        <w:trPr>
          <w:trHeight w:val="397"/>
        </w:trPr>
        <w:tc>
          <w:tcPr>
            <w:tcW w:w="3031" w:type="dxa"/>
            <w:vAlign w:val="center"/>
          </w:tcPr>
          <w:p w:rsidR="00DB7CC8" w:rsidRDefault="002B5250">
            <w:pPr>
              <w:pStyle w:val="afffffffc"/>
            </w:pPr>
            <w:r>
              <w:t>一级评价</w:t>
            </w:r>
          </w:p>
        </w:tc>
        <w:tc>
          <w:tcPr>
            <w:tcW w:w="5285" w:type="dxa"/>
            <w:vAlign w:val="center"/>
          </w:tcPr>
          <w:p w:rsidR="00DB7CC8" w:rsidRDefault="002B5250">
            <w:pPr>
              <w:pStyle w:val="afffffffc"/>
            </w:pPr>
            <w:r>
              <w:t>P</w:t>
            </w:r>
            <w:r>
              <w:rPr>
                <w:vertAlign w:val="subscript"/>
              </w:rPr>
              <w:t>max</w:t>
            </w:r>
            <w:r>
              <w:t>≥10%</w:t>
            </w:r>
          </w:p>
        </w:tc>
      </w:tr>
      <w:tr w:rsidR="00DB7CC8">
        <w:trPr>
          <w:trHeight w:val="397"/>
        </w:trPr>
        <w:tc>
          <w:tcPr>
            <w:tcW w:w="3031" w:type="dxa"/>
            <w:vAlign w:val="center"/>
          </w:tcPr>
          <w:p w:rsidR="00DB7CC8" w:rsidRDefault="002B5250">
            <w:pPr>
              <w:pStyle w:val="afffffffc"/>
            </w:pPr>
            <w:r>
              <w:t>二级评价</w:t>
            </w:r>
          </w:p>
        </w:tc>
        <w:tc>
          <w:tcPr>
            <w:tcW w:w="5285" w:type="dxa"/>
            <w:vAlign w:val="center"/>
          </w:tcPr>
          <w:p w:rsidR="00DB7CC8" w:rsidRDefault="002B5250">
            <w:pPr>
              <w:pStyle w:val="afffffffc"/>
            </w:pPr>
            <w:r>
              <w:t>1%≤P</w:t>
            </w:r>
            <w:r>
              <w:rPr>
                <w:vertAlign w:val="subscript"/>
              </w:rPr>
              <w:t>max</w:t>
            </w:r>
            <w:r>
              <w:t>＜</w:t>
            </w:r>
            <w:r>
              <w:t>10%</w:t>
            </w:r>
          </w:p>
        </w:tc>
      </w:tr>
      <w:tr w:rsidR="00DB7CC8">
        <w:trPr>
          <w:trHeight w:val="397"/>
        </w:trPr>
        <w:tc>
          <w:tcPr>
            <w:tcW w:w="3031" w:type="dxa"/>
            <w:vAlign w:val="center"/>
          </w:tcPr>
          <w:p w:rsidR="00DB7CC8" w:rsidRDefault="002B5250">
            <w:pPr>
              <w:pStyle w:val="afffffffc"/>
            </w:pPr>
            <w:r>
              <w:t>三级评价</w:t>
            </w:r>
          </w:p>
        </w:tc>
        <w:tc>
          <w:tcPr>
            <w:tcW w:w="5285" w:type="dxa"/>
            <w:vAlign w:val="center"/>
          </w:tcPr>
          <w:p w:rsidR="00DB7CC8" w:rsidRDefault="002B5250">
            <w:pPr>
              <w:pStyle w:val="afffffffc"/>
            </w:pPr>
            <w:r>
              <w:t>P</w:t>
            </w:r>
            <w:r>
              <w:rPr>
                <w:vertAlign w:val="subscript"/>
              </w:rPr>
              <w:t>max</w:t>
            </w:r>
            <w:r>
              <w:t>&lt;1%</w:t>
            </w:r>
          </w:p>
        </w:tc>
      </w:tr>
    </w:tbl>
    <w:p w:rsidR="00DB7CC8" w:rsidRDefault="00DB7CC8">
      <w:pPr>
        <w:spacing w:line="240" w:lineRule="auto"/>
        <w:ind w:firstLineChars="0"/>
        <w:jc w:val="center"/>
        <w:textAlignment w:val="auto"/>
        <w:rPr>
          <w:rFonts w:eastAsia="黑体"/>
          <w:kern w:val="2"/>
          <w:sz w:val="21"/>
          <w:szCs w:val="21"/>
        </w:rPr>
      </w:pPr>
    </w:p>
    <w:p w:rsidR="00DB7CC8" w:rsidRDefault="002B5250">
      <w:pPr>
        <w:ind w:firstLine="480"/>
        <w:rPr>
          <w:sz w:val="24"/>
          <w:szCs w:val="24"/>
        </w:rPr>
      </w:pPr>
      <w:r>
        <w:rPr>
          <w:sz w:val="24"/>
          <w:szCs w:val="24"/>
        </w:rPr>
        <w:t>根据《环境影响评价技术导则</w:t>
      </w:r>
      <w:r>
        <w:rPr>
          <w:sz w:val="24"/>
          <w:szCs w:val="24"/>
        </w:rPr>
        <w:t xml:space="preserve">  </w:t>
      </w:r>
      <w:r>
        <w:rPr>
          <w:sz w:val="24"/>
          <w:szCs w:val="24"/>
        </w:rPr>
        <w:t>大气环境》（</w:t>
      </w:r>
      <w:r>
        <w:rPr>
          <w:sz w:val="24"/>
          <w:szCs w:val="24"/>
        </w:rPr>
        <w:t>HJ2.2-2018</w:t>
      </w:r>
      <w:r>
        <w:rPr>
          <w:sz w:val="24"/>
          <w:szCs w:val="24"/>
        </w:rPr>
        <w:t>）中规定的评价工作等级的规定以及上表中主要大气污染物最大地面占标率计算结果判定，本项目颗粒物最大地面浓度占标率</w:t>
      </w:r>
      <w:r>
        <w:rPr>
          <w:sz w:val="24"/>
          <w:szCs w:val="24"/>
        </w:rPr>
        <w:t>P</w:t>
      </w:r>
      <w:r>
        <w:rPr>
          <w:sz w:val="24"/>
          <w:szCs w:val="24"/>
          <w:vertAlign w:val="subscript"/>
        </w:rPr>
        <w:t>max</w:t>
      </w:r>
      <w:r>
        <w:rPr>
          <w:sz w:val="24"/>
          <w:szCs w:val="24"/>
        </w:rPr>
        <w:t>为</w:t>
      </w:r>
      <w:r>
        <w:rPr>
          <w:rFonts w:hint="eastAsia"/>
          <w:sz w:val="24"/>
          <w:szCs w:val="24"/>
        </w:rPr>
        <w:t>4.82</w:t>
      </w:r>
      <w:r>
        <w:rPr>
          <w:sz w:val="24"/>
          <w:szCs w:val="24"/>
        </w:rPr>
        <w:t>%</w:t>
      </w:r>
      <w:r>
        <w:rPr>
          <w:sz w:val="24"/>
          <w:szCs w:val="24"/>
        </w:rPr>
        <w:t>，小于</w:t>
      </w:r>
      <w:r>
        <w:rPr>
          <w:sz w:val="24"/>
          <w:szCs w:val="24"/>
        </w:rPr>
        <w:t>10%</w:t>
      </w:r>
      <w:r>
        <w:rPr>
          <w:sz w:val="24"/>
          <w:szCs w:val="24"/>
        </w:rPr>
        <w:t>，因此，确定本项目大气环境影响评价等级为二级</w:t>
      </w:r>
      <w:r>
        <w:rPr>
          <w:rFonts w:hint="eastAsia"/>
          <w:sz w:val="24"/>
          <w:szCs w:val="24"/>
        </w:rPr>
        <w:t>。</w:t>
      </w:r>
    </w:p>
    <w:p w:rsidR="00DB7CC8" w:rsidRDefault="002B5250">
      <w:pPr>
        <w:pStyle w:val="4"/>
        <w:numPr>
          <w:ilvl w:val="3"/>
          <w:numId w:val="1"/>
        </w:numPr>
        <w:ind w:left="709" w:hanging="709"/>
        <w:rPr>
          <w:rFonts w:eastAsia="宋体"/>
          <w:b/>
        </w:rPr>
      </w:pPr>
      <w:r>
        <w:rPr>
          <w:rFonts w:eastAsia="宋体"/>
          <w:b/>
        </w:rPr>
        <w:t>声环境</w:t>
      </w:r>
    </w:p>
    <w:p w:rsidR="00DB7CC8" w:rsidRDefault="002B5250">
      <w:pPr>
        <w:ind w:firstLine="480"/>
        <w:rPr>
          <w:rFonts w:eastAsia="黑体"/>
          <w:kern w:val="2"/>
          <w:sz w:val="21"/>
          <w:szCs w:val="21"/>
        </w:rPr>
      </w:pPr>
      <w:r>
        <w:rPr>
          <w:sz w:val="24"/>
          <w:szCs w:val="24"/>
        </w:rPr>
        <w:t>根据《环境影响评价技术导则</w:t>
      </w:r>
      <w:r>
        <w:rPr>
          <w:sz w:val="24"/>
          <w:szCs w:val="24"/>
        </w:rPr>
        <w:t xml:space="preserve">  </w:t>
      </w:r>
      <w:r>
        <w:rPr>
          <w:sz w:val="24"/>
          <w:szCs w:val="24"/>
        </w:rPr>
        <w:t>声环境》（</w:t>
      </w:r>
      <w:r>
        <w:rPr>
          <w:sz w:val="24"/>
          <w:szCs w:val="24"/>
        </w:rPr>
        <w:t>HJ2.4-20</w:t>
      </w:r>
      <w:r>
        <w:rPr>
          <w:rFonts w:hint="eastAsia"/>
          <w:sz w:val="24"/>
          <w:szCs w:val="24"/>
        </w:rPr>
        <w:t>21</w:t>
      </w:r>
      <w:r>
        <w:rPr>
          <w:sz w:val="24"/>
          <w:szCs w:val="24"/>
        </w:rPr>
        <w:t>）中的规定：</w:t>
      </w:r>
      <w:r>
        <w:rPr>
          <w:sz w:val="24"/>
          <w:szCs w:val="24"/>
        </w:rPr>
        <w:t>“</w:t>
      </w:r>
      <w:r>
        <w:rPr>
          <w:sz w:val="24"/>
          <w:szCs w:val="24"/>
        </w:rPr>
        <w:t>建设项目所处的声环境功能区为</w:t>
      </w:r>
      <w:r>
        <w:rPr>
          <w:sz w:val="24"/>
          <w:szCs w:val="24"/>
        </w:rPr>
        <w:t>GB3096</w:t>
      </w:r>
      <w:r>
        <w:rPr>
          <w:sz w:val="24"/>
          <w:szCs w:val="24"/>
        </w:rPr>
        <w:t>规定的</w:t>
      </w:r>
      <w:r>
        <w:rPr>
          <w:sz w:val="24"/>
          <w:szCs w:val="24"/>
        </w:rPr>
        <w:t>1</w:t>
      </w:r>
      <w:r>
        <w:rPr>
          <w:sz w:val="24"/>
          <w:szCs w:val="24"/>
        </w:rPr>
        <w:t>类、</w:t>
      </w:r>
      <w:r>
        <w:rPr>
          <w:sz w:val="24"/>
          <w:szCs w:val="24"/>
        </w:rPr>
        <w:t>2</w:t>
      </w:r>
      <w:r>
        <w:rPr>
          <w:sz w:val="24"/>
          <w:szCs w:val="24"/>
        </w:rPr>
        <w:t>类地区，或建设项目建设前后评价范围内敏感目标噪声级增高量达</w:t>
      </w:r>
      <w:r>
        <w:rPr>
          <w:sz w:val="24"/>
          <w:szCs w:val="24"/>
        </w:rPr>
        <w:t>3dB(A)-5dB(A)</w:t>
      </w:r>
      <w:r>
        <w:rPr>
          <w:sz w:val="24"/>
          <w:szCs w:val="24"/>
        </w:rPr>
        <w:t>（含</w:t>
      </w:r>
      <w:r>
        <w:rPr>
          <w:sz w:val="24"/>
          <w:szCs w:val="24"/>
        </w:rPr>
        <w:t>5dB(A)</w:t>
      </w:r>
      <w:r>
        <w:rPr>
          <w:sz w:val="24"/>
          <w:szCs w:val="24"/>
        </w:rPr>
        <w:t>），或受噪声影响人口数量增加较多时，按二级评价。</w:t>
      </w:r>
      <w:r>
        <w:rPr>
          <w:sz w:val="24"/>
          <w:szCs w:val="24"/>
        </w:rPr>
        <w:t>”</w:t>
      </w:r>
      <w:r>
        <w:rPr>
          <w:sz w:val="24"/>
          <w:szCs w:val="24"/>
        </w:rPr>
        <w:t>声环境影响评价工作级别划分依据见</w:t>
      </w:r>
      <w:r>
        <w:rPr>
          <w:rFonts w:hint="eastAsia"/>
          <w:sz w:val="24"/>
          <w:szCs w:val="24"/>
        </w:rPr>
        <w:t>表</w:t>
      </w:r>
      <w:r>
        <w:rPr>
          <w:rFonts w:hint="eastAsia"/>
          <w:sz w:val="24"/>
          <w:szCs w:val="24"/>
        </w:rPr>
        <w:t>2.4-7</w:t>
      </w:r>
      <w:r>
        <w:rPr>
          <w:sz w:val="24"/>
          <w:szCs w:val="24"/>
        </w:rPr>
        <w:t>。</w:t>
      </w:r>
      <w:bookmarkStart w:id="104" w:name="_Ref6773014"/>
    </w:p>
    <w:p w:rsidR="00DB7CC8" w:rsidRDefault="002B5250">
      <w:pPr>
        <w:spacing w:line="240" w:lineRule="auto"/>
        <w:ind w:firstLineChars="0" w:firstLine="0"/>
        <w:jc w:val="center"/>
        <w:textAlignment w:val="auto"/>
        <w:rPr>
          <w:rFonts w:eastAsia="黑体"/>
          <w:kern w:val="2"/>
          <w:sz w:val="21"/>
          <w:szCs w:val="21"/>
        </w:rPr>
      </w:pPr>
      <w:r>
        <w:rPr>
          <w:rFonts w:eastAsia="黑体" w:hint="eastAsia"/>
          <w:kern w:val="2"/>
          <w:sz w:val="21"/>
          <w:szCs w:val="21"/>
        </w:rPr>
        <w:t>表</w:t>
      </w:r>
      <w:r>
        <w:rPr>
          <w:rFonts w:eastAsia="黑体" w:hint="eastAsia"/>
          <w:kern w:val="2"/>
          <w:sz w:val="21"/>
          <w:szCs w:val="21"/>
        </w:rPr>
        <w:t>2.4-7</w:t>
      </w:r>
      <w:bookmarkEnd w:id="104"/>
      <w:r>
        <w:rPr>
          <w:rFonts w:eastAsia="黑体" w:hint="eastAsia"/>
          <w:kern w:val="2"/>
          <w:sz w:val="21"/>
          <w:szCs w:val="21"/>
        </w:rPr>
        <w:t xml:space="preserve">    </w:t>
      </w:r>
      <w:r>
        <w:rPr>
          <w:rFonts w:eastAsia="黑体" w:hint="eastAsia"/>
          <w:kern w:val="2"/>
          <w:sz w:val="21"/>
          <w:szCs w:val="21"/>
        </w:rPr>
        <w:t>声环境评价等级划分表</w:t>
      </w:r>
    </w:p>
    <w:tbl>
      <w:tblPr>
        <w:tblW w:w="8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9"/>
        <w:gridCol w:w="3732"/>
        <w:gridCol w:w="1571"/>
      </w:tblGrid>
      <w:tr w:rsidR="00DB7CC8">
        <w:trPr>
          <w:trHeight w:val="50"/>
        </w:trPr>
        <w:tc>
          <w:tcPr>
            <w:tcW w:w="3009" w:type="dxa"/>
            <w:vAlign w:val="center"/>
          </w:tcPr>
          <w:p w:rsidR="00DB7CC8" w:rsidRDefault="002B5250">
            <w:pPr>
              <w:pStyle w:val="afffffffc"/>
              <w:spacing w:line="240" w:lineRule="auto"/>
            </w:pPr>
            <w:r>
              <w:t>评价类别</w:t>
            </w:r>
          </w:p>
        </w:tc>
        <w:tc>
          <w:tcPr>
            <w:tcW w:w="3732" w:type="dxa"/>
            <w:vAlign w:val="center"/>
          </w:tcPr>
          <w:p w:rsidR="00DB7CC8" w:rsidRDefault="002B5250">
            <w:pPr>
              <w:pStyle w:val="afffffffc"/>
              <w:spacing w:line="240" w:lineRule="auto"/>
            </w:pPr>
            <w:r>
              <w:t>指标</w:t>
            </w:r>
          </w:p>
        </w:tc>
        <w:tc>
          <w:tcPr>
            <w:tcW w:w="1571" w:type="dxa"/>
            <w:vAlign w:val="center"/>
          </w:tcPr>
          <w:p w:rsidR="00DB7CC8" w:rsidRDefault="002B5250">
            <w:pPr>
              <w:pStyle w:val="afffffffc"/>
            </w:pPr>
            <w:r>
              <w:t>评价等级</w:t>
            </w:r>
          </w:p>
        </w:tc>
      </w:tr>
      <w:tr w:rsidR="00DB7CC8">
        <w:trPr>
          <w:trHeight w:val="75"/>
        </w:trPr>
        <w:tc>
          <w:tcPr>
            <w:tcW w:w="3009" w:type="dxa"/>
            <w:vAlign w:val="center"/>
          </w:tcPr>
          <w:p w:rsidR="00DB7CC8" w:rsidRDefault="002B5250">
            <w:pPr>
              <w:pStyle w:val="afffffffc"/>
              <w:spacing w:line="240" w:lineRule="auto"/>
            </w:pPr>
            <w:r>
              <w:t>声环境功能区类别</w:t>
            </w:r>
          </w:p>
        </w:tc>
        <w:tc>
          <w:tcPr>
            <w:tcW w:w="3732" w:type="dxa"/>
            <w:vAlign w:val="center"/>
          </w:tcPr>
          <w:p w:rsidR="00DB7CC8" w:rsidRDefault="002B5250">
            <w:pPr>
              <w:pStyle w:val="afffffffc"/>
              <w:spacing w:line="240" w:lineRule="auto"/>
            </w:pPr>
            <w:r>
              <w:t>GB3096-2008  2</w:t>
            </w:r>
            <w:r>
              <w:t>类</w:t>
            </w:r>
          </w:p>
        </w:tc>
        <w:tc>
          <w:tcPr>
            <w:tcW w:w="1571" w:type="dxa"/>
            <w:vMerge w:val="restart"/>
            <w:vAlign w:val="center"/>
          </w:tcPr>
          <w:p w:rsidR="00DB7CC8" w:rsidRDefault="002B5250">
            <w:pPr>
              <w:pStyle w:val="afffffffc"/>
            </w:pPr>
            <w:r>
              <w:t>二级</w:t>
            </w:r>
          </w:p>
        </w:tc>
      </w:tr>
      <w:tr w:rsidR="00DB7CC8">
        <w:trPr>
          <w:trHeight w:val="75"/>
        </w:trPr>
        <w:tc>
          <w:tcPr>
            <w:tcW w:w="3009" w:type="dxa"/>
            <w:vAlign w:val="center"/>
          </w:tcPr>
          <w:p w:rsidR="00DB7CC8" w:rsidRDefault="002B5250">
            <w:pPr>
              <w:pStyle w:val="afffffffc"/>
              <w:spacing w:line="240" w:lineRule="auto"/>
            </w:pPr>
            <w:r>
              <w:t>声环境质量变化程度</w:t>
            </w:r>
          </w:p>
        </w:tc>
        <w:tc>
          <w:tcPr>
            <w:tcW w:w="3732" w:type="dxa"/>
            <w:vAlign w:val="center"/>
          </w:tcPr>
          <w:p w:rsidR="00DB7CC8" w:rsidRDefault="002B5250">
            <w:pPr>
              <w:pStyle w:val="afffffffc"/>
              <w:spacing w:line="240" w:lineRule="auto"/>
            </w:pPr>
            <w:r>
              <w:t>变化不大，预计增加＜</w:t>
            </w:r>
            <w:r>
              <w:t>3dB(A)</w:t>
            </w:r>
          </w:p>
        </w:tc>
        <w:tc>
          <w:tcPr>
            <w:tcW w:w="1571" w:type="dxa"/>
            <w:vMerge/>
            <w:vAlign w:val="center"/>
          </w:tcPr>
          <w:p w:rsidR="00DB7CC8" w:rsidRDefault="00DB7CC8">
            <w:pPr>
              <w:pStyle w:val="afffffffc"/>
            </w:pPr>
          </w:p>
        </w:tc>
      </w:tr>
      <w:tr w:rsidR="00DB7CC8">
        <w:trPr>
          <w:trHeight w:val="75"/>
        </w:trPr>
        <w:tc>
          <w:tcPr>
            <w:tcW w:w="3009" w:type="dxa"/>
            <w:vAlign w:val="center"/>
          </w:tcPr>
          <w:p w:rsidR="00DB7CC8" w:rsidRDefault="002B5250">
            <w:pPr>
              <w:pStyle w:val="afffffffc"/>
              <w:spacing w:line="240" w:lineRule="auto"/>
            </w:pPr>
            <w:r>
              <w:t>受影响人口的数量</w:t>
            </w:r>
          </w:p>
        </w:tc>
        <w:tc>
          <w:tcPr>
            <w:tcW w:w="3732" w:type="dxa"/>
            <w:vAlign w:val="center"/>
          </w:tcPr>
          <w:p w:rsidR="00DB7CC8" w:rsidRDefault="002B5250">
            <w:pPr>
              <w:pStyle w:val="afffffffc"/>
              <w:spacing w:line="240" w:lineRule="auto"/>
            </w:pPr>
            <w:r>
              <w:t>受噪声影响人口数量无变化</w:t>
            </w:r>
          </w:p>
        </w:tc>
        <w:tc>
          <w:tcPr>
            <w:tcW w:w="1571" w:type="dxa"/>
            <w:vMerge/>
            <w:vAlign w:val="center"/>
          </w:tcPr>
          <w:p w:rsidR="00DB7CC8" w:rsidRDefault="00DB7CC8">
            <w:pPr>
              <w:pStyle w:val="afffffffc"/>
            </w:pPr>
          </w:p>
        </w:tc>
      </w:tr>
    </w:tbl>
    <w:p w:rsidR="00DB7CC8" w:rsidRDefault="002B5250">
      <w:pPr>
        <w:spacing w:beforeLines="50" w:before="120"/>
        <w:ind w:firstLine="480"/>
        <w:rPr>
          <w:sz w:val="24"/>
          <w:szCs w:val="24"/>
        </w:rPr>
      </w:pPr>
      <w:r>
        <w:rPr>
          <w:sz w:val="24"/>
          <w:szCs w:val="24"/>
        </w:rPr>
        <w:t>本项目区域属于</w:t>
      </w:r>
      <w:r>
        <w:rPr>
          <w:sz w:val="24"/>
          <w:szCs w:val="24"/>
        </w:rPr>
        <w:t>GB3096-2008</w:t>
      </w:r>
      <w:r>
        <w:rPr>
          <w:sz w:val="24"/>
          <w:szCs w:val="24"/>
        </w:rPr>
        <w:t>规定的</w:t>
      </w:r>
      <w:r>
        <w:rPr>
          <w:sz w:val="24"/>
          <w:szCs w:val="24"/>
        </w:rPr>
        <w:t>2</w:t>
      </w:r>
      <w:r>
        <w:rPr>
          <w:sz w:val="24"/>
          <w:szCs w:val="24"/>
        </w:rPr>
        <w:t>类地区，</w:t>
      </w:r>
      <w:bookmarkStart w:id="105" w:name="OLE_LINK123"/>
      <w:r>
        <w:rPr>
          <w:sz w:val="24"/>
          <w:szCs w:val="24"/>
        </w:rPr>
        <w:t>项目建设前后评价范围内敏感目标噪声级增高量小于</w:t>
      </w:r>
      <w:r>
        <w:rPr>
          <w:sz w:val="24"/>
          <w:szCs w:val="24"/>
        </w:rPr>
        <w:t>3dB</w:t>
      </w:r>
      <w:r>
        <w:rPr>
          <w:sz w:val="24"/>
          <w:szCs w:val="24"/>
        </w:rPr>
        <w:t>（</w:t>
      </w:r>
      <w:r>
        <w:rPr>
          <w:sz w:val="24"/>
          <w:szCs w:val="24"/>
        </w:rPr>
        <w:t>A</w:t>
      </w:r>
      <w:r>
        <w:rPr>
          <w:sz w:val="24"/>
          <w:szCs w:val="24"/>
        </w:rPr>
        <w:t>），且噪声影响范围主要在厂区，受影响人</w:t>
      </w:r>
      <w:r>
        <w:rPr>
          <w:sz w:val="24"/>
          <w:szCs w:val="24"/>
        </w:rPr>
        <w:lastRenderedPageBreak/>
        <w:t>口数量变化不大。</w:t>
      </w:r>
      <w:bookmarkEnd w:id="105"/>
      <w:r>
        <w:rPr>
          <w:sz w:val="24"/>
          <w:szCs w:val="24"/>
        </w:rPr>
        <w:t>根据《环境影响评价导则</w:t>
      </w:r>
      <w:r>
        <w:rPr>
          <w:sz w:val="24"/>
          <w:szCs w:val="24"/>
        </w:rPr>
        <w:t xml:space="preserve">  </w:t>
      </w:r>
      <w:r>
        <w:rPr>
          <w:sz w:val="24"/>
          <w:szCs w:val="24"/>
        </w:rPr>
        <w:t>声环境》（</w:t>
      </w:r>
      <w:r>
        <w:rPr>
          <w:sz w:val="24"/>
          <w:szCs w:val="24"/>
        </w:rPr>
        <w:t>HJ2.4-20</w:t>
      </w:r>
      <w:r>
        <w:rPr>
          <w:rFonts w:hint="eastAsia"/>
          <w:sz w:val="24"/>
          <w:szCs w:val="24"/>
        </w:rPr>
        <w:t>21</w:t>
      </w:r>
      <w:r>
        <w:rPr>
          <w:sz w:val="24"/>
          <w:szCs w:val="24"/>
        </w:rPr>
        <w:t>），确定本项目声环境影响评价工作等级为二级。</w:t>
      </w:r>
    </w:p>
    <w:p w:rsidR="00DB7CC8" w:rsidRDefault="002B5250">
      <w:pPr>
        <w:pStyle w:val="4"/>
        <w:numPr>
          <w:ilvl w:val="3"/>
          <w:numId w:val="1"/>
        </w:numPr>
        <w:ind w:left="709" w:hanging="709"/>
        <w:rPr>
          <w:rFonts w:eastAsia="宋体"/>
          <w:b/>
        </w:rPr>
      </w:pPr>
      <w:r>
        <w:rPr>
          <w:rFonts w:eastAsia="宋体"/>
          <w:b/>
        </w:rPr>
        <w:t>水环境影响评价等级</w:t>
      </w:r>
    </w:p>
    <w:p w:rsidR="00DB7CC8" w:rsidRDefault="002B5250">
      <w:pPr>
        <w:ind w:firstLine="480"/>
        <w:rPr>
          <w:sz w:val="24"/>
          <w:szCs w:val="24"/>
        </w:rPr>
      </w:pPr>
      <w:r>
        <w:rPr>
          <w:sz w:val="24"/>
          <w:szCs w:val="24"/>
        </w:rPr>
        <w:t>（</w:t>
      </w:r>
      <w:r>
        <w:rPr>
          <w:sz w:val="24"/>
          <w:szCs w:val="24"/>
        </w:rPr>
        <w:t>1</w:t>
      </w:r>
      <w:r>
        <w:rPr>
          <w:sz w:val="24"/>
          <w:szCs w:val="24"/>
        </w:rPr>
        <w:t>）地表水环境</w:t>
      </w:r>
    </w:p>
    <w:p w:rsidR="00DB7CC8" w:rsidRDefault="002B5250">
      <w:pPr>
        <w:ind w:firstLine="480"/>
        <w:rPr>
          <w:sz w:val="24"/>
          <w:szCs w:val="24"/>
        </w:rPr>
      </w:pPr>
      <w:r>
        <w:rPr>
          <w:rFonts w:hint="eastAsia"/>
          <w:sz w:val="24"/>
          <w:szCs w:val="24"/>
        </w:rPr>
        <w:t>①</w:t>
      </w:r>
      <w:r>
        <w:rPr>
          <w:sz w:val="24"/>
          <w:szCs w:val="24"/>
        </w:rPr>
        <w:t>地表水环境影响评价类型</w:t>
      </w:r>
    </w:p>
    <w:p w:rsidR="00DB7CC8" w:rsidRDefault="002B5250">
      <w:pPr>
        <w:ind w:firstLine="480"/>
        <w:rPr>
          <w:sz w:val="24"/>
          <w:szCs w:val="24"/>
        </w:rPr>
      </w:pPr>
      <w:r>
        <w:rPr>
          <w:sz w:val="24"/>
          <w:szCs w:val="24"/>
        </w:rPr>
        <w:t>根据《环境影响评价技术导则</w:t>
      </w:r>
      <w:r>
        <w:rPr>
          <w:sz w:val="24"/>
          <w:szCs w:val="24"/>
        </w:rPr>
        <w:t xml:space="preserve"> </w:t>
      </w:r>
      <w:r>
        <w:rPr>
          <w:sz w:val="24"/>
          <w:szCs w:val="24"/>
        </w:rPr>
        <w:t>地表水环境》（</w:t>
      </w:r>
      <w:r>
        <w:rPr>
          <w:sz w:val="24"/>
          <w:szCs w:val="24"/>
        </w:rPr>
        <w:t>HJ2.3-2018</w:t>
      </w:r>
      <w:r>
        <w:rPr>
          <w:sz w:val="24"/>
          <w:szCs w:val="24"/>
        </w:rPr>
        <w:t>），评价工作等级的划分应按照影响类型、排放方式、排放量或影响情况、收纳水体环境质量现状、水环境保护目标等综合确定。建设项目地表水环境影响评价划分为水污染影响型、水文要素影响型以及两者兼有的复合影响型，评价等级分为三级，复合影响型建设项目的评价工作，应按类别分别确定评价等级并开展评价工作。</w:t>
      </w:r>
    </w:p>
    <w:p w:rsidR="00DB7CC8" w:rsidRDefault="002B5250">
      <w:pPr>
        <w:ind w:firstLine="480"/>
        <w:rPr>
          <w:sz w:val="24"/>
          <w:szCs w:val="24"/>
        </w:rPr>
      </w:pPr>
      <w:r>
        <w:rPr>
          <w:sz w:val="24"/>
          <w:szCs w:val="24"/>
        </w:rPr>
        <w:t>根据工程分析，项目建成投产后，项目无废水外排。本项目不涉及水文要素影响，不进行水文要素影响评价工作定级。</w:t>
      </w:r>
    </w:p>
    <w:p w:rsidR="00DB7CC8" w:rsidRDefault="002B5250">
      <w:pPr>
        <w:ind w:firstLine="480"/>
        <w:rPr>
          <w:sz w:val="24"/>
          <w:szCs w:val="24"/>
        </w:rPr>
      </w:pPr>
      <w:r>
        <w:rPr>
          <w:rFonts w:hint="eastAsia"/>
          <w:sz w:val="24"/>
          <w:szCs w:val="24"/>
        </w:rPr>
        <w:t>②</w:t>
      </w:r>
      <w:r>
        <w:rPr>
          <w:sz w:val="24"/>
          <w:szCs w:val="24"/>
        </w:rPr>
        <w:t>水污染影响型建设项目环境影响评价等级划分</w:t>
      </w:r>
    </w:p>
    <w:p w:rsidR="00DB7CC8" w:rsidRDefault="002B5250">
      <w:pPr>
        <w:ind w:firstLine="480"/>
        <w:rPr>
          <w:sz w:val="24"/>
          <w:szCs w:val="24"/>
        </w:rPr>
      </w:pPr>
      <w:r>
        <w:rPr>
          <w:sz w:val="24"/>
          <w:szCs w:val="24"/>
        </w:rPr>
        <w:t>根据《环境影响评价技术导则</w:t>
      </w:r>
      <w:r>
        <w:rPr>
          <w:sz w:val="24"/>
          <w:szCs w:val="24"/>
        </w:rPr>
        <w:t xml:space="preserve"> </w:t>
      </w:r>
      <w:r>
        <w:rPr>
          <w:sz w:val="24"/>
          <w:szCs w:val="24"/>
        </w:rPr>
        <w:t>地表水环境</w:t>
      </w:r>
      <w:r>
        <w:rPr>
          <w:sz w:val="24"/>
          <w:szCs w:val="24"/>
        </w:rPr>
        <w:t>》（</w:t>
      </w:r>
      <w:r>
        <w:rPr>
          <w:sz w:val="24"/>
          <w:szCs w:val="24"/>
        </w:rPr>
        <w:t>HJ2.3-2018</w:t>
      </w:r>
      <w:r>
        <w:rPr>
          <w:sz w:val="24"/>
          <w:szCs w:val="24"/>
        </w:rPr>
        <w:t>），水污染影响型建设项目根据排放方式和废水排放量划分评价等级。水污染影响型建设项目地表水环境影响评价工作等级判定见</w:t>
      </w:r>
      <w:r>
        <w:rPr>
          <w:rFonts w:hint="eastAsia"/>
          <w:sz w:val="24"/>
          <w:szCs w:val="24"/>
        </w:rPr>
        <w:t>表</w:t>
      </w:r>
      <w:r>
        <w:rPr>
          <w:rFonts w:hint="eastAsia"/>
          <w:sz w:val="24"/>
          <w:szCs w:val="24"/>
        </w:rPr>
        <w:t>2.4-8</w:t>
      </w:r>
      <w:r>
        <w:rPr>
          <w:sz w:val="24"/>
          <w:szCs w:val="24"/>
        </w:rPr>
        <w:t>。</w:t>
      </w:r>
      <w:bookmarkStart w:id="106" w:name="_Ref6772120"/>
    </w:p>
    <w:p w:rsidR="00DB7CC8" w:rsidRDefault="002B5250">
      <w:pPr>
        <w:spacing w:line="240" w:lineRule="auto"/>
        <w:ind w:firstLineChars="0" w:firstLine="0"/>
        <w:jc w:val="center"/>
        <w:textAlignment w:val="auto"/>
        <w:rPr>
          <w:rFonts w:eastAsia="黑体"/>
          <w:kern w:val="2"/>
          <w:sz w:val="21"/>
          <w:szCs w:val="21"/>
        </w:rPr>
      </w:pPr>
      <w:bookmarkStart w:id="107" w:name="_Ref9726070"/>
      <w:bookmarkEnd w:id="106"/>
      <w:r>
        <w:rPr>
          <w:rFonts w:eastAsia="黑体" w:hint="eastAsia"/>
          <w:kern w:val="2"/>
          <w:sz w:val="21"/>
          <w:szCs w:val="21"/>
        </w:rPr>
        <w:t>表</w:t>
      </w:r>
      <w:r>
        <w:rPr>
          <w:rFonts w:eastAsia="黑体" w:hint="eastAsia"/>
          <w:kern w:val="2"/>
          <w:sz w:val="21"/>
          <w:szCs w:val="21"/>
        </w:rPr>
        <w:t>2.4-8</w:t>
      </w:r>
      <w:bookmarkEnd w:id="107"/>
      <w:r>
        <w:rPr>
          <w:rFonts w:eastAsia="黑体"/>
          <w:kern w:val="2"/>
          <w:sz w:val="21"/>
          <w:szCs w:val="21"/>
        </w:rPr>
        <w:t xml:space="preserve">  </w:t>
      </w:r>
      <w:r>
        <w:rPr>
          <w:rFonts w:eastAsia="黑体"/>
          <w:kern w:val="2"/>
          <w:sz w:val="21"/>
          <w:szCs w:val="21"/>
        </w:rPr>
        <w:t>水污染影响型建设项目评价工作等级判定</w:t>
      </w:r>
    </w:p>
    <w:tbl>
      <w:tblPr>
        <w:tblW w:w="8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0"/>
        <w:gridCol w:w="2659"/>
        <w:gridCol w:w="3265"/>
      </w:tblGrid>
      <w:tr w:rsidR="00DB7CC8">
        <w:trPr>
          <w:trHeight w:val="370"/>
        </w:trPr>
        <w:tc>
          <w:tcPr>
            <w:tcW w:w="2360" w:type="dxa"/>
            <w:vMerge w:val="restart"/>
            <w:vAlign w:val="center"/>
          </w:tcPr>
          <w:p w:rsidR="00DB7CC8" w:rsidRDefault="002B5250">
            <w:pPr>
              <w:pStyle w:val="afffffffc"/>
              <w:spacing w:line="240" w:lineRule="auto"/>
            </w:pPr>
            <w:r>
              <w:t>评价等级</w:t>
            </w:r>
          </w:p>
        </w:tc>
        <w:tc>
          <w:tcPr>
            <w:tcW w:w="5924" w:type="dxa"/>
            <w:gridSpan w:val="2"/>
            <w:vAlign w:val="center"/>
          </w:tcPr>
          <w:p w:rsidR="00DB7CC8" w:rsidRDefault="002B5250">
            <w:pPr>
              <w:pStyle w:val="afffffffc"/>
              <w:spacing w:line="240" w:lineRule="auto"/>
            </w:pPr>
            <w:r>
              <w:t>判断依据</w:t>
            </w:r>
          </w:p>
        </w:tc>
      </w:tr>
      <w:tr w:rsidR="00DB7CC8">
        <w:trPr>
          <w:trHeight w:val="370"/>
        </w:trPr>
        <w:tc>
          <w:tcPr>
            <w:tcW w:w="2360" w:type="dxa"/>
            <w:vMerge/>
            <w:vAlign w:val="center"/>
          </w:tcPr>
          <w:p w:rsidR="00DB7CC8" w:rsidRDefault="00DB7CC8">
            <w:pPr>
              <w:pStyle w:val="afffffffc"/>
              <w:spacing w:line="240" w:lineRule="auto"/>
            </w:pPr>
          </w:p>
        </w:tc>
        <w:tc>
          <w:tcPr>
            <w:tcW w:w="2659" w:type="dxa"/>
            <w:vAlign w:val="center"/>
          </w:tcPr>
          <w:p w:rsidR="00DB7CC8" w:rsidRDefault="002B5250">
            <w:pPr>
              <w:pStyle w:val="afffffffc"/>
              <w:spacing w:line="240" w:lineRule="auto"/>
            </w:pPr>
            <w:r>
              <w:t>排放方式</w:t>
            </w:r>
          </w:p>
        </w:tc>
        <w:tc>
          <w:tcPr>
            <w:tcW w:w="3265" w:type="dxa"/>
            <w:vAlign w:val="center"/>
          </w:tcPr>
          <w:p w:rsidR="00DB7CC8" w:rsidRDefault="002B5250">
            <w:pPr>
              <w:pStyle w:val="afffffffc"/>
              <w:spacing w:line="240" w:lineRule="auto"/>
            </w:pPr>
            <w:r>
              <w:t>废水排放量</w:t>
            </w:r>
            <w:r>
              <w:t>Q/</w:t>
            </w:r>
            <w:r>
              <w:t>（</w:t>
            </w:r>
            <w:r>
              <w:t>m³/d</w:t>
            </w:r>
            <w:r>
              <w:t>）；</w:t>
            </w:r>
          </w:p>
          <w:p w:rsidR="00DB7CC8" w:rsidRDefault="002B5250">
            <w:pPr>
              <w:pStyle w:val="afffffffc"/>
              <w:spacing w:line="240" w:lineRule="auto"/>
            </w:pPr>
            <w:r>
              <w:t>水污染物当量数</w:t>
            </w:r>
            <w:r>
              <w:t>W/</w:t>
            </w:r>
            <w:r>
              <w:t>（无量纲）</w:t>
            </w:r>
          </w:p>
        </w:tc>
      </w:tr>
      <w:tr w:rsidR="00DB7CC8">
        <w:trPr>
          <w:trHeight w:val="370"/>
        </w:trPr>
        <w:tc>
          <w:tcPr>
            <w:tcW w:w="2360" w:type="dxa"/>
            <w:vAlign w:val="center"/>
          </w:tcPr>
          <w:p w:rsidR="00DB7CC8" w:rsidRDefault="002B5250">
            <w:pPr>
              <w:pStyle w:val="afffffffc"/>
              <w:spacing w:line="240" w:lineRule="auto"/>
            </w:pPr>
            <w:r>
              <w:t>一级</w:t>
            </w:r>
          </w:p>
        </w:tc>
        <w:tc>
          <w:tcPr>
            <w:tcW w:w="2659" w:type="dxa"/>
            <w:vAlign w:val="center"/>
          </w:tcPr>
          <w:p w:rsidR="00DB7CC8" w:rsidRDefault="002B5250">
            <w:pPr>
              <w:pStyle w:val="afffffffc"/>
              <w:spacing w:line="240" w:lineRule="auto"/>
            </w:pPr>
            <w:r>
              <w:t>直接排放</w:t>
            </w:r>
          </w:p>
        </w:tc>
        <w:tc>
          <w:tcPr>
            <w:tcW w:w="3265" w:type="dxa"/>
            <w:vAlign w:val="center"/>
          </w:tcPr>
          <w:p w:rsidR="00DB7CC8" w:rsidRDefault="002B5250">
            <w:pPr>
              <w:pStyle w:val="afffffffc"/>
              <w:spacing w:line="240" w:lineRule="auto"/>
            </w:pPr>
            <w:r>
              <w:t>Q≥20000</w:t>
            </w:r>
            <w:r>
              <w:t>或</w:t>
            </w:r>
            <w:r>
              <w:t>W≥600000</w:t>
            </w:r>
          </w:p>
        </w:tc>
      </w:tr>
      <w:tr w:rsidR="00DB7CC8">
        <w:trPr>
          <w:trHeight w:val="370"/>
        </w:trPr>
        <w:tc>
          <w:tcPr>
            <w:tcW w:w="2360" w:type="dxa"/>
            <w:vAlign w:val="center"/>
          </w:tcPr>
          <w:p w:rsidR="00DB7CC8" w:rsidRDefault="002B5250">
            <w:pPr>
              <w:pStyle w:val="afffffffc"/>
              <w:spacing w:line="240" w:lineRule="auto"/>
            </w:pPr>
            <w:r>
              <w:t>二级</w:t>
            </w:r>
          </w:p>
        </w:tc>
        <w:tc>
          <w:tcPr>
            <w:tcW w:w="2659" w:type="dxa"/>
            <w:vAlign w:val="center"/>
          </w:tcPr>
          <w:p w:rsidR="00DB7CC8" w:rsidRDefault="002B5250">
            <w:pPr>
              <w:pStyle w:val="afffffffc"/>
              <w:spacing w:line="240" w:lineRule="auto"/>
            </w:pPr>
            <w:r>
              <w:t>直接排放</w:t>
            </w:r>
          </w:p>
        </w:tc>
        <w:tc>
          <w:tcPr>
            <w:tcW w:w="3265" w:type="dxa"/>
            <w:vAlign w:val="center"/>
          </w:tcPr>
          <w:p w:rsidR="00DB7CC8" w:rsidRDefault="002B5250">
            <w:pPr>
              <w:pStyle w:val="afffffffc"/>
              <w:spacing w:line="240" w:lineRule="auto"/>
            </w:pPr>
            <w:r>
              <w:t>其他</w:t>
            </w:r>
          </w:p>
        </w:tc>
      </w:tr>
      <w:tr w:rsidR="00DB7CC8">
        <w:trPr>
          <w:trHeight w:val="370"/>
        </w:trPr>
        <w:tc>
          <w:tcPr>
            <w:tcW w:w="2360" w:type="dxa"/>
            <w:vAlign w:val="center"/>
          </w:tcPr>
          <w:p w:rsidR="00DB7CC8" w:rsidRDefault="002B5250">
            <w:pPr>
              <w:pStyle w:val="afffffffc"/>
              <w:spacing w:line="240" w:lineRule="auto"/>
            </w:pPr>
            <w:r>
              <w:t>三级</w:t>
            </w:r>
            <w:r>
              <w:t>A</w:t>
            </w:r>
          </w:p>
        </w:tc>
        <w:tc>
          <w:tcPr>
            <w:tcW w:w="2659" w:type="dxa"/>
            <w:vAlign w:val="center"/>
          </w:tcPr>
          <w:p w:rsidR="00DB7CC8" w:rsidRDefault="002B5250">
            <w:pPr>
              <w:pStyle w:val="afffffffc"/>
              <w:spacing w:line="240" w:lineRule="auto"/>
            </w:pPr>
            <w:r>
              <w:t>直接排放</w:t>
            </w:r>
          </w:p>
        </w:tc>
        <w:tc>
          <w:tcPr>
            <w:tcW w:w="3265" w:type="dxa"/>
            <w:vAlign w:val="center"/>
          </w:tcPr>
          <w:p w:rsidR="00DB7CC8" w:rsidRDefault="002B5250">
            <w:pPr>
              <w:pStyle w:val="afffffffc"/>
              <w:spacing w:line="240" w:lineRule="auto"/>
            </w:pPr>
            <w:r>
              <w:t>Q</w:t>
            </w:r>
            <w:r>
              <w:t>＜</w:t>
            </w:r>
            <w:r>
              <w:t>200</w:t>
            </w:r>
            <w:r>
              <w:t>且</w:t>
            </w:r>
            <w:r>
              <w:t>W</w:t>
            </w:r>
            <w:r>
              <w:t>＜</w:t>
            </w:r>
            <w:r>
              <w:t>6000</w:t>
            </w:r>
          </w:p>
        </w:tc>
      </w:tr>
      <w:tr w:rsidR="00DB7CC8">
        <w:trPr>
          <w:trHeight w:val="370"/>
        </w:trPr>
        <w:tc>
          <w:tcPr>
            <w:tcW w:w="2360" w:type="dxa"/>
            <w:vAlign w:val="center"/>
          </w:tcPr>
          <w:p w:rsidR="00DB7CC8" w:rsidRDefault="002B5250">
            <w:pPr>
              <w:pStyle w:val="afffffffc"/>
              <w:spacing w:line="240" w:lineRule="auto"/>
            </w:pPr>
            <w:r>
              <w:t>三级</w:t>
            </w:r>
            <w:r>
              <w:t>B</w:t>
            </w:r>
          </w:p>
        </w:tc>
        <w:tc>
          <w:tcPr>
            <w:tcW w:w="2659" w:type="dxa"/>
            <w:vAlign w:val="center"/>
          </w:tcPr>
          <w:p w:rsidR="00DB7CC8" w:rsidRDefault="002B5250">
            <w:pPr>
              <w:pStyle w:val="afffffffc"/>
              <w:spacing w:line="240" w:lineRule="auto"/>
            </w:pPr>
            <w:r>
              <w:t>间接排放</w:t>
            </w:r>
          </w:p>
        </w:tc>
        <w:tc>
          <w:tcPr>
            <w:tcW w:w="3265" w:type="dxa"/>
            <w:vAlign w:val="center"/>
          </w:tcPr>
          <w:p w:rsidR="00DB7CC8" w:rsidRDefault="002B5250">
            <w:pPr>
              <w:pStyle w:val="afffffffc"/>
              <w:spacing w:line="240" w:lineRule="auto"/>
            </w:pPr>
            <w:r>
              <w:t>—</w:t>
            </w:r>
          </w:p>
        </w:tc>
      </w:tr>
      <w:tr w:rsidR="00DB7CC8">
        <w:trPr>
          <w:trHeight w:val="370"/>
        </w:trPr>
        <w:tc>
          <w:tcPr>
            <w:tcW w:w="8284" w:type="dxa"/>
            <w:gridSpan w:val="3"/>
            <w:vAlign w:val="center"/>
          </w:tcPr>
          <w:p w:rsidR="00DB7CC8" w:rsidRDefault="002B5250">
            <w:pPr>
              <w:pStyle w:val="afffffffc"/>
              <w:jc w:val="left"/>
            </w:pPr>
            <w:r>
              <w:rPr>
                <w:rFonts w:hint="eastAsia"/>
              </w:rPr>
              <w:t>……</w:t>
            </w:r>
          </w:p>
          <w:p w:rsidR="00DB7CC8" w:rsidRDefault="002B5250">
            <w:pPr>
              <w:pStyle w:val="afffffffc"/>
              <w:spacing w:line="240" w:lineRule="auto"/>
              <w:jc w:val="left"/>
            </w:pPr>
            <w:r>
              <w:rPr>
                <w:b/>
              </w:rPr>
              <w:t>注</w:t>
            </w:r>
            <w:r>
              <w:rPr>
                <w:b/>
              </w:rPr>
              <w:t>10</w:t>
            </w:r>
            <w:r>
              <w:rPr>
                <w:b/>
              </w:rPr>
              <w:t>：建设项目生产工艺中有废水产生，但作为回水利用，不排放到外环境的，按三级</w:t>
            </w:r>
            <w:r>
              <w:rPr>
                <w:b/>
              </w:rPr>
              <w:t>B</w:t>
            </w:r>
            <w:r>
              <w:rPr>
                <w:b/>
              </w:rPr>
              <w:t>评价。</w:t>
            </w:r>
          </w:p>
        </w:tc>
      </w:tr>
    </w:tbl>
    <w:p w:rsidR="00DB7CC8" w:rsidRDefault="002B5250">
      <w:pPr>
        <w:ind w:firstLine="480"/>
      </w:pPr>
      <w:r>
        <w:rPr>
          <w:sz w:val="24"/>
          <w:szCs w:val="24"/>
        </w:rPr>
        <w:t>根据工程分析，项目建成投产后，项目产生的废水主要为生产废水。项目生产废水经沉淀处理，并由清水池收集后，回用于生产工艺循环使用不外排。因此，项目无废水外排。</w:t>
      </w:r>
    </w:p>
    <w:p w:rsidR="00DB7CC8" w:rsidRDefault="002B5250">
      <w:pPr>
        <w:ind w:firstLine="480"/>
        <w:rPr>
          <w:sz w:val="24"/>
          <w:szCs w:val="24"/>
        </w:rPr>
      </w:pPr>
      <w:r>
        <w:rPr>
          <w:sz w:val="24"/>
          <w:szCs w:val="24"/>
        </w:rPr>
        <w:t>根据《环境影响评价技术导则</w:t>
      </w:r>
      <w:r>
        <w:rPr>
          <w:sz w:val="24"/>
          <w:szCs w:val="24"/>
        </w:rPr>
        <w:t xml:space="preserve"> </w:t>
      </w:r>
      <w:r>
        <w:rPr>
          <w:sz w:val="24"/>
          <w:szCs w:val="24"/>
        </w:rPr>
        <w:t>地表水环境》（</w:t>
      </w:r>
      <w:r>
        <w:rPr>
          <w:sz w:val="24"/>
          <w:szCs w:val="24"/>
        </w:rPr>
        <w:t>HJ2.3-2018</w:t>
      </w:r>
      <w:r>
        <w:rPr>
          <w:sz w:val="24"/>
          <w:szCs w:val="24"/>
        </w:rPr>
        <w:t>）中关于工作等级划分规定，本项目为水污染影响型建设项目，确定本项目地表水环境影响评价等级为三级</w:t>
      </w:r>
      <w:r>
        <w:rPr>
          <w:sz w:val="24"/>
          <w:szCs w:val="24"/>
        </w:rPr>
        <w:t>B</w:t>
      </w:r>
      <w:r>
        <w:rPr>
          <w:sz w:val="24"/>
          <w:szCs w:val="24"/>
        </w:rPr>
        <w:t>。</w:t>
      </w:r>
    </w:p>
    <w:p w:rsidR="00DB7CC8" w:rsidRDefault="002B5250">
      <w:pPr>
        <w:ind w:firstLine="480"/>
        <w:rPr>
          <w:sz w:val="24"/>
          <w:szCs w:val="24"/>
        </w:rPr>
      </w:pPr>
      <w:r>
        <w:rPr>
          <w:sz w:val="24"/>
          <w:szCs w:val="24"/>
        </w:rPr>
        <w:lastRenderedPageBreak/>
        <w:t>（</w:t>
      </w:r>
      <w:r>
        <w:rPr>
          <w:sz w:val="24"/>
          <w:szCs w:val="24"/>
        </w:rPr>
        <w:t>2</w:t>
      </w:r>
      <w:r>
        <w:rPr>
          <w:sz w:val="24"/>
          <w:szCs w:val="24"/>
        </w:rPr>
        <w:t>）地下水环境</w:t>
      </w:r>
    </w:p>
    <w:p w:rsidR="00DB7CC8" w:rsidRDefault="002B5250">
      <w:pPr>
        <w:ind w:firstLine="480"/>
        <w:rPr>
          <w:sz w:val="24"/>
          <w:szCs w:val="24"/>
        </w:rPr>
      </w:pPr>
      <w:r>
        <w:rPr>
          <w:rFonts w:hint="eastAsia"/>
          <w:sz w:val="24"/>
          <w:szCs w:val="24"/>
        </w:rPr>
        <w:t>①</w:t>
      </w:r>
      <w:r>
        <w:rPr>
          <w:sz w:val="24"/>
          <w:szCs w:val="24"/>
        </w:rPr>
        <w:t>项目类别</w:t>
      </w:r>
    </w:p>
    <w:p w:rsidR="00DB7CC8" w:rsidRDefault="002B5250">
      <w:pPr>
        <w:ind w:firstLine="480"/>
        <w:rPr>
          <w:rFonts w:eastAsia="黑体"/>
          <w:kern w:val="2"/>
          <w:sz w:val="21"/>
          <w:szCs w:val="21"/>
        </w:rPr>
      </w:pPr>
      <w:r>
        <w:rPr>
          <w:sz w:val="24"/>
          <w:szCs w:val="24"/>
        </w:rPr>
        <w:t>根据《环境影响评价技术导则</w:t>
      </w:r>
      <w:r>
        <w:rPr>
          <w:sz w:val="24"/>
          <w:szCs w:val="24"/>
        </w:rPr>
        <w:t>-</w:t>
      </w:r>
      <w:r>
        <w:rPr>
          <w:sz w:val="24"/>
          <w:szCs w:val="24"/>
        </w:rPr>
        <w:t>地下水环境》（</w:t>
      </w:r>
      <w:r>
        <w:rPr>
          <w:sz w:val="24"/>
          <w:szCs w:val="24"/>
        </w:rPr>
        <w:t>HJ610-2016</w:t>
      </w:r>
      <w:r>
        <w:rPr>
          <w:sz w:val="24"/>
          <w:szCs w:val="24"/>
        </w:rPr>
        <w:t>）附录</w:t>
      </w:r>
      <w:r>
        <w:rPr>
          <w:sz w:val="24"/>
          <w:szCs w:val="24"/>
        </w:rPr>
        <w:t>A</w:t>
      </w:r>
      <w:r>
        <w:rPr>
          <w:sz w:val="24"/>
          <w:szCs w:val="24"/>
        </w:rPr>
        <w:t>（规范性附录）地下水环境影响评价行业分类表，其相关内容见</w:t>
      </w:r>
      <w:r>
        <w:rPr>
          <w:rFonts w:hint="eastAsia"/>
          <w:sz w:val="24"/>
          <w:szCs w:val="24"/>
        </w:rPr>
        <w:t>表</w:t>
      </w:r>
      <w:r>
        <w:rPr>
          <w:rFonts w:hint="eastAsia"/>
          <w:sz w:val="24"/>
          <w:szCs w:val="24"/>
        </w:rPr>
        <w:t>2.4-9</w:t>
      </w:r>
      <w:r>
        <w:rPr>
          <w:sz w:val="24"/>
          <w:szCs w:val="24"/>
        </w:rPr>
        <w:t>。</w:t>
      </w:r>
      <w:bookmarkStart w:id="108" w:name="_Ref6772325"/>
    </w:p>
    <w:p w:rsidR="00DB7CC8" w:rsidRDefault="002B5250">
      <w:pPr>
        <w:ind w:firstLine="420"/>
        <w:jc w:val="center"/>
        <w:rPr>
          <w:sz w:val="24"/>
          <w:szCs w:val="24"/>
        </w:rPr>
      </w:pPr>
      <w:r>
        <w:rPr>
          <w:rFonts w:eastAsia="黑体"/>
          <w:kern w:val="2"/>
          <w:sz w:val="21"/>
          <w:szCs w:val="21"/>
        </w:rPr>
        <w:t>表</w:t>
      </w:r>
      <w:r>
        <w:rPr>
          <w:rFonts w:eastAsia="黑体" w:hint="eastAsia"/>
          <w:kern w:val="2"/>
          <w:sz w:val="21"/>
          <w:szCs w:val="21"/>
        </w:rPr>
        <w:t>2.4-9</w:t>
      </w:r>
      <w:r>
        <w:rPr>
          <w:rFonts w:eastAsia="黑体"/>
          <w:kern w:val="2"/>
          <w:sz w:val="21"/>
          <w:szCs w:val="21"/>
        </w:rPr>
        <w:t xml:space="preserve"> </w:t>
      </w:r>
      <w:bookmarkEnd w:id="108"/>
      <w:r>
        <w:rPr>
          <w:rFonts w:eastAsia="黑体"/>
          <w:kern w:val="2"/>
          <w:sz w:val="21"/>
          <w:szCs w:val="21"/>
        </w:rPr>
        <w:t xml:space="preserve">  </w:t>
      </w:r>
      <w:r>
        <w:rPr>
          <w:rFonts w:eastAsia="黑体"/>
          <w:kern w:val="2"/>
          <w:sz w:val="21"/>
          <w:szCs w:val="21"/>
        </w:rPr>
        <w:t>地下水环境影响评价行业分类表</w:t>
      </w:r>
    </w:p>
    <w:tbl>
      <w:tblPr>
        <w:tblW w:w="8756" w:type="dxa"/>
        <w:tblInd w:w="-20"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135"/>
        <w:gridCol w:w="862"/>
        <w:gridCol w:w="851"/>
        <w:gridCol w:w="2126"/>
        <w:gridCol w:w="992"/>
        <w:gridCol w:w="1790"/>
      </w:tblGrid>
      <w:tr w:rsidR="00DB7CC8">
        <w:trPr>
          <w:trHeight w:val="397"/>
        </w:trPr>
        <w:tc>
          <w:tcPr>
            <w:tcW w:w="2135" w:type="dxa"/>
            <w:vMerge w:val="restart"/>
            <w:tcBorders>
              <w:tl2br w:val="single" w:sz="4" w:space="0" w:color="auto"/>
            </w:tcBorders>
            <w:vAlign w:val="center"/>
          </w:tcPr>
          <w:p w:rsidR="00DB7CC8" w:rsidRDefault="002B5250">
            <w:pPr>
              <w:pStyle w:val="afffffffc"/>
              <w:spacing w:line="240" w:lineRule="auto"/>
            </w:pPr>
            <w:r>
              <w:t>环评类别</w:t>
            </w:r>
          </w:p>
          <w:p w:rsidR="00DB7CC8" w:rsidRDefault="002B5250">
            <w:pPr>
              <w:pStyle w:val="afffffffc"/>
              <w:spacing w:line="240" w:lineRule="auto"/>
            </w:pPr>
            <w:r>
              <w:t>行业类别</w:t>
            </w:r>
          </w:p>
        </w:tc>
        <w:tc>
          <w:tcPr>
            <w:tcW w:w="862" w:type="dxa"/>
            <w:vMerge w:val="restart"/>
            <w:vAlign w:val="center"/>
          </w:tcPr>
          <w:p w:rsidR="00DB7CC8" w:rsidRDefault="002B5250">
            <w:pPr>
              <w:pStyle w:val="afffffffc"/>
              <w:spacing w:line="240" w:lineRule="auto"/>
            </w:pPr>
            <w:r>
              <w:t>报告书</w:t>
            </w:r>
          </w:p>
        </w:tc>
        <w:tc>
          <w:tcPr>
            <w:tcW w:w="851" w:type="dxa"/>
            <w:vMerge w:val="restart"/>
            <w:vAlign w:val="center"/>
          </w:tcPr>
          <w:p w:rsidR="00DB7CC8" w:rsidRDefault="002B5250">
            <w:pPr>
              <w:pStyle w:val="afffffffc"/>
              <w:spacing w:line="240" w:lineRule="auto"/>
            </w:pPr>
            <w:r>
              <w:t>报告表</w:t>
            </w:r>
          </w:p>
        </w:tc>
        <w:tc>
          <w:tcPr>
            <w:tcW w:w="3118" w:type="dxa"/>
            <w:gridSpan w:val="2"/>
            <w:vAlign w:val="center"/>
          </w:tcPr>
          <w:p w:rsidR="00DB7CC8" w:rsidRDefault="002B5250">
            <w:pPr>
              <w:pStyle w:val="afffffffc"/>
              <w:spacing w:line="240" w:lineRule="auto"/>
            </w:pPr>
            <w:r>
              <w:t>地下水环境影响评价项目类别</w:t>
            </w:r>
          </w:p>
        </w:tc>
        <w:tc>
          <w:tcPr>
            <w:tcW w:w="1790" w:type="dxa"/>
            <w:vAlign w:val="center"/>
          </w:tcPr>
          <w:p w:rsidR="00DB7CC8" w:rsidRDefault="002B5250">
            <w:pPr>
              <w:pStyle w:val="afffffffc"/>
              <w:spacing w:line="240" w:lineRule="auto"/>
            </w:pPr>
            <w:r>
              <w:t>本项目</w:t>
            </w:r>
          </w:p>
        </w:tc>
      </w:tr>
      <w:tr w:rsidR="00DB7CC8">
        <w:trPr>
          <w:trHeight w:val="397"/>
        </w:trPr>
        <w:tc>
          <w:tcPr>
            <w:tcW w:w="2135" w:type="dxa"/>
            <w:vMerge/>
            <w:vAlign w:val="center"/>
          </w:tcPr>
          <w:p w:rsidR="00DB7CC8" w:rsidRDefault="00DB7CC8">
            <w:pPr>
              <w:pStyle w:val="afffffffc"/>
              <w:spacing w:line="240" w:lineRule="auto"/>
            </w:pPr>
          </w:p>
        </w:tc>
        <w:tc>
          <w:tcPr>
            <w:tcW w:w="862" w:type="dxa"/>
            <w:vMerge/>
            <w:vAlign w:val="center"/>
          </w:tcPr>
          <w:p w:rsidR="00DB7CC8" w:rsidRDefault="00DB7CC8">
            <w:pPr>
              <w:pStyle w:val="afffffffc"/>
              <w:spacing w:line="240" w:lineRule="auto"/>
            </w:pPr>
          </w:p>
        </w:tc>
        <w:tc>
          <w:tcPr>
            <w:tcW w:w="851" w:type="dxa"/>
            <w:vMerge/>
            <w:vAlign w:val="center"/>
          </w:tcPr>
          <w:p w:rsidR="00DB7CC8" w:rsidRDefault="00DB7CC8">
            <w:pPr>
              <w:pStyle w:val="afffffffc"/>
              <w:spacing w:line="240" w:lineRule="auto"/>
            </w:pPr>
          </w:p>
        </w:tc>
        <w:tc>
          <w:tcPr>
            <w:tcW w:w="2126" w:type="dxa"/>
            <w:vAlign w:val="center"/>
          </w:tcPr>
          <w:p w:rsidR="00DB7CC8" w:rsidRDefault="002B5250">
            <w:pPr>
              <w:pStyle w:val="afffffffc"/>
              <w:spacing w:line="240" w:lineRule="auto"/>
            </w:pPr>
            <w:r>
              <w:t>报告书</w:t>
            </w:r>
          </w:p>
        </w:tc>
        <w:tc>
          <w:tcPr>
            <w:tcW w:w="992" w:type="dxa"/>
            <w:vAlign w:val="center"/>
          </w:tcPr>
          <w:p w:rsidR="00DB7CC8" w:rsidRDefault="002B5250">
            <w:pPr>
              <w:pStyle w:val="afffffffc"/>
              <w:spacing w:line="240" w:lineRule="auto"/>
            </w:pPr>
            <w:r>
              <w:t>报告表</w:t>
            </w:r>
          </w:p>
        </w:tc>
        <w:tc>
          <w:tcPr>
            <w:tcW w:w="1790" w:type="dxa"/>
            <w:vAlign w:val="center"/>
          </w:tcPr>
          <w:p w:rsidR="00DB7CC8" w:rsidRDefault="002B5250">
            <w:pPr>
              <w:pStyle w:val="afffffffc"/>
              <w:spacing w:line="240" w:lineRule="auto"/>
            </w:pPr>
            <w:r>
              <w:t>报告书</w:t>
            </w:r>
          </w:p>
        </w:tc>
      </w:tr>
      <w:tr w:rsidR="00DB7CC8">
        <w:trPr>
          <w:trHeight w:val="397"/>
        </w:trPr>
        <w:tc>
          <w:tcPr>
            <w:tcW w:w="8756" w:type="dxa"/>
            <w:gridSpan w:val="6"/>
            <w:vAlign w:val="center"/>
          </w:tcPr>
          <w:p w:rsidR="00DB7CC8" w:rsidRDefault="002B5250">
            <w:pPr>
              <w:pStyle w:val="afffffffc"/>
              <w:spacing w:line="240" w:lineRule="auto"/>
            </w:pPr>
            <w:r>
              <w:t>四十三黑色金属矿采选业</w:t>
            </w:r>
          </w:p>
        </w:tc>
      </w:tr>
      <w:tr w:rsidR="00DB7CC8">
        <w:trPr>
          <w:trHeight w:val="397"/>
        </w:trPr>
        <w:tc>
          <w:tcPr>
            <w:tcW w:w="2135" w:type="dxa"/>
            <w:vAlign w:val="center"/>
          </w:tcPr>
          <w:p w:rsidR="00DB7CC8" w:rsidRDefault="002B5250">
            <w:pPr>
              <w:pStyle w:val="afffffffc"/>
              <w:spacing w:line="240" w:lineRule="auto"/>
            </w:pPr>
            <w:r>
              <w:t>135</w:t>
            </w:r>
            <w:r>
              <w:t>、黑色金属矿采选（含单独尾矿库）</w:t>
            </w:r>
          </w:p>
        </w:tc>
        <w:tc>
          <w:tcPr>
            <w:tcW w:w="862" w:type="dxa"/>
            <w:vAlign w:val="center"/>
          </w:tcPr>
          <w:p w:rsidR="00DB7CC8" w:rsidRDefault="002B5250">
            <w:pPr>
              <w:pStyle w:val="afffffffc"/>
              <w:spacing w:line="240" w:lineRule="auto"/>
            </w:pPr>
            <w:r>
              <w:t>全部</w:t>
            </w:r>
          </w:p>
        </w:tc>
        <w:tc>
          <w:tcPr>
            <w:tcW w:w="851" w:type="dxa"/>
            <w:vAlign w:val="center"/>
          </w:tcPr>
          <w:p w:rsidR="00DB7CC8" w:rsidRDefault="002B5250">
            <w:pPr>
              <w:pStyle w:val="afffffffc"/>
              <w:spacing w:line="240" w:lineRule="auto"/>
            </w:pPr>
            <w:r>
              <w:t>---</w:t>
            </w:r>
          </w:p>
        </w:tc>
        <w:tc>
          <w:tcPr>
            <w:tcW w:w="2126" w:type="dxa"/>
            <w:vAlign w:val="center"/>
          </w:tcPr>
          <w:p w:rsidR="00DB7CC8" w:rsidRDefault="002B5250">
            <w:pPr>
              <w:pStyle w:val="afffffffc"/>
              <w:spacing w:line="240" w:lineRule="auto"/>
            </w:pPr>
            <w:r>
              <w:t>排土场、尾矿库</w:t>
            </w:r>
            <w:r>
              <w:t>Ⅰ</w:t>
            </w:r>
            <w:r>
              <w:t>类，选矿厂</w:t>
            </w:r>
            <w:r>
              <w:t>Ⅱ</w:t>
            </w:r>
            <w:r>
              <w:t>类，其余</w:t>
            </w:r>
            <w:r>
              <w:t>Ⅳ</w:t>
            </w:r>
            <w:r>
              <w:t>类</w:t>
            </w:r>
          </w:p>
        </w:tc>
        <w:tc>
          <w:tcPr>
            <w:tcW w:w="992" w:type="dxa"/>
            <w:vAlign w:val="center"/>
          </w:tcPr>
          <w:p w:rsidR="00DB7CC8" w:rsidRDefault="002B5250">
            <w:pPr>
              <w:pStyle w:val="afffffffc"/>
              <w:spacing w:line="240" w:lineRule="auto"/>
            </w:pPr>
            <w:r>
              <w:t>---</w:t>
            </w:r>
          </w:p>
        </w:tc>
        <w:tc>
          <w:tcPr>
            <w:tcW w:w="1790" w:type="dxa"/>
            <w:vAlign w:val="center"/>
          </w:tcPr>
          <w:p w:rsidR="00DB7CC8" w:rsidRDefault="002B5250">
            <w:pPr>
              <w:pStyle w:val="afffffffc"/>
              <w:spacing w:line="240" w:lineRule="auto"/>
            </w:pPr>
            <w:r>
              <w:t>本项目铁选项目，不设尾矿库</w:t>
            </w:r>
          </w:p>
        </w:tc>
      </w:tr>
    </w:tbl>
    <w:p w:rsidR="00DB7CC8" w:rsidRDefault="002B5250">
      <w:pPr>
        <w:ind w:firstLine="480"/>
        <w:rPr>
          <w:sz w:val="24"/>
          <w:szCs w:val="24"/>
        </w:rPr>
      </w:pPr>
      <w:r>
        <w:rPr>
          <w:rFonts w:hint="eastAsia"/>
          <w:sz w:val="24"/>
          <w:szCs w:val="24"/>
        </w:rPr>
        <w:t>由上表可知，本项目属于Ⅱ类建设项目。</w:t>
      </w:r>
    </w:p>
    <w:p w:rsidR="00DB7CC8" w:rsidRDefault="002B5250">
      <w:pPr>
        <w:ind w:firstLine="480"/>
        <w:rPr>
          <w:sz w:val="24"/>
          <w:szCs w:val="24"/>
        </w:rPr>
      </w:pPr>
      <w:r>
        <w:rPr>
          <w:rFonts w:hint="eastAsia"/>
          <w:sz w:val="24"/>
          <w:szCs w:val="24"/>
        </w:rPr>
        <w:t>②项目所在地敏感程度</w:t>
      </w:r>
    </w:p>
    <w:p w:rsidR="00DB7CC8" w:rsidRDefault="002B5250">
      <w:pPr>
        <w:ind w:firstLine="480"/>
        <w:rPr>
          <w:sz w:val="24"/>
          <w:szCs w:val="24"/>
        </w:rPr>
      </w:pPr>
      <w:r>
        <w:rPr>
          <w:rFonts w:hint="eastAsia"/>
          <w:sz w:val="24"/>
          <w:szCs w:val="24"/>
        </w:rPr>
        <w:t>《环境影响评价技术导则</w:t>
      </w:r>
      <w:r>
        <w:rPr>
          <w:rFonts w:hint="eastAsia"/>
          <w:sz w:val="24"/>
          <w:szCs w:val="24"/>
        </w:rPr>
        <w:t>-</w:t>
      </w:r>
      <w:r>
        <w:rPr>
          <w:rFonts w:hint="eastAsia"/>
          <w:sz w:val="24"/>
          <w:szCs w:val="24"/>
        </w:rPr>
        <w:t>地下水环境》（</w:t>
      </w:r>
      <w:r>
        <w:rPr>
          <w:rFonts w:hint="eastAsia"/>
          <w:sz w:val="24"/>
          <w:szCs w:val="24"/>
        </w:rPr>
        <w:t>HJ610-2016</w:t>
      </w:r>
      <w:r>
        <w:rPr>
          <w:rFonts w:hint="eastAsia"/>
          <w:sz w:val="24"/>
          <w:szCs w:val="24"/>
        </w:rPr>
        <w:t>）地下水环境敏感程度分级表见表</w:t>
      </w:r>
      <w:r>
        <w:rPr>
          <w:rFonts w:hint="eastAsia"/>
          <w:sz w:val="24"/>
          <w:szCs w:val="24"/>
        </w:rPr>
        <w:t>2.4-10</w:t>
      </w:r>
      <w:r>
        <w:rPr>
          <w:rFonts w:hint="eastAsia"/>
          <w:sz w:val="24"/>
          <w:szCs w:val="24"/>
        </w:rPr>
        <w:t>。</w:t>
      </w:r>
    </w:p>
    <w:p w:rsidR="00DB7CC8" w:rsidRDefault="002B5250">
      <w:pPr>
        <w:ind w:firstLine="420"/>
        <w:jc w:val="center"/>
        <w:rPr>
          <w:sz w:val="24"/>
          <w:szCs w:val="24"/>
        </w:rPr>
      </w:pPr>
      <w:bookmarkStart w:id="109" w:name="_Ref6772396"/>
      <w:r>
        <w:rPr>
          <w:rFonts w:eastAsia="黑体"/>
          <w:kern w:val="2"/>
          <w:sz w:val="21"/>
          <w:szCs w:val="21"/>
        </w:rPr>
        <w:t>表</w:t>
      </w:r>
      <w:r>
        <w:rPr>
          <w:rFonts w:eastAsia="黑体" w:hint="eastAsia"/>
          <w:kern w:val="2"/>
          <w:sz w:val="21"/>
          <w:szCs w:val="21"/>
        </w:rPr>
        <w:t>2.4-10</w:t>
      </w:r>
      <w:r>
        <w:rPr>
          <w:rFonts w:eastAsia="黑体"/>
          <w:kern w:val="2"/>
          <w:sz w:val="21"/>
          <w:szCs w:val="21"/>
        </w:rPr>
        <w:t xml:space="preserve"> </w:t>
      </w:r>
      <w:bookmarkEnd w:id="109"/>
      <w:r>
        <w:rPr>
          <w:rFonts w:eastAsia="黑体"/>
          <w:kern w:val="2"/>
          <w:sz w:val="21"/>
          <w:szCs w:val="21"/>
        </w:rPr>
        <w:t xml:space="preserve">  </w:t>
      </w:r>
      <w:r>
        <w:rPr>
          <w:rFonts w:eastAsia="黑体"/>
          <w:kern w:val="2"/>
          <w:sz w:val="21"/>
          <w:szCs w:val="21"/>
        </w:rPr>
        <w:t>地下水环境敏感程度分级表</w:t>
      </w:r>
    </w:p>
    <w:tbl>
      <w:tblPr>
        <w:tblW w:w="8312" w:type="dxa"/>
        <w:tblInd w:w="-20"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174"/>
        <w:gridCol w:w="7138"/>
      </w:tblGrid>
      <w:tr w:rsidR="00DB7CC8">
        <w:trPr>
          <w:trHeight w:val="391"/>
          <w:tblHeader/>
        </w:trPr>
        <w:tc>
          <w:tcPr>
            <w:tcW w:w="1174" w:type="dxa"/>
            <w:vAlign w:val="center"/>
          </w:tcPr>
          <w:p w:rsidR="00DB7CC8" w:rsidRDefault="002B5250">
            <w:pPr>
              <w:pStyle w:val="afffffffc"/>
              <w:spacing w:line="240" w:lineRule="auto"/>
            </w:pPr>
            <w:r>
              <w:t>敏感程度</w:t>
            </w:r>
          </w:p>
        </w:tc>
        <w:tc>
          <w:tcPr>
            <w:tcW w:w="7138" w:type="dxa"/>
            <w:vAlign w:val="center"/>
          </w:tcPr>
          <w:p w:rsidR="00DB7CC8" w:rsidRDefault="002B5250">
            <w:pPr>
              <w:pStyle w:val="afffffffc"/>
              <w:spacing w:line="240" w:lineRule="auto"/>
            </w:pPr>
            <w:r>
              <w:t>地下水环境敏感特征</w:t>
            </w:r>
          </w:p>
        </w:tc>
      </w:tr>
      <w:tr w:rsidR="00DB7CC8">
        <w:trPr>
          <w:trHeight w:val="391"/>
        </w:trPr>
        <w:tc>
          <w:tcPr>
            <w:tcW w:w="1174" w:type="dxa"/>
            <w:vAlign w:val="center"/>
          </w:tcPr>
          <w:p w:rsidR="00DB7CC8" w:rsidRDefault="002B5250">
            <w:pPr>
              <w:pStyle w:val="afffffffc"/>
              <w:spacing w:line="240" w:lineRule="auto"/>
            </w:pPr>
            <w:r>
              <w:t>敏感</w:t>
            </w:r>
          </w:p>
        </w:tc>
        <w:tc>
          <w:tcPr>
            <w:tcW w:w="7138" w:type="dxa"/>
            <w:vAlign w:val="center"/>
          </w:tcPr>
          <w:p w:rsidR="00DB7CC8" w:rsidRDefault="002B5250">
            <w:pPr>
              <w:pStyle w:val="afffffffc"/>
              <w:spacing w:line="240" w:lineRule="auto"/>
            </w:pPr>
            <w: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rsidR="00DB7CC8">
        <w:trPr>
          <w:trHeight w:val="391"/>
        </w:trPr>
        <w:tc>
          <w:tcPr>
            <w:tcW w:w="1174" w:type="dxa"/>
            <w:vAlign w:val="center"/>
          </w:tcPr>
          <w:p w:rsidR="00DB7CC8" w:rsidRDefault="002B5250">
            <w:pPr>
              <w:pStyle w:val="afffffffc"/>
              <w:spacing w:line="240" w:lineRule="auto"/>
            </w:pPr>
            <w:r>
              <w:t>较敏感</w:t>
            </w:r>
          </w:p>
        </w:tc>
        <w:tc>
          <w:tcPr>
            <w:tcW w:w="7138" w:type="dxa"/>
            <w:vAlign w:val="center"/>
          </w:tcPr>
          <w:p w:rsidR="00DB7CC8" w:rsidRDefault="002B5250">
            <w:pPr>
              <w:pStyle w:val="afffffffc"/>
              <w:spacing w:line="240" w:lineRule="auto"/>
            </w:pPr>
            <w: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r>
              <w:t>a</w:t>
            </w:r>
            <w:r>
              <w:t>。</w:t>
            </w:r>
          </w:p>
        </w:tc>
      </w:tr>
      <w:tr w:rsidR="00DB7CC8">
        <w:trPr>
          <w:trHeight w:val="391"/>
        </w:trPr>
        <w:tc>
          <w:tcPr>
            <w:tcW w:w="1174" w:type="dxa"/>
            <w:vAlign w:val="center"/>
          </w:tcPr>
          <w:p w:rsidR="00DB7CC8" w:rsidRDefault="002B5250">
            <w:pPr>
              <w:pStyle w:val="afffffffc"/>
              <w:spacing w:line="240" w:lineRule="auto"/>
            </w:pPr>
            <w:r>
              <w:t>不敏感</w:t>
            </w:r>
          </w:p>
        </w:tc>
        <w:tc>
          <w:tcPr>
            <w:tcW w:w="7138" w:type="dxa"/>
            <w:vAlign w:val="center"/>
          </w:tcPr>
          <w:p w:rsidR="00DB7CC8" w:rsidRDefault="002B5250">
            <w:pPr>
              <w:pStyle w:val="afffffffc"/>
              <w:spacing w:line="240" w:lineRule="auto"/>
            </w:pPr>
            <w:r>
              <w:t>上述地区之外的其他地区</w:t>
            </w:r>
          </w:p>
        </w:tc>
      </w:tr>
      <w:tr w:rsidR="00DB7CC8">
        <w:trPr>
          <w:trHeight w:val="391"/>
        </w:trPr>
        <w:tc>
          <w:tcPr>
            <w:tcW w:w="8312" w:type="dxa"/>
            <w:gridSpan w:val="2"/>
            <w:vAlign w:val="center"/>
          </w:tcPr>
          <w:p w:rsidR="00DB7CC8" w:rsidRDefault="002B5250">
            <w:pPr>
              <w:pStyle w:val="afffffffc"/>
              <w:spacing w:line="240" w:lineRule="auto"/>
            </w:pPr>
            <w:r>
              <w:t>注：</w:t>
            </w:r>
            <w:r>
              <w:t>a“</w:t>
            </w:r>
            <w:r>
              <w:t>环境敏感区</w:t>
            </w:r>
            <w:r>
              <w:t>”</w:t>
            </w:r>
            <w:r>
              <w:t>是指《建设项目环境影响评价分类管理名录》中所界定的涉及地下水的环境敏感区。</w:t>
            </w:r>
          </w:p>
        </w:tc>
      </w:tr>
    </w:tbl>
    <w:p w:rsidR="00DB7CC8" w:rsidRDefault="002B5250">
      <w:pPr>
        <w:ind w:firstLine="480"/>
        <w:rPr>
          <w:sz w:val="24"/>
          <w:szCs w:val="24"/>
        </w:rPr>
      </w:pPr>
      <w:r>
        <w:rPr>
          <w:rFonts w:hint="eastAsia"/>
          <w:sz w:val="24"/>
        </w:rPr>
        <w:t>据野外调查，评价区范围内的村庄均由建明镇水厂统一供水，该水厂集中供水井位于项目区</w:t>
      </w:r>
      <w:r>
        <w:rPr>
          <w:rFonts w:hint="eastAsia"/>
          <w:sz w:val="24"/>
          <w:szCs w:val="22"/>
        </w:rPr>
        <w:t>上游约</w:t>
      </w:r>
      <w:r>
        <w:rPr>
          <w:sz w:val="24"/>
          <w:szCs w:val="22"/>
        </w:rPr>
        <w:t>1600</w:t>
      </w:r>
      <w:r>
        <w:rPr>
          <w:rFonts w:hint="eastAsia"/>
          <w:sz w:val="24"/>
          <w:szCs w:val="22"/>
        </w:rPr>
        <w:t>米处的西铺</w:t>
      </w:r>
      <w:r>
        <w:rPr>
          <w:rFonts w:hint="eastAsia"/>
          <w:sz w:val="24"/>
        </w:rPr>
        <w:t>村南山，其供水人口大于</w:t>
      </w:r>
      <w:r>
        <w:rPr>
          <w:sz w:val="24"/>
        </w:rPr>
        <w:t>1000</w:t>
      </w:r>
      <w:r>
        <w:rPr>
          <w:rFonts w:hint="eastAsia"/>
          <w:sz w:val="24"/>
        </w:rPr>
        <w:t>人，为集中式饮用水源，同时评价区中村庄各户也有供水井，偶尔也作为各户的饮用水供水水源，属于分散型水源，按《环境影响评价技术导则</w:t>
      </w:r>
      <w:r>
        <w:rPr>
          <w:sz w:val="24"/>
        </w:rPr>
        <w:t>--</w:t>
      </w:r>
      <w:r>
        <w:rPr>
          <w:rFonts w:hint="eastAsia"/>
          <w:sz w:val="24"/>
        </w:rPr>
        <w:t>地下水环境》</w:t>
      </w:r>
      <w:r>
        <w:rPr>
          <w:sz w:val="24"/>
        </w:rPr>
        <w:t>(HJ610-2016)</w:t>
      </w:r>
      <w:r>
        <w:rPr>
          <w:rFonts w:hint="eastAsia"/>
          <w:sz w:val="24"/>
        </w:rPr>
        <w:t>中</w:t>
      </w:r>
      <w:r>
        <w:rPr>
          <w:sz w:val="24"/>
        </w:rPr>
        <w:t xml:space="preserve">6.2.1.2 </w:t>
      </w:r>
      <w:r>
        <w:rPr>
          <w:rFonts w:hint="eastAsia"/>
          <w:sz w:val="24"/>
        </w:rPr>
        <w:t>建设项目的地下水环境敏感程度分级表满足“评价区有分散的饮用水水源”，因此，最终确定该项目敏感程度为“较敏感”。</w:t>
      </w:r>
      <w:r>
        <w:rPr>
          <w:sz w:val="24"/>
          <w:szCs w:val="24"/>
        </w:rPr>
        <w:t>因此，本项目地下水评价等级为</w:t>
      </w:r>
      <w:r>
        <w:rPr>
          <w:rFonts w:hint="eastAsia"/>
          <w:sz w:val="24"/>
          <w:szCs w:val="24"/>
        </w:rPr>
        <w:t>二</w:t>
      </w:r>
      <w:r>
        <w:rPr>
          <w:sz w:val="24"/>
          <w:szCs w:val="24"/>
        </w:rPr>
        <w:t>级，具体划分见</w:t>
      </w:r>
      <w:r>
        <w:rPr>
          <w:rFonts w:hint="eastAsia"/>
          <w:sz w:val="24"/>
          <w:szCs w:val="24"/>
        </w:rPr>
        <w:t>表</w:t>
      </w:r>
      <w:r>
        <w:rPr>
          <w:rFonts w:hint="eastAsia"/>
          <w:sz w:val="24"/>
          <w:szCs w:val="24"/>
        </w:rPr>
        <w:t>2.4-11</w:t>
      </w:r>
      <w:r>
        <w:rPr>
          <w:rFonts w:hint="eastAsia"/>
          <w:sz w:val="24"/>
          <w:szCs w:val="24"/>
        </w:rPr>
        <w:t>。</w:t>
      </w:r>
    </w:p>
    <w:p w:rsidR="00DB7CC8" w:rsidRDefault="002B5250">
      <w:pPr>
        <w:spacing w:line="240" w:lineRule="auto"/>
        <w:ind w:firstLineChars="0"/>
        <w:jc w:val="center"/>
        <w:textAlignment w:val="auto"/>
        <w:rPr>
          <w:rFonts w:eastAsia="黑体"/>
          <w:kern w:val="2"/>
          <w:sz w:val="21"/>
          <w:szCs w:val="21"/>
        </w:rPr>
      </w:pPr>
      <w:bookmarkStart w:id="110" w:name="_Ref6772511"/>
      <w:r>
        <w:rPr>
          <w:rFonts w:eastAsia="黑体"/>
          <w:kern w:val="2"/>
          <w:sz w:val="21"/>
          <w:szCs w:val="21"/>
        </w:rPr>
        <w:t>表</w:t>
      </w:r>
      <w:r>
        <w:rPr>
          <w:rFonts w:eastAsia="黑体" w:hint="eastAsia"/>
          <w:kern w:val="2"/>
          <w:sz w:val="21"/>
          <w:szCs w:val="21"/>
        </w:rPr>
        <w:t>2.4-11</w:t>
      </w:r>
      <w:bookmarkEnd w:id="110"/>
      <w:r>
        <w:rPr>
          <w:rFonts w:eastAsia="黑体" w:hint="eastAsia"/>
          <w:kern w:val="2"/>
          <w:sz w:val="21"/>
          <w:szCs w:val="21"/>
        </w:rPr>
        <w:t xml:space="preserve">   </w:t>
      </w:r>
      <w:r>
        <w:rPr>
          <w:rFonts w:eastAsia="黑体"/>
          <w:kern w:val="2"/>
          <w:sz w:val="21"/>
          <w:szCs w:val="21"/>
        </w:rPr>
        <w:t>地下水环境影响评价等级划分情况</w:t>
      </w:r>
    </w:p>
    <w:tbl>
      <w:tblPr>
        <w:tblW w:w="8339"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678"/>
        <w:gridCol w:w="1527"/>
        <w:gridCol w:w="3680"/>
        <w:gridCol w:w="1320"/>
        <w:gridCol w:w="1134"/>
      </w:tblGrid>
      <w:tr w:rsidR="00DB7CC8">
        <w:trPr>
          <w:trHeight w:val="284"/>
          <w:jc w:val="center"/>
        </w:trPr>
        <w:tc>
          <w:tcPr>
            <w:tcW w:w="678"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序号</w:t>
            </w:r>
          </w:p>
        </w:tc>
        <w:tc>
          <w:tcPr>
            <w:tcW w:w="1527" w:type="dxa"/>
            <w:vAlign w:val="center"/>
          </w:tcPr>
          <w:p w:rsidR="00DB7CC8" w:rsidRDefault="002B5250">
            <w:pPr>
              <w:spacing w:line="240" w:lineRule="auto"/>
              <w:ind w:firstLineChars="0" w:firstLine="0"/>
              <w:jc w:val="center"/>
              <w:rPr>
                <w:sz w:val="21"/>
                <w:szCs w:val="21"/>
              </w:rPr>
            </w:pPr>
            <w:r>
              <w:rPr>
                <w:sz w:val="21"/>
                <w:szCs w:val="21"/>
              </w:rPr>
              <w:t>指标</w:t>
            </w:r>
          </w:p>
        </w:tc>
        <w:tc>
          <w:tcPr>
            <w:tcW w:w="3680" w:type="dxa"/>
            <w:vAlign w:val="center"/>
          </w:tcPr>
          <w:p w:rsidR="00DB7CC8" w:rsidRDefault="002B5250">
            <w:pPr>
              <w:spacing w:line="240" w:lineRule="auto"/>
              <w:ind w:firstLineChars="0" w:firstLine="0"/>
              <w:jc w:val="center"/>
              <w:rPr>
                <w:sz w:val="21"/>
                <w:szCs w:val="21"/>
              </w:rPr>
            </w:pPr>
            <w:r>
              <w:rPr>
                <w:sz w:val="21"/>
                <w:szCs w:val="21"/>
              </w:rPr>
              <w:t>性能（特征）</w:t>
            </w:r>
          </w:p>
        </w:tc>
        <w:tc>
          <w:tcPr>
            <w:tcW w:w="1320" w:type="dxa"/>
            <w:vAlign w:val="center"/>
          </w:tcPr>
          <w:p w:rsidR="00DB7CC8" w:rsidRDefault="002B5250">
            <w:pPr>
              <w:spacing w:line="240" w:lineRule="auto"/>
              <w:ind w:firstLineChars="0" w:firstLine="0"/>
              <w:jc w:val="center"/>
              <w:rPr>
                <w:sz w:val="21"/>
                <w:szCs w:val="21"/>
              </w:rPr>
            </w:pPr>
            <w:r>
              <w:rPr>
                <w:sz w:val="21"/>
                <w:szCs w:val="21"/>
              </w:rPr>
              <w:t>级别</w:t>
            </w:r>
          </w:p>
        </w:tc>
        <w:tc>
          <w:tcPr>
            <w:tcW w:w="1134"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评价等级</w:t>
            </w:r>
          </w:p>
        </w:tc>
      </w:tr>
      <w:tr w:rsidR="00DB7CC8">
        <w:trPr>
          <w:trHeight w:val="272"/>
          <w:jc w:val="center"/>
        </w:trPr>
        <w:tc>
          <w:tcPr>
            <w:tcW w:w="678"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1</w:t>
            </w:r>
          </w:p>
        </w:tc>
        <w:tc>
          <w:tcPr>
            <w:tcW w:w="1527" w:type="dxa"/>
            <w:vAlign w:val="center"/>
          </w:tcPr>
          <w:p w:rsidR="00DB7CC8" w:rsidRDefault="002B5250">
            <w:pPr>
              <w:spacing w:line="240" w:lineRule="auto"/>
              <w:ind w:firstLineChars="0" w:firstLine="0"/>
              <w:jc w:val="center"/>
              <w:rPr>
                <w:sz w:val="21"/>
                <w:szCs w:val="21"/>
              </w:rPr>
            </w:pPr>
            <w:r>
              <w:rPr>
                <w:sz w:val="21"/>
                <w:szCs w:val="21"/>
              </w:rPr>
              <w:t>项目类别</w:t>
            </w:r>
          </w:p>
        </w:tc>
        <w:tc>
          <w:tcPr>
            <w:tcW w:w="3680" w:type="dxa"/>
            <w:vAlign w:val="center"/>
          </w:tcPr>
          <w:p w:rsidR="00DB7CC8" w:rsidRDefault="002B5250">
            <w:pPr>
              <w:spacing w:line="240" w:lineRule="auto"/>
              <w:ind w:firstLineChars="0" w:firstLine="0"/>
              <w:jc w:val="center"/>
              <w:rPr>
                <w:sz w:val="21"/>
                <w:szCs w:val="21"/>
              </w:rPr>
            </w:pPr>
            <w:r>
              <w:rPr>
                <w:sz w:val="21"/>
                <w:szCs w:val="21"/>
              </w:rPr>
              <w:t>黑色金属采选中选矿厂</w:t>
            </w:r>
          </w:p>
        </w:tc>
        <w:tc>
          <w:tcPr>
            <w:tcW w:w="1320" w:type="dxa"/>
            <w:vAlign w:val="center"/>
          </w:tcPr>
          <w:p w:rsidR="00DB7CC8" w:rsidRDefault="002B5250">
            <w:pPr>
              <w:spacing w:line="240" w:lineRule="auto"/>
              <w:ind w:firstLineChars="0" w:firstLine="0"/>
              <w:jc w:val="center"/>
              <w:rPr>
                <w:sz w:val="21"/>
                <w:szCs w:val="21"/>
              </w:rPr>
            </w:pPr>
            <w:r>
              <w:rPr>
                <w:sz w:val="21"/>
                <w:szCs w:val="21"/>
              </w:rPr>
              <w:t>Ⅱ</w:t>
            </w:r>
            <w:r>
              <w:rPr>
                <w:sz w:val="21"/>
                <w:szCs w:val="21"/>
              </w:rPr>
              <w:t>类项目</w:t>
            </w:r>
          </w:p>
        </w:tc>
        <w:tc>
          <w:tcPr>
            <w:tcW w:w="1134" w:type="dxa"/>
            <w:vMerge w:val="restart"/>
            <w:tcBorders>
              <w:right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二</w:t>
            </w:r>
          </w:p>
          <w:p w:rsidR="00DB7CC8" w:rsidRDefault="002B5250">
            <w:pPr>
              <w:spacing w:line="240" w:lineRule="auto"/>
              <w:ind w:firstLineChars="0" w:firstLine="0"/>
              <w:jc w:val="center"/>
              <w:rPr>
                <w:sz w:val="21"/>
                <w:szCs w:val="21"/>
              </w:rPr>
            </w:pPr>
            <w:r>
              <w:rPr>
                <w:sz w:val="21"/>
                <w:szCs w:val="21"/>
              </w:rPr>
              <w:lastRenderedPageBreak/>
              <w:t>级</w:t>
            </w:r>
          </w:p>
        </w:tc>
      </w:tr>
      <w:tr w:rsidR="00DB7CC8">
        <w:trPr>
          <w:trHeight w:val="597"/>
          <w:jc w:val="center"/>
        </w:trPr>
        <w:tc>
          <w:tcPr>
            <w:tcW w:w="678"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lastRenderedPageBreak/>
              <w:t>2</w:t>
            </w:r>
          </w:p>
        </w:tc>
        <w:tc>
          <w:tcPr>
            <w:tcW w:w="1527" w:type="dxa"/>
            <w:vAlign w:val="center"/>
          </w:tcPr>
          <w:p w:rsidR="00DB7CC8" w:rsidRDefault="002B5250">
            <w:pPr>
              <w:spacing w:line="240" w:lineRule="auto"/>
              <w:ind w:firstLineChars="0" w:firstLine="0"/>
              <w:jc w:val="center"/>
              <w:rPr>
                <w:sz w:val="21"/>
                <w:szCs w:val="21"/>
              </w:rPr>
            </w:pPr>
            <w:r>
              <w:rPr>
                <w:sz w:val="21"/>
                <w:szCs w:val="21"/>
              </w:rPr>
              <w:t>地下水环境敏感程度</w:t>
            </w:r>
          </w:p>
        </w:tc>
        <w:tc>
          <w:tcPr>
            <w:tcW w:w="3680" w:type="dxa"/>
            <w:vAlign w:val="center"/>
          </w:tcPr>
          <w:p w:rsidR="00DB7CC8" w:rsidRDefault="002B5250">
            <w:pPr>
              <w:spacing w:line="240" w:lineRule="auto"/>
              <w:ind w:firstLineChars="0" w:firstLine="0"/>
              <w:jc w:val="center"/>
              <w:rPr>
                <w:sz w:val="21"/>
                <w:szCs w:val="21"/>
              </w:rPr>
            </w:pPr>
            <w:r>
              <w:rPr>
                <w:sz w:val="21"/>
                <w:szCs w:val="21"/>
              </w:rPr>
              <w:t>评价区附近范围内村庄存在集中式的饮用水井，项目位于未划定准保护区的集中式饮用水水源，其保护区以外的补给径流区</w:t>
            </w:r>
          </w:p>
        </w:tc>
        <w:tc>
          <w:tcPr>
            <w:tcW w:w="1320" w:type="dxa"/>
            <w:vAlign w:val="center"/>
          </w:tcPr>
          <w:p w:rsidR="00DB7CC8" w:rsidRDefault="002B5250">
            <w:pPr>
              <w:spacing w:line="240" w:lineRule="auto"/>
              <w:ind w:firstLineChars="0" w:firstLine="0"/>
              <w:jc w:val="center"/>
              <w:rPr>
                <w:sz w:val="21"/>
                <w:szCs w:val="21"/>
              </w:rPr>
            </w:pPr>
            <w:r>
              <w:rPr>
                <w:rFonts w:hint="eastAsia"/>
                <w:sz w:val="21"/>
                <w:szCs w:val="21"/>
              </w:rPr>
              <w:t>较</w:t>
            </w:r>
            <w:r>
              <w:rPr>
                <w:sz w:val="21"/>
                <w:szCs w:val="21"/>
              </w:rPr>
              <w:t>敏感</w:t>
            </w:r>
          </w:p>
        </w:tc>
        <w:tc>
          <w:tcPr>
            <w:tcW w:w="1134" w:type="dxa"/>
            <w:vMerge/>
            <w:tcBorders>
              <w:right w:val="single" w:sz="4" w:space="0" w:color="auto"/>
            </w:tcBorders>
            <w:vAlign w:val="center"/>
          </w:tcPr>
          <w:p w:rsidR="00DB7CC8" w:rsidRDefault="00DB7CC8">
            <w:pPr>
              <w:spacing w:line="240" w:lineRule="auto"/>
              <w:ind w:firstLine="420"/>
              <w:jc w:val="center"/>
              <w:rPr>
                <w:sz w:val="21"/>
                <w:szCs w:val="21"/>
              </w:rPr>
            </w:pPr>
          </w:p>
        </w:tc>
      </w:tr>
    </w:tbl>
    <w:p w:rsidR="00DB7CC8" w:rsidRDefault="002B5250">
      <w:pPr>
        <w:pStyle w:val="4"/>
        <w:numPr>
          <w:ilvl w:val="3"/>
          <w:numId w:val="1"/>
        </w:numPr>
        <w:ind w:left="709" w:hanging="709"/>
        <w:rPr>
          <w:rFonts w:eastAsia="宋体"/>
          <w:b/>
        </w:rPr>
      </w:pPr>
      <w:r>
        <w:rPr>
          <w:rFonts w:eastAsia="宋体" w:hint="eastAsia"/>
          <w:b/>
        </w:rPr>
        <w:t>土壤环境影响评价工作等级</w:t>
      </w:r>
    </w:p>
    <w:p w:rsidR="00DB7CC8" w:rsidRDefault="002B5250">
      <w:pPr>
        <w:ind w:firstLine="480"/>
        <w:rPr>
          <w:sz w:val="24"/>
          <w:szCs w:val="22"/>
        </w:rPr>
      </w:pPr>
      <w:r>
        <w:rPr>
          <w:rFonts w:hint="eastAsia"/>
          <w:sz w:val="24"/>
          <w:szCs w:val="22"/>
        </w:rPr>
        <w:t>依据《环境影响评价技术导则</w:t>
      </w:r>
      <w:r>
        <w:rPr>
          <w:rFonts w:hint="eastAsia"/>
          <w:sz w:val="24"/>
          <w:szCs w:val="22"/>
        </w:rPr>
        <w:t xml:space="preserve"> </w:t>
      </w:r>
      <w:r>
        <w:rPr>
          <w:rFonts w:hint="eastAsia"/>
          <w:sz w:val="24"/>
          <w:szCs w:val="22"/>
        </w:rPr>
        <w:t>土壤环境》（</w:t>
      </w:r>
      <w:r>
        <w:rPr>
          <w:rFonts w:hint="eastAsia"/>
          <w:sz w:val="24"/>
          <w:szCs w:val="22"/>
        </w:rPr>
        <w:t>HJ964-2018</w:t>
      </w:r>
      <w:r>
        <w:rPr>
          <w:rFonts w:hint="eastAsia"/>
          <w:sz w:val="24"/>
          <w:szCs w:val="22"/>
        </w:rPr>
        <w:t>）评价等级划分的规定，建设项目土壤环境影响评价工作等级的划分应依据建设项目影响类型、行业分类、项目占地规模及土壤环境敏感程度分级进行判定。</w:t>
      </w:r>
    </w:p>
    <w:p w:rsidR="00DB7CC8" w:rsidRDefault="002B5250">
      <w:pPr>
        <w:ind w:firstLine="480"/>
        <w:rPr>
          <w:sz w:val="24"/>
          <w:szCs w:val="22"/>
        </w:rPr>
      </w:pPr>
      <w:r>
        <w:rPr>
          <w:rFonts w:hint="eastAsia"/>
          <w:sz w:val="24"/>
          <w:szCs w:val="22"/>
        </w:rPr>
        <w:t>依据《建设项目环境影响评价技术导则·总纲》</w:t>
      </w:r>
      <w:r>
        <w:rPr>
          <w:rFonts w:hint="eastAsia"/>
          <w:sz w:val="24"/>
          <w:szCs w:val="22"/>
        </w:rPr>
        <w:t>(HJ2.1-2016)</w:t>
      </w:r>
      <w:r>
        <w:rPr>
          <w:rFonts w:hint="eastAsia"/>
          <w:sz w:val="24"/>
          <w:szCs w:val="22"/>
        </w:rPr>
        <w:t>中对建设项目污染影响和生态影响的相关要求，结合本项目的工程分析内容，确定升级改造项目土壤环境影响类型为“污染影响型”。</w:t>
      </w:r>
    </w:p>
    <w:p w:rsidR="00DB7CC8" w:rsidRDefault="002B5250">
      <w:pPr>
        <w:ind w:firstLine="480"/>
        <w:rPr>
          <w:sz w:val="24"/>
          <w:szCs w:val="22"/>
        </w:rPr>
      </w:pPr>
      <w:r>
        <w:rPr>
          <w:rFonts w:hint="eastAsia"/>
          <w:sz w:val="24"/>
          <w:szCs w:val="22"/>
        </w:rPr>
        <w:t>(1)</w:t>
      </w:r>
      <w:r>
        <w:rPr>
          <w:rFonts w:hint="eastAsia"/>
          <w:sz w:val="24"/>
          <w:szCs w:val="22"/>
        </w:rPr>
        <w:t>项目类别</w:t>
      </w:r>
    </w:p>
    <w:p w:rsidR="00DB7CC8" w:rsidRDefault="002B5250">
      <w:pPr>
        <w:ind w:firstLine="480"/>
        <w:rPr>
          <w:sz w:val="24"/>
          <w:szCs w:val="22"/>
        </w:rPr>
      </w:pPr>
      <w:r>
        <w:rPr>
          <w:rFonts w:hint="eastAsia"/>
          <w:sz w:val="24"/>
          <w:szCs w:val="22"/>
        </w:rPr>
        <w:t>根据《环境影响评价技术导则·土壤环境（试行）》</w:t>
      </w:r>
      <w:r>
        <w:rPr>
          <w:rFonts w:hint="eastAsia"/>
          <w:sz w:val="24"/>
          <w:szCs w:val="22"/>
        </w:rPr>
        <w:t>(HJ964-2018)</w:t>
      </w:r>
      <w:r>
        <w:rPr>
          <w:rFonts w:hint="eastAsia"/>
          <w:sz w:val="24"/>
          <w:szCs w:val="22"/>
        </w:rPr>
        <w:t>附录</w:t>
      </w:r>
      <w:r>
        <w:rPr>
          <w:rFonts w:hint="eastAsia"/>
          <w:sz w:val="24"/>
          <w:szCs w:val="22"/>
        </w:rPr>
        <w:t>A</w:t>
      </w:r>
      <w:r>
        <w:rPr>
          <w:rFonts w:hint="eastAsia"/>
          <w:sz w:val="24"/>
          <w:szCs w:val="22"/>
        </w:rPr>
        <w:t>—土壤环境影响评价项目类别表，确定升级改造项目土壤环境影响评价项目类别为</w:t>
      </w:r>
      <w:r>
        <w:rPr>
          <w:rFonts w:hint="eastAsia"/>
          <w:sz w:val="24"/>
          <w:szCs w:val="22"/>
        </w:rPr>
        <w:t>III</w:t>
      </w:r>
      <w:r>
        <w:rPr>
          <w:rFonts w:hint="eastAsia"/>
          <w:sz w:val="24"/>
          <w:szCs w:val="22"/>
        </w:rPr>
        <w:t>类（“采矿业”中的“其他”类别）。</w:t>
      </w:r>
    </w:p>
    <w:p w:rsidR="00DB7CC8" w:rsidRDefault="002B5250">
      <w:pPr>
        <w:ind w:firstLine="480"/>
        <w:rPr>
          <w:sz w:val="24"/>
          <w:szCs w:val="22"/>
        </w:rPr>
      </w:pPr>
      <w:r>
        <w:rPr>
          <w:rFonts w:hint="eastAsia"/>
          <w:sz w:val="24"/>
          <w:szCs w:val="22"/>
        </w:rPr>
        <w:t>(2)</w:t>
      </w:r>
      <w:r>
        <w:rPr>
          <w:rFonts w:hint="eastAsia"/>
          <w:sz w:val="24"/>
          <w:szCs w:val="22"/>
        </w:rPr>
        <w:t>占地规模</w:t>
      </w:r>
    </w:p>
    <w:p w:rsidR="00DB7CC8" w:rsidRDefault="002B5250">
      <w:pPr>
        <w:ind w:firstLine="480"/>
        <w:rPr>
          <w:sz w:val="24"/>
          <w:szCs w:val="22"/>
        </w:rPr>
      </w:pPr>
      <w:r>
        <w:rPr>
          <w:rFonts w:hint="eastAsia"/>
          <w:sz w:val="24"/>
          <w:szCs w:val="22"/>
        </w:rPr>
        <w:t>升级改造项目永久占地规模为</w:t>
      </w:r>
      <w:r>
        <w:rPr>
          <w:rFonts w:hint="eastAsia"/>
          <w:sz w:val="24"/>
          <w:szCs w:val="22"/>
        </w:rPr>
        <w:t>6656</w:t>
      </w:r>
      <w:r>
        <w:rPr>
          <w:rFonts w:hint="eastAsia"/>
          <w:sz w:val="24"/>
          <w:szCs w:val="22"/>
        </w:rPr>
        <w:t>m</w:t>
      </w:r>
      <w:r>
        <w:rPr>
          <w:rFonts w:hint="eastAsia"/>
          <w:sz w:val="24"/>
          <w:szCs w:val="22"/>
          <w:vertAlign w:val="superscript"/>
        </w:rPr>
        <w:t>2</w:t>
      </w:r>
      <w:r>
        <w:rPr>
          <w:rFonts w:hint="eastAsia"/>
          <w:sz w:val="24"/>
          <w:szCs w:val="22"/>
        </w:rPr>
        <w:t>＜</w:t>
      </w:r>
      <w:r>
        <w:rPr>
          <w:rFonts w:hint="eastAsia"/>
          <w:sz w:val="24"/>
          <w:szCs w:val="22"/>
        </w:rPr>
        <w:t>5h</w:t>
      </w:r>
      <w:r>
        <w:rPr>
          <w:rFonts w:hint="eastAsia"/>
          <w:sz w:val="24"/>
          <w:szCs w:val="22"/>
        </w:rPr>
        <w:t>m</w:t>
      </w:r>
      <w:r>
        <w:rPr>
          <w:rFonts w:hint="eastAsia"/>
          <w:sz w:val="24"/>
          <w:szCs w:val="22"/>
          <w:vertAlign w:val="superscript"/>
        </w:rPr>
        <w:t>2</w:t>
      </w:r>
      <w:r>
        <w:rPr>
          <w:rFonts w:hint="eastAsia"/>
          <w:sz w:val="24"/>
          <w:szCs w:val="22"/>
        </w:rPr>
        <w:t>，属于小型规模。</w:t>
      </w:r>
    </w:p>
    <w:p w:rsidR="00DB7CC8" w:rsidRDefault="002B5250">
      <w:pPr>
        <w:ind w:firstLine="480"/>
        <w:rPr>
          <w:sz w:val="24"/>
          <w:szCs w:val="22"/>
        </w:rPr>
      </w:pPr>
      <w:r>
        <w:rPr>
          <w:rFonts w:hint="eastAsia"/>
          <w:sz w:val="24"/>
          <w:szCs w:val="22"/>
        </w:rPr>
        <w:t>(3)</w:t>
      </w:r>
      <w:r>
        <w:rPr>
          <w:rFonts w:hint="eastAsia"/>
          <w:sz w:val="24"/>
          <w:szCs w:val="22"/>
        </w:rPr>
        <w:t>土壤环境敏感程度</w:t>
      </w:r>
    </w:p>
    <w:p w:rsidR="00DB7CC8" w:rsidRDefault="002B5250">
      <w:pPr>
        <w:ind w:firstLine="480"/>
        <w:rPr>
          <w:sz w:val="24"/>
          <w:szCs w:val="22"/>
        </w:rPr>
      </w:pPr>
      <w:r>
        <w:rPr>
          <w:rFonts w:hint="eastAsia"/>
          <w:sz w:val="24"/>
          <w:szCs w:val="22"/>
        </w:rPr>
        <w:t>建设项目所在地周边的土壤环境敏感程度可分为敏感、较敏感、不敏感三级，判别依据见</w:t>
      </w:r>
      <w:r>
        <w:rPr>
          <w:rFonts w:hint="eastAsia"/>
          <w:sz w:val="24"/>
          <w:szCs w:val="24"/>
        </w:rPr>
        <w:t>表</w:t>
      </w:r>
      <w:r>
        <w:rPr>
          <w:rFonts w:hint="eastAsia"/>
          <w:sz w:val="24"/>
          <w:szCs w:val="24"/>
        </w:rPr>
        <w:t>2.4-12</w:t>
      </w:r>
      <w:r>
        <w:rPr>
          <w:rFonts w:hint="eastAsia"/>
          <w:sz w:val="24"/>
          <w:szCs w:val="22"/>
        </w:rPr>
        <w:t>。</w:t>
      </w:r>
    </w:p>
    <w:p w:rsidR="00DB7CC8" w:rsidRDefault="002B5250">
      <w:pPr>
        <w:spacing w:line="240" w:lineRule="auto"/>
        <w:ind w:firstLineChars="0"/>
        <w:jc w:val="center"/>
        <w:textAlignment w:val="auto"/>
        <w:rPr>
          <w:rFonts w:eastAsia="黑体"/>
          <w:kern w:val="2"/>
          <w:sz w:val="21"/>
          <w:szCs w:val="21"/>
        </w:rPr>
      </w:pPr>
      <w:bookmarkStart w:id="111" w:name="_Ref14098024"/>
      <w:r>
        <w:rPr>
          <w:rFonts w:eastAsia="黑体" w:hint="eastAsia"/>
          <w:kern w:val="2"/>
          <w:sz w:val="21"/>
          <w:szCs w:val="21"/>
        </w:rPr>
        <w:t>表</w:t>
      </w:r>
      <w:r>
        <w:rPr>
          <w:rFonts w:eastAsia="黑体" w:hint="eastAsia"/>
          <w:kern w:val="2"/>
          <w:sz w:val="21"/>
          <w:szCs w:val="21"/>
        </w:rPr>
        <w:t>2.4-12</w:t>
      </w:r>
      <w:bookmarkEnd w:id="111"/>
      <w:r>
        <w:rPr>
          <w:rFonts w:eastAsia="黑体" w:hint="eastAsia"/>
          <w:kern w:val="2"/>
          <w:sz w:val="21"/>
          <w:szCs w:val="21"/>
        </w:rPr>
        <w:t xml:space="preserve">    </w:t>
      </w:r>
      <w:r>
        <w:rPr>
          <w:rFonts w:eastAsia="黑体" w:hint="eastAsia"/>
          <w:kern w:val="2"/>
          <w:sz w:val="21"/>
          <w:szCs w:val="21"/>
        </w:rPr>
        <w:t>污染影响型敏感程度分级表</w:t>
      </w:r>
    </w:p>
    <w:tbl>
      <w:tblPr>
        <w:tblW w:w="8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6883"/>
      </w:tblGrid>
      <w:tr w:rsidR="00DB7CC8">
        <w:tc>
          <w:tcPr>
            <w:tcW w:w="1413" w:type="dxa"/>
            <w:shd w:val="clear" w:color="auto" w:fill="auto"/>
          </w:tcPr>
          <w:p w:rsidR="00DB7CC8" w:rsidRDefault="002B5250">
            <w:pPr>
              <w:pStyle w:val="afffffffc"/>
              <w:spacing w:line="240" w:lineRule="auto"/>
            </w:pPr>
            <w:r>
              <w:rPr>
                <w:rFonts w:hint="eastAsia"/>
              </w:rPr>
              <w:t>敏感程度</w:t>
            </w:r>
          </w:p>
        </w:tc>
        <w:tc>
          <w:tcPr>
            <w:tcW w:w="6883" w:type="dxa"/>
            <w:shd w:val="clear" w:color="auto" w:fill="auto"/>
          </w:tcPr>
          <w:p w:rsidR="00DB7CC8" w:rsidRDefault="002B5250">
            <w:pPr>
              <w:pStyle w:val="afffffffc"/>
              <w:spacing w:line="240" w:lineRule="auto"/>
            </w:pPr>
            <w:r>
              <w:rPr>
                <w:rFonts w:hint="eastAsia"/>
              </w:rPr>
              <w:t>判别依据</w:t>
            </w:r>
          </w:p>
        </w:tc>
      </w:tr>
      <w:tr w:rsidR="00DB7CC8">
        <w:tc>
          <w:tcPr>
            <w:tcW w:w="1413" w:type="dxa"/>
            <w:shd w:val="clear" w:color="auto" w:fill="auto"/>
          </w:tcPr>
          <w:p w:rsidR="00DB7CC8" w:rsidRDefault="002B5250">
            <w:pPr>
              <w:pStyle w:val="afffffffc"/>
              <w:spacing w:line="240" w:lineRule="auto"/>
            </w:pPr>
            <w:r>
              <w:rPr>
                <w:rFonts w:hint="eastAsia"/>
              </w:rPr>
              <w:t>敏感</w:t>
            </w:r>
          </w:p>
        </w:tc>
        <w:tc>
          <w:tcPr>
            <w:tcW w:w="6883" w:type="dxa"/>
            <w:shd w:val="clear" w:color="auto" w:fill="auto"/>
          </w:tcPr>
          <w:p w:rsidR="00DB7CC8" w:rsidRDefault="002B5250">
            <w:pPr>
              <w:pStyle w:val="afffffffc"/>
              <w:spacing w:line="240" w:lineRule="auto"/>
            </w:pPr>
            <w:r>
              <w:rPr>
                <w:rFonts w:hint="eastAsia"/>
              </w:rPr>
              <w:t>建设项目周边存在耕地、园地、牧草地、饮用水水源地或居民区、学校、医院、疗养院、养老院等土壤环境敏感目标的</w:t>
            </w:r>
          </w:p>
        </w:tc>
      </w:tr>
      <w:tr w:rsidR="00DB7CC8">
        <w:tc>
          <w:tcPr>
            <w:tcW w:w="1413" w:type="dxa"/>
            <w:shd w:val="clear" w:color="auto" w:fill="auto"/>
          </w:tcPr>
          <w:p w:rsidR="00DB7CC8" w:rsidRDefault="002B5250">
            <w:pPr>
              <w:pStyle w:val="afffffffc"/>
              <w:spacing w:line="240" w:lineRule="auto"/>
            </w:pPr>
            <w:r>
              <w:rPr>
                <w:rFonts w:hint="eastAsia"/>
              </w:rPr>
              <w:t>较敏感</w:t>
            </w:r>
          </w:p>
        </w:tc>
        <w:tc>
          <w:tcPr>
            <w:tcW w:w="6883" w:type="dxa"/>
            <w:shd w:val="clear" w:color="auto" w:fill="auto"/>
          </w:tcPr>
          <w:p w:rsidR="00DB7CC8" w:rsidRDefault="002B5250">
            <w:pPr>
              <w:pStyle w:val="afffffffc"/>
              <w:spacing w:line="240" w:lineRule="auto"/>
            </w:pPr>
            <w:r>
              <w:rPr>
                <w:rFonts w:hint="eastAsia"/>
              </w:rPr>
              <w:t>建设项目周边存在其他土壤环境敏感目标的</w:t>
            </w:r>
          </w:p>
        </w:tc>
      </w:tr>
      <w:tr w:rsidR="00DB7CC8">
        <w:tc>
          <w:tcPr>
            <w:tcW w:w="1413" w:type="dxa"/>
            <w:shd w:val="clear" w:color="auto" w:fill="auto"/>
          </w:tcPr>
          <w:p w:rsidR="00DB7CC8" w:rsidRDefault="002B5250">
            <w:pPr>
              <w:pStyle w:val="afffffffc"/>
              <w:spacing w:line="240" w:lineRule="auto"/>
            </w:pPr>
            <w:r>
              <w:rPr>
                <w:rFonts w:hint="eastAsia"/>
              </w:rPr>
              <w:t>不敏感</w:t>
            </w:r>
          </w:p>
        </w:tc>
        <w:tc>
          <w:tcPr>
            <w:tcW w:w="6883" w:type="dxa"/>
            <w:shd w:val="clear" w:color="auto" w:fill="auto"/>
          </w:tcPr>
          <w:p w:rsidR="00DB7CC8" w:rsidRDefault="002B5250">
            <w:pPr>
              <w:pStyle w:val="afffffffc"/>
              <w:spacing w:line="240" w:lineRule="auto"/>
            </w:pPr>
            <w:r>
              <w:rPr>
                <w:rFonts w:hint="eastAsia"/>
              </w:rPr>
              <w:t>其他情况</w:t>
            </w:r>
          </w:p>
        </w:tc>
      </w:tr>
    </w:tbl>
    <w:p w:rsidR="00DB7CC8" w:rsidRDefault="002B5250">
      <w:pPr>
        <w:ind w:firstLine="480"/>
        <w:rPr>
          <w:sz w:val="24"/>
          <w:szCs w:val="22"/>
        </w:rPr>
      </w:pPr>
      <w:r>
        <w:rPr>
          <w:rFonts w:hint="eastAsia"/>
          <w:sz w:val="24"/>
          <w:szCs w:val="22"/>
        </w:rPr>
        <w:t>项目厂区周边存在耕地等土壤环境敏感目标，因此，本项目土壤环境敏感程度分级为敏感。</w:t>
      </w:r>
    </w:p>
    <w:p w:rsidR="00DB7CC8" w:rsidRDefault="002B5250">
      <w:pPr>
        <w:ind w:firstLine="480"/>
        <w:rPr>
          <w:sz w:val="24"/>
          <w:szCs w:val="22"/>
        </w:rPr>
      </w:pPr>
      <w:r>
        <w:rPr>
          <w:rFonts w:hint="eastAsia"/>
          <w:sz w:val="24"/>
          <w:szCs w:val="22"/>
        </w:rPr>
        <w:t>(2)</w:t>
      </w:r>
      <w:r>
        <w:rPr>
          <w:rFonts w:hint="eastAsia"/>
          <w:sz w:val="24"/>
          <w:szCs w:val="22"/>
        </w:rPr>
        <w:t>评价工作等级划分依据</w:t>
      </w:r>
    </w:p>
    <w:p w:rsidR="00DB7CC8" w:rsidRDefault="002B5250">
      <w:pPr>
        <w:ind w:firstLine="480"/>
        <w:rPr>
          <w:sz w:val="24"/>
          <w:szCs w:val="22"/>
        </w:rPr>
      </w:pPr>
      <w:r>
        <w:rPr>
          <w:rFonts w:hint="eastAsia"/>
          <w:sz w:val="24"/>
          <w:szCs w:val="22"/>
        </w:rPr>
        <w:t>根据《环境影响评价技术导则·土壤环境（试行）》</w:t>
      </w:r>
      <w:r>
        <w:rPr>
          <w:rFonts w:hint="eastAsia"/>
          <w:sz w:val="24"/>
          <w:szCs w:val="22"/>
        </w:rPr>
        <w:t>(HJ964-2018)</w:t>
      </w:r>
      <w:r>
        <w:rPr>
          <w:rFonts w:hint="eastAsia"/>
          <w:sz w:val="24"/>
          <w:szCs w:val="22"/>
        </w:rPr>
        <w:t>，土壤环境影响评价工作等级划分见表</w:t>
      </w:r>
      <w:r>
        <w:rPr>
          <w:rFonts w:hint="eastAsia"/>
          <w:sz w:val="24"/>
          <w:szCs w:val="24"/>
        </w:rPr>
        <w:t>2.4-13</w:t>
      </w:r>
      <w:r>
        <w:rPr>
          <w:rFonts w:hint="eastAsia"/>
          <w:sz w:val="24"/>
          <w:szCs w:val="22"/>
        </w:rPr>
        <w:t>。</w:t>
      </w:r>
    </w:p>
    <w:p w:rsidR="00DB7CC8" w:rsidRDefault="002B5250">
      <w:pPr>
        <w:spacing w:line="240" w:lineRule="auto"/>
        <w:ind w:firstLineChars="0"/>
        <w:jc w:val="center"/>
        <w:textAlignment w:val="auto"/>
        <w:rPr>
          <w:rFonts w:eastAsia="黑体"/>
          <w:kern w:val="2"/>
          <w:sz w:val="21"/>
          <w:szCs w:val="21"/>
        </w:rPr>
      </w:pPr>
      <w:bookmarkStart w:id="112" w:name="_Ref14766141"/>
      <w:r>
        <w:rPr>
          <w:rFonts w:eastAsia="黑体" w:hint="eastAsia"/>
          <w:kern w:val="2"/>
          <w:sz w:val="21"/>
          <w:szCs w:val="21"/>
        </w:rPr>
        <w:t>表</w:t>
      </w:r>
      <w:r>
        <w:rPr>
          <w:rFonts w:eastAsia="黑体" w:hint="eastAsia"/>
          <w:kern w:val="2"/>
          <w:sz w:val="21"/>
          <w:szCs w:val="21"/>
        </w:rPr>
        <w:t xml:space="preserve">2.4-13 </w:t>
      </w:r>
      <w:bookmarkEnd w:id="112"/>
      <w:r>
        <w:rPr>
          <w:rFonts w:eastAsia="黑体" w:hint="eastAsia"/>
          <w:kern w:val="2"/>
          <w:sz w:val="21"/>
          <w:szCs w:val="21"/>
        </w:rPr>
        <w:t xml:space="preserve">    </w:t>
      </w:r>
      <w:r>
        <w:rPr>
          <w:rFonts w:eastAsia="黑体" w:hint="eastAsia"/>
          <w:kern w:val="2"/>
          <w:sz w:val="21"/>
          <w:szCs w:val="21"/>
        </w:rPr>
        <w:t>污染影响型评价工作等级划分表</w:t>
      </w:r>
    </w:p>
    <w:tbl>
      <w:tblPr>
        <w:tblW w:w="82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709"/>
        <w:gridCol w:w="708"/>
        <w:gridCol w:w="567"/>
        <w:gridCol w:w="567"/>
        <w:gridCol w:w="709"/>
        <w:gridCol w:w="709"/>
        <w:gridCol w:w="567"/>
        <w:gridCol w:w="567"/>
        <w:gridCol w:w="646"/>
      </w:tblGrid>
      <w:tr w:rsidR="00DB7CC8">
        <w:trPr>
          <w:trHeight w:val="333"/>
        </w:trPr>
        <w:tc>
          <w:tcPr>
            <w:tcW w:w="2547" w:type="dxa"/>
            <w:vMerge w:val="restart"/>
            <w:shd w:val="clear" w:color="auto" w:fill="auto"/>
            <w:tcMar>
              <w:left w:w="0" w:type="dxa"/>
              <w:right w:w="0" w:type="dxa"/>
            </w:tcMar>
            <w:vAlign w:val="center"/>
          </w:tcPr>
          <w:p w:rsidR="00DB7CC8" w:rsidRDefault="002B5250">
            <w:pPr>
              <w:pStyle w:val="afffffffc"/>
              <w:spacing w:line="240" w:lineRule="auto"/>
            </w:pPr>
            <w:r>
              <w:rPr>
                <w:rFonts w:hint="eastAsia"/>
              </w:rPr>
              <w:t xml:space="preserve"> </w:t>
            </w:r>
            <w:r>
              <w:t xml:space="preserve">             </w:t>
            </w:r>
            <w:r>
              <w:rPr>
                <w:rFonts w:hint="eastAsia"/>
              </w:rPr>
              <w:t>占地规模</w:t>
            </w:r>
          </w:p>
          <w:p w:rsidR="00DB7CC8" w:rsidRDefault="002B5250">
            <w:pPr>
              <w:pStyle w:val="afffffffc"/>
              <w:spacing w:line="240" w:lineRule="auto"/>
            </w:pPr>
            <w:r>
              <w:rPr>
                <w:noProof/>
              </w:rPr>
              <mc:AlternateContent>
                <mc:Choice Requires="wps">
                  <w:drawing>
                    <wp:anchor distT="0" distB="0" distL="114300" distR="114300" simplePos="0" relativeHeight="251672576" behindDoc="0" locked="0" layoutInCell="1" allowOverlap="1">
                      <wp:simplePos x="0" y="0"/>
                      <wp:positionH relativeFrom="column">
                        <wp:posOffset>16510</wp:posOffset>
                      </wp:positionH>
                      <wp:positionV relativeFrom="paragraph">
                        <wp:posOffset>99695</wp:posOffset>
                      </wp:positionV>
                      <wp:extent cx="1593215" cy="241935"/>
                      <wp:effectExtent l="635" t="4445" r="6350" b="20320"/>
                      <wp:wrapNone/>
                      <wp:docPr id="4" name="直接连接符 4"/>
                      <wp:cNvGraphicFramePr/>
                      <a:graphic xmlns:a="http://schemas.openxmlformats.org/drawingml/2006/main">
                        <a:graphicData uri="http://schemas.microsoft.com/office/word/2010/wordprocessingShape">
                          <wps:wsp>
                            <wps:cNvCnPr/>
                            <wps:spPr>
                              <a:xfrm flipH="1" flipV="1">
                                <a:off x="0" y="0"/>
                                <a:ext cx="1638300" cy="36576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3744196A" id="直接连接符 4" o:spid="_x0000_s1026" style="position:absolute;left:0;text-align:left;flip:x y;z-index:251672576;visibility:visible;mso-wrap-style:square;mso-wrap-distance-left:9pt;mso-wrap-distance-top:0;mso-wrap-distance-right:9pt;mso-wrap-distance-bottom:0;mso-position-horizontal:absolute;mso-position-horizontal-relative:text;mso-position-vertical:absolute;mso-position-vertical-relative:text" from="1.3pt,7.85pt" to="126.7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" strokecolor="windowText" strokeweight=".5pt">
                      <v:stroke joinstyle="miter"/>
                    </v:line>
                  </w:pict>
                </mc:Fallback>
              </mc:AlternateContent>
            </w:r>
            <w:r>
              <w:rPr>
                <w:rFonts w:hint="eastAsia"/>
              </w:rPr>
              <w:t>评价工作等级</w:t>
            </w:r>
          </w:p>
          <w:p w:rsidR="00DB7CC8" w:rsidRDefault="002B5250">
            <w:pPr>
              <w:pStyle w:val="afffffffc"/>
              <w:spacing w:line="240" w:lineRule="auto"/>
              <w:jc w:val="left"/>
            </w:pPr>
            <w:r>
              <w:rPr>
                <w:rFonts w:hint="eastAsia"/>
              </w:rPr>
              <w:t>敏感程度</w:t>
            </w:r>
          </w:p>
        </w:tc>
        <w:tc>
          <w:tcPr>
            <w:tcW w:w="1984" w:type="dxa"/>
            <w:gridSpan w:val="3"/>
            <w:shd w:val="clear" w:color="auto" w:fill="auto"/>
            <w:tcMar>
              <w:left w:w="0" w:type="dxa"/>
              <w:right w:w="0" w:type="dxa"/>
            </w:tcMar>
            <w:vAlign w:val="center"/>
          </w:tcPr>
          <w:p w:rsidR="00DB7CC8" w:rsidRDefault="002B5250">
            <w:pPr>
              <w:pStyle w:val="afffffffc"/>
              <w:spacing w:line="240" w:lineRule="auto"/>
            </w:pPr>
            <w:r>
              <w:rPr>
                <w:rFonts w:hint="eastAsia"/>
              </w:rPr>
              <w:t>Ⅰ类</w:t>
            </w:r>
          </w:p>
        </w:tc>
        <w:tc>
          <w:tcPr>
            <w:tcW w:w="1985" w:type="dxa"/>
            <w:gridSpan w:val="3"/>
            <w:shd w:val="clear" w:color="auto" w:fill="auto"/>
            <w:tcMar>
              <w:left w:w="0" w:type="dxa"/>
              <w:right w:w="0" w:type="dxa"/>
            </w:tcMar>
            <w:vAlign w:val="center"/>
          </w:tcPr>
          <w:p w:rsidR="00DB7CC8" w:rsidRDefault="002B5250">
            <w:pPr>
              <w:pStyle w:val="afffffffc"/>
              <w:spacing w:line="240" w:lineRule="auto"/>
            </w:pPr>
            <w:r>
              <w:rPr>
                <w:rFonts w:hint="eastAsia"/>
              </w:rPr>
              <w:t>Ⅱ类</w:t>
            </w:r>
          </w:p>
        </w:tc>
        <w:tc>
          <w:tcPr>
            <w:tcW w:w="1780" w:type="dxa"/>
            <w:gridSpan w:val="3"/>
            <w:shd w:val="clear" w:color="auto" w:fill="auto"/>
            <w:tcMar>
              <w:left w:w="0" w:type="dxa"/>
              <w:right w:w="0" w:type="dxa"/>
            </w:tcMar>
            <w:vAlign w:val="center"/>
          </w:tcPr>
          <w:p w:rsidR="00DB7CC8" w:rsidRDefault="002B5250">
            <w:pPr>
              <w:pStyle w:val="afffffffc"/>
              <w:spacing w:line="240" w:lineRule="auto"/>
            </w:pPr>
            <w:r>
              <w:rPr>
                <w:rFonts w:hint="eastAsia"/>
              </w:rPr>
              <w:t>Ⅲ类</w:t>
            </w:r>
          </w:p>
        </w:tc>
      </w:tr>
      <w:tr w:rsidR="00DB7CC8">
        <w:tc>
          <w:tcPr>
            <w:tcW w:w="2547" w:type="dxa"/>
            <w:vMerge/>
            <w:shd w:val="clear" w:color="auto" w:fill="auto"/>
            <w:tcMar>
              <w:left w:w="0" w:type="dxa"/>
              <w:right w:w="0" w:type="dxa"/>
            </w:tcMar>
            <w:vAlign w:val="center"/>
          </w:tcPr>
          <w:p w:rsidR="00DB7CC8" w:rsidRDefault="00DB7CC8">
            <w:pPr>
              <w:pStyle w:val="afffffffc"/>
              <w:spacing w:line="240" w:lineRule="auto"/>
            </w:pPr>
          </w:p>
        </w:tc>
        <w:tc>
          <w:tcPr>
            <w:tcW w:w="709" w:type="dxa"/>
            <w:shd w:val="clear" w:color="auto" w:fill="auto"/>
            <w:tcMar>
              <w:left w:w="0" w:type="dxa"/>
              <w:right w:w="0" w:type="dxa"/>
            </w:tcMar>
            <w:vAlign w:val="center"/>
          </w:tcPr>
          <w:p w:rsidR="00DB7CC8" w:rsidRDefault="002B5250">
            <w:pPr>
              <w:pStyle w:val="afffffffc"/>
              <w:spacing w:line="240" w:lineRule="auto"/>
            </w:pPr>
            <w:r>
              <w:rPr>
                <w:rFonts w:hint="eastAsia"/>
              </w:rPr>
              <w:t>大</w:t>
            </w:r>
          </w:p>
        </w:tc>
        <w:tc>
          <w:tcPr>
            <w:tcW w:w="708" w:type="dxa"/>
            <w:shd w:val="clear" w:color="auto" w:fill="auto"/>
            <w:tcMar>
              <w:left w:w="0" w:type="dxa"/>
              <w:right w:w="0" w:type="dxa"/>
            </w:tcMar>
            <w:vAlign w:val="center"/>
          </w:tcPr>
          <w:p w:rsidR="00DB7CC8" w:rsidRDefault="002B5250">
            <w:pPr>
              <w:pStyle w:val="afffffffc"/>
              <w:spacing w:line="240" w:lineRule="auto"/>
            </w:pPr>
            <w:r>
              <w:rPr>
                <w:rFonts w:hint="eastAsia"/>
              </w:rPr>
              <w:t>中</w:t>
            </w:r>
          </w:p>
        </w:tc>
        <w:tc>
          <w:tcPr>
            <w:tcW w:w="567" w:type="dxa"/>
            <w:shd w:val="clear" w:color="auto" w:fill="auto"/>
            <w:tcMar>
              <w:left w:w="0" w:type="dxa"/>
              <w:right w:w="0" w:type="dxa"/>
            </w:tcMar>
            <w:vAlign w:val="center"/>
          </w:tcPr>
          <w:p w:rsidR="00DB7CC8" w:rsidRDefault="002B5250">
            <w:pPr>
              <w:pStyle w:val="afffffffc"/>
              <w:spacing w:line="240" w:lineRule="auto"/>
            </w:pPr>
            <w:r>
              <w:rPr>
                <w:rFonts w:hint="eastAsia"/>
              </w:rPr>
              <w:t>小</w:t>
            </w:r>
          </w:p>
        </w:tc>
        <w:tc>
          <w:tcPr>
            <w:tcW w:w="567" w:type="dxa"/>
            <w:shd w:val="clear" w:color="auto" w:fill="auto"/>
            <w:tcMar>
              <w:left w:w="0" w:type="dxa"/>
              <w:right w:w="0" w:type="dxa"/>
            </w:tcMar>
            <w:vAlign w:val="center"/>
          </w:tcPr>
          <w:p w:rsidR="00DB7CC8" w:rsidRDefault="002B5250">
            <w:pPr>
              <w:pStyle w:val="afffffffc"/>
              <w:spacing w:line="240" w:lineRule="auto"/>
            </w:pPr>
            <w:r>
              <w:rPr>
                <w:rFonts w:hint="eastAsia"/>
              </w:rPr>
              <w:t>大</w:t>
            </w:r>
          </w:p>
        </w:tc>
        <w:tc>
          <w:tcPr>
            <w:tcW w:w="709" w:type="dxa"/>
            <w:shd w:val="clear" w:color="auto" w:fill="auto"/>
            <w:tcMar>
              <w:left w:w="0" w:type="dxa"/>
              <w:right w:w="0" w:type="dxa"/>
            </w:tcMar>
            <w:vAlign w:val="center"/>
          </w:tcPr>
          <w:p w:rsidR="00DB7CC8" w:rsidRDefault="002B5250">
            <w:pPr>
              <w:pStyle w:val="afffffffc"/>
              <w:spacing w:line="240" w:lineRule="auto"/>
            </w:pPr>
            <w:r>
              <w:rPr>
                <w:rFonts w:hint="eastAsia"/>
              </w:rPr>
              <w:t>中</w:t>
            </w:r>
          </w:p>
        </w:tc>
        <w:tc>
          <w:tcPr>
            <w:tcW w:w="709" w:type="dxa"/>
            <w:shd w:val="clear" w:color="auto" w:fill="auto"/>
            <w:tcMar>
              <w:left w:w="0" w:type="dxa"/>
              <w:right w:w="0" w:type="dxa"/>
            </w:tcMar>
            <w:vAlign w:val="center"/>
          </w:tcPr>
          <w:p w:rsidR="00DB7CC8" w:rsidRDefault="002B5250">
            <w:pPr>
              <w:pStyle w:val="afffffffc"/>
              <w:spacing w:line="240" w:lineRule="auto"/>
            </w:pPr>
            <w:r>
              <w:rPr>
                <w:rFonts w:hint="eastAsia"/>
              </w:rPr>
              <w:t>小</w:t>
            </w:r>
          </w:p>
        </w:tc>
        <w:tc>
          <w:tcPr>
            <w:tcW w:w="567" w:type="dxa"/>
            <w:shd w:val="clear" w:color="auto" w:fill="auto"/>
            <w:tcMar>
              <w:left w:w="0" w:type="dxa"/>
              <w:right w:w="0" w:type="dxa"/>
            </w:tcMar>
            <w:vAlign w:val="center"/>
          </w:tcPr>
          <w:p w:rsidR="00DB7CC8" w:rsidRDefault="002B5250">
            <w:pPr>
              <w:pStyle w:val="afffffffc"/>
              <w:spacing w:line="240" w:lineRule="auto"/>
            </w:pPr>
            <w:r>
              <w:rPr>
                <w:rFonts w:hint="eastAsia"/>
              </w:rPr>
              <w:t>大</w:t>
            </w:r>
          </w:p>
        </w:tc>
        <w:tc>
          <w:tcPr>
            <w:tcW w:w="567" w:type="dxa"/>
            <w:shd w:val="clear" w:color="auto" w:fill="auto"/>
            <w:tcMar>
              <w:left w:w="0" w:type="dxa"/>
              <w:right w:w="0" w:type="dxa"/>
            </w:tcMar>
            <w:vAlign w:val="center"/>
          </w:tcPr>
          <w:p w:rsidR="00DB7CC8" w:rsidRDefault="002B5250">
            <w:pPr>
              <w:pStyle w:val="afffffffc"/>
              <w:spacing w:line="240" w:lineRule="auto"/>
            </w:pPr>
            <w:r>
              <w:rPr>
                <w:rFonts w:hint="eastAsia"/>
              </w:rPr>
              <w:t>中</w:t>
            </w:r>
          </w:p>
        </w:tc>
        <w:tc>
          <w:tcPr>
            <w:tcW w:w="646" w:type="dxa"/>
            <w:shd w:val="clear" w:color="auto" w:fill="auto"/>
            <w:tcMar>
              <w:left w:w="0" w:type="dxa"/>
              <w:right w:w="0" w:type="dxa"/>
            </w:tcMar>
            <w:vAlign w:val="center"/>
          </w:tcPr>
          <w:p w:rsidR="00DB7CC8" w:rsidRDefault="002B5250">
            <w:pPr>
              <w:pStyle w:val="afffffffc"/>
              <w:spacing w:line="240" w:lineRule="auto"/>
            </w:pPr>
            <w:r>
              <w:rPr>
                <w:rFonts w:hint="eastAsia"/>
              </w:rPr>
              <w:t>小</w:t>
            </w:r>
          </w:p>
        </w:tc>
      </w:tr>
      <w:tr w:rsidR="00DB7CC8">
        <w:tc>
          <w:tcPr>
            <w:tcW w:w="2547" w:type="dxa"/>
            <w:shd w:val="clear" w:color="auto" w:fill="auto"/>
            <w:tcMar>
              <w:left w:w="0" w:type="dxa"/>
              <w:right w:w="0" w:type="dxa"/>
            </w:tcMar>
            <w:vAlign w:val="center"/>
          </w:tcPr>
          <w:p w:rsidR="00DB7CC8" w:rsidRDefault="002B5250">
            <w:pPr>
              <w:pStyle w:val="afffffffc"/>
              <w:spacing w:line="240" w:lineRule="auto"/>
            </w:pPr>
            <w:r>
              <w:rPr>
                <w:rFonts w:hint="eastAsia"/>
              </w:rPr>
              <w:lastRenderedPageBreak/>
              <w:t>敏感</w:t>
            </w:r>
          </w:p>
        </w:tc>
        <w:tc>
          <w:tcPr>
            <w:tcW w:w="709" w:type="dxa"/>
            <w:shd w:val="clear" w:color="auto" w:fill="auto"/>
            <w:tcMar>
              <w:left w:w="0" w:type="dxa"/>
              <w:right w:w="0" w:type="dxa"/>
            </w:tcMar>
            <w:vAlign w:val="center"/>
          </w:tcPr>
          <w:p w:rsidR="00DB7CC8" w:rsidRDefault="002B5250">
            <w:pPr>
              <w:pStyle w:val="afffffffc"/>
              <w:spacing w:line="240" w:lineRule="auto"/>
            </w:pPr>
            <w:r>
              <w:rPr>
                <w:rFonts w:hint="eastAsia"/>
              </w:rPr>
              <w:t>一级</w:t>
            </w:r>
          </w:p>
        </w:tc>
        <w:tc>
          <w:tcPr>
            <w:tcW w:w="708" w:type="dxa"/>
            <w:shd w:val="clear" w:color="auto" w:fill="auto"/>
            <w:tcMar>
              <w:left w:w="0" w:type="dxa"/>
              <w:right w:w="0" w:type="dxa"/>
            </w:tcMar>
            <w:vAlign w:val="center"/>
          </w:tcPr>
          <w:p w:rsidR="00DB7CC8" w:rsidRDefault="002B5250">
            <w:pPr>
              <w:pStyle w:val="afffffffc"/>
              <w:spacing w:line="240" w:lineRule="auto"/>
            </w:pPr>
            <w:r>
              <w:rPr>
                <w:rFonts w:hint="eastAsia"/>
              </w:rPr>
              <w:t>一级</w:t>
            </w:r>
          </w:p>
        </w:tc>
        <w:tc>
          <w:tcPr>
            <w:tcW w:w="567" w:type="dxa"/>
            <w:shd w:val="clear" w:color="auto" w:fill="auto"/>
            <w:tcMar>
              <w:left w:w="0" w:type="dxa"/>
              <w:right w:w="0" w:type="dxa"/>
            </w:tcMar>
            <w:vAlign w:val="center"/>
          </w:tcPr>
          <w:p w:rsidR="00DB7CC8" w:rsidRDefault="002B5250">
            <w:pPr>
              <w:pStyle w:val="afffffffc"/>
              <w:spacing w:line="240" w:lineRule="auto"/>
            </w:pPr>
            <w:r>
              <w:rPr>
                <w:rFonts w:hint="eastAsia"/>
              </w:rPr>
              <w:t>一级</w:t>
            </w:r>
          </w:p>
        </w:tc>
        <w:tc>
          <w:tcPr>
            <w:tcW w:w="567" w:type="dxa"/>
            <w:shd w:val="clear" w:color="auto" w:fill="auto"/>
            <w:tcMar>
              <w:left w:w="0" w:type="dxa"/>
              <w:right w:w="0" w:type="dxa"/>
            </w:tcMar>
            <w:vAlign w:val="center"/>
          </w:tcPr>
          <w:p w:rsidR="00DB7CC8" w:rsidRDefault="002B5250">
            <w:pPr>
              <w:pStyle w:val="afffffffc"/>
              <w:spacing w:line="240" w:lineRule="auto"/>
            </w:pPr>
            <w:r>
              <w:rPr>
                <w:rFonts w:hint="eastAsia"/>
              </w:rPr>
              <w:t>二级</w:t>
            </w:r>
          </w:p>
        </w:tc>
        <w:tc>
          <w:tcPr>
            <w:tcW w:w="709" w:type="dxa"/>
            <w:shd w:val="clear" w:color="auto" w:fill="auto"/>
            <w:tcMar>
              <w:left w:w="0" w:type="dxa"/>
              <w:right w:w="0" w:type="dxa"/>
            </w:tcMar>
            <w:vAlign w:val="center"/>
          </w:tcPr>
          <w:p w:rsidR="00DB7CC8" w:rsidRDefault="002B5250">
            <w:pPr>
              <w:pStyle w:val="afffffffc"/>
              <w:spacing w:line="240" w:lineRule="auto"/>
            </w:pPr>
            <w:r>
              <w:rPr>
                <w:rFonts w:hint="eastAsia"/>
              </w:rPr>
              <w:t>二级</w:t>
            </w:r>
          </w:p>
        </w:tc>
        <w:tc>
          <w:tcPr>
            <w:tcW w:w="709" w:type="dxa"/>
            <w:shd w:val="clear" w:color="auto" w:fill="auto"/>
            <w:tcMar>
              <w:left w:w="0" w:type="dxa"/>
              <w:right w:w="0" w:type="dxa"/>
            </w:tcMar>
            <w:vAlign w:val="center"/>
          </w:tcPr>
          <w:p w:rsidR="00DB7CC8" w:rsidRDefault="002B5250">
            <w:pPr>
              <w:pStyle w:val="afffffffc"/>
              <w:spacing w:line="240" w:lineRule="auto"/>
            </w:pPr>
            <w:r>
              <w:rPr>
                <w:rFonts w:hint="eastAsia"/>
              </w:rPr>
              <w:t>二级</w:t>
            </w:r>
          </w:p>
        </w:tc>
        <w:tc>
          <w:tcPr>
            <w:tcW w:w="567" w:type="dxa"/>
            <w:shd w:val="clear" w:color="auto" w:fill="auto"/>
            <w:tcMar>
              <w:left w:w="0" w:type="dxa"/>
              <w:right w:w="0" w:type="dxa"/>
            </w:tcMar>
            <w:vAlign w:val="center"/>
          </w:tcPr>
          <w:p w:rsidR="00DB7CC8" w:rsidRDefault="002B5250">
            <w:pPr>
              <w:pStyle w:val="afffffffc"/>
              <w:spacing w:line="240" w:lineRule="auto"/>
            </w:pPr>
            <w:r>
              <w:rPr>
                <w:rFonts w:hint="eastAsia"/>
              </w:rPr>
              <w:t>三级</w:t>
            </w:r>
          </w:p>
        </w:tc>
        <w:tc>
          <w:tcPr>
            <w:tcW w:w="567" w:type="dxa"/>
            <w:shd w:val="clear" w:color="auto" w:fill="auto"/>
            <w:tcMar>
              <w:left w:w="0" w:type="dxa"/>
              <w:right w:w="0" w:type="dxa"/>
            </w:tcMar>
            <w:vAlign w:val="center"/>
          </w:tcPr>
          <w:p w:rsidR="00DB7CC8" w:rsidRDefault="002B5250">
            <w:pPr>
              <w:pStyle w:val="afffffffc"/>
              <w:spacing w:line="240" w:lineRule="auto"/>
            </w:pPr>
            <w:r>
              <w:rPr>
                <w:rFonts w:hint="eastAsia"/>
              </w:rPr>
              <w:t>三级</w:t>
            </w:r>
          </w:p>
        </w:tc>
        <w:tc>
          <w:tcPr>
            <w:tcW w:w="646" w:type="dxa"/>
            <w:shd w:val="clear" w:color="auto" w:fill="auto"/>
            <w:tcMar>
              <w:left w:w="0" w:type="dxa"/>
              <w:right w:w="0" w:type="dxa"/>
            </w:tcMar>
            <w:vAlign w:val="center"/>
          </w:tcPr>
          <w:p w:rsidR="00DB7CC8" w:rsidRDefault="002B5250">
            <w:pPr>
              <w:pStyle w:val="afffffffc"/>
              <w:spacing w:line="240" w:lineRule="auto"/>
              <w:rPr>
                <w:b/>
                <w:bCs/>
              </w:rPr>
            </w:pPr>
            <w:r>
              <w:rPr>
                <w:rFonts w:hint="eastAsia"/>
                <w:b/>
                <w:bCs/>
              </w:rPr>
              <w:t>三级</w:t>
            </w:r>
          </w:p>
        </w:tc>
      </w:tr>
      <w:tr w:rsidR="00DB7CC8">
        <w:tc>
          <w:tcPr>
            <w:tcW w:w="2547" w:type="dxa"/>
            <w:shd w:val="clear" w:color="auto" w:fill="auto"/>
            <w:tcMar>
              <w:left w:w="0" w:type="dxa"/>
              <w:right w:w="0" w:type="dxa"/>
            </w:tcMar>
            <w:vAlign w:val="center"/>
          </w:tcPr>
          <w:p w:rsidR="00DB7CC8" w:rsidRDefault="002B5250">
            <w:pPr>
              <w:pStyle w:val="afffffffc"/>
              <w:spacing w:line="240" w:lineRule="auto"/>
            </w:pPr>
            <w:r>
              <w:rPr>
                <w:rFonts w:hint="eastAsia"/>
              </w:rPr>
              <w:t>较敏感</w:t>
            </w:r>
          </w:p>
        </w:tc>
        <w:tc>
          <w:tcPr>
            <w:tcW w:w="709" w:type="dxa"/>
            <w:shd w:val="clear" w:color="auto" w:fill="auto"/>
            <w:tcMar>
              <w:left w:w="0" w:type="dxa"/>
              <w:right w:w="0" w:type="dxa"/>
            </w:tcMar>
            <w:vAlign w:val="center"/>
          </w:tcPr>
          <w:p w:rsidR="00DB7CC8" w:rsidRDefault="002B5250">
            <w:pPr>
              <w:pStyle w:val="afffffffc"/>
              <w:spacing w:line="240" w:lineRule="auto"/>
            </w:pPr>
            <w:r>
              <w:rPr>
                <w:rFonts w:hint="eastAsia"/>
              </w:rPr>
              <w:t>一级</w:t>
            </w:r>
          </w:p>
        </w:tc>
        <w:tc>
          <w:tcPr>
            <w:tcW w:w="708" w:type="dxa"/>
            <w:shd w:val="clear" w:color="auto" w:fill="auto"/>
            <w:tcMar>
              <w:left w:w="0" w:type="dxa"/>
              <w:right w:w="0" w:type="dxa"/>
            </w:tcMar>
            <w:vAlign w:val="center"/>
          </w:tcPr>
          <w:p w:rsidR="00DB7CC8" w:rsidRDefault="002B5250">
            <w:pPr>
              <w:pStyle w:val="afffffffc"/>
              <w:spacing w:line="240" w:lineRule="auto"/>
            </w:pPr>
            <w:r>
              <w:rPr>
                <w:rFonts w:hint="eastAsia"/>
              </w:rPr>
              <w:t>一级</w:t>
            </w:r>
          </w:p>
        </w:tc>
        <w:tc>
          <w:tcPr>
            <w:tcW w:w="567" w:type="dxa"/>
            <w:shd w:val="clear" w:color="auto" w:fill="auto"/>
            <w:tcMar>
              <w:left w:w="0" w:type="dxa"/>
              <w:right w:w="0" w:type="dxa"/>
            </w:tcMar>
            <w:vAlign w:val="center"/>
          </w:tcPr>
          <w:p w:rsidR="00DB7CC8" w:rsidRDefault="002B5250">
            <w:pPr>
              <w:pStyle w:val="afffffffc"/>
              <w:spacing w:line="240" w:lineRule="auto"/>
            </w:pPr>
            <w:r>
              <w:rPr>
                <w:rFonts w:hint="eastAsia"/>
              </w:rPr>
              <w:t>二级</w:t>
            </w:r>
          </w:p>
        </w:tc>
        <w:tc>
          <w:tcPr>
            <w:tcW w:w="567" w:type="dxa"/>
            <w:shd w:val="clear" w:color="auto" w:fill="auto"/>
            <w:tcMar>
              <w:left w:w="0" w:type="dxa"/>
              <w:right w:w="0" w:type="dxa"/>
            </w:tcMar>
            <w:vAlign w:val="center"/>
          </w:tcPr>
          <w:p w:rsidR="00DB7CC8" w:rsidRDefault="002B5250">
            <w:pPr>
              <w:pStyle w:val="afffffffc"/>
              <w:spacing w:line="240" w:lineRule="auto"/>
            </w:pPr>
            <w:r>
              <w:rPr>
                <w:rFonts w:hint="eastAsia"/>
              </w:rPr>
              <w:t>二级</w:t>
            </w:r>
          </w:p>
        </w:tc>
        <w:tc>
          <w:tcPr>
            <w:tcW w:w="709" w:type="dxa"/>
            <w:shd w:val="clear" w:color="auto" w:fill="auto"/>
            <w:tcMar>
              <w:left w:w="0" w:type="dxa"/>
              <w:right w:w="0" w:type="dxa"/>
            </w:tcMar>
            <w:vAlign w:val="center"/>
          </w:tcPr>
          <w:p w:rsidR="00DB7CC8" w:rsidRDefault="002B5250">
            <w:pPr>
              <w:pStyle w:val="afffffffc"/>
              <w:spacing w:line="240" w:lineRule="auto"/>
            </w:pPr>
            <w:r>
              <w:rPr>
                <w:rFonts w:hint="eastAsia"/>
              </w:rPr>
              <w:t>二级</w:t>
            </w:r>
          </w:p>
        </w:tc>
        <w:tc>
          <w:tcPr>
            <w:tcW w:w="709" w:type="dxa"/>
            <w:shd w:val="clear" w:color="auto" w:fill="auto"/>
            <w:tcMar>
              <w:left w:w="0" w:type="dxa"/>
              <w:right w:w="0" w:type="dxa"/>
            </w:tcMar>
            <w:vAlign w:val="center"/>
          </w:tcPr>
          <w:p w:rsidR="00DB7CC8" w:rsidRDefault="002B5250">
            <w:pPr>
              <w:pStyle w:val="afffffffc"/>
              <w:spacing w:line="240" w:lineRule="auto"/>
            </w:pPr>
            <w:r>
              <w:rPr>
                <w:rFonts w:hint="eastAsia"/>
              </w:rPr>
              <w:t>三级</w:t>
            </w:r>
          </w:p>
        </w:tc>
        <w:tc>
          <w:tcPr>
            <w:tcW w:w="567" w:type="dxa"/>
            <w:shd w:val="clear" w:color="auto" w:fill="auto"/>
            <w:tcMar>
              <w:left w:w="0" w:type="dxa"/>
              <w:right w:w="0" w:type="dxa"/>
            </w:tcMar>
            <w:vAlign w:val="center"/>
          </w:tcPr>
          <w:p w:rsidR="00DB7CC8" w:rsidRDefault="002B5250">
            <w:pPr>
              <w:pStyle w:val="afffffffc"/>
              <w:spacing w:line="240" w:lineRule="auto"/>
            </w:pPr>
            <w:r>
              <w:rPr>
                <w:rFonts w:hint="eastAsia"/>
              </w:rPr>
              <w:t>三级</w:t>
            </w:r>
          </w:p>
        </w:tc>
        <w:tc>
          <w:tcPr>
            <w:tcW w:w="567" w:type="dxa"/>
            <w:shd w:val="clear" w:color="auto" w:fill="auto"/>
            <w:tcMar>
              <w:left w:w="0" w:type="dxa"/>
              <w:right w:w="0" w:type="dxa"/>
            </w:tcMar>
            <w:vAlign w:val="center"/>
          </w:tcPr>
          <w:p w:rsidR="00DB7CC8" w:rsidRDefault="002B5250">
            <w:pPr>
              <w:pStyle w:val="afffffffc"/>
              <w:spacing w:line="240" w:lineRule="auto"/>
            </w:pPr>
            <w:r>
              <w:rPr>
                <w:rFonts w:hint="eastAsia"/>
              </w:rPr>
              <w:t>三级</w:t>
            </w:r>
          </w:p>
        </w:tc>
        <w:tc>
          <w:tcPr>
            <w:tcW w:w="646" w:type="dxa"/>
            <w:shd w:val="clear" w:color="auto" w:fill="auto"/>
            <w:tcMar>
              <w:left w:w="0" w:type="dxa"/>
              <w:right w:w="0" w:type="dxa"/>
            </w:tcMar>
            <w:vAlign w:val="center"/>
          </w:tcPr>
          <w:p w:rsidR="00DB7CC8" w:rsidRDefault="002B5250">
            <w:pPr>
              <w:pStyle w:val="afffffffc"/>
              <w:spacing w:line="240" w:lineRule="auto"/>
            </w:pPr>
            <w:r>
              <w:rPr>
                <w:rFonts w:hint="eastAsia"/>
              </w:rPr>
              <w:t>-</w:t>
            </w:r>
            <w:r>
              <w:t>-</w:t>
            </w:r>
          </w:p>
        </w:tc>
      </w:tr>
      <w:tr w:rsidR="00DB7CC8">
        <w:tc>
          <w:tcPr>
            <w:tcW w:w="2547" w:type="dxa"/>
            <w:shd w:val="clear" w:color="auto" w:fill="auto"/>
            <w:tcMar>
              <w:left w:w="0" w:type="dxa"/>
              <w:right w:w="0" w:type="dxa"/>
            </w:tcMar>
            <w:vAlign w:val="center"/>
          </w:tcPr>
          <w:p w:rsidR="00DB7CC8" w:rsidRDefault="002B5250">
            <w:pPr>
              <w:pStyle w:val="afffffffc"/>
              <w:spacing w:line="240" w:lineRule="auto"/>
            </w:pPr>
            <w:r>
              <w:rPr>
                <w:rFonts w:hint="eastAsia"/>
              </w:rPr>
              <w:t>不敏感</w:t>
            </w:r>
          </w:p>
        </w:tc>
        <w:tc>
          <w:tcPr>
            <w:tcW w:w="709" w:type="dxa"/>
            <w:shd w:val="clear" w:color="auto" w:fill="auto"/>
            <w:tcMar>
              <w:left w:w="0" w:type="dxa"/>
              <w:right w:w="0" w:type="dxa"/>
            </w:tcMar>
            <w:vAlign w:val="center"/>
          </w:tcPr>
          <w:p w:rsidR="00DB7CC8" w:rsidRDefault="002B5250">
            <w:pPr>
              <w:pStyle w:val="afffffffc"/>
              <w:spacing w:line="240" w:lineRule="auto"/>
            </w:pPr>
            <w:r>
              <w:rPr>
                <w:rFonts w:hint="eastAsia"/>
              </w:rPr>
              <w:t>一级</w:t>
            </w:r>
          </w:p>
        </w:tc>
        <w:tc>
          <w:tcPr>
            <w:tcW w:w="708" w:type="dxa"/>
            <w:shd w:val="clear" w:color="auto" w:fill="auto"/>
            <w:tcMar>
              <w:left w:w="0" w:type="dxa"/>
              <w:right w:w="0" w:type="dxa"/>
            </w:tcMar>
            <w:vAlign w:val="center"/>
          </w:tcPr>
          <w:p w:rsidR="00DB7CC8" w:rsidRDefault="002B5250">
            <w:pPr>
              <w:pStyle w:val="afffffffc"/>
              <w:spacing w:line="240" w:lineRule="auto"/>
            </w:pPr>
            <w:r>
              <w:rPr>
                <w:rFonts w:hint="eastAsia"/>
              </w:rPr>
              <w:t>二级</w:t>
            </w:r>
          </w:p>
        </w:tc>
        <w:tc>
          <w:tcPr>
            <w:tcW w:w="567" w:type="dxa"/>
            <w:shd w:val="clear" w:color="auto" w:fill="auto"/>
            <w:tcMar>
              <w:left w:w="0" w:type="dxa"/>
              <w:right w:w="0" w:type="dxa"/>
            </w:tcMar>
            <w:vAlign w:val="center"/>
          </w:tcPr>
          <w:p w:rsidR="00DB7CC8" w:rsidRDefault="002B5250">
            <w:pPr>
              <w:pStyle w:val="afffffffc"/>
              <w:spacing w:line="240" w:lineRule="auto"/>
            </w:pPr>
            <w:r>
              <w:rPr>
                <w:rFonts w:hint="eastAsia"/>
              </w:rPr>
              <w:t>二级</w:t>
            </w:r>
          </w:p>
        </w:tc>
        <w:tc>
          <w:tcPr>
            <w:tcW w:w="567" w:type="dxa"/>
            <w:shd w:val="clear" w:color="auto" w:fill="auto"/>
            <w:tcMar>
              <w:left w:w="0" w:type="dxa"/>
              <w:right w:w="0" w:type="dxa"/>
            </w:tcMar>
            <w:vAlign w:val="center"/>
          </w:tcPr>
          <w:p w:rsidR="00DB7CC8" w:rsidRDefault="002B5250">
            <w:pPr>
              <w:pStyle w:val="afffffffc"/>
              <w:spacing w:line="240" w:lineRule="auto"/>
            </w:pPr>
            <w:r>
              <w:rPr>
                <w:rFonts w:hint="eastAsia"/>
              </w:rPr>
              <w:t>二级</w:t>
            </w:r>
          </w:p>
        </w:tc>
        <w:tc>
          <w:tcPr>
            <w:tcW w:w="709" w:type="dxa"/>
            <w:shd w:val="clear" w:color="auto" w:fill="auto"/>
            <w:tcMar>
              <w:left w:w="0" w:type="dxa"/>
              <w:right w:w="0" w:type="dxa"/>
            </w:tcMar>
            <w:vAlign w:val="center"/>
          </w:tcPr>
          <w:p w:rsidR="00DB7CC8" w:rsidRDefault="002B5250">
            <w:pPr>
              <w:pStyle w:val="afffffffc"/>
              <w:spacing w:line="240" w:lineRule="auto"/>
            </w:pPr>
            <w:r>
              <w:rPr>
                <w:rFonts w:hint="eastAsia"/>
              </w:rPr>
              <w:t>三级</w:t>
            </w:r>
          </w:p>
        </w:tc>
        <w:tc>
          <w:tcPr>
            <w:tcW w:w="709" w:type="dxa"/>
            <w:shd w:val="clear" w:color="auto" w:fill="auto"/>
            <w:tcMar>
              <w:left w:w="0" w:type="dxa"/>
              <w:right w:w="0" w:type="dxa"/>
            </w:tcMar>
            <w:vAlign w:val="center"/>
          </w:tcPr>
          <w:p w:rsidR="00DB7CC8" w:rsidRDefault="002B5250">
            <w:pPr>
              <w:pStyle w:val="afffffffc"/>
              <w:spacing w:line="240" w:lineRule="auto"/>
            </w:pPr>
            <w:r>
              <w:rPr>
                <w:rFonts w:hint="eastAsia"/>
              </w:rPr>
              <w:t>三级</w:t>
            </w:r>
          </w:p>
        </w:tc>
        <w:tc>
          <w:tcPr>
            <w:tcW w:w="567" w:type="dxa"/>
            <w:shd w:val="clear" w:color="auto" w:fill="auto"/>
            <w:tcMar>
              <w:left w:w="0" w:type="dxa"/>
              <w:right w:w="0" w:type="dxa"/>
            </w:tcMar>
            <w:vAlign w:val="center"/>
          </w:tcPr>
          <w:p w:rsidR="00DB7CC8" w:rsidRDefault="002B5250">
            <w:pPr>
              <w:pStyle w:val="afffffffc"/>
              <w:spacing w:line="240" w:lineRule="auto"/>
            </w:pPr>
            <w:r>
              <w:rPr>
                <w:rFonts w:hint="eastAsia"/>
              </w:rPr>
              <w:t>三级</w:t>
            </w:r>
          </w:p>
        </w:tc>
        <w:tc>
          <w:tcPr>
            <w:tcW w:w="567" w:type="dxa"/>
            <w:shd w:val="clear" w:color="auto" w:fill="auto"/>
            <w:tcMar>
              <w:left w:w="0" w:type="dxa"/>
              <w:right w:w="0" w:type="dxa"/>
            </w:tcMar>
            <w:vAlign w:val="center"/>
          </w:tcPr>
          <w:p w:rsidR="00DB7CC8" w:rsidRDefault="002B5250">
            <w:pPr>
              <w:pStyle w:val="afffffffc"/>
              <w:spacing w:line="240" w:lineRule="auto"/>
            </w:pPr>
            <w:r>
              <w:rPr>
                <w:rFonts w:hint="eastAsia"/>
              </w:rPr>
              <w:t>-</w:t>
            </w:r>
            <w:r>
              <w:t>-</w:t>
            </w:r>
          </w:p>
        </w:tc>
        <w:tc>
          <w:tcPr>
            <w:tcW w:w="646" w:type="dxa"/>
            <w:shd w:val="clear" w:color="auto" w:fill="auto"/>
            <w:tcMar>
              <w:left w:w="0" w:type="dxa"/>
              <w:right w:w="0" w:type="dxa"/>
            </w:tcMar>
            <w:vAlign w:val="center"/>
          </w:tcPr>
          <w:p w:rsidR="00DB7CC8" w:rsidRDefault="002B5250">
            <w:pPr>
              <w:pStyle w:val="afffffffc"/>
              <w:spacing w:line="240" w:lineRule="auto"/>
            </w:pPr>
            <w:r>
              <w:rPr>
                <w:rFonts w:hint="eastAsia"/>
              </w:rPr>
              <w:t>-</w:t>
            </w:r>
            <w:r>
              <w:t>-</w:t>
            </w:r>
          </w:p>
        </w:tc>
      </w:tr>
      <w:tr w:rsidR="00DB7CC8">
        <w:tc>
          <w:tcPr>
            <w:tcW w:w="8296" w:type="dxa"/>
            <w:gridSpan w:val="10"/>
            <w:shd w:val="clear" w:color="auto" w:fill="auto"/>
            <w:tcMar>
              <w:left w:w="0" w:type="dxa"/>
              <w:right w:w="0" w:type="dxa"/>
            </w:tcMar>
            <w:vAlign w:val="center"/>
          </w:tcPr>
          <w:p w:rsidR="00DB7CC8" w:rsidRDefault="002B5250">
            <w:pPr>
              <w:pStyle w:val="afffffffc"/>
              <w:spacing w:line="240" w:lineRule="auto"/>
            </w:pPr>
            <w:r>
              <w:rPr>
                <w:rFonts w:hint="eastAsia"/>
              </w:rPr>
              <w:t>注：“</w:t>
            </w:r>
            <w:r>
              <w:rPr>
                <w:rFonts w:hint="eastAsia"/>
              </w:rPr>
              <w:t>-</w:t>
            </w:r>
            <w:r>
              <w:t>-</w:t>
            </w:r>
            <w:r>
              <w:rPr>
                <w:rFonts w:hint="eastAsia"/>
              </w:rPr>
              <w:t>”表示可不开展土壤环境影响评价工作。</w:t>
            </w:r>
          </w:p>
        </w:tc>
      </w:tr>
    </w:tbl>
    <w:p w:rsidR="00DB7CC8" w:rsidRDefault="002B5250">
      <w:pPr>
        <w:ind w:firstLine="480"/>
        <w:jc w:val="both"/>
      </w:pPr>
      <w:r>
        <w:rPr>
          <w:rFonts w:hint="eastAsia"/>
          <w:sz w:val="24"/>
          <w:szCs w:val="22"/>
        </w:rPr>
        <w:t>综合以上分析，根据《环境影响评价技术导则·</w:t>
      </w:r>
      <w:r>
        <w:rPr>
          <w:rFonts w:hint="eastAsia"/>
          <w:sz w:val="24"/>
          <w:szCs w:val="22"/>
        </w:rPr>
        <w:t xml:space="preserve"> </w:t>
      </w:r>
      <w:r>
        <w:rPr>
          <w:rFonts w:hint="eastAsia"/>
          <w:sz w:val="24"/>
          <w:szCs w:val="22"/>
        </w:rPr>
        <w:t>土壤环境（试行）》</w:t>
      </w:r>
      <w:r>
        <w:rPr>
          <w:rFonts w:hint="eastAsia"/>
          <w:sz w:val="24"/>
          <w:szCs w:val="22"/>
        </w:rPr>
        <w:t>(HJ964-2018)</w:t>
      </w:r>
      <w:r>
        <w:rPr>
          <w:rFonts w:hint="eastAsia"/>
          <w:sz w:val="24"/>
          <w:szCs w:val="22"/>
        </w:rPr>
        <w:t>土壤环境影响评价工作等级划分原则，确定本项目土壤环境影响评价工作等级为三级。</w:t>
      </w:r>
    </w:p>
    <w:p w:rsidR="00DB7CC8" w:rsidRDefault="002B5250">
      <w:pPr>
        <w:pStyle w:val="4"/>
        <w:numPr>
          <w:ilvl w:val="3"/>
          <w:numId w:val="1"/>
        </w:numPr>
        <w:ind w:left="709" w:hanging="709"/>
        <w:rPr>
          <w:rFonts w:eastAsia="宋体"/>
          <w:b/>
        </w:rPr>
      </w:pPr>
      <w:r>
        <w:rPr>
          <w:rFonts w:eastAsia="宋体" w:hint="eastAsia"/>
          <w:b/>
        </w:rPr>
        <w:t>生态环境</w:t>
      </w:r>
      <w:r>
        <w:rPr>
          <w:rFonts w:eastAsia="宋体"/>
          <w:b/>
        </w:rPr>
        <w:t>影响评价等级</w:t>
      </w:r>
    </w:p>
    <w:p w:rsidR="00DB7CC8" w:rsidRDefault="002B5250">
      <w:pPr>
        <w:ind w:firstLine="480"/>
        <w:rPr>
          <w:sz w:val="24"/>
          <w:szCs w:val="24"/>
        </w:rPr>
      </w:pPr>
      <w:r>
        <w:rPr>
          <w:rFonts w:hint="eastAsia"/>
          <w:sz w:val="24"/>
          <w:szCs w:val="24"/>
        </w:rPr>
        <w:t>根据《环境影响评价技术导则</w:t>
      </w:r>
      <w:r>
        <w:rPr>
          <w:rFonts w:hint="eastAsia"/>
          <w:sz w:val="24"/>
          <w:szCs w:val="24"/>
        </w:rPr>
        <w:t xml:space="preserve"> </w:t>
      </w:r>
      <w:r>
        <w:rPr>
          <w:rFonts w:hint="eastAsia"/>
          <w:sz w:val="24"/>
          <w:szCs w:val="24"/>
        </w:rPr>
        <w:t>生态影响》（</w:t>
      </w:r>
      <w:r>
        <w:rPr>
          <w:rFonts w:hint="eastAsia"/>
          <w:sz w:val="24"/>
          <w:szCs w:val="24"/>
        </w:rPr>
        <w:t>HJ19-20</w:t>
      </w:r>
      <w:r>
        <w:rPr>
          <w:rFonts w:hint="eastAsia"/>
          <w:sz w:val="24"/>
          <w:szCs w:val="24"/>
        </w:rPr>
        <w:t>22</w:t>
      </w:r>
      <w:r>
        <w:rPr>
          <w:rFonts w:hint="eastAsia"/>
          <w:sz w:val="24"/>
          <w:szCs w:val="24"/>
        </w:rPr>
        <w:t>）</w:t>
      </w:r>
      <w:r>
        <w:rPr>
          <w:rFonts w:hint="eastAsia"/>
          <w:sz w:val="24"/>
          <w:szCs w:val="24"/>
        </w:rPr>
        <w:t>，</w:t>
      </w:r>
      <w:r>
        <w:rPr>
          <w:rFonts w:hint="eastAsia"/>
          <w:sz w:val="24"/>
          <w:szCs w:val="24"/>
        </w:rPr>
        <w:t>依据影响区域的生态敏感性和评价项目的工程占地（含水域）范围，包括永久占地和临时占地，将生态影响评价工作等级划分为一级、二级和三级，如表</w:t>
      </w:r>
      <w:r>
        <w:rPr>
          <w:rFonts w:hint="eastAsia"/>
          <w:sz w:val="24"/>
          <w:szCs w:val="24"/>
        </w:rPr>
        <w:t>2.4-14</w:t>
      </w:r>
      <w:r>
        <w:rPr>
          <w:rFonts w:hint="eastAsia"/>
          <w:sz w:val="24"/>
          <w:szCs w:val="24"/>
        </w:rPr>
        <w:t>所示。</w:t>
      </w:r>
    </w:p>
    <w:p w:rsidR="00DB7CC8" w:rsidRDefault="002B5250">
      <w:pPr>
        <w:spacing w:line="240" w:lineRule="auto"/>
        <w:ind w:firstLineChars="0"/>
        <w:jc w:val="center"/>
        <w:textAlignment w:val="auto"/>
        <w:rPr>
          <w:rFonts w:eastAsia="黑体"/>
          <w:kern w:val="2"/>
          <w:sz w:val="21"/>
          <w:szCs w:val="21"/>
        </w:rPr>
      </w:pPr>
      <w:bookmarkStart w:id="113" w:name="_Ref6772595"/>
      <w:r>
        <w:rPr>
          <w:rFonts w:eastAsia="黑体"/>
          <w:kern w:val="2"/>
          <w:sz w:val="21"/>
          <w:szCs w:val="21"/>
        </w:rPr>
        <w:t>表</w:t>
      </w:r>
      <w:r>
        <w:rPr>
          <w:rFonts w:eastAsia="黑体" w:hint="eastAsia"/>
          <w:kern w:val="2"/>
          <w:sz w:val="21"/>
          <w:szCs w:val="21"/>
        </w:rPr>
        <w:t>2.4-1</w:t>
      </w:r>
      <w:bookmarkEnd w:id="113"/>
      <w:r>
        <w:rPr>
          <w:rFonts w:eastAsia="黑体" w:hint="eastAsia"/>
          <w:kern w:val="2"/>
          <w:sz w:val="21"/>
          <w:szCs w:val="21"/>
        </w:rPr>
        <w:t>4</w:t>
      </w:r>
      <w:r>
        <w:rPr>
          <w:rFonts w:eastAsia="黑体"/>
          <w:kern w:val="2"/>
          <w:sz w:val="21"/>
          <w:szCs w:val="21"/>
        </w:rPr>
        <w:t xml:space="preserve">   </w:t>
      </w:r>
      <w:r>
        <w:rPr>
          <w:rFonts w:eastAsia="黑体"/>
          <w:kern w:val="2"/>
          <w:sz w:val="21"/>
          <w:szCs w:val="21"/>
        </w:rPr>
        <w:t>生态影响评价工作等级划分表</w:t>
      </w:r>
    </w:p>
    <w:tbl>
      <w:tblPr>
        <w:tblW w:w="8125" w:type="dxa"/>
        <w:tblInd w:w="-20"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128"/>
        <w:gridCol w:w="1775"/>
        <w:gridCol w:w="2513"/>
        <w:gridCol w:w="1709"/>
      </w:tblGrid>
      <w:tr w:rsidR="00DB7CC8">
        <w:trPr>
          <w:trHeight w:val="234"/>
        </w:trPr>
        <w:tc>
          <w:tcPr>
            <w:tcW w:w="2128" w:type="dxa"/>
            <w:vMerge w:val="restart"/>
            <w:vAlign w:val="center"/>
          </w:tcPr>
          <w:p w:rsidR="00DB7CC8" w:rsidRDefault="002B5250">
            <w:pPr>
              <w:pStyle w:val="afffffffc"/>
              <w:spacing w:line="240" w:lineRule="auto"/>
            </w:pPr>
            <w:r>
              <w:t>影响区域生态敏感性</w:t>
            </w:r>
          </w:p>
        </w:tc>
        <w:tc>
          <w:tcPr>
            <w:tcW w:w="5997" w:type="dxa"/>
            <w:gridSpan w:val="3"/>
            <w:vAlign w:val="center"/>
          </w:tcPr>
          <w:p w:rsidR="00DB7CC8" w:rsidRDefault="002B5250">
            <w:pPr>
              <w:pStyle w:val="afffffffc"/>
              <w:spacing w:line="240" w:lineRule="auto"/>
            </w:pPr>
            <w:r>
              <w:t>工程占地（水域）范围</w:t>
            </w:r>
          </w:p>
        </w:tc>
      </w:tr>
      <w:tr w:rsidR="00DB7CC8">
        <w:trPr>
          <w:trHeight w:val="234"/>
        </w:trPr>
        <w:tc>
          <w:tcPr>
            <w:tcW w:w="2128" w:type="dxa"/>
            <w:vMerge/>
            <w:vAlign w:val="center"/>
          </w:tcPr>
          <w:p w:rsidR="00DB7CC8" w:rsidRDefault="00DB7CC8">
            <w:pPr>
              <w:pStyle w:val="afffffffc"/>
              <w:spacing w:line="240" w:lineRule="auto"/>
            </w:pPr>
          </w:p>
        </w:tc>
        <w:tc>
          <w:tcPr>
            <w:tcW w:w="1775" w:type="dxa"/>
            <w:vAlign w:val="center"/>
          </w:tcPr>
          <w:p w:rsidR="00DB7CC8" w:rsidRDefault="002B5250">
            <w:pPr>
              <w:pStyle w:val="afffffffc"/>
              <w:spacing w:line="240" w:lineRule="auto"/>
              <w:rPr>
                <w:vertAlign w:val="superscript"/>
              </w:rPr>
            </w:pPr>
            <w:r>
              <w:t>面积</w:t>
            </w:r>
            <w:r>
              <w:t>≥20k</w:t>
            </w:r>
            <w:r>
              <w:rPr>
                <w:rFonts w:hint="eastAsia"/>
              </w:rPr>
              <w:t>m</w:t>
            </w:r>
            <w:r>
              <w:rPr>
                <w:rFonts w:hint="eastAsia"/>
                <w:vertAlign w:val="superscript"/>
              </w:rPr>
              <w:t>2</w:t>
            </w:r>
          </w:p>
          <w:p w:rsidR="00DB7CC8" w:rsidRDefault="002B5250">
            <w:pPr>
              <w:pStyle w:val="afffffffc"/>
              <w:spacing w:line="240" w:lineRule="auto"/>
            </w:pPr>
            <w:r>
              <w:t>或长度</w:t>
            </w:r>
            <w:r>
              <w:t>≥100km</w:t>
            </w:r>
          </w:p>
        </w:tc>
        <w:tc>
          <w:tcPr>
            <w:tcW w:w="2513" w:type="dxa"/>
            <w:vAlign w:val="center"/>
          </w:tcPr>
          <w:p w:rsidR="00DB7CC8" w:rsidRDefault="002B5250">
            <w:pPr>
              <w:pStyle w:val="afffffffc"/>
              <w:spacing w:line="240" w:lineRule="auto"/>
            </w:pPr>
            <w:r>
              <w:t>面积</w:t>
            </w:r>
            <w:r>
              <w:t>2k</w:t>
            </w:r>
            <w:r>
              <w:rPr>
                <w:rFonts w:hint="eastAsia"/>
              </w:rPr>
              <w:t>m</w:t>
            </w:r>
            <w:r>
              <w:rPr>
                <w:rFonts w:hint="eastAsia"/>
                <w:vertAlign w:val="superscript"/>
              </w:rPr>
              <w:t>2</w:t>
            </w:r>
            <w:r>
              <w:t>-20k</w:t>
            </w:r>
            <w:r>
              <w:rPr>
                <w:rFonts w:hint="eastAsia"/>
              </w:rPr>
              <w:t>m</w:t>
            </w:r>
            <w:r>
              <w:rPr>
                <w:rFonts w:hint="eastAsia"/>
                <w:vertAlign w:val="superscript"/>
              </w:rPr>
              <w:t>2</w:t>
            </w:r>
          </w:p>
          <w:p w:rsidR="00DB7CC8" w:rsidRDefault="002B5250">
            <w:pPr>
              <w:pStyle w:val="afffffffc"/>
              <w:spacing w:line="240" w:lineRule="auto"/>
            </w:pPr>
            <w:r>
              <w:t>或长度</w:t>
            </w:r>
            <w:r>
              <w:t>50km-100km</w:t>
            </w:r>
          </w:p>
        </w:tc>
        <w:tc>
          <w:tcPr>
            <w:tcW w:w="1709" w:type="dxa"/>
            <w:vAlign w:val="center"/>
          </w:tcPr>
          <w:p w:rsidR="00DB7CC8" w:rsidRDefault="002B5250">
            <w:pPr>
              <w:pStyle w:val="afffffffc"/>
              <w:spacing w:line="240" w:lineRule="auto"/>
            </w:pPr>
            <w:r>
              <w:t>面积</w:t>
            </w:r>
            <w:r>
              <w:t>≤2k</w:t>
            </w:r>
            <w:r>
              <w:rPr>
                <w:rFonts w:hint="eastAsia"/>
              </w:rPr>
              <w:t>m</w:t>
            </w:r>
            <w:r>
              <w:rPr>
                <w:rFonts w:hint="eastAsia"/>
                <w:vertAlign w:val="superscript"/>
              </w:rPr>
              <w:t>2</w:t>
            </w:r>
          </w:p>
          <w:p w:rsidR="00DB7CC8" w:rsidRDefault="002B5250">
            <w:pPr>
              <w:pStyle w:val="afffffffc"/>
              <w:spacing w:line="240" w:lineRule="auto"/>
            </w:pPr>
            <w:r>
              <w:t>或长度</w:t>
            </w:r>
            <w:r>
              <w:t>≤50km</w:t>
            </w:r>
          </w:p>
        </w:tc>
      </w:tr>
      <w:tr w:rsidR="00DB7CC8">
        <w:trPr>
          <w:trHeight w:val="234"/>
        </w:trPr>
        <w:tc>
          <w:tcPr>
            <w:tcW w:w="2128" w:type="dxa"/>
            <w:vAlign w:val="center"/>
          </w:tcPr>
          <w:p w:rsidR="00DB7CC8" w:rsidRDefault="002B5250">
            <w:pPr>
              <w:pStyle w:val="afffffffc"/>
              <w:spacing w:line="240" w:lineRule="auto"/>
            </w:pPr>
            <w:r>
              <w:t>特殊生态敏感区</w:t>
            </w:r>
          </w:p>
        </w:tc>
        <w:tc>
          <w:tcPr>
            <w:tcW w:w="1775" w:type="dxa"/>
            <w:vAlign w:val="center"/>
          </w:tcPr>
          <w:p w:rsidR="00DB7CC8" w:rsidRDefault="002B5250">
            <w:pPr>
              <w:pStyle w:val="afffffffc"/>
              <w:spacing w:line="240" w:lineRule="auto"/>
            </w:pPr>
            <w:r>
              <w:t>一级</w:t>
            </w:r>
          </w:p>
        </w:tc>
        <w:tc>
          <w:tcPr>
            <w:tcW w:w="2513" w:type="dxa"/>
            <w:vAlign w:val="center"/>
          </w:tcPr>
          <w:p w:rsidR="00DB7CC8" w:rsidRDefault="002B5250">
            <w:pPr>
              <w:pStyle w:val="afffffffc"/>
              <w:spacing w:line="240" w:lineRule="auto"/>
            </w:pPr>
            <w:r>
              <w:t>一级</w:t>
            </w:r>
          </w:p>
        </w:tc>
        <w:tc>
          <w:tcPr>
            <w:tcW w:w="1709" w:type="dxa"/>
            <w:vAlign w:val="center"/>
          </w:tcPr>
          <w:p w:rsidR="00DB7CC8" w:rsidRDefault="002B5250">
            <w:pPr>
              <w:pStyle w:val="afffffffc"/>
              <w:spacing w:line="240" w:lineRule="auto"/>
            </w:pPr>
            <w:r>
              <w:t>一级</w:t>
            </w:r>
          </w:p>
        </w:tc>
      </w:tr>
      <w:tr w:rsidR="00DB7CC8">
        <w:trPr>
          <w:trHeight w:val="234"/>
        </w:trPr>
        <w:tc>
          <w:tcPr>
            <w:tcW w:w="2128" w:type="dxa"/>
            <w:vAlign w:val="center"/>
          </w:tcPr>
          <w:p w:rsidR="00DB7CC8" w:rsidRDefault="002B5250">
            <w:pPr>
              <w:pStyle w:val="afffffffc"/>
              <w:spacing w:line="240" w:lineRule="auto"/>
            </w:pPr>
            <w:r>
              <w:t>重要生态敏感区</w:t>
            </w:r>
          </w:p>
        </w:tc>
        <w:tc>
          <w:tcPr>
            <w:tcW w:w="1775" w:type="dxa"/>
            <w:vAlign w:val="center"/>
          </w:tcPr>
          <w:p w:rsidR="00DB7CC8" w:rsidRDefault="002B5250">
            <w:pPr>
              <w:pStyle w:val="afffffffc"/>
              <w:spacing w:line="240" w:lineRule="auto"/>
            </w:pPr>
            <w:r>
              <w:t>一级</w:t>
            </w:r>
          </w:p>
        </w:tc>
        <w:tc>
          <w:tcPr>
            <w:tcW w:w="2513" w:type="dxa"/>
            <w:vAlign w:val="center"/>
          </w:tcPr>
          <w:p w:rsidR="00DB7CC8" w:rsidRDefault="002B5250">
            <w:pPr>
              <w:pStyle w:val="afffffffc"/>
              <w:spacing w:line="240" w:lineRule="auto"/>
            </w:pPr>
            <w:r>
              <w:t>二级</w:t>
            </w:r>
          </w:p>
        </w:tc>
        <w:tc>
          <w:tcPr>
            <w:tcW w:w="1709" w:type="dxa"/>
            <w:vAlign w:val="center"/>
          </w:tcPr>
          <w:p w:rsidR="00DB7CC8" w:rsidRDefault="002B5250">
            <w:pPr>
              <w:pStyle w:val="afffffffc"/>
              <w:spacing w:line="240" w:lineRule="auto"/>
            </w:pPr>
            <w:r>
              <w:t>三级</w:t>
            </w:r>
          </w:p>
        </w:tc>
      </w:tr>
      <w:tr w:rsidR="00DB7CC8">
        <w:trPr>
          <w:trHeight w:val="234"/>
        </w:trPr>
        <w:tc>
          <w:tcPr>
            <w:tcW w:w="2128" w:type="dxa"/>
            <w:vAlign w:val="center"/>
          </w:tcPr>
          <w:p w:rsidR="00DB7CC8" w:rsidRDefault="002B5250">
            <w:pPr>
              <w:pStyle w:val="afffffffc"/>
              <w:spacing w:line="240" w:lineRule="auto"/>
            </w:pPr>
            <w:r>
              <w:t>一般区域</w:t>
            </w:r>
          </w:p>
        </w:tc>
        <w:tc>
          <w:tcPr>
            <w:tcW w:w="1775" w:type="dxa"/>
            <w:vAlign w:val="center"/>
          </w:tcPr>
          <w:p w:rsidR="00DB7CC8" w:rsidRDefault="002B5250">
            <w:pPr>
              <w:pStyle w:val="afffffffc"/>
              <w:spacing w:line="240" w:lineRule="auto"/>
            </w:pPr>
            <w:r>
              <w:t>二级</w:t>
            </w:r>
          </w:p>
        </w:tc>
        <w:tc>
          <w:tcPr>
            <w:tcW w:w="2513" w:type="dxa"/>
            <w:vAlign w:val="center"/>
          </w:tcPr>
          <w:p w:rsidR="00DB7CC8" w:rsidRDefault="002B5250">
            <w:pPr>
              <w:pStyle w:val="afffffffc"/>
              <w:spacing w:line="240" w:lineRule="auto"/>
            </w:pPr>
            <w:r>
              <w:t>三级</w:t>
            </w:r>
          </w:p>
        </w:tc>
        <w:tc>
          <w:tcPr>
            <w:tcW w:w="1709" w:type="dxa"/>
            <w:vAlign w:val="center"/>
          </w:tcPr>
          <w:p w:rsidR="00DB7CC8" w:rsidRDefault="002B5250">
            <w:pPr>
              <w:pStyle w:val="afffffffc"/>
              <w:spacing w:line="240" w:lineRule="auto"/>
            </w:pPr>
            <w:r>
              <w:t>三级</w:t>
            </w:r>
          </w:p>
        </w:tc>
      </w:tr>
      <w:tr w:rsidR="00DB7CC8">
        <w:trPr>
          <w:trHeight w:val="234"/>
        </w:trPr>
        <w:tc>
          <w:tcPr>
            <w:tcW w:w="8125" w:type="dxa"/>
            <w:gridSpan w:val="4"/>
            <w:vAlign w:val="center"/>
          </w:tcPr>
          <w:p w:rsidR="00DB7CC8" w:rsidRDefault="002B5250">
            <w:pPr>
              <w:pStyle w:val="afffffffc"/>
              <w:spacing w:line="240" w:lineRule="auto"/>
            </w:pPr>
            <w:r>
              <w:t>位于原厂界（或永久用地）范围内的工业类改扩建项目，可做生态影响分析</w:t>
            </w:r>
          </w:p>
        </w:tc>
      </w:tr>
    </w:tbl>
    <w:p w:rsidR="00DB7CC8" w:rsidRDefault="002B5250">
      <w:pPr>
        <w:ind w:firstLine="480"/>
        <w:jc w:val="both"/>
        <w:rPr>
          <w:sz w:val="24"/>
          <w:szCs w:val="24"/>
        </w:rPr>
      </w:pPr>
      <w:r>
        <w:rPr>
          <w:rFonts w:hint="eastAsia"/>
          <w:sz w:val="24"/>
          <w:szCs w:val="24"/>
        </w:rPr>
        <w:t>另：根据《环境影响评价技术导则</w:t>
      </w:r>
      <w:r>
        <w:rPr>
          <w:rFonts w:hint="eastAsia"/>
          <w:sz w:val="24"/>
          <w:szCs w:val="24"/>
        </w:rPr>
        <w:t xml:space="preserve"> </w:t>
      </w:r>
      <w:r>
        <w:rPr>
          <w:rFonts w:hint="eastAsia"/>
          <w:sz w:val="24"/>
          <w:szCs w:val="24"/>
        </w:rPr>
        <w:t>生态影响》（</w:t>
      </w:r>
      <w:r>
        <w:rPr>
          <w:rFonts w:hint="eastAsia"/>
          <w:sz w:val="24"/>
          <w:szCs w:val="24"/>
        </w:rPr>
        <w:t>HJ19-20</w:t>
      </w:r>
      <w:r>
        <w:rPr>
          <w:rFonts w:hint="eastAsia"/>
          <w:sz w:val="24"/>
          <w:szCs w:val="24"/>
        </w:rPr>
        <w:t>22</w:t>
      </w:r>
      <w:r>
        <w:rPr>
          <w:rFonts w:hint="eastAsia"/>
          <w:sz w:val="24"/>
          <w:szCs w:val="24"/>
        </w:rPr>
        <w:t>）中</w:t>
      </w:r>
      <w:r>
        <w:rPr>
          <w:rFonts w:hint="eastAsia"/>
          <w:sz w:val="24"/>
          <w:szCs w:val="24"/>
        </w:rPr>
        <w:t>6.1.8</w:t>
      </w:r>
      <w:r>
        <w:rPr>
          <w:rFonts w:hint="eastAsia"/>
          <w:sz w:val="24"/>
          <w:szCs w:val="24"/>
        </w:rPr>
        <w:t>“</w:t>
      </w:r>
      <w:r>
        <w:rPr>
          <w:sz w:val="24"/>
          <w:szCs w:val="24"/>
        </w:rPr>
        <w:t>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r>
        <w:rPr>
          <w:rFonts w:hint="eastAsia"/>
          <w:sz w:val="24"/>
          <w:szCs w:val="24"/>
        </w:rPr>
        <w:t>”</w:t>
      </w:r>
      <w:r>
        <w:rPr>
          <w:rFonts w:ascii="宋体" w:hAnsi="宋体"/>
          <w:color w:val="000000"/>
          <w:sz w:val="21"/>
          <w:szCs w:val="24"/>
        </w:rPr>
        <w:t>。</w:t>
      </w:r>
      <w:r>
        <w:rPr>
          <w:rFonts w:hint="eastAsia"/>
          <w:sz w:val="24"/>
          <w:szCs w:val="24"/>
        </w:rPr>
        <w:t>本项目</w:t>
      </w:r>
      <w:r>
        <w:rPr>
          <w:rFonts w:hint="eastAsia"/>
          <w:sz w:val="24"/>
          <w:szCs w:val="24"/>
        </w:rPr>
        <w:t>位于现有厂区内进行建设，</w:t>
      </w:r>
      <w:r>
        <w:rPr>
          <w:rFonts w:hint="eastAsia"/>
          <w:sz w:val="24"/>
          <w:szCs w:val="24"/>
        </w:rPr>
        <w:t>占地现状全部为</w:t>
      </w:r>
      <w:r>
        <w:rPr>
          <w:rFonts w:hint="eastAsia"/>
          <w:sz w:val="24"/>
          <w:szCs w:val="24"/>
        </w:rPr>
        <w:t>现有</w:t>
      </w:r>
      <w:r>
        <w:rPr>
          <w:rFonts w:hint="eastAsia"/>
          <w:sz w:val="24"/>
          <w:szCs w:val="24"/>
        </w:rPr>
        <w:t>选矿厂</w:t>
      </w:r>
      <w:r>
        <w:rPr>
          <w:rFonts w:hint="eastAsia"/>
          <w:sz w:val="24"/>
          <w:szCs w:val="24"/>
        </w:rPr>
        <w:t>建设</w:t>
      </w:r>
      <w:r>
        <w:rPr>
          <w:rFonts w:hint="eastAsia"/>
          <w:sz w:val="24"/>
          <w:szCs w:val="24"/>
        </w:rPr>
        <w:t>用地，不新增占地。因此，根据《环境影响评价导则生态影响》（</w:t>
      </w:r>
      <w:r>
        <w:rPr>
          <w:rFonts w:hint="eastAsia"/>
          <w:sz w:val="24"/>
          <w:szCs w:val="24"/>
        </w:rPr>
        <w:t>HJ19-2011</w:t>
      </w:r>
      <w:r>
        <w:rPr>
          <w:rFonts w:hint="eastAsia"/>
          <w:sz w:val="24"/>
          <w:szCs w:val="24"/>
        </w:rPr>
        <w:t>）要求，本项目仅进行生态影响</w:t>
      </w:r>
      <w:r>
        <w:rPr>
          <w:rFonts w:hint="eastAsia"/>
          <w:sz w:val="24"/>
          <w:szCs w:val="24"/>
        </w:rPr>
        <w:t>简单</w:t>
      </w:r>
      <w:r>
        <w:rPr>
          <w:rFonts w:hint="eastAsia"/>
          <w:sz w:val="24"/>
          <w:szCs w:val="24"/>
        </w:rPr>
        <w:t>分析</w:t>
      </w:r>
      <w:r>
        <w:rPr>
          <w:sz w:val="24"/>
          <w:szCs w:val="24"/>
        </w:rPr>
        <w:t>。</w:t>
      </w:r>
    </w:p>
    <w:p w:rsidR="00DB7CC8" w:rsidRDefault="002B5250">
      <w:pPr>
        <w:pStyle w:val="4"/>
        <w:numPr>
          <w:ilvl w:val="3"/>
          <w:numId w:val="1"/>
        </w:numPr>
        <w:ind w:left="709" w:hanging="709"/>
        <w:rPr>
          <w:rFonts w:eastAsia="宋体"/>
          <w:b/>
        </w:rPr>
      </w:pPr>
      <w:r>
        <w:rPr>
          <w:rFonts w:eastAsia="宋体" w:hint="eastAsia"/>
          <w:b/>
        </w:rPr>
        <w:t>环境风险评价等级</w:t>
      </w:r>
    </w:p>
    <w:p w:rsidR="00DB7CC8" w:rsidRDefault="002B5250">
      <w:pPr>
        <w:ind w:firstLine="482"/>
        <w:rPr>
          <w:b/>
          <w:bCs/>
          <w:sz w:val="24"/>
          <w:szCs w:val="24"/>
        </w:rPr>
      </w:pPr>
      <w:r>
        <w:rPr>
          <w:rFonts w:hint="eastAsia"/>
          <w:b/>
          <w:bCs/>
          <w:sz w:val="24"/>
          <w:szCs w:val="24"/>
        </w:rPr>
        <w:t>一、项目环境风险潜势的判定</w:t>
      </w:r>
    </w:p>
    <w:p w:rsidR="00DB7CC8" w:rsidRDefault="002B5250">
      <w:pPr>
        <w:ind w:firstLine="482"/>
        <w:rPr>
          <w:b/>
          <w:bCs/>
          <w:sz w:val="24"/>
          <w:szCs w:val="24"/>
        </w:rPr>
      </w:pPr>
      <w:r>
        <w:rPr>
          <w:rFonts w:hint="eastAsia"/>
          <w:b/>
          <w:bCs/>
          <w:sz w:val="24"/>
          <w:szCs w:val="24"/>
        </w:rPr>
        <w:t>项目危险物质数量与临界量比值</w:t>
      </w:r>
      <w:r>
        <w:rPr>
          <w:rFonts w:hint="eastAsia"/>
          <w:b/>
          <w:bCs/>
          <w:sz w:val="24"/>
          <w:szCs w:val="24"/>
        </w:rPr>
        <w:t>Q</w:t>
      </w:r>
      <w:r>
        <w:rPr>
          <w:rFonts w:hint="eastAsia"/>
          <w:b/>
          <w:bCs/>
          <w:sz w:val="24"/>
          <w:szCs w:val="24"/>
        </w:rPr>
        <w:t>值的确定</w:t>
      </w:r>
    </w:p>
    <w:p w:rsidR="00DB7CC8" w:rsidRDefault="002B5250">
      <w:pPr>
        <w:ind w:firstLine="480"/>
        <w:rPr>
          <w:sz w:val="24"/>
          <w:szCs w:val="24"/>
        </w:rPr>
      </w:pPr>
      <w:r>
        <w:rPr>
          <w:rFonts w:hint="eastAsia"/>
          <w:sz w:val="24"/>
          <w:szCs w:val="24"/>
        </w:rPr>
        <w:t>按照《建设项目环境风险评价技术导则》（</w:t>
      </w:r>
      <w:r>
        <w:rPr>
          <w:rFonts w:hint="eastAsia"/>
          <w:sz w:val="24"/>
          <w:szCs w:val="24"/>
        </w:rPr>
        <w:t>HJ169-2018</w:t>
      </w:r>
      <w:r>
        <w:rPr>
          <w:rFonts w:hint="eastAsia"/>
          <w:sz w:val="24"/>
          <w:szCs w:val="24"/>
        </w:rPr>
        <w:t>）附录</w:t>
      </w:r>
      <w:r>
        <w:rPr>
          <w:rFonts w:hint="eastAsia"/>
          <w:sz w:val="24"/>
          <w:szCs w:val="24"/>
        </w:rPr>
        <w:t>C</w:t>
      </w:r>
      <w:r>
        <w:rPr>
          <w:rFonts w:hint="eastAsia"/>
          <w:sz w:val="24"/>
          <w:szCs w:val="24"/>
        </w:rPr>
        <w:t>对本项目涉及的危险物质进行风险识别，并确定其</w:t>
      </w:r>
      <w:r>
        <w:rPr>
          <w:rFonts w:hint="eastAsia"/>
          <w:sz w:val="24"/>
          <w:szCs w:val="24"/>
        </w:rPr>
        <w:t>Q</w:t>
      </w:r>
      <w:r>
        <w:rPr>
          <w:rFonts w:hint="eastAsia"/>
          <w:sz w:val="24"/>
          <w:szCs w:val="24"/>
        </w:rPr>
        <w:t>值。</w:t>
      </w:r>
    </w:p>
    <w:p w:rsidR="00DB7CC8" w:rsidRDefault="002B5250">
      <w:pPr>
        <w:ind w:firstLine="480"/>
        <w:rPr>
          <w:sz w:val="24"/>
          <w:szCs w:val="24"/>
        </w:rPr>
      </w:pPr>
      <w:r>
        <w:rPr>
          <w:rFonts w:hint="eastAsia"/>
          <w:sz w:val="24"/>
          <w:szCs w:val="24"/>
        </w:rPr>
        <w:t>计算所涉及的每种危险物质在厂界内的最大存在总量与其在附录</w:t>
      </w:r>
      <w:r>
        <w:rPr>
          <w:rFonts w:hint="eastAsia"/>
          <w:sz w:val="24"/>
          <w:szCs w:val="24"/>
        </w:rPr>
        <w:t>B</w:t>
      </w:r>
      <w:r>
        <w:rPr>
          <w:rFonts w:hint="eastAsia"/>
          <w:sz w:val="24"/>
          <w:szCs w:val="24"/>
        </w:rPr>
        <w:t>中对应临界量的比值</w:t>
      </w:r>
      <w:r>
        <w:rPr>
          <w:rFonts w:hint="eastAsia"/>
          <w:sz w:val="24"/>
          <w:szCs w:val="24"/>
        </w:rPr>
        <w:t>Q</w:t>
      </w:r>
      <w:r>
        <w:rPr>
          <w:rFonts w:hint="eastAsia"/>
          <w:sz w:val="24"/>
          <w:szCs w:val="24"/>
        </w:rPr>
        <w:t>。在不同厂区的同一种物质，按其在厂界内的最大存在总量计算。</w:t>
      </w:r>
    </w:p>
    <w:p w:rsidR="00DB7CC8" w:rsidRDefault="002B5250">
      <w:pPr>
        <w:ind w:firstLine="480"/>
        <w:rPr>
          <w:sz w:val="24"/>
          <w:szCs w:val="24"/>
        </w:rPr>
      </w:pPr>
      <w:r>
        <w:rPr>
          <w:rFonts w:hint="eastAsia"/>
          <w:sz w:val="24"/>
          <w:szCs w:val="24"/>
        </w:rPr>
        <w:t>当存在多种危险物质时，则按下式计算</w:t>
      </w:r>
      <w:r>
        <w:rPr>
          <w:rFonts w:hint="eastAsia"/>
          <w:sz w:val="24"/>
          <w:szCs w:val="24"/>
        </w:rPr>
        <w:t>Q</w:t>
      </w:r>
      <w:r>
        <w:rPr>
          <w:rFonts w:hint="eastAsia"/>
          <w:sz w:val="24"/>
          <w:szCs w:val="24"/>
        </w:rPr>
        <w:t>值：</w:t>
      </w:r>
    </w:p>
    <w:p w:rsidR="00DB7CC8" w:rsidRDefault="002B5250">
      <w:pPr>
        <w:ind w:firstLine="480"/>
        <w:rPr>
          <w:sz w:val="24"/>
          <w:szCs w:val="24"/>
        </w:rPr>
      </w:pPr>
      <w:r>
        <w:rPr>
          <w:rFonts w:hint="eastAsia"/>
          <w:noProof/>
          <w:sz w:val="24"/>
          <w:szCs w:val="24"/>
        </w:rPr>
        <w:lastRenderedPageBreak/>
        <w:drawing>
          <wp:inline distT="0" distB="0" distL="114300" distR="114300">
            <wp:extent cx="1807210" cy="479425"/>
            <wp:effectExtent l="0" t="0" r="2540" b="15875"/>
            <wp:docPr id="19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40"/>
                    <pic:cNvPicPr>
                      <a:picLocks noChangeAspect="1"/>
                    </pic:cNvPicPr>
                  </pic:nvPicPr>
                  <pic:blipFill>
                    <a:blip r:embed="rId19" cstate="print"/>
                    <a:stretch>
                      <a:fillRect/>
                    </a:stretch>
                  </pic:blipFill>
                  <pic:spPr>
                    <a:xfrm>
                      <a:off x="0" y="0"/>
                      <a:ext cx="1807210" cy="479425"/>
                    </a:xfrm>
                    <a:prstGeom prst="rect">
                      <a:avLst/>
                    </a:prstGeom>
                    <a:noFill/>
                    <a:ln>
                      <a:noFill/>
                    </a:ln>
                  </pic:spPr>
                </pic:pic>
              </a:graphicData>
            </a:graphic>
          </wp:inline>
        </w:drawing>
      </w:r>
    </w:p>
    <w:p w:rsidR="00DB7CC8" w:rsidRDefault="002B5250">
      <w:pPr>
        <w:ind w:firstLine="480"/>
        <w:rPr>
          <w:sz w:val="24"/>
          <w:szCs w:val="24"/>
        </w:rPr>
      </w:pPr>
      <w:r>
        <w:rPr>
          <w:rFonts w:hint="eastAsia"/>
          <w:sz w:val="24"/>
          <w:szCs w:val="24"/>
        </w:rPr>
        <w:t>式中：</w:t>
      </w:r>
      <w:r>
        <w:rPr>
          <w:rFonts w:hint="eastAsia"/>
          <w:sz w:val="24"/>
          <w:szCs w:val="24"/>
        </w:rPr>
        <w:t>q</w:t>
      </w:r>
      <w:r>
        <w:rPr>
          <w:rFonts w:hint="eastAsia"/>
          <w:sz w:val="24"/>
          <w:szCs w:val="24"/>
          <w:vertAlign w:val="subscript"/>
        </w:rPr>
        <w:t>1</w:t>
      </w:r>
      <w:r>
        <w:rPr>
          <w:rFonts w:hint="eastAsia"/>
          <w:sz w:val="24"/>
          <w:szCs w:val="24"/>
        </w:rPr>
        <w:t>，</w:t>
      </w:r>
      <w:r>
        <w:rPr>
          <w:rFonts w:hint="eastAsia"/>
          <w:sz w:val="24"/>
          <w:szCs w:val="24"/>
        </w:rPr>
        <w:t>q</w:t>
      </w:r>
      <w:r>
        <w:rPr>
          <w:rFonts w:hint="eastAsia"/>
          <w:sz w:val="24"/>
          <w:szCs w:val="24"/>
          <w:vertAlign w:val="subscript"/>
        </w:rPr>
        <w:t>2</w:t>
      </w:r>
      <w:r>
        <w:rPr>
          <w:rFonts w:hint="eastAsia"/>
          <w:sz w:val="24"/>
          <w:szCs w:val="24"/>
        </w:rPr>
        <w:t>，</w:t>
      </w:r>
      <w:r>
        <w:rPr>
          <w:rFonts w:hint="eastAsia"/>
          <w:sz w:val="24"/>
          <w:szCs w:val="24"/>
        </w:rPr>
        <w:t>...</w:t>
      </w:r>
      <w:r>
        <w:rPr>
          <w:rFonts w:hint="eastAsia"/>
          <w:sz w:val="24"/>
          <w:szCs w:val="24"/>
        </w:rPr>
        <w:t>，</w:t>
      </w:r>
      <w:r>
        <w:rPr>
          <w:rFonts w:hint="eastAsia"/>
          <w:sz w:val="24"/>
          <w:szCs w:val="24"/>
        </w:rPr>
        <w:t>q</w:t>
      </w:r>
      <w:r>
        <w:rPr>
          <w:rFonts w:hint="eastAsia"/>
          <w:sz w:val="24"/>
          <w:szCs w:val="24"/>
          <w:vertAlign w:val="subscript"/>
        </w:rPr>
        <w:t>n</w:t>
      </w:r>
      <w:r>
        <w:rPr>
          <w:rFonts w:hint="eastAsia"/>
          <w:sz w:val="24"/>
          <w:szCs w:val="24"/>
        </w:rPr>
        <w:t>——每种危险物质的最大存在总量，</w:t>
      </w:r>
      <w:r>
        <w:rPr>
          <w:rFonts w:hint="eastAsia"/>
          <w:sz w:val="24"/>
          <w:szCs w:val="24"/>
        </w:rPr>
        <w:t>t</w:t>
      </w:r>
      <w:r>
        <w:rPr>
          <w:rFonts w:hint="eastAsia"/>
          <w:sz w:val="24"/>
          <w:szCs w:val="24"/>
        </w:rPr>
        <w:t>；</w:t>
      </w:r>
    </w:p>
    <w:p w:rsidR="00DB7CC8" w:rsidRDefault="002B5250">
      <w:pPr>
        <w:ind w:firstLine="480"/>
        <w:rPr>
          <w:sz w:val="24"/>
          <w:szCs w:val="24"/>
        </w:rPr>
      </w:pPr>
      <w:r>
        <w:rPr>
          <w:rFonts w:hint="eastAsia"/>
          <w:sz w:val="24"/>
          <w:szCs w:val="24"/>
        </w:rPr>
        <w:t>Q</w:t>
      </w:r>
      <w:r>
        <w:rPr>
          <w:rFonts w:hint="eastAsia"/>
          <w:sz w:val="24"/>
          <w:szCs w:val="24"/>
          <w:vertAlign w:val="subscript"/>
        </w:rPr>
        <w:t>1</w:t>
      </w:r>
      <w:r>
        <w:rPr>
          <w:rFonts w:hint="eastAsia"/>
          <w:sz w:val="24"/>
          <w:szCs w:val="24"/>
        </w:rPr>
        <w:t>，</w:t>
      </w:r>
      <w:r>
        <w:rPr>
          <w:rFonts w:hint="eastAsia"/>
          <w:sz w:val="24"/>
          <w:szCs w:val="24"/>
        </w:rPr>
        <w:t>Q</w:t>
      </w:r>
      <w:r>
        <w:rPr>
          <w:rFonts w:hint="eastAsia"/>
          <w:sz w:val="24"/>
          <w:szCs w:val="24"/>
          <w:vertAlign w:val="subscript"/>
        </w:rPr>
        <w:t>2</w:t>
      </w:r>
      <w:r>
        <w:rPr>
          <w:rFonts w:hint="eastAsia"/>
          <w:sz w:val="24"/>
          <w:szCs w:val="24"/>
        </w:rPr>
        <w:t>，</w:t>
      </w:r>
      <w:r>
        <w:rPr>
          <w:rFonts w:hint="eastAsia"/>
          <w:sz w:val="24"/>
          <w:szCs w:val="24"/>
        </w:rPr>
        <w:t>...</w:t>
      </w:r>
      <w:r>
        <w:rPr>
          <w:rFonts w:hint="eastAsia"/>
          <w:sz w:val="24"/>
          <w:szCs w:val="24"/>
        </w:rPr>
        <w:t>，</w:t>
      </w:r>
      <w:r>
        <w:rPr>
          <w:rFonts w:hint="eastAsia"/>
          <w:sz w:val="24"/>
          <w:szCs w:val="24"/>
        </w:rPr>
        <w:t>Q</w:t>
      </w:r>
      <w:r>
        <w:rPr>
          <w:rFonts w:hint="eastAsia"/>
          <w:sz w:val="24"/>
          <w:szCs w:val="24"/>
          <w:vertAlign w:val="subscript"/>
        </w:rPr>
        <w:t>n</w:t>
      </w:r>
      <w:r>
        <w:rPr>
          <w:rFonts w:hint="eastAsia"/>
          <w:sz w:val="24"/>
          <w:szCs w:val="24"/>
        </w:rPr>
        <w:t>——每种危险物质的临界量，</w:t>
      </w:r>
      <w:r>
        <w:rPr>
          <w:rFonts w:hint="eastAsia"/>
          <w:sz w:val="24"/>
          <w:szCs w:val="24"/>
        </w:rPr>
        <w:t>t</w:t>
      </w:r>
      <w:r>
        <w:rPr>
          <w:rFonts w:hint="eastAsia"/>
          <w:sz w:val="24"/>
          <w:szCs w:val="24"/>
        </w:rPr>
        <w:t>。</w:t>
      </w:r>
    </w:p>
    <w:p w:rsidR="00DB7CC8" w:rsidRDefault="002B5250">
      <w:pPr>
        <w:ind w:firstLine="480"/>
        <w:rPr>
          <w:sz w:val="24"/>
          <w:szCs w:val="24"/>
        </w:rPr>
      </w:pPr>
      <w:r>
        <w:rPr>
          <w:rFonts w:hint="eastAsia"/>
          <w:sz w:val="24"/>
          <w:szCs w:val="24"/>
        </w:rPr>
        <w:t>当</w:t>
      </w:r>
      <w:r>
        <w:rPr>
          <w:rFonts w:hint="eastAsia"/>
          <w:sz w:val="24"/>
          <w:szCs w:val="24"/>
        </w:rPr>
        <w:t>Q</w:t>
      </w:r>
      <w:r>
        <w:rPr>
          <w:rFonts w:hint="eastAsia"/>
          <w:sz w:val="24"/>
          <w:szCs w:val="24"/>
        </w:rPr>
        <w:t>＜</w:t>
      </w:r>
      <w:r>
        <w:rPr>
          <w:rFonts w:hint="eastAsia"/>
          <w:sz w:val="24"/>
          <w:szCs w:val="24"/>
        </w:rPr>
        <w:t>1</w:t>
      </w:r>
      <w:r>
        <w:rPr>
          <w:rFonts w:hint="eastAsia"/>
          <w:sz w:val="24"/>
          <w:szCs w:val="24"/>
        </w:rPr>
        <w:t>时，该项目环境风险潜势为Ⅰ。</w:t>
      </w:r>
    </w:p>
    <w:p w:rsidR="00DB7CC8" w:rsidRDefault="002B5250">
      <w:pPr>
        <w:ind w:firstLine="480"/>
        <w:rPr>
          <w:sz w:val="24"/>
          <w:szCs w:val="24"/>
        </w:rPr>
      </w:pPr>
      <w:r>
        <w:rPr>
          <w:rFonts w:hint="eastAsia"/>
          <w:sz w:val="24"/>
          <w:szCs w:val="24"/>
        </w:rPr>
        <w:t>当</w:t>
      </w:r>
      <w:r>
        <w:rPr>
          <w:rFonts w:hint="eastAsia"/>
          <w:sz w:val="24"/>
          <w:szCs w:val="24"/>
        </w:rPr>
        <w:t>Q</w:t>
      </w:r>
      <w:r>
        <w:rPr>
          <w:rFonts w:hint="eastAsia"/>
          <w:sz w:val="24"/>
          <w:szCs w:val="24"/>
        </w:rPr>
        <w:t>≥</w:t>
      </w:r>
      <w:r>
        <w:rPr>
          <w:rFonts w:hint="eastAsia"/>
          <w:sz w:val="24"/>
          <w:szCs w:val="24"/>
        </w:rPr>
        <w:t>1</w:t>
      </w:r>
      <w:r>
        <w:rPr>
          <w:rFonts w:hint="eastAsia"/>
          <w:sz w:val="24"/>
          <w:szCs w:val="24"/>
        </w:rPr>
        <w:t>时，将</w:t>
      </w:r>
      <w:r>
        <w:rPr>
          <w:rFonts w:hint="eastAsia"/>
          <w:sz w:val="24"/>
          <w:szCs w:val="24"/>
        </w:rPr>
        <w:t>Q</w:t>
      </w:r>
      <w:r>
        <w:rPr>
          <w:rFonts w:hint="eastAsia"/>
          <w:sz w:val="24"/>
          <w:szCs w:val="24"/>
        </w:rPr>
        <w:t>值划分为：（</w:t>
      </w:r>
      <w:r>
        <w:rPr>
          <w:rFonts w:hint="eastAsia"/>
          <w:sz w:val="24"/>
          <w:szCs w:val="24"/>
        </w:rPr>
        <w:t>1</w:t>
      </w:r>
      <w:r>
        <w:rPr>
          <w:rFonts w:hint="eastAsia"/>
          <w:sz w:val="24"/>
          <w:szCs w:val="24"/>
        </w:rPr>
        <w:t>）</w:t>
      </w:r>
      <w:r>
        <w:rPr>
          <w:rFonts w:hint="eastAsia"/>
          <w:sz w:val="24"/>
          <w:szCs w:val="24"/>
        </w:rPr>
        <w:t>1</w:t>
      </w:r>
      <w:r>
        <w:rPr>
          <w:rFonts w:hint="eastAsia"/>
          <w:sz w:val="24"/>
          <w:szCs w:val="24"/>
        </w:rPr>
        <w:t>≤</w:t>
      </w:r>
      <w:r>
        <w:rPr>
          <w:rFonts w:hint="eastAsia"/>
          <w:sz w:val="24"/>
          <w:szCs w:val="24"/>
        </w:rPr>
        <w:t>Q</w:t>
      </w:r>
      <w:r>
        <w:rPr>
          <w:rFonts w:hint="eastAsia"/>
          <w:sz w:val="24"/>
          <w:szCs w:val="24"/>
        </w:rPr>
        <w:t>＜</w:t>
      </w:r>
      <w:r>
        <w:rPr>
          <w:rFonts w:hint="eastAsia"/>
          <w:sz w:val="24"/>
          <w:szCs w:val="24"/>
        </w:rPr>
        <w:t>10</w:t>
      </w:r>
      <w:r>
        <w:rPr>
          <w:rFonts w:hint="eastAsia"/>
          <w:sz w:val="24"/>
          <w:szCs w:val="24"/>
        </w:rPr>
        <w:t>；（</w:t>
      </w:r>
      <w:r>
        <w:rPr>
          <w:rFonts w:hint="eastAsia"/>
          <w:sz w:val="24"/>
          <w:szCs w:val="24"/>
        </w:rPr>
        <w:t>2</w:t>
      </w:r>
      <w:r>
        <w:rPr>
          <w:rFonts w:hint="eastAsia"/>
          <w:sz w:val="24"/>
          <w:szCs w:val="24"/>
        </w:rPr>
        <w:t>）</w:t>
      </w:r>
      <w:r>
        <w:rPr>
          <w:rFonts w:hint="eastAsia"/>
          <w:sz w:val="24"/>
          <w:szCs w:val="24"/>
        </w:rPr>
        <w:t>10</w:t>
      </w:r>
      <w:r>
        <w:rPr>
          <w:rFonts w:hint="eastAsia"/>
          <w:sz w:val="24"/>
          <w:szCs w:val="24"/>
        </w:rPr>
        <w:t>≤</w:t>
      </w:r>
      <w:r>
        <w:rPr>
          <w:rFonts w:hint="eastAsia"/>
          <w:sz w:val="24"/>
          <w:szCs w:val="24"/>
        </w:rPr>
        <w:t>Q</w:t>
      </w:r>
      <w:r>
        <w:rPr>
          <w:rFonts w:hint="eastAsia"/>
          <w:sz w:val="24"/>
          <w:szCs w:val="24"/>
        </w:rPr>
        <w:t>＜</w:t>
      </w:r>
      <w:r>
        <w:rPr>
          <w:rFonts w:hint="eastAsia"/>
          <w:sz w:val="24"/>
          <w:szCs w:val="24"/>
        </w:rPr>
        <w:t>100</w:t>
      </w:r>
      <w:r>
        <w:rPr>
          <w:rFonts w:hint="eastAsia"/>
          <w:sz w:val="24"/>
          <w:szCs w:val="24"/>
        </w:rPr>
        <w:t>；（</w:t>
      </w:r>
      <w:r>
        <w:rPr>
          <w:rFonts w:hint="eastAsia"/>
          <w:sz w:val="24"/>
          <w:szCs w:val="24"/>
        </w:rPr>
        <w:t>3</w:t>
      </w:r>
      <w:r>
        <w:rPr>
          <w:rFonts w:hint="eastAsia"/>
          <w:sz w:val="24"/>
          <w:szCs w:val="24"/>
        </w:rPr>
        <w:t>）</w:t>
      </w:r>
      <w:r>
        <w:rPr>
          <w:rFonts w:hint="eastAsia"/>
          <w:sz w:val="24"/>
          <w:szCs w:val="24"/>
        </w:rPr>
        <w:t>Q</w:t>
      </w:r>
      <w:r>
        <w:rPr>
          <w:rFonts w:hint="eastAsia"/>
          <w:sz w:val="24"/>
          <w:szCs w:val="24"/>
        </w:rPr>
        <w:t>≥</w:t>
      </w:r>
      <w:r>
        <w:rPr>
          <w:rFonts w:hint="eastAsia"/>
          <w:sz w:val="24"/>
          <w:szCs w:val="24"/>
        </w:rPr>
        <w:t>100</w:t>
      </w:r>
      <w:r>
        <w:rPr>
          <w:rFonts w:hint="eastAsia"/>
          <w:sz w:val="24"/>
          <w:szCs w:val="24"/>
        </w:rPr>
        <w:t>。</w:t>
      </w:r>
    </w:p>
    <w:p w:rsidR="00DB7CC8" w:rsidRDefault="002B5250">
      <w:pPr>
        <w:spacing w:line="240" w:lineRule="auto"/>
        <w:ind w:firstLineChars="0"/>
        <w:jc w:val="center"/>
        <w:textAlignment w:val="auto"/>
        <w:rPr>
          <w:rFonts w:eastAsia="黑体"/>
          <w:kern w:val="2"/>
          <w:sz w:val="21"/>
          <w:szCs w:val="21"/>
        </w:rPr>
      </w:pPr>
      <w:bookmarkStart w:id="114" w:name="_Ref8862700"/>
      <w:r>
        <w:rPr>
          <w:rFonts w:eastAsia="黑体" w:hint="eastAsia"/>
          <w:kern w:val="2"/>
          <w:sz w:val="21"/>
          <w:szCs w:val="21"/>
        </w:rPr>
        <w:t>表</w:t>
      </w:r>
      <w:r>
        <w:rPr>
          <w:rFonts w:eastAsia="黑体"/>
          <w:kern w:val="2"/>
          <w:sz w:val="21"/>
          <w:szCs w:val="21"/>
        </w:rPr>
        <w:t>2.4-1</w:t>
      </w:r>
      <w:bookmarkEnd w:id="114"/>
      <w:r>
        <w:rPr>
          <w:rFonts w:eastAsia="黑体" w:hint="eastAsia"/>
          <w:kern w:val="2"/>
          <w:sz w:val="21"/>
          <w:szCs w:val="21"/>
        </w:rPr>
        <w:t>5</w:t>
      </w:r>
      <w:r>
        <w:rPr>
          <w:rFonts w:eastAsia="黑体"/>
          <w:kern w:val="2"/>
          <w:sz w:val="21"/>
          <w:szCs w:val="21"/>
        </w:rPr>
        <w:t xml:space="preserve">  </w:t>
      </w:r>
      <w:r>
        <w:rPr>
          <w:rFonts w:eastAsia="黑体" w:hint="eastAsia"/>
          <w:kern w:val="2"/>
          <w:sz w:val="21"/>
          <w:szCs w:val="21"/>
        </w:rPr>
        <w:t>项目危险物质储存情况一览表</w:t>
      </w:r>
    </w:p>
    <w:tbl>
      <w:tblPr>
        <w:tblW w:w="84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7"/>
        <w:gridCol w:w="898"/>
        <w:gridCol w:w="569"/>
        <w:gridCol w:w="925"/>
        <w:gridCol w:w="1584"/>
        <w:gridCol w:w="951"/>
        <w:gridCol w:w="1178"/>
        <w:gridCol w:w="976"/>
        <w:gridCol w:w="949"/>
      </w:tblGrid>
      <w:tr w:rsidR="00DB7CC8">
        <w:trPr>
          <w:trHeight w:hRule="exact" w:val="602"/>
          <w:tblHeader/>
          <w:jc w:val="center"/>
        </w:trPr>
        <w:tc>
          <w:tcPr>
            <w:tcW w:w="457" w:type="dxa"/>
            <w:shd w:val="clear" w:color="auto" w:fill="auto"/>
            <w:vAlign w:val="center"/>
          </w:tcPr>
          <w:p w:rsidR="00DB7CC8" w:rsidRDefault="002B5250">
            <w:pPr>
              <w:pStyle w:val="afffffffc"/>
              <w:overflowPunct w:val="0"/>
              <w:spacing w:line="240" w:lineRule="auto"/>
            </w:pPr>
            <w:r>
              <w:t>序号</w:t>
            </w:r>
          </w:p>
        </w:tc>
        <w:tc>
          <w:tcPr>
            <w:tcW w:w="898" w:type="dxa"/>
            <w:shd w:val="clear" w:color="auto" w:fill="auto"/>
            <w:vAlign w:val="center"/>
          </w:tcPr>
          <w:p w:rsidR="00DB7CC8" w:rsidRDefault="002B5250">
            <w:pPr>
              <w:pStyle w:val="afffffffc"/>
              <w:overflowPunct w:val="0"/>
              <w:spacing w:line="240" w:lineRule="auto"/>
            </w:pPr>
            <w:r>
              <w:t>项目</w:t>
            </w:r>
          </w:p>
        </w:tc>
        <w:tc>
          <w:tcPr>
            <w:tcW w:w="569" w:type="dxa"/>
            <w:shd w:val="clear" w:color="auto" w:fill="auto"/>
            <w:vAlign w:val="center"/>
          </w:tcPr>
          <w:p w:rsidR="00DB7CC8" w:rsidRDefault="002B5250">
            <w:pPr>
              <w:pStyle w:val="afffffffc"/>
              <w:overflowPunct w:val="0"/>
              <w:spacing w:line="240" w:lineRule="auto"/>
            </w:pPr>
            <w:r>
              <w:t>规格</w:t>
            </w:r>
          </w:p>
        </w:tc>
        <w:tc>
          <w:tcPr>
            <w:tcW w:w="925" w:type="dxa"/>
            <w:shd w:val="clear" w:color="auto" w:fill="auto"/>
            <w:vAlign w:val="center"/>
          </w:tcPr>
          <w:p w:rsidR="00DB7CC8" w:rsidRDefault="002B5250">
            <w:pPr>
              <w:pStyle w:val="afffffffc"/>
              <w:overflowPunct w:val="0"/>
              <w:spacing w:line="240" w:lineRule="auto"/>
            </w:pPr>
            <w:r>
              <w:t>年用量（</w:t>
            </w:r>
            <w:r>
              <w:t>t</w:t>
            </w:r>
            <w:r>
              <w:t>）</w:t>
            </w:r>
          </w:p>
        </w:tc>
        <w:tc>
          <w:tcPr>
            <w:tcW w:w="1584" w:type="dxa"/>
            <w:shd w:val="clear" w:color="auto" w:fill="auto"/>
            <w:vAlign w:val="center"/>
          </w:tcPr>
          <w:p w:rsidR="00DB7CC8" w:rsidRDefault="002B5250">
            <w:pPr>
              <w:pStyle w:val="afffffffc"/>
              <w:overflowPunct w:val="0"/>
              <w:spacing w:line="240" w:lineRule="auto"/>
            </w:pPr>
            <w:r>
              <w:t>循环使用量（</w:t>
            </w:r>
            <w:r>
              <w:t>t</w:t>
            </w:r>
            <w:r>
              <w:t>）</w:t>
            </w:r>
          </w:p>
        </w:tc>
        <w:tc>
          <w:tcPr>
            <w:tcW w:w="951" w:type="dxa"/>
            <w:shd w:val="clear" w:color="auto" w:fill="auto"/>
            <w:vAlign w:val="center"/>
          </w:tcPr>
          <w:p w:rsidR="00DB7CC8" w:rsidRDefault="002B5250">
            <w:pPr>
              <w:pStyle w:val="afffffffc"/>
              <w:overflowPunct w:val="0"/>
              <w:spacing w:line="240" w:lineRule="auto"/>
            </w:pPr>
            <w:r>
              <w:t>包装规格</w:t>
            </w:r>
          </w:p>
        </w:tc>
        <w:tc>
          <w:tcPr>
            <w:tcW w:w="1178" w:type="dxa"/>
            <w:shd w:val="clear" w:color="auto" w:fill="auto"/>
            <w:vAlign w:val="center"/>
          </w:tcPr>
          <w:p w:rsidR="00DB7CC8" w:rsidRDefault="002B5250">
            <w:pPr>
              <w:pStyle w:val="afffffffc"/>
              <w:overflowPunct w:val="0"/>
              <w:spacing w:line="240" w:lineRule="auto"/>
            </w:pPr>
            <w:r>
              <w:t>储存量（</w:t>
            </w:r>
            <w:r>
              <w:t>t</w:t>
            </w:r>
            <w:r>
              <w:t>）</w:t>
            </w:r>
          </w:p>
        </w:tc>
        <w:tc>
          <w:tcPr>
            <w:tcW w:w="976" w:type="dxa"/>
            <w:vAlign w:val="center"/>
          </w:tcPr>
          <w:p w:rsidR="00DB7CC8" w:rsidRDefault="002B5250">
            <w:pPr>
              <w:pStyle w:val="afffffffc"/>
              <w:overflowPunct w:val="0"/>
              <w:spacing w:line="240" w:lineRule="auto"/>
            </w:pPr>
            <w:r>
              <w:t>储存方式</w:t>
            </w:r>
          </w:p>
        </w:tc>
        <w:tc>
          <w:tcPr>
            <w:tcW w:w="949" w:type="dxa"/>
            <w:vAlign w:val="center"/>
          </w:tcPr>
          <w:p w:rsidR="00DB7CC8" w:rsidRDefault="002B5250">
            <w:pPr>
              <w:pStyle w:val="afffffffc"/>
              <w:overflowPunct w:val="0"/>
              <w:spacing w:line="240" w:lineRule="auto"/>
            </w:pPr>
            <w:r>
              <w:t>储存地点</w:t>
            </w:r>
          </w:p>
        </w:tc>
      </w:tr>
      <w:tr w:rsidR="00DB7CC8">
        <w:trPr>
          <w:trHeight w:hRule="exact" w:val="285"/>
          <w:jc w:val="center"/>
        </w:trPr>
        <w:tc>
          <w:tcPr>
            <w:tcW w:w="457" w:type="dxa"/>
            <w:shd w:val="clear" w:color="auto" w:fill="auto"/>
            <w:vAlign w:val="center"/>
          </w:tcPr>
          <w:p w:rsidR="00DB7CC8" w:rsidRDefault="002B5250">
            <w:pPr>
              <w:pStyle w:val="afffffffc"/>
              <w:overflowPunct w:val="0"/>
              <w:spacing w:line="240" w:lineRule="auto"/>
            </w:pPr>
            <w:r>
              <w:t>1</w:t>
            </w:r>
          </w:p>
        </w:tc>
        <w:tc>
          <w:tcPr>
            <w:tcW w:w="898" w:type="dxa"/>
            <w:shd w:val="clear" w:color="auto" w:fill="auto"/>
            <w:vAlign w:val="center"/>
          </w:tcPr>
          <w:p w:rsidR="00DB7CC8" w:rsidRDefault="002B5250">
            <w:pPr>
              <w:pStyle w:val="afffffffc"/>
              <w:overflowPunct w:val="0"/>
              <w:spacing w:line="240" w:lineRule="auto"/>
            </w:pPr>
            <w:r>
              <w:rPr>
                <w:rFonts w:hint="eastAsia"/>
              </w:rPr>
              <w:t>废矿物油</w:t>
            </w:r>
          </w:p>
        </w:tc>
        <w:tc>
          <w:tcPr>
            <w:tcW w:w="569" w:type="dxa"/>
            <w:shd w:val="clear" w:color="auto" w:fill="auto"/>
            <w:vAlign w:val="center"/>
          </w:tcPr>
          <w:p w:rsidR="00DB7CC8" w:rsidRDefault="002B5250">
            <w:pPr>
              <w:pStyle w:val="afffffffc"/>
              <w:overflowPunct w:val="0"/>
              <w:spacing w:line="240" w:lineRule="auto"/>
            </w:pPr>
            <w:r>
              <w:rPr>
                <w:rFonts w:hint="eastAsia"/>
              </w:rPr>
              <w:t>液</w:t>
            </w:r>
          </w:p>
        </w:tc>
        <w:tc>
          <w:tcPr>
            <w:tcW w:w="925" w:type="dxa"/>
            <w:shd w:val="clear" w:color="auto" w:fill="auto"/>
            <w:vAlign w:val="center"/>
          </w:tcPr>
          <w:p w:rsidR="00DB7CC8" w:rsidRDefault="002B5250">
            <w:pPr>
              <w:pStyle w:val="afffffffc"/>
              <w:overflowPunct w:val="0"/>
              <w:spacing w:line="240" w:lineRule="auto"/>
            </w:pPr>
            <w:r>
              <w:rPr>
                <w:rFonts w:hint="eastAsia"/>
              </w:rPr>
              <w:t>0.6</w:t>
            </w:r>
          </w:p>
        </w:tc>
        <w:tc>
          <w:tcPr>
            <w:tcW w:w="1584" w:type="dxa"/>
            <w:shd w:val="clear" w:color="auto" w:fill="auto"/>
            <w:vAlign w:val="center"/>
          </w:tcPr>
          <w:p w:rsidR="00DB7CC8" w:rsidRDefault="002B5250">
            <w:pPr>
              <w:pStyle w:val="afffffffc"/>
              <w:overflowPunct w:val="0"/>
              <w:spacing w:line="240" w:lineRule="auto"/>
            </w:pPr>
            <w:r>
              <w:t>—</w:t>
            </w:r>
          </w:p>
        </w:tc>
        <w:tc>
          <w:tcPr>
            <w:tcW w:w="951" w:type="dxa"/>
            <w:shd w:val="clear" w:color="auto" w:fill="auto"/>
            <w:vAlign w:val="center"/>
          </w:tcPr>
          <w:p w:rsidR="00DB7CC8" w:rsidRDefault="002B5250">
            <w:pPr>
              <w:pStyle w:val="afffffffc"/>
              <w:overflowPunct w:val="0"/>
              <w:spacing w:line="240" w:lineRule="auto"/>
            </w:pPr>
            <w:r>
              <w:t>25kg/</w:t>
            </w:r>
            <w:r>
              <w:t>桶</w:t>
            </w:r>
          </w:p>
        </w:tc>
        <w:tc>
          <w:tcPr>
            <w:tcW w:w="1178" w:type="dxa"/>
            <w:shd w:val="clear" w:color="auto" w:fill="auto"/>
            <w:vAlign w:val="center"/>
          </w:tcPr>
          <w:p w:rsidR="00DB7CC8" w:rsidRDefault="002B5250">
            <w:pPr>
              <w:pStyle w:val="afffffffc"/>
              <w:overflowPunct w:val="0"/>
              <w:spacing w:line="240" w:lineRule="auto"/>
            </w:pPr>
            <w:r>
              <w:t>0.</w:t>
            </w:r>
            <w:r>
              <w:rPr>
                <w:rFonts w:hint="eastAsia"/>
              </w:rPr>
              <w:t>3</w:t>
            </w:r>
          </w:p>
        </w:tc>
        <w:tc>
          <w:tcPr>
            <w:tcW w:w="976" w:type="dxa"/>
            <w:vAlign w:val="center"/>
          </w:tcPr>
          <w:p w:rsidR="00DB7CC8" w:rsidRDefault="002B5250">
            <w:pPr>
              <w:pStyle w:val="afffffffc"/>
              <w:overflowPunct w:val="0"/>
              <w:spacing w:line="240" w:lineRule="auto"/>
            </w:pPr>
            <w:r>
              <w:rPr>
                <w:rFonts w:hint="eastAsia"/>
              </w:rPr>
              <w:t>塑料桶</w:t>
            </w:r>
          </w:p>
        </w:tc>
        <w:tc>
          <w:tcPr>
            <w:tcW w:w="949" w:type="dxa"/>
            <w:vAlign w:val="center"/>
          </w:tcPr>
          <w:p w:rsidR="00DB7CC8" w:rsidRDefault="002B5250">
            <w:pPr>
              <w:pStyle w:val="afffffffc"/>
              <w:overflowPunct w:val="0"/>
              <w:spacing w:line="240" w:lineRule="auto"/>
            </w:pPr>
            <w:r>
              <w:rPr>
                <w:rFonts w:hint="eastAsia"/>
              </w:rPr>
              <w:t>危废间</w:t>
            </w:r>
          </w:p>
        </w:tc>
      </w:tr>
    </w:tbl>
    <w:p w:rsidR="00DB7CC8" w:rsidRDefault="002B5250">
      <w:pPr>
        <w:spacing w:line="240" w:lineRule="auto"/>
        <w:ind w:firstLineChars="0"/>
        <w:jc w:val="center"/>
        <w:textAlignment w:val="auto"/>
        <w:rPr>
          <w:rFonts w:eastAsia="黑体"/>
          <w:kern w:val="2"/>
          <w:sz w:val="21"/>
          <w:szCs w:val="21"/>
        </w:rPr>
      </w:pPr>
      <w:r>
        <w:rPr>
          <w:rFonts w:eastAsia="黑体" w:hint="eastAsia"/>
          <w:kern w:val="2"/>
          <w:sz w:val="21"/>
          <w:szCs w:val="21"/>
        </w:rPr>
        <w:t>表</w:t>
      </w:r>
      <w:r>
        <w:rPr>
          <w:rFonts w:eastAsia="黑体"/>
          <w:kern w:val="2"/>
          <w:sz w:val="21"/>
          <w:szCs w:val="21"/>
        </w:rPr>
        <w:t>2.4-1</w:t>
      </w:r>
      <w:r>
        <w:rPr>
          <w:rFonts w:eastAsia="黑体" w:hint="eastAsia"/>
          <w:kern w:val="2"/>
          <w:sz w:val="21"/>
          <w:szCs w:val="21"/>
        </w:rPr>
        <w:t xml:space="preserve">6  </w:t>
      </w:r>
      <w:r>
        <w:rPr>
          <w:rFonts w:eastAsia="黑体" w:hint="eastAsia"/>
          <w:kern w:val="2"/>
          <w:sz w:val="21"/>
          <w:szCs w:val="21"/>
        </w:rPr>
        <w:t>本项目危险物质数量与临界量比值</w:t>
      </w:r>
      <w:r>
        <w:rPr>
          <w:rFonts w:eastAsia="黑体" w:hint="eastAsia"/>
          <w:kern w:val="2"/>
          <w:sz w:val="21"/>
          <w:szCs w:val="21"/>
        </w:rPr>
        <w:t>Q</w:t>
      </w:r>
      <w:r>
        <w:rPr>
          <w:rFonts w:eastAsia="黑体" w:hint="eastAsia"/>
          <w:kern w:val="2"/>
          <w:sz w:val="21"/>
          <w:szCs w:val="21"/>
        </w:rPr>
        <w:t>确定表</w:t>
      </w:r>
    </w:p>
    <w:tbl>
      <w:tblPr>
        <w:tblW w:w="8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93"/>
        <w:gridCol w:w="1613"/>
        <w:gridCol w:w="1413"/>
        <w:gridCol w:w="1911"/>
        <w:gridCol w:w="1387"/>
        <w:gridCol w:w="1644"/>
      </w:tblGrid>
      <w:tr w:rsidR="00DB7CC8">
        <w:trPr>
          <w:trHeight w:hRule="exact" w:val="397"/>
          <w:jc w:val="center"/>
        </w:trPr>
        <w:tc>
          <w:tcPr>
            <w:tcW w:w="593" w:type="dxa"/>
            <w:shd w:val="clear" w:color="auto" w:fill="auto"/>
            <w:vAlign w:val="center"/>
          </w:tcPr>
          <w:p w:rsidR="00DB7CC8" w:rsidRDefault="002B5250">
            <w:pPr>
              <w:pStyle w:val="afffffffc"/>
              <w:spacing w:line="240" w:lineRule="auto"/>
            </w:pPr>
            <w:r>
              <w:t>序号</w:t>
            </w:r>
          </w:p>
        </w:tc>
        <w:tc>
          <w:tcPr>
            <w:tcW w:w="1613" w:type="dxa"/>
            <w:shd w:val="clear" w:color="auto" w:fill="auto"/>
            <w:vAlign w:val="center"/>
          </w:tcPr>
          <w:p w:rsidR="00DB7CC8" w:rsidRDefault="002B5250">
            <w:pPr>
              <w:pStyle w:val="afffffffc"/>
              <w:spacing w:line="240" w:lineRule="auto"/>
            </w:pPr>
            <w:r>
              <w:t>危险物质名称</w:t>
            </w:r>
          </w:p>
        </w:tc>
        <w:tc>
          <w:tcPr>
            <w:tcW w:w="1413" w:type="dxa"/>
            <w:shd w:val="clear" w:color="auto" w:fill="auto"/>
            <w:vAlign w:val="center"/>
          </w:tcPr>
          <w:p w:rsidR="00DB7CC8" w:rsidRDefault="002B5250">
            <w:pPr>
              <w:pStyle w:val="afffffffc"/>
              <w:spacing w:line="240" w:lineRule="auto"/>
            </w:pPr>
            <w:r>
              <w:t>CAS</w:t>
            </w:r>
            <w:r>
              <w:t>号</w:t>
            </w:r>
          </w:p>
        </w:tc>
        <w:tc>
          <w:tcPr>
            <w:tcW w:w="1911" w:type="dxa"/>
            <w:shd w:val="clear" w:color="auto" w:fill="auto"/>
            <w:vAlign w:val="center"/>
          </w:tcPr>
          <w:p w:rsidR="00DB7CC8" w:rsidRDefault="002B5250">
            <w:pPr>
              <w:pStyle w:val="afffffffc"/>
              <w:spacing w:line="240" w:lineRule="auto"/>
            </w:pPr>
            <w:r>
              <w:t>最大存在量</w:t>
            </w:r>
            <w:r>
              <w:t>q</w:t>
            </w:r>
            <w:r>
              <w:rPr>
                <w:vertAlign w:val="subscript"/>
              </w:rPr>
              <w:t>n</w:t>
            </w:r>
            <w:r>
              <w:t>/t</w:t>
            </w:r>
          </w:p>
        </w:tc>
        <w:tc>
          <w:tcPr>
            <w:tcW w:w="1387" w:type="dxa"/>
            <w:shd w:val="clear" w:color="auto" w:fill="auto"/>
            <w:vAlign w:val="center"/>
          </w:tcPr>
          <w:p w:rsidR="00DB7CC8" w:rsidRDefault="002B5250">
            <w:pPr>
              <w:pStyle w:val="afffffffc"/>
              <w:spacing w:line="240" w:lineRule="auto"/>
            </w:pPr>
            <w:r>
              <w:t>临界量</w:t>
            </w:r>
            <w:r>
              <w:t>Q</w:t>
            </w:r>
            <w:r>
              <w:rPr>
                <w:vertAlign w:val="subscript"/>
              </w:rPr>
              <w:t>n</w:t>
            </w:r>
            <w:r>
              <w:t>/t</w:t>
            </w:r>
          </w:p>
        </w:tc>
        <w:tc>
          <w:tcPr>
            <w:tcW w:w="1644" w:type="dxa"/>
            <w:shd w:val="clear" w:color="auto" w:fill="auto"/>
            <w:vAlign w:val="center"/>
          </w:tcPr>
          <w:p w:rsidR="00DB7CC8" w:rsidRDefault="002B5250">
            <w:pPr>
              <w:pStyle w:val="afffffffc"/>
              <w:spacing w:line="240" w:lineRule="auto"/>
            </w:pPr>
            <w:r>
              <w:t>危险物质</w:t>
            </w:r>
            <w:r>
              <w:t>Q</w:t>
            </w:r>
            <w:r>
              <w:t>值</w:t>
            </w:r>
          </w:p>
        </w:tc>
      </w:tr>
      <w:tr w:rsidR="00DB7CC8">
        <w:trPr>
          <w:trHeight w:hRule="exact" w:val="327"/>
          <w:jc w:val="center"/>
        </w:trPr>
        <w:tc>
          <w:tcPr>
            <w:tcW w:w="593" w:type="dxa"/>
            <w:shd w:val="clear" w:color="auto" w:fill="auto"/>
            <w:vAlign w:val="center"/>
          </w:tcPr>
          <w:p w:rsidR="00DB7CC8" w:rsidRDefault="002B5250">
            <w:pPr>
              <w:pStyle w:val="afffffffc"/>
              <w:spacing w:line="240" w:lineRule="auto"/>
              <w:rPr>
                <w:sz w:val="22"/>
              </w:rPr>
            </w:pPr>
            <w:r>
              <w:rPr>
                <w:sz w:val="22"/>
              </w:rPr>
              <w:t>1</w:t>
            </w:r>
          </w:p>
        </w:tc>
        <w:tc>
          <w:tcPr>
            <w:tcW w:w="1613" w:type="dxa"/>
            <w:shd w:val="clear" w:color="auto" w:fill="auto"/>
            <w:vAlign w:val="center"/>
          </w:tcPr>
          <w:p w:rsidR="00DB7CC8" w:rsidRDefault="002B5250">
            <w:pPr>
              <w:pStyle w:val="afffffffc"/>
              <w:spacing w:line="240" w:lineRule="auto"/>
            </w:pPr>
            <w:r>
              <w:rPr>
                <w:rFonts w:hint="eastAsia"/>
              </w:rPr>
              <w:t>废矿物油</w:t>
            </w:r>
          </w:p>
        </w:tc>
        <w:tc>
          <w:tcPr>
            <w:tcW w:w="1413" w:type="dxa"/>
            <w:shd w:val="clear" w:color="auto" w:fill="auto"/>
            <w:vAlign w:val="center"/>
          </w:tcPr>
          <w:p w:rsidR="00DB7CC8" w:rsidRDefault="002B5250">
            <w:pPr>
              <w:pStyle w:val="afffffffc"/>
              <w:spacing w:line="240" w:lineRule="auto"/>
            </w:pPr>
            <w:r>
              <w:t>--</w:t>
            </w:r>
          </w:p>
        </w:tc>
        <w:tc>
          <w:tcPr>
            <w:tcW w:w="1911" w:type="dxa"/>
            <w:shd w:val="clear" w:color="auto" w:fill="auto"/>
            <w:vAlign w:val="center"/>
          </w:tcPr>
          <w:p w:rsidR="00DB7CC8" w:rsidRDefault="002B5250">
            <w:pPr>
              <w:pStyle w:val="afffffffc"/>
              <w:spacing w:line="240" w:lineRule="auto"/>
            </w:pPr>
            <w:r>
              <w:t>0.</w:t>
            </w:r>
            <w:r>
              <w:rPr>
                <w:rFonts w:hint="eastAsia"/>
              </w:rPr>
              <w:t>3</w:t>
            </w:r>
          </w:p>
        </w:tc>
        <w:tc>
          <w:tcPr>
            <w:tcW w:w="1387" w:type="dxa"/>
            <w:shd w:val="clear" w:color="auto" w:fill="auto"/>
            <w:vAlign w:val="center"/>
          </w:tcPr>
          <w:p w:rsidR="00DB7CC8" w:rsidRDefault="002B5250">
            <w:pPr>
              <w:pStyle w:val="afffffffc"/>
              <w:spacing w:line="240" w:lineRule="auto"/>
            </w:pPr>
            <w:r>
              <w:t>2500</w:t>
            </w:r>
          </w:p>
        </w:tc>
        <w:tc>
          <w:tcPr>
            <w:tcW w:w="1644" w:type="dxa"/>
            <w:shd w:val="clear" w:color="auto" w:fill="auto"/>
            <w:vAlign w:val="center"/>
          </w:tcPr>
          <w:p w:rsidR="00DB7CC8" w:rsidRDefault="002B5250">
            <w:pPr>
              <w:pStyle w:val="afffffffc"/>
              <w:spacing w:line="240" w:lineRule="auto"/>
            </w:pPr>
            <w:r>
              <w:t>0.000</w:t>
            </w:r>
            <w:r>
              <w:rPr>
                <w:rFonts w:hint="eastAsia"/>
              </w:rPr>
              <w:t>12</w:t>
            </w:r>
          </w:p>
        </w:tc>
      </w:tr>
    </w:tbl>
    <w:p w:rsidR="00DB7CC8" w:rsidRDefault="002B5250">
      <w:pPr>
        <w:ind w:firstLine="480"/>
        <w:rPr>
          <w:sz w:val="24"/>
          <w:szCs w:val="24"/>
        </w:rPr>
      </w:pPr>
      <w:r>
        <w:rPr>
          <w:rFonts w:hint="eastAsia"/>
          <w:sz w:val="24"/>
          <w:szCs w:val="24"/>
        </w:rPr>
        <w:t>由表</w:t>
      </w:r>
      <w:r>
        <w:rPr>
          <w:rFonts w:hint="eastAsia"/>
          <w:sz w:val="24"/>
          <w:szCs w:val="24"/>
        </w:rPr>
        <w:t xml:space="preserve"> </w:t>
      </w:r>
      <w:r>
        <w:rPr>
          <w:sz w:val="24"/>
          <w:szCs w:val="24"/>
        </w:rPr>
        <w:t>2.4-1</w:t>
      </w:r>
      <w:r>
        <w:rPr>
          <w:rFonts w:hint="eastAsia"/>
          <w:sz w:val="24"/>
          <w:szCs w:val="24"/>
        </w:rPr>
        <w:t>6</w:t>
      </w:r>
      <w:r>
        <w:rPr>
          <w:rFonts w:hint="eastAsia"/>
          <w:sz w:val="24"/>
          <w:szCs w:val="24"/>
        </w:rPr>
        <w:t>可知，本项目</w:t>
      </w:r>
      <w:r>
        <w:rPr>
          <w:rFonts w:hint="eastAsia"/>
          <w:sz w:val="24"/>
          <w:szCs w:val="24"/>
        </w:rPr>
        <w:t>Q=0.00012</w:t>
      </w:r>
      <w:r>
        <w:rPr>
          <w:rFonts w:hint="eastAsia"/>
          <w:sz w:val="24"/>
          <w:szCs w:val="24"/>
        </w:rPr>
        <w:t>，</w:t>
      </w:r>
      <w:r>
        <w:rPr>
          <w:rFonts w:hint="eastAsia"/>
          <w:sz w:val="24"/>
          <w:szCs w:val="24"/>
        </w:rPr>
        <w:t>Q</w:t>
      </w:r>
      <w:r>
        <w:rPr>
          <w:rFonts w:hint="eastAsia"/>
          <w:sz w:val="24"/>
          <w:szCs w:val="24"/>
        </w:rPr>
        <w:t>＜</w:t>
      </w:r>
      <w:r>
        <w:rPr>
          <w:rFonts w:hint="eastAsia"/>
          <w:sz w:val="24"/>
          <w:szCs w:val="24"/>
        </w:rPr>
        <w:t>1</w:t>
      </w:r>
      <w:r>
        <w:rPr>
          <w:rFonts w:hint="eastAsia"/>
          <w:sz w:val="24"/>
          <w:szCs w:val="24"/>
        </w:rPr>
        <w:t>。因此，确定本项目环境风险潜势为Ⅰ。</w:t>
      </w:r>
    </w:p>
    <w:p w:rsidR="00DB7CC8" w:rsidRDefault="002B5250">
      <w:pPr>
        <w:ind w:firstLine="482"/>
        <w:rPr>
          <w:b/>
          <w:bCs/>
          <w:sz w:val="24"/>
          <w:szCs w:val="24"/>
        </w:rPr>
      </w:pPr>
      <w:r>
        <w:rPr>
          <w:rFonts w:hint="eastAsia"/>
          <w:b/>
          <w:bCs/>
          <w:sz w:val="24"/>
          <w:szCs w:val="24"/>
        </w:rPr>
        <w:t>二、环境风险评价等级的判定结果</w:t>
      </w:r>
    </w:p>
    <w:p w:rsidR="00DB7CC8" w:rsidRDefault="002B5250">
      <w:pPr>
        <w:ind w:firstLine="480"/>
        <w:rPr>
          <w:sz w:val="24"/>
          <w:szCs w:val="24"/>
        </w:rPr>
      </w:pPr>
      <w:r>
        <w:rPr>
          <w:rFonts w:hint="eastAsia"/>
          <w:sz w:val="24"/>
          <w:szCs w:val="24"/>
        </w:rPr>
        <w:t>根据《建设项目环境风险评价技术导则》（</w:t>
      </w:r>
      <w:r>
        <w:rPr>
          <w:rFonts w:hint="eastAsia"/>
          <w:sz w:val="24"/>
          <w:szCs w:val="24"/>
        </w:rPr>
        <w:t>HJ169-2018</w:t>
      </w:r>
      <w:r>
        <w:rPr>
          <w:rFonts w:hint="eastAsia"/>
          <w:sz w:val="24"/>
          <w:szCs w:val="24"/>
        </w:rPr>
        <w:t>）的要求，环境风险评价工作等级划分为一级、二级、三级，根据建设项目涉及的危险物质及工艺系统危险性和所在地的环境敏感性确定环境风险潜势。风险潜势为Ⅳ及以上，进行一级评价；风险潜势为Ⅲ，进行二级评价；风险潜势为Ⅱ，进行三级评价；风险潜势为Ⅰ，可开展简单分析。评价工作级别划分见表</w:t>
      </w:r>
      <w:r>
        <w:rPr>
          <w:rFonts w:hint="eastAsia"/>
          <w:sz w:val="24"/>
          <w:szCs w:val="24"/>
        </w:rPr>
        <w:t>2.4-175</w:t>
      </w:r>
      <w:r>
        <w:rPr>
          <w:rFonts w:hint="eastAsia"/>
          <w:sz w:val="24"/>
          <w:szCs w:val="24"/>
        </w:rPr>
        <w:t>。</w:t>
      </w:r>
      <w:bookmarkStart w:id="115" w:name="_Ref8863382"/>
    </w:p>
    <w:p w:rsidR="00DB7CC8" w:rsidRDefault="002B5250">
      <w:pPr>
        <w:spacing w:line="240" w:lineRule="auto"/>
        <w:ind w:firstLineChars="0"/>
        <w:jc w:val="center"/>
        <w:textAlignment w:val="auto"/>
        <w:rPr>
          <w:rFonts w:eastAsia="黑体"/>
          <w:kern w:val="2"/>
          <w:sz w:val="21"/>
          <w:szCs w:val="21"/>
        </w:rPr>
      </w:pPr>
      <w:bookmarkStart w:id="116" w:name="_Ref9718850"/>
      <w:bookmarkEnd w:id="115"/>
      <w:r>
        <w:rPr>
          <w:rFonts w:eastAsia="黑体" w:hint="eastAsia"/>
          <w:kern w:val="2"/>
          <w:sz w:val="21"/>
          <w:szCs w:val="21"/>
        </w:rPr>
        <w:t>表</w:t>
      </w:r>
      <w:r>
        <w:rPr>
          <w:rFonts w:eastAsia="黑体" w:hint="eastAsia"/>
          <w:kern w:val="2"/>
          <w:sz w:val="21"/>
          <w:szCs w:val="21"/>
        </w:rPr>
        <w:t>2.4-1</w:t>
      </w:r>
      <w:bookmarkEnd w:id="116"/>
      <w:r>
        <w:rPr>
          <w:rFonts w:eastAsia="黑体" w:hint="eastAsia"/>
          <w:kern w:val="2"/>
          <w:sz w:val="21"/>
          <w:szCs w:val="21"/>
        </w:rPr>
        <w:t xml:space="preserve">7   </w:t>
      </w:r>
      <w:r>
        <w:rPr>
          <w:rFonts w:eastAsia="黑体" w:hint="eastAsia"/>
          <w:kern w:val="2"/>
          <w:sz w:val="21"/>
          <w:szCs w:val="21"/>
        </w:rPr>
        <w:t>评价工作级别划分一览表</w:t>
      </w:r>
    </w:p>
    <w:tbl>
      <w:tblPr>
        <w:tblW w:w="8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713"/>
        <w:gridCol w:w="1716"/>
        <w:gridCol w:w="1710"/>
        <w:gridCol w:w="1710"/>
        <w:gridCol w:w="1712"/>
      </w:tblGrid>
      <w:tr w:rsidR="00DB7CC8">
        <w:tc>
          <w:tcPr>
            <w:tcW w:w="1713" w:type="dxa"/>
            <w:shd w:val="clear" w:color="auto" w:fill="auto"/>
          </w:tcPr>
          <w:p w:rsidR="00DB7CC8" w:rsidRDefault="002B5250">
            <w:pPr>
              <w:pStyle w:val="afffffffc"/>
              <w:spacing w:line="240" w:lineRule="auto"/>
            </w:pPr>
            <w:r>
              <w:rPr>
                <w:rFonts w:hint="eastAsia"/>
              </w:rPr>
              <w:t>环境风险潜势</w:t>
            </w:r>
          </w:p>
        </w:tc>
        <w:tc>
          <w:tcPr>
            <w:tcW w:w="1716" w:type="dxa"/>
            <w:shd w:val="clear" w:color="auto" w:fill="auto"/>
          </w:tcPr>
          <w:p w:rsidR="00DB7CC8" w:rsidRDefault="002B5250">
            <w:pPr>
              <w:pStyle w:val="afffffffc"/>
              <w:spacing w:line="240" w:lineRule="auto"/>
            </w:pPr>
            <w:r>
              <w:rPr>
                <w:rFonts w:hint="eastAsia"/>
              </w:rPr>
              <w:t>Ⅳ</w:t>
            </w:r>
            <w:r>
              <w:t>、</w:t>
            </w:r>
            <w:r>
              <w:rPr>
                <w:rFonts w:hint="eastAsia"/>
              </w:rPr>
              <w:t>Ⅳ</w:t>
            </w:r>
            <w:r>
              <w:t>+</w:t>
            </w:r>
          </w:p>
        </w:tc>
        <w:tc>
          <w:tcPr>
            <w:tcW w:w="1710" w:type="dxa"/>
            <w:shd w:val="clear" w:color="auto" w:fill="auto"/>
          </w:tcPr>
          <w:p w:rsidR="00DB7CC8" w:rsidRDefault="002B5250">
            <w:pPr>
              <w:pStyle w:val="afffffffc"/>
              <w:spacing w:line="240" w:lineRule="auto"/>
            </w:pPr>
            <w:r>
              <w:rPr>
                <w:rFonts w:hint="eastAsia"/>
              </w:rPr>
              <w:t>Ⅲ</w:t>
            </w:r>
          </w:p>
        </w:tc>
        <w:tc>
          <w:tcPr>
            <w:tcW w:w="1710" w:type="dxa"/>
            <w:shd w:val="clear" w:color="auto" w:fill="auto"/>
          </w:tcPr>
          <w:p w:rsidR="00DB7CC8" w:rsidRDefault="002B5250">
            <w:pPr>
              <w:pStyle w:val="afffffffc"/>
              <w:spacing w:line="240" w:lineRule="auto"/>
            </w:pPr>
            <w:r>
              <w:rPr>
                <w:rFonts w:hint="eastAsia"/>
              </w:rPr>
              <w:t>Ⅱ</w:t>
            </w:r>
          </w:p>
        </w:tc>
        <w:tc>
          <w:tcPr>
            <w:tcW w:w="1712" w:type="dxa"/>
            <w:shd w:val="clear" w:color="auto" w:fill="auto"/>
          </w:tcPr>
          <w:p w:rsidR="00DB7CC8" w:rsidRDefault="002B5250">
            <w:pPr>
              <w:pStyle w:val="afffffffc"/>
              <w:spacing w:line="240" w:lineRule="auto"/>
              <w:rPr>
                <w:b/>
              </w:rPr>
            </w:pPr>
            <w:r>
              <w:rPr>
                <w:rFonts w:hint="eastAsia"/>
                <w:b/>
              </w:rPr>
              <w:t>Ⅰ</w:t>
            </w:r>
          </w:p>
        </w:tc>
      </w:tr>
      <w:tr w:rsidR="00DB7CC8">
        <w:tc>
          <w:tcPr>
            <w:tcW w:w="1713" w:type="dxa"/>
            <w:shd w:val="clear" w:color="auto" w:fill="auto"/>
          </w:tcPr>
          <w:p w:rsidR="00DB7CC8" w:rsidRDefault="002B5250">
            <w:pPr>
              <w:pStyle w:val="afffffffc"/>
              <w:spacing w:line="240" w:lineRule="auto"/>
            </w:pPr>
            <w:r>
              <w:rPr>
                <w:rFonts w:hint="eastAsia"/>
              </w:rPr>
              <w:t>评价工作等级</w:t>
            </w:r>
          </w:p>
        </w:tc>
        <w:tc>
          <w:tcPr>
            <w:tcW w:w="1716" w:type="dxa"/>
            <w:shd w:val="clear" w:color="auto" w:fill="auto"/>
          </w:tcPr>
          <w:p w:rsidR="00DB7CC8" w:rsidRDefault="002B5250">
            <w:pPr>
              <w:pStyle w:val="afffffffc"/>
              <w:spacing w:line="240" w:lineRule="auto"/>
            </w:pPr>
            <w:r>
              <w:t>一</w:t>
            </w:r>
          </w:p>
        </w:tc>
        <w:tc>
          <w:tcPr>
            <w:tcW w:w="1710" w:type="dxa"/>
            <w:shd w:val="clear" w:color="auto" w:fill="auto"/>
          </w:tcPr>
          <w:p w:rsidR="00DB7CC8" w:rsidRDefault="002B5250">
            <w:pPr>
              <w:pStyle w:val="afffffffc"/>
              <w:spacing w:line="240" w:lineRule="auto"/>
            </w:pPr>
            <w:r>
              <w:t>二</w:t>
            </w:r>
          </w:p>
        </w:tc>
        <w:tc>
          <w:tcPr>
            <w:tcW w:w="1710" w:type="dxa"/>
            <w:shd w:val="clear" w:color="auto" w:fill="auto"/>
          </w:tcPr>
          <w:p w:rsidR="00DB7CC8" w:rsidRDefault="002B5250">
            <w:pPr>
              <w:pStyle w:val="afffffffc"/>
              <w:spacing w:line="240" w:lineRule="auto"/>
            </w:pPr>
            <w:r>
              <w:t>三</w:t>
            </w:r>
          </w:p>
        </w:tc>
        <w:tc>
          <w:tcPr>
            <w:tcW w:w="1712" w:type="dxa"/>
            <w:shd w:val="clear" w:color="auto" w:fill="auto"/>
          </w:tcPr>
          <w:p w:rsidR="00DB7CC8" w:rsidRDefault="002B5250">
            <w:pPr>
              <w:pStyle w:val="afffffffc"/>
              <w:spacing w:line="240" w:lineRule="auto"/>
              <w:rPr>
                <w:b/>
              </w:rPr>
            </w:pPr>
            <w:r>
              <w:rPr>
                <w:b/>
              </w:rPr>
              <w:t>简单分析</w:t>
            </w:r>
            <w:r>
              <w:rPr>
                <w:rFonts w:hint="eastAsia"/>
                <w:b/>
              </w:rPr>
              <w:t>a</w:t>
            </w:r>
          </w:p>
        </w:tc>
      </w:tr>
      <w:tr w:rsidR="00DB7CC8">
        <w:tc>
          <w:tcPr>
            <w:tcW w:w="8561" w:type="dxa"/>
            <w:gridSpan w:val="5"/>
            <w:shd w:val="clear" w:color="auto" w:fill="auto"/>
          </w:tcPr>
          <w:p w:rsidR="00DB7CC8" w:rsidRDefault="002B5250">
            <w:pPr>
              <w:pStyle w:val="afffffffc"/>
              <w:spacing w:line="240" w:lineRule="auto"/>
            </w:pPr>
            <w:r>
              <w:t>a</w:t>
            </w:r>
            <w:r>
              <w:t>是相对于详细评价工作内容而言，在描述危险物质、环境影响途径、环境危害后果、风险防范措施等方面给</w:t>
            </w:r>
            <w:r>
              <w:rPr>
                <w:rFonts w:hint="eastAsia"/>
              </w:rPr>
              <w:t>出定性的说明。</w:t>
            </w:r>
          </w:p>
        </w:tc>
      </w:tr>
    </w:tbl>
    <w:p w:rsidR="00DB7CC8" w:rsidRDefault="002B5250">
      <w:pPr>
        <w:pStyle w:val="af6"/>
        <w:ind w:leftChars="0" w:left="0" w:rightChars="-33" w:right="-92" w:firstLine="480"/>
      </w:pPr>
      <w:r>
        <w:rPr>
          <w:rFonts w:hint="eastAsia"/>
          <w:sz w:val="24"/>
          <w:szCs w:val="24"/>
        </w:rPr>
        <w:t>经判定，该项目风险潜势为Ⅰ。因此，本项目风险评价等级为简单分析。</w:t>
      </w:r>
    </w:p>
    <w:p w:rsidR="00DB7CC8" w:rsidRDefault="002B5250">
      <w:pPr>
        <w:pStyle w:val="3"/>
        <w:numPr>
          <w:ilvl w:val="2"/>
          <w:numId w:val="1"/>
        </w:numPr>
        <w:rPr>
          <w:szCs w:val="28"/>
        </w:rPr>
      </w:pPr>
      <w:r>
        <w:rPr>
          <w:rFonts w:hint="eastAsia"/>
          <w:szCs w:val="28"/>
        </w:rPr>
        <w:t>评价范围</w:t>
      </w:r>
    </w:p>
    <w:p w:rsidR="00DB7CC8" w:rsidRDefault="002B5250">
      <w:pPr>
        <w:pStyle w:val="4"/>
        <w:numPr>
          <w:ilvl w:val="3"/>
          <w:numId w:val="1"/>
        </w:numPr>
        <w:ind w:left="709" w:hanging="709"/>
        <w:rPr>
          <w:rFonts w:eastAsia="宋体"/>
          <w:b/>
        </w:rPr>
      </w:pPr>
      <w:r>
        <w:rPr>
          <w:rFonts w:eastAsia="宋体"/>
          <w:b/>
        </w:rPr>
        <w:t>环境空气</w:t>
      </w:r>
    </w:p>
    <w:p w:rsidR="00DB7CC8" w:rsidRDefault="002B5250">
      <w:pPr>
        <w:ind w:firstLine="480"/>
        <w:jc w:val="both"/>
        <w:rPr>
          <w:sz w:val="24"/>
          <w:szCs w:val="24"/>
        </w:rPr>
      </w:pPr>
      <w:r>
        <w:rPr>
          <w:sz w:val="24"/>
          <w:szCs w:val="24"/>
        </w:rPr>
        <w:t>根据《环境影响评价技术导则大气环境》（</w:t>
      </w:r>
      <w:r>
        <w:rPr>
          <w:sz w:val="24"/>
          <w:szCs w:val="24"/>
        </w:rPr>
        <w:t>HJ2.2-2018</w:t>
      </w:r>
      <w:r>
        <w:rPr>
          <w:sz w:val="24"/>
          <w:szCs w:val="24"/>
        </w:rPr>
        <w:t>）对不同评价级别工作的要求，确定本次环境空气影响评价范围以选矿厂为中心，边长为</w:t>
      </w:r>
      <w:r>
        <w:rPr>
          <w:sz w:val="24"/>
          <w:szCs w:val="24"/>
        </w:rPr>
        <w:t>5km</w:t>
      </w:r>
      <w:r>
        <w:rPr>
          <w:sz w:val="24"/>
          <w:szCs w:val="24"/>
        </w:rPr>
        <w:t>的矩形区域。</w:t>
      </w:r>
    </w:p>
    <w:p w:rsidR="00DB7CC8" w:rsidRDefault="002B5250">
      <w:pPr>
        <w:pStyle w:val="4"/>
        <w:numPr>
          <w:ilvl w:val="3"/>
          <w:numId w:val="1"/>
        </w:numPr>
        <w:ind w:left="709" w:hanging="709"/>
        <w:rPr>
          <w:rFonts w:eastAsia="宋体"/>
          <w:b/>
        </w:rPr>
      </w:pPr>
      <w:r>
        <w:rPr>
          <w:rFonts w:eastAsia="宋体" w:hint="eastAsia"/>
          <w:b/>
        </w:rPr>
        <w:lastRenderedPageBreak/>
        <w:t>地表水</w:t>
      </w:r>
    </w:p>
    <w:p w:rsidR="00DB7CC8" w:rsidRDefault="002B5250">
      <w:pPr>
        <w:ind w:firstLine="480"/>
      </w:pPr>
      <w:r>
        <w:rPr>
          <w:rFonts w:hint="eastAsia"/>
          <w:sz w:val="24"/>
          <w:szCs w:val="24"/>
        </w:rPr>
        <w:t>根据</w:t>
      </w:r>
      <w:r>
        <w:rPr>
          <w:sz w:val="24"/>
          <w:szCs w:val="24"/>
        </w:rPr>
        <w:t>《环境影响评价技术导则地</w:t>
      </w:r>
      <w:r>
        <w:rPr>
          <w:rFonts w:hint="eastAsia"/>
          <w:sz w:val="24"/>
          <w:szCs w:val="24"/>
        </w:rPr>
        <w:t>表</w:t>
      </w:r>
      <w:r>
        <w:rPr>
          <w:sz w:val="24"/>
          <w:szCs w:val="24"/>
        </w:rPr>
        <w:t>水环境》</w:t>
      </w:r>
      <w:r>
        <w:rPr>
          <w:rFonts w:hint="eastAsia"/>
          <w:sz w:val="24"/>
          <w:szCs w:val="24"/>
        </w:rPr>
        <w:t>（</w:t>
      </w:r>
      <w:r>
        <w:rPr>
          <w:sz w:val="24"/>
          <w:szCs w:val="24"/>
        </w:rPr>
        <w:t>HJ</w:t>
      </w:r>
      <w:r>
        <w:rPr>
          <w:rFonts w:hint="eastAsia"/>
          <w:sz w:val="24"/>
          <w:szCs w:val="24"/>
        </w:rPr>
        <w:t>2.</w:t>
      </w:r>
      <w:r>
        <w:rPr>
          <w:sz w:val="24"/>
          <w:szCs w:val="24"/>
        </w:rPr>
        <w:t>3-</w:t>
      </w:r>
      <w:r>
        <w:rPr>
          <w:rFonts w:hint="eastAsia"/>
          <w:sz w:val="24"/>
          <w:szCs w:val="24"/>
        </w:rPr>
        <w:t>2018</w:t>
      </w:r>
      <w:r>
        <w:rPr>
          <w:rFonts w:hint="eastAsia"/>
          <w:sz w:val="24"/>
          <w:szCs w:val="24"/>
        </w:rPr>
        <w:t>），本项目地表水环境影响评价等级为三级</w:t>
      </w:r>
      <w:r>
        <w:rPr>
          <w:rFonts w:hint="eastAsia"/>
          <w:sz w:val="24"/>
          <w:szCs w:val="24"/>
        </w:rPr>
        <w:t>B</w:t>
      </w:r>
      <w:r>
        <w:rPr>
          <w:rFonts w:hint="eastAsia"/>
          <w:sz w:val="24"/>
          <w:szCs w:val="24"/>
        </w:rPr>
        <w:t>评价，不涉及地表水环境风险，评价范围为水处理设施环境可行性分析。</w:t>
      </w:r>
    </w:p>
    <w:p w:rsidR="00DB7CC8" w:rsidRDefault="002B5250">
      <w:pPr>
        <w:pStyle w:val="4"/>
        <w:numPr>
          <w:ilvl w:val="3"/>
          <w:numId w:val="1"/>
        </w:numPr>
        <w:ind w:left="709" w:hanging="709"/>
        <w:rPr>
          <w:rFonts w:eastAsia="宋体"/>
          <w:b/>
        </w:rPr>
      </w:pPr>
      <w:bookmarkStart w:id="117" w:name="_Hlk18933111"/>
      <w:r>
        <w:rPr>
          <w:rFonts w:eastAsia="宋体" w:hint="eastAsia"/>
          <w:b/>
        </w:rPr>
        <w:t>地下水</w:t>
      </w:r>
    </w:p>
    <w:bookmarkEnd w:id="117"/>
    <w:p w:rsidR="00DB7CC8" w:rsidRDefault="002B5250">
      <w:pPr>
        <w:snapToGrid w:val="0"/>
        <w:ind w:firstLine="480"/>
        <w:rPr>
          <w:sz w:val="24"/>
        </w:rPr>
      </w:pPr>
      <w:r>
        <w:rPr>
          <w:sz w:val="24"/>
          <w:szCs w:val="24"/>
        </w:rPr>
        <w:t>地下水评价范围：利用</w:t>
      </w:r>
      <w:r>
        <w:rPr>
          <w:sz w:val="24"/>
        </w:rPr>
        <w:t>环评导则（</w:t>
      </w:r>
      <w:r>
        <w:rPr>
          <w:sz w:val="24"/>
        </w:rPr>
        <w:t>HJ610-2016</w:t>
      </w:r>
      <w:r>
        <w:rPr>
          <w:sz w:val="24"/>
        </w:rPr>
        <w:t>）中公式计算法进行计算（公式</w:t>
      </w:r>
      <w:r>
        <w:rPr>
          <w:rFonts w:hint="eastAsia"/>
          <w:sz w:val="24"/>
        </w:rPr>
        <w:t>2</w:t>
      </w:r>
      <w:r>
        <w:rPr>
          <w:sz w:val="24"/>
        </w:rPr>
        <w:t>.</w:t>
      </w:r>
      <w:r>
        <w:rPr>
          <w:rFonts w:hint="eastAsia"/>
          <w:sz w:val="24"/>
        </w:rPr>
        <w:t>5</w:t>
      </w:r>
      <w:r>
        <w:rPr>
          <w:sz w:val="24"/>
        </w:rPr>
        <w:t>-1</w:t>
      </w:r>
      <w:r>
        <w:rPr>
          <w:sz w:val="24"/>
        </w:rPr>
        <w:t>），厂区下游为在持续运移</w:t>
      </w:r>
      <w:r>
        <w:rPr>
          <w:sz w:val="24"/>
        </w:rPr>
        <w:t>5000d</w:t>
      </w:r>
      <w:r>
        <w:rPr>
          <w:sz w:val="24"/>
        </w:rPr>
        <w:t>的距离</w:t>
      </w:r>
      <w:r>
        <w:rPr>
          <w:sz w:val="24"/>
        </w:rPr>
        <w:t>L</w:t>
      </w:r>
      <w:r>
        <w:rPr>
          <w:sz w:val="24"/>
        </w:rPr>
        <w:t>，场地两侧距离不得小于</w:t>
      </w:r>
      <w:r>
        <w:rPr>
          <w:sz w:val="24"/>
        </w:rPr>
        <w:t>L/2</w:t>
      </w:r>
      <w:r>
        <w:rPr>
          <w:sz w:val="24"/>
        </w:rPr>
        <w:t>，上游距离根据评价需求确定。</w:t>
      </w:r>
    </w:p>
    <w:p w:rsidR="00DB7CC8" w:rsidRDefault="002B5250">
      <w:pPr>
        <w:ind w:firstLine="480"/>
        <w:rPr>
          <w:sz w:val="24"/>
          <w:szCs w:val="24"/>
        </w:rPr>
      </w:pPr>
      <w:r>
        <w:rPr>
          <w:position w:val="-12"/>
          <w:sz w:val="24"/>
          <w:szCs w:val="24"/>
        </w:rPr>
        <w:object w:dxaOrig="1968" w:dyaOrig="3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4pt;height:18.6pt" o:ole="">
            <v:imagedata r:id="rId20" o:title=""/>
          </v:shape>
          <o:OLEObject Type="Embed" ProgID="Equation.3" ShapeID="_x0000_i1025" DrawAspect="Content" ObjectID="_1772523722" r:id="rId21"/>
        </w:object>
      </w:r>
      <w:r>
        <w:rPr>
          <w:sz w:val="24"/>
          <w:szCs w:val="24"/>
        </w:rPr>
        <w:t xml:space="preserve">                          </w:t>
      </w:r>
      <w:r>
        <w:rPr>
          <w:sz w:val="24"/>
          <w:szCs w:val="24"/>
        </w:rPr>
        <w:t>（</w:t>
      </w:r>
      <w:r>
        <w:rPr>
          <w:sz w:val="24"/>
          <w:szCs w:val="24"/>
        </w:rPr>
        <w:t>2.5-1</w:t>
      </w:r>
      <w:r>
        <w:rPr>
          <w:sz w:val="24"/>
          <w:szCs w:val="24"/>
        </w:rPr>
        <w:t>）</w:t>
      </w:r>
    </w:p>
    <w:p w:rsidR="00DB7CC8" w:rsidRDefault="002B5250">
      <w:pPr>
        <w:snapToGrid w:val="0"/>
        <w:ind w:firstLine="480"/>
        <w:rPr>
          <w:sz w:val="24"/>
        </w:rPr>
      </w:pPr>
      <w:r>
        <w:rPr>
          <w:sz w:val="24"/>
        </w:rPr>
        <w:t>式中，</w:t>
      </w:r>
      <w:r>
        <w:rPr>
          <w:rFonts w:hint="eastAsia"/>
          <w:sz w:val="24"/>
        </w:rPr>
        <w:t>L</w:t>
      </w:r>
      <w:r>
        <w:rPr>
          <w:sz w:val="24"/>
        </w:rPr>
        <w:t>—</w:t>
      </w:r>
      <w:r>
        <w:rPr>
          <w:rFonts w:hint="eastAsia"/>
          <w:sz w:val="24"/>
        </w:rPr>
        <w:t>下游迁移距离</w:t>
      </w:r>
      <w:r>
        <w:rPr>
          <w:sz w:val="24"/>
        </w:rPr>
        <w:t>，</w:t>
      </w:r>
      <w:r>
        <w:rPr>
          <w:sz w:val="24"/>
        </w:rPr>
        <w:t>m</w:t>
      </w:r>
      <w:r>
        <w:rPr>
          <w:sz w:val="24"/>
        </w:rPr>
        <w:t>；</w:t>
      </w:r>
    </w:p>
    <w:p w:rsidR="00DB7CC8" w:rsidRDefault="002B5250">
      <w:pPr>
        <w:snapToGrid w:val="0"/>
        <w:ind w:firstLine="480"/>
        <w:rPr>
          <w:sz w:val="24"/>
        </w:rPr>
      </w:pPr>
      <w:r>
        <w:rPr>
          <w:sz w:val="24"/>
        </w:rPr>
        <w:t>a—</w:t>
      </w:r>
      <w:r>
        <w:rPr>
          <w:sz w:val="24"/>
        </w:rPr>
        <w:t>安全系数，</w:t>
      </w:r>
      <w:r>
        <w:rPr>
          <w:sz w:val="24"/>
        </w:rPr>
        <w:t>a≥1</w:t>
      </w:r>
      <w:r>
        <w:rPr>
          <w:sz w:val="24"/>
        </w:rPr>
        <w:t>，一般取，</w:t>
      </w:r>
      <w:r>
        <w:rPr>
          <w:sz w:val="24"/>
        </w:rPr>
        <w:t>2.0</w:t>
      </w:r>
      <w:r>
        <w:rPr>
          <w:sz w:val="24"/>
        </w:rPr>
        <w:t>；</w:t>
      </w:r>
    </w:p>
    <w:p w:rsidR="00DB7CC8" w:rsidRDefault="002B5250">
      <w:pPr>
        <w:snapToGrid w:val="0"/>
        <w:ind w:firstLine="480"/>
        <w:rPr>
          <w:sz w:val="24"/>
        </w:rPr>
      </w:pPr>
      <w:r>
        <w:rPr>
          <w:sz w:val="24"/>
        </w:rPr>
        <w:t>K—</w:t>
      </w:r>
      <w:r>
        <w:rPr>
          <w:sz w:val="24"/>
        </w:rPr>
        <w:t>含水层渗透系数，</w:t>
      </w:r>
      <w:r>
        <w:rPr>
          <w:sz w:val="24"/>
        </w:rPr>
        <w:t>m/d</w:t>
      </w:r>
      <w:r>
        <w:rPr>
          <w:sz w:val="24"/>
        </w:rPr>
        <w:t>；</w:t>
      </w:r>
    </w:p>
    <w:p w:rsidR="00DB7CC8" w:rsidRDefault="002B5250">
      <w:pPr>
        <w:snapToGrid w:val="0"/>
        <w:ind w:firstLine="480"/>
        <w:rPr>
          <w:sz w:val="24"/>
        </w:rPr>
      </w:pPr>
      <w:r>
        <w:rPr>
          <w:sz w:val="24"/>
        </w:rPr>
        <w:t>I—</w:t>
      </w:r>
      <w:r>
        <w:rPr>
          <w:sz w:val="24"/>
        </w:rPr>
        <w:t>水力梯度，无量纲；</w:t>
      </w:r>
    </w:p>
    <w:p w:rsidR="00DB7CC8" w:rsidRDefault="002B5250">
      <w:pPr>
        <w:snapToGrid w:val="0"/>
        <w:ind w:firstLine="480"/>
        <w:rPr>
          <w:sz w:val="24"/>
        </w:rPr>
      </w:pPr>
      <w:r>
        <w:rPr>
          <w:sz w:val="24"/>
        </w:rPr>
        <w:t>T—</w:t>
      </w:r>
      <w:r>
        <w:rPr>
          <w:sz w:val="24"/>
        </w:rPr>
        <w:t>质点迁移天数，在此取值为</w:t>
      </w:r>
      <w:r>
        <w:rPr>
          <w:rFonts w:hint="eastAsia"/>
          <w:sz w:val="24"/>
        </w:rPr>
        <w:t>5</w:t>
      </w:r>
      <w:r>
        <w:rPr>
          <w:sz w:val="24"/>
        </w:rPr>
        <w:t>000d</w:t>
      </w:r>
      <w:r>
        <w:rPr>
          <w:sz w:val="24"/>
        </w:rPr>
        <w:t>；</w:t>
      </w:r>
    </w:p>
    <w:p w:rsidR="00DB7CC8" w:rsidRDefault="002B5250">
      <w:pPr>
        <w:snapToGrid w:val="0"/>
        <w:ind w:firstLine="480"/>
        <w:rPr>
          <w:sz w:val="24"/>
        </w:rPr>
      </w:pPr>
      <w:r>
        <w:rPr>
          <w:sz w:val="24"/>
        </w:rPr>
        <w:t>n</w:t>
      </w:r>
      <w:r>
        <w:rPr>
          <w:sz w:val="24"/>
          <w:vertAlign w:val="subscript"/>
        </w:rPr>
        <w:t>e</w:t>
      </w:r>
      <w:r>
        <w:rPr>
          <w:sz w:val="24"/>
        </w:rPr>
        <w:t>—</w:t>
      </w:r>
      <w:r>
        <w:rPr>
          <w:sz w:val="24"/>
        </w:rPr>
        <w:t>有效孔隙度，无量纲。</w:t>
      </w:r>
    </w:p>
    <w:p w:rsidR="00DB7CC8" w:rsidRDefault="002B5250">
      <w:pPr>
        <w:ind w:firstLine="480"/>
        <w:rPr>
          <w:sz w:val="24"/>
          <w:szCs w:val="24"/>
        </w:rPr>
      </w:pPr>
      <w:r>
        <w:rPr>
          <w:rFonts w:hint="eastAsia"/>
          <w:sz w:val="24"/>
          <w:szCs w:val="24"/>
        </w:rPr>
        <w:t>渗透系数采用</w:t>
      </w:r>
      <w:r>
        <w:rPr>
          <w:rFonts w:hint="eastAsia"/>
          <w:sz w:val="24"/>
          <w:szCs w:val="24"/>
        </w:rPr>
        <w:t>19m/d</w:t>
      </w:r>
      <w:r>
        <w:rPr>
          <w:rFonts w:hint="eastAsia"/>
          <w:sz w:val="24"/>
          <w:szCs w:val="24"/>
        </w:rPr>
        <w:t>，安全系数为</w:t>
      </w:r>
      <w:r>
        <w:rPr>
          <w:rFonts w:hint="eastAsia"/>
          <w:sz w:val="24"/>
          <w:szCs w:val="24"/>
        </w:rPr>
        <w:t>2.0</w:t>
      </w:r>
      <w:r>
        <w:rPr>
          <w:rFonts w:hint="eastAsia"/>
          <w:sz w:val="24"/>
          <w:szCs w:val="24"/>
        </w:rPr>
        <w:t>，水力梯度为</w:t>
      </w:r>
      <w:r>
        <w:rPr>
          <w:rFonts w:hint="eastAsia"/>
          <w:sz w:val="24"/>
          <w:szCs w:val="24"/>
        </w:rPr>
        <w:t>4.3</w:t>
      </w:r>
      <w:r>
        <w:rPr>
          <w:sz w:val="24"/>
          <w:szCs w:val="24"/>
        </w:rPr>
        <w:t>‰</w:t>
      </w:r>
      <w:r>
        <w:rPr>
          <w:rFonts w:hint="eastAsia"/>
          <w:sz w:val="24"/>
          <w:szCs w:val="24"/>
        </w:rPr>
        <w:t>，有效孔隙度为</w:t>
      </w:r>
      <w:r>
        <w:rPr>
          <w:rFonts w:hint="eastAsia"/>
          <w:sz w:val="24"/>
          <w:szCs w:val="24"/>
        </w:rPr>
        <w:t>0.18</w:t>
      </w:r>
      <w:r>
        <w:rPr>
          <w:rFonts w:hint="eastAsia"/>
          <w:sz w:val="24"/>
          <w:szCs w:val="24"/>
        </w:rPr>
        <w:t>，通过计算地下水下游距离</w:t>
      </w:r>
      <w:r>
        <w:rPr>
          <w:rFonts w:hint="eastAsia"/>
          <w:sz w:val="24"/>
          <w:szCs w:val="24"/>
        </w:rPr>
        <w:t>L</w:t>
      </w:r>
      <w:r>
        <w:rPr>
          <w:rFonts w:hint="eastAsia"/>
          <w:sz w:val="24"/>
          <w:szCs w:val="24"/>
        </w:rPr>
        <w:t>为</w:t>
      </w:r>
      <w:r>
        <w:rPr>
          <w:rFonts w:hint="eastAsia"/>
          <w:sz w:val="24"/>
          <w:szCs w:val="24"/>
        </w:rPr>
        <w:t>4.5km</w:t>
      </w:r>
      <w:r>
        <w:rPr>
          <w:sz w:val="24"/>
          <w:szCs w:val="24"/>
        </w:rPr>
        <w:t>。</w:t>
      </w:r>
    </w:p>
    <w:p w:rsidR="00DB7CC8" w:rsidRDefault="002B5250">
      <w:pPr>
        <w:ind w:firstLine="480"/>
        <w:rPr>
          <w:sz w:val="24"/>
          <w:szCs w:val="24"/>
        </w:rPr>
      </w:pPr>
      <w:r>
        <w:rPr>
          <w:sz w:val="24"/>
          <w:szCs w:val="24"/>
        </w:rPr>
        <w:t>根据本区地质及水文地质条件，同时考虑拟建项目对地下水环境影响范围及影响程度，</w:t>
      </w:r>
      <w:r>
        <w:rPr>
          <w:rFonts w:hint="eastAsia"/>
          <w:sz w:val="24"/>
          <w:szCs w:val="24"/>
        </w:rPr>
        <w:t>评价</w:t>
      </w:r>
      <w:r>
        <w:rPr>
          <w:sz w:val="24"/>
          <w:szCs w:val="24"/>
        </w:rPr>
        <w:t>区</w:t>
      </w:r>
      <w:r>
        <w:rPr>
          <w:rFonts w:hint="eastAsia"/>
          <w:sz w:val="24"/>
          <w:szCs w:val="24"/>
        </w:rPr>
        <w:t>北、南、东</w:t>
      </w:r>
      <w:r>
        <w:rPr>
          <w:sz w:val="24"/>
          <w:szCs w:val="24"/>
        </w:rPr>
        <w:t>部</w:t>
      </w:r>
      <w:r>
        <w:rPr>
          <w:rFonts w:hint="eastAsia"/>
          <w:sz w:val="24"/>
          <w:szCs w:val="24"/>
        </w:rPr>
        <w:t>边界均选择山区和平原界线处，西部下游边界按前面计算的</w:t>
      </w:r>
      <w:r>
        <w:rPr>
          <w:rFonts w:hint="eastAsia"/>
          <w:sz w:val="24"/>
          <w:szCs w:val="24"/>
        </w:rPr>
        <w:t>L</w:t>
      </w:r>
      <w:r>
        <w:rPr>
          <w:rFonts w:hint="eastAsia"/>
          <w:sz w:val="24"/>
          <w:szCs w:val="24"/>
        </w:rPr>
        <w:t>结果，取距厂区</w:t>
      </w:r>
      <w:r>
        <w:rPr>
          <w:rFonts w:hint="eastAsia"/>
          <w:sz w:val="24"/>
          <w:szCs w:val="24"/>
        </w:rPr>
        <w:t>4.5km</w:t>
      </w:r>
      <w:r>
        <w:rPr>
          <w:rFonts w:hint="eastAsia"/>
          <w:sz w:val="24"/>
          <w:szCs w:val="24"/>
        </w:rPr>
        <w:t>处鸿鸭屯村——王老庄村一线，整体形成一个局部的水文地质小单元，评价区面积约为</w:t>
      </w:r>
      <w:r>
        <w:rPr>
          <w:rFonts w:hint="eastAsia"/>
          <w:sz w:val="24"/>
          <w:szCs w:val="24"/>
        </w:rPr>
        <w:t>16km</w:t>
      </w:r>
      <w:r>
        <w:rPr>
          <w:rFonts w:hint="eastAsia"/>
          <w:sz w:val="24"/>
          <w:szCs w:val="24"/>
          <w:vertAlign w:val="superscript"/>
        </w:rPr>
        <w:t>2</w:t>
      </w:r>
      <w:r>
        <w:rPr>
          <w:rFonts w:hint="eastAsia"/>
          <w:sz w:val="24"/>
          <w:szCs w:val="24"/>
        </w:rPr>
        <w:t>，满足导则对地下水二级评价的要求。</w:t>
      </w:r>
    </w:p>
    <w:p w:rsidR="00DB7CC8" w:rsidRDefault="002B5250">
      <w:pPr>
        <w:widowControl/>
        <w:ind w:firstLineChars="0" w:firstLine="0"/>
        <w:jc w:val="center"/>
      </w:pPr>
      <w:r>
        <w:rPr>
          <w:noProof/>
        </w:rPr>
        <w:lastRenderedPageBreak/>
        <w:drawing>
          <wp:inline distT="0" distB="0" distL="114300" distR="114300">
            <wp:extent cx="3710940" cy="2603500"/>
            <wp:effectExtent l="0" t="0" r="3810" b="6350"/>
            <wp:docPr id="1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
                    <pic:cNvPicPr>
                      <a:picLocks noChangeAspect="1"/>
                    </pic:cNvPicPr>
                  </pic:nvPicPr>
                  <pic:blipFill>
                    <a:blip r:embed="rId22"/>
                    <a:srcRect l="5575" t="4936" r="7827"/>
                    <a:stretch>
                      <a:fillRect/>
                    </a:stretch>
                  </pic:blipFill>
                  <pic:spPr>
                    <a:xfrm>
                      <a:off x="0" y="0"/>
                      <a:ext cx="3729377" cy="2616579"/>
                    </a:xfrm>
                    <a:prstGeom prst="rect">
                      <a:avLst/>
                    </a:prstGeom>
                    <a:noFill/>
                    <a:ln w="9525">
                      <a:noFill/>
                    </a:ln>
                  </pic:spPr>
                </pic:pic>
              </a:graphicData>
            </a:graphic>
          </wp:inline>
        </w:drawing>
      </w:r>
    </w:p>
    <w:p w:rsidR="00DB7CC8" w:rsidRDefault="002B5250">
      <w:pPr>
        <w:autoSpaceDE w:val="0"/>
        <w:autoSpaceDN w:val="0"/>
        <w:snapToGrid w:val="0"/>
        <w:spacing w:line="240" w:lineRule="auto"/>
        <w:ind w:firstLineChars="0" w:firstLine="420"/>
        <w:jc w:val="center"/>
        <w:textAlignment w:val="auto"/>
        <w:rPr>
          <w:rFonts w:eastAsia="黑体"/>
          <w:sz w:val="21"/>
          <w:szCs w:val="24"/>
        </w:rPr>
      </w:pPr>
      <w:r>
        <w:rPr>
          <w:rFonts w:eastAsia="黑体" w:hint="eastAsia"/>
          <w:sz w:val="21"/>
          <w:szCs w:val="24"/>
        </w:rPr>
        <w:t>图</w:t>
      </w:r>
      <w:r>
        <w:rPr>
          <w:rFonts w:eastAsia="黑体" w:hint="eastAsia"/>
          <w:sz w:val="21"/>
          <w:szCs w:val="24"/>
        </w:rPr>
        <w:t xml:space="preserve">2.4-1    </w:t>
      </w:r>
      <w:r>
        <w:rPr>
          <w:rFonts w:eastAsia="黑体" w:hint="eastAsia"/>
          <w:sz w:val="21"/>
          <w:szCs w:val="24"/>
        </w:rPr>
        <w:t>项目地下水环境评价范围图</w:t>
      </w:r>
    </w:p>
    <w:p w:rsidR="00DB7CC8" w:rsidRDefault="002B5250">
      <w:pPr>
        <w:pStyle w:val="4"/>
        <w:numPr>
          <w:ilvl w:val="3"/>
          <w:numId w:val="1"/>
        </w:numPr>
        <w:ind w:left="709" w:hanging="709"/>
        <w:rPr>
          <w:rFonts w:eastAsia="宋体"/>
          <w:b/>
        </w:rPr>
      </w:pPr>
      <w:r>
        <w:rPr>
          <w:rFonts w:eastAsia="宋体"/>
          <w:b/>
        </w:rPr>
        <w:t>声环境</w:t>
      </w:r>
    </w:p>
    <w:p w:rsidR="00DB7CC8" w:rsidRDefault="002B5250">
      <w:pPr>
        <w:ind w:firstLine="480"/>
        <w:jc w:val="both"/>
        <w:rPr>
          <w:sz w:val="24"/>
          <w:szCs w:val="24"/>
        </w:rPr>
      </w:pPr>
      <w:r>
        <w:rPr>
          <w:sz w:val="24"/>
          <w:szCs w:val="24"/>
        </w:rPr>
        <w:t>根据《环境影响评价技术导则声环境》（</w:t>
      </w:r>
      <w:r>
        <w:rPr>
          <w:sz w:val="24"/>
          <w:szCs w:val="24"/>
        </w:rPr>
        <w:t>HJ2.4-2009</w:t>
      </w:r>
      <w:r>
        <w:rPr>
          <w:sz w:val="24"/>
          <w:szCs w:val="24"/>
        </w:rPr>
        <w:t>）中评价范围的相关规定，本次声环境评价范围为选矿厂厂界外</w:t>
      </w:r>
      <w:r>
        <w:rPr>
          <w:rFonts w:hint="eastAsia"/>
          <w:sz w:val="24"/>
          <w:szCs w:val="24"/>
        </w:rPr>
        <w:t>1</w:t>
      </w:r>
      <w:r>
        <w:rPr>
          <w:sz w:val="24"/>
          <w:szCs w:val="24"/>
        </w:rPr>
        <w:t>m</w:t>
      </w:r>
      <w:r>
        <w:rPr>
          <w:sz w:val="24"/>
          <w:szCs w:val="24"/>
        </w:rPr>
        <w:t>范围。</w:t>
      </w:r>
    </w:p>
    <w:p w:rsidR="00DB7CC8" w:rsidRDefault="002B5250">
      <w:pPr>
        <w:pStyle w:val="4"/>
        <w:numPr>
          <w:ilvl w:val="3"/>
          <w:numId w:val="1"/>
        </w:numPr>
        <w:ind w:left="709" w:hanging="709"/>
        <w:rPr>
          <w:rFonts w:eastAsia="宋体"/>
          <w:b/>
        </w:rPr>
      </w:pPr>
      <w:r>
        <w:rPr>
          <w:rFonts w:eastAsia="宋体" w:hint="eastAsia"/>
          <w:b/>
        </w:rPr>
        <w:t>土壤环境</w:t>
      </w:r>
    </w:p>
    <w:p w:rsidR="00DB7CC8" w:rsidRDefault="002B5250">
      <w:pPr>
        <w:ind w:firstLine="480"/>
        <w:jc w:val="both"/>
        <w:rPr>
          <w:sz w:val="24"/>
          <w:szCs w:val="24"/>
        </w:rPr>
      </w:pPr>
      <w:r>
        <w:rPr>
          <w:rFonts w:hint="eastAsia"/>
          <w:sz w:val="24"/>
          <w:szCs w:val="24"/>
        </w:rPr>
        <w:t>根据《环境影响评价技术导则·</w:t>
      </w:r>
      <w:r>
        <w:rPr>
          <w:rFonts w:hint="eastAsia"/>
          <w:sz w:val="24"/>
          <w:szCs w:val="24"/>
        </w:rPr>
        <w:t xml:space="preserve"> </w:t>
      </w:r>
      <w:r>
        <w:rPr>
          <w:rFonts w:hint="eastAsia"/>
          <w:sz w:val="24"/>
          <w:szCs w:val="24"/>
        </w:rPr>
        <w:t>土壤环境（试行）》</w:t>
      </w:r>
      <w:r>
        <w:rPr>
          <w:rFonts w:hint="eastAsia"/>
          <w:sz w:val="24"/>
          <w:szCs w:val="24"/>
        </w:rPr>
        <w:t>(HJ964-2018)</w:t>
      </w:r>
      <w:r>
        <w:rPr>
          <w:rFonts w:hint="eastAsia"/>
          <w:sz w:val="24"/>
          <w:szCs w:val="24"/>
        </w:rPr>
        <w:t>中评价范围的相关规定，本次土壤环境评价范围为选矿厂占地范围及厂界外</w:t>
      </w:r>
      <w:r>
        <w:rPr>
          <w:rFonts w:hint="eastAsia"/>
          <w:sz w:val="24"/>
          <w:szCs w:val="24"/>
        </w:rPr>
        <w:t>0.05m</w:t>
      </w:r>
      <w:r>
        <w:rPr>
          <w:rFonts w:hint="eastAsia"/>
          <w:sz w:val="24"/>
          <w:szCs w:val="24"/>
        </w:rPr>
        <w:t>范围内。</w:t>
      </w:r>
    </w:p>
    <w:p w:rsidR="00DB7CC8" w:rsidRDefault="002B5250">
      <w:pPr>
        <w:pStyle w:val="4"/>
        <w:numPr>
          <w:ilvl w:val="3"/>
          <w:numId w:val="1"/>
        </w:numPr>
        <w:ind w:left="709" w:hanging="709"/>
        <w:rPr>
          <w:rFonts w:eastAsia="宋体"/>
          <w:b/>
        </w:rPr>
      </w:pPr>
      <w:r>
        <w:rPr>
          <w:rFonts w:eastAsia="宋体"/>
          <w:b/>
        </w:rPr>
        <w:t>生态环境</w:t>
      </w:r>
    </w:p>
    <w:p w:rsidR="00DB7CC8" w:rsidRDefault="002B5250">
      <w:pPr>
        <w:ind w:firstLine="480"/>
        <w:jc w:val="both"/>
        <w:rPr>
          <w:sz w:val="24"/>
          <w:szCs w:val="24"/>
        </w:rPr>
      </w:pPr>
      <w:r>
        <w:rPr>
          <w:sz w:val="24"/>
          <w:szCs w:val="24"/>
        </w:rPr>
        <w:t>根据《环境影响评价技术导则生态环境》（</w:t>
      </w:r>
      <w:r>
        <w:rPr>
          <w:sz w:val="24"/>
          <w:szCs w:val="24"/>
        </w:rPr>
        <w:t>HJ19-2011</w:t>
      </w:r>
      <w:r>
        <w:rPr>
          <w:sz w:val="24"/>
          <w:szCs w:val="24"/>
        </w:rPr>
        <w:t>）评价工作范围的规定，结合本工程的特点、项目所处的地理位置及当地的自然、社会环境条件，确定项目生态影响分析的范围为项目厂区。</w:t>
      </w:r>
    </w:p>
    <w:p w:rsidR="00DB7CC8" w:rsidRDefault="002B5250">
      <w:pPr>
        <w:ind w:firstLine="480"/>
        <w:jc w:val="both"/>
        <w:rPr>
          <w:sz w:val="24"/>
          <w:szCs w:val="24"/>
        </w:rPr>
      </w:pPr>
      <w:r>
        <w:rPr>
          <w:sz w:val="24"/>
          <w:szCs w:val="24"/>
        </w:rPr>
        <w:t>各环境要素评价等级及评价范围一览表如表</w:t>
      </w:r>
      <w:r>
        <w:rPr>
          <w:sz w:val="24"/>
          <w:szCs w:val="24"/>
        </w:rPr>
        <w:t>2.</w:t>
      </w:r>
      <w:r>
        <w:rPr>
          <w:rFonts w:hint="eastAsia"/>
          <w:sz w:val="24"/>
          <w:szCs w:val="24"/>
        </w:rPr>
        <w:t>4-18</w:t>
      </w:r>
      <w:r>
        <w:rPr>
          <w:sz w:val="24"/>
          <w:szCs w:val="24"/>
        </w:rPr>
        <w:t>。</w:t>
      </w:r>
    </w:p>
    <w:p w:rsidR="00DB7CC8" w:rsidRDefault="002B5250">
      <w:pPr>
        <w:widowControl/>
        <w:spacing w:line="240" w:lineRule="auto"/>
        <w:ind w:firstLineChars="0" w:firstLine="0"/>
        <w:jc w:val="center"/>
        <w:textAlignment w:val="auto"/>
        <w:rPr>
          <w:rFonts w:eastAsia="黑体"/>
          <w:sz w:val="21"/>
          <w:szCs w:val="24"/>
        </w:rPr>
      </w:pPr>
      <w:r>
        <w:rPr>
          <w:rFonts w:eastAsia="黑体"/>
          <w:sz w:val="21"/>
          <w:szCs w:val="24"/>
        </w:rPr>
        <w:t>表</w:t>
      </w:r>
      <w:r>
        <w:rPr>
          <w:rFonts w:eastAsia="黑体" w:hint="eastAsia"/>
          <w:sz w:val="21"/>
          <w:szCs w:val="24"/>
        </w:rPr>
        <w:t xml:space="preserve">2.4-18  </w:t>
      </w:r>
      <w:r>
        <w:rPr>
          <w:rFonts w:eastAsia="黑体"/>
          <w:sz w:val="21"/>
          <w:szCs w:val="24"/>
        </w:rPr>
        <w:t>各环境要素评价等级及评价范围一览表</w:t>
      </w:r>
    </w:p>
    <w:tbl>
      <w:tblPr>
        <w:tblW w:w="8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7"/>
        <w:gridCol w:w="1356"/>
        <w:gridCol w:w="1144"/>
        <w:gridCol w:w="5151"/>
      </w:tblGrid>
      <w:tr w:rsidR="00DB7CC8">
        <w:trPr>
          <w:trHeight w:val="340"/>
          <w:tblHeader/>
          <w:jc w:val="center"/>
        </w:trPr>
        <w:tc>
          <w:tcPr>
            <w:tcW w:w="877" w:type="dxa"/>
            <w:tcBorders>
              <w:tl2br w:val="nil"/>
              <w:tr2bl w:val="nil"/>
            </w:tcBorders>
            <w:vAlign w:val="center"/>
          </w:tcPr>
          <w:p w:rsidR="00DB7CC8" w:rsidRDefault="002B5250">
            <w:pPr>
              <w:spacing w:line="240" w:lineRule="auto"/>
              <w:ind w:firstLineChars="0" w:firstLine="0"/>
              <w:jc w:val="center"/>
              <w:rPr>
                <w:kern w:val="24"/>
                <w:sz w:val="21"/>
                <w:szCs w:val="21"/>
              </w:rPr>
            </w:pPr>
            <w:r>
              <w:rPr>
                <w:kern w:val="24"/>
                <w:sz w:val="21"/>
                <w:szCs w:val="21"/>
              </w:rPr>
              <w:t>序号</w:t>
            </w:r>
          </w:p>
        </w:tc>
        <w:tc>
          <w:tcPr>
            <w:tcW w:w="1356" w:type="dxa"/>
            <w:tcBorders>
              <w:tl2br w:val="nil"/>
              <w:tr2bl w:val="nil"/>
            </w:tcBorders>
            <w:vAlign w:val="center"/>
          </w:tcPr>
          <w:p w:rsidR="00DB7CC8" w:rsidRDefault="002B5250">
            <w:pPr>
              <w:spacing w:line="240" w:lineRule="auto"/>
              <w:ind w:firstLineChars="0" w:firstLine="0"/>
              <w:jc w:val="center"/>
              <w:rPr>
                <w:kern w:val="24"/>
                <w:sz w:val="21"/>
                <w:szCs w:val="21"/>
              </w:rPr>
            </w:pPr>
            <w:r>
              <w:rPr>
                <w:kern w:val="24"/>
                <w:sz w:val="21"/>
                <w:szCs w:val="21"/>
              </w:rPr>
              <w:t>环境要素</w:t>
            </w:r>
          </w:p>
        </w:tc>
        <w:tc>
          <w:tcPr>
            <w:tcW w:w="1144" w:type="dxa"/>
            <w:tcBorders>
              <w:tl2br w:val="nil"/>
              <w:tr2bl w:val="nil"/>
            </w:tcBorders>
            <w:vAlign w:val="center"/>
          </w:tcPr>
          <w:p w:rsidR="00DB7CC8" w:rsidRDefault="002B5250">
            <w:pPr>
              <w:spacing w:line="240" w:lineRule="auto"/>
              <w:ind w:firstLineChars="0" w:firstLine="0"/>
              <w:jc w:val="center"/>
              <w:rPr>
                <w:kern w:val="24"/>
                <w:sz w:val="21"/>
                <w:szCs w:val="21"/>
              </w:rPr>
            </w:pPr>
            <w:r>
              <w:rPr>
                <w:kern w:val="24"/>
                <w:sz w:val="21"/>
                <w:szCs w:val="21"/>
              </w:rPr>
              <w:t>评价等级</w:t>
            </w:r>
          </w:p>
        </w:tc>
        <w:tc>
          <w:tcPr>
            <w:tcW w:w="5151" w:type="dxa"/>
            <w:tcBorders>
              <w:tl2br w:val="nil"/>
              <w:tr2bl w:val="nil"/>
            </w:tcBorders>
            <w:vAlign w:val="center"/>
          </w:tcPr>
          <w:p w:rsidR="00DB7CC8" w:rsidRDefault="002B5250">
            <w:pPr>
              <w:spacing w:line="240" w:lineRule="auto"/>
              <w:ind w:firstLineChars="0" w:firstLine="0"/>
              <w:jc w:val="center"/>
              <w:rPr>
                <w:kern w:val="24"/>
                <w:sz w:val="21"/>
                <w:szCs w:val="21"/>
              </w:rPr>
            </w:pPr>
            <w:r>
              <w:rPr>
                <w:kern w:val="24"/>
                <w:sz w:val="21"/>
                <w:szCs w:val="21"/>
              </w:rPr>
              <w:t>评价范围</w:t>
            </w:r>
          </w:p>
        </w:tc>
      </w:tr>
      <w:tr w:rsidR="00DB7CC8">
        <w:trPr>
          <w:trHeight w:val="340"/>
          <w:jc w:val="center"/>
        </w:trPr>
        <w:tc>
          <w:tcPr>
            <w:tcW w:w="877" w:type="dxa"/>
            <w:tcBorders>
              <w:tl2br w:val="nil"/>
              <w:tr2bl w:val="nil"/>
            </w:tcBorders>
            <w:vAlign w:val="center"/>
          </w:tcPr>
          <w:p w:rsidR="00DB7CC8" w:rsidRDefault="002B5250">
            <w:pPr>
              <w:spacing w:line="240" w:lineRule="auto"/>
              <w:ind w:firstLineChars="0" w:firstLine="0"/>
              <w:jc w:val="center"/>
              <w:rPr>
                <w:kern w:val="24"/>
                <w:sz w:val="21"/>
                <w:szCs w:val="21"/>
              </w:rPr>
            </w:pPr>
            <w:r>
              <w:rPr>
                <w:kern w:val="24"/>
                <w:sz w:val="21"/>
                <w:szCs w:val="21"/>
              </w:rPr>
              <w:t>1</w:t>
            </w:r>
          </w:p>
        </w:tc>
        <w:tc>
          <w:tcPr>
            <w:tcW w:w="1356" w:type="dxa"/>
            <w:tcBorders>
              <w:tl2br w:val="nil"/>
              <w:tr2bl w:val="nil"/>
            </w:tcBorders>
            <w:vAlign w:val="center"/>
          </w:tcPr>
          <w:p w:rsidR="00DB7CC8" w:rsidRDefault="002B5250">
            <w:pPr>
              <w:spacing w:line="240" w:lineRule="auto"/>
              <w:ind w:firstLineChars="0" w:firstLine="0"/>
              <w:jc w:val="center"/>
              <w:rPr>
                <w:kern w:val="24"/>
                <w:sz w:val="21"/>
                <w:szCs w:val="21"/>
              </w:rPr>
            </w:pPr>
            <w:r>
              <w:rPr>
                <w:kern w:val="24"/>
                <w:sz w:val="21"/>
                <w:szCs w:val="21"/>
              </w:rPr>
              <w:t>大气环境</w:t>
            </w:r>
          </w:p>
        </w:tc>
        <w:tc>
          <w:tcPr>
            <w:tcW w:w="1144" w:type="dxa"/>
            <w:tcBorders>
              <w:tl2br w:val="nil"/>
              <w:tr2bl w:val="nil"/>
            </w:tcBorders>
            <w:vAlign w:val="center"/>
          </w:tcPr>
          <w:p w:rsidR="00DB7CC8" w:rsidRDefault="002B5250">
            <w:pPr>
              <w:spacing w:line="240" w:lineRule="auto"/>
              <w:ind w:firstLineChars="0" w:firstLine="0"/>
              <w:jc w:val="center"/>
              <w:rPr>
                <w:kern w:val="24"/>
                <w:sz w:val="21"/>
                <w:szCs w:val="21"/>
              </w:rPr>
            </w:pPr>
            <w:r>
              <w:rPr>
                <w:kern w:val="24"/>
                <w:sz w:val="21"/>
                <w:szCs w:val="21"/>
              </w:rPr>
              <w:t>二级</w:t>
            </w:r>
          </w:p>
        </w:tc>
        <w:tc>
          <w:tcPr>
            <w:tcW w:w="5151" w:type="dxa"/>
            <w:tcBorders>
              <w:tl2br w:val="nil"/>
              <w:tr2bl w:val="nil"/>
            </w:tcBorders>
            <w:vAlign w:val="center"/>
          </w:tcPr>
          <w:p w:rsidR="00DB7CC8" w:rsidRDefault="002B5250">
            <w:pPr>
              <w:spacing w:line="240" w:lineRule="auto"/>
              <w:ind w:firstLineChars="0" w:firstLine="0"/>
              <w:jc w:val="center"/>
              <w:rPr>
                <w:kern w:val="24"/>
                <w:sz w:val="21"/>
                <w:szCs w:val="21"/>
              </w:rPr>
            </w:pPr>
            <w:r>
              <w:rPr>
                <w:kern w:val="24"/>
                <w:sz w:val="21"/>
                <w:szCs w:val="21"/>
              </w:rPr>
              <w:t>以厂区为中心，边长为</w:t>
            </w:r>
            <w:r>
              <w:rPr>
                <w:kern w:val="24"/>
                <w:sz w:val="21"/>
                <w:szCs w:val="21"/>
              </w:rPr>
              <w:t>5.0km</w:t>
            </w:r>
            <w:r>
              <w:rPr>
                <w:kern w:val="24"/>
                <w:sz w:val="21"/>
                <w:szCs w:val="21"/>
              </w:rPr>
              <w:t>的矩形区域</w:t>
            </w:r>
          </w:p>
        </w:tc>
      </w:tr>
      <w:tr w:rsidR="00DB7CC8">
        <w:trPr>
          <w:trHeight w:val="340"/>
          <w:jc w:val="center"/>
        </w:trPr>
        <w:tc>
          <w:tcPr>
            <w:tcW w:w="877" w:type="dxa"/>
            <w:tcBorders>
              <w:tl2br w:val="nil"/>
              <w:tr2bl w:val="nil"/>
            </w:tcBorders>
            <w:vAlign w:val="center"/>
          </w:tcPr>
          <w:p w:rsidR="00DB7CC8" w:rsidRDefault="002B5250">
            <w:pPr>
              <w:spacing w:line="240" w:lineRule="auto"/>
              <w:ind w:firstLineChars="0" w:firstLine="0"/>
              <w:jc w:val="center"/>
              <w:rPr>
                <w:kern w:val="24"/>
                <w:sz w:val="21"/>
                <w:szCs w:val="21"/>
              </w:rPr>
            </w:pPr>
            <w:r>
              <w:rPr>
                <w:kern w:val="24"/>
                <w:sz w:val="21"/>
                <w:szCs w:val="21"/>
              </w:rPr>
              <w:t>2</w:t>
            </w:r>
          </w:p>
        </w:tc>
        <w:tc>
          <w:tcPr>
            <w:tcW w:w="1356" w:type="dxa"/>
            <w:tcBorders>
              <w:tl2br w:val="nil"/>
              <w:tr2bl w:val="nil"/>
            </w:tcBorders>
            <w:vAlign w:val="center"/>
          </w:tcPr>
          <w:p w:rsidR="00DB7CC8" w:rsidRDefault="002B5250">
            <w:pPr>
              <w:spacing w:line="240" w:lineRule="auto"/>
              <w:ind w:firstLineChars="0" w:firstLine="0"/>
              <w:jc w:val="center"/>
              <w:rPr>
                <w:kern w:val="24"/>
                <w:sz w:val="21"/>
                <w:szCs w:val="21"/>
              </w:rPr>
            </w:pPr>
            <w:r>
              <w:rPr>
                <w:kern w:val="24"/>
                <w:sz w:val="21"/>
                <w:szCs w:val="21"/>
              </w:rPr>
              <w:t>声环境</w:t>
            </w:r>
          </w:p>
        </w:tc>
        <w:tc>
          <w:tcPr>
            <w:tcW w:w="1144" w:type="dxa"/>
            <w:tcBorders>
              <w:tl2br w:val="nil"/>
              <w:tr2bl w:val="nil"/>
            </w:tcBorders>
            <w:vAlign w:val="center"/>
          </w:tcPr>
          <w:p w:rsidR="00DB7CC8" w:rsidRDefault="002B5250">
            <w:pPr>
              <w:spacing w:line="240" w:lineRule="auto"/>
              <w:ind w:firstLineChars="0" w:firstLine="0"/>
              <w:jc w:val="center"/>
              <w:rPr>
                <w:kern w:val="24"/>
                <w:sz w:val="21"/>
                <w:szCs w:val="21"/>
              </w:rPr>
            </w:pPr>
            <w:r>
              <w:rPr>
                <w:kern w:val="24"/>
                <w:sz w:val="21"/>
                <w:szCs w:val="21"/>
              </w:rPr>
              <w:t>二级</w:t>
            </w:r>
          </w:p>
        </w:tc>
        <w:tc>
          <w:tcPr>
            <w:tcW w:w="5151" w:type="dxa"/>
            <w:tcBorders>
              <w:tl2br w:val="nil"/>
              <w:tr2bl w:val="nil"/>
            </w:tcBorders>
            <w:vAlign w:val="center"/>
          </w:tcPr>
          <w:p w:rsidR="00DB7CC8" w:rsidRDefault="002B5250">
            <w:pPr>
              <w:spacing w:line="240" w:lineRule="auto"/>
              <w:ind w:firstLineChars="0" w:firstLine="0"/>
              <w:jc w:val="center"/>
              <w:rPr>
                <w:kern w:val="24"/>
                <w:sz w:val="21"/>
                <w:szCs w:val="21"/>
              </w:rPr>
            </w:pPr>
            <w:r>
              <w:rPr>
                <w:kern w:val="24"/>
                <w:sz w:val="21"/>
                <w:szCs w:val="21"/>
              </w:rPr>
              <w:t>本项目周围边界外延</w:t>
            </w:r>
            <w:r>
              <w:rPr>
                <w:rFonts w:hint="eastAsia"/>
                <w:kern w:val="24"/>
                <w:sz w:val="21"/>
                <w:szCs w:val="21"/>
              </w:rPr>
              <w:t>1</w:t>
            </w:r>
            <w:r>
              <w:rPr>
                <w:kern w:val="24"/>
                <w:sz w:val="21"/>
                <w:szCs w:val="21"/>
              </w:rPr>
              <w:t>m</w:t>
            </w:r>
            <w:r>
              <w:rPr>
                <w:kern w:val="24"/>
                <w:sz w:val="21"/>
                <w:szCs w:val="21"/>
              </w:rPr>
              <w:t>范围</w:t>
            </w:r>
          </w:p>
        </w:tc>
      </w:tr>
      <w:tr w:rsidR="00DB7CC8">
        <w:trPr>
          <w:trHeight w:val="340"/>
          <w:jc w:val="center"/>
        </w:trPr>
        <w:tc>
          <w:tcPr>
            <w:tcW w:w="877" w:type="dxa"/>
            <w:tcBorders>
              <w:tl2br w:val="nil"/>
              <w:tr2bl w:val="nil"/>
            </w:tcBorders>
            <w:vAlign w:val="center"/>
          </w:tcPr>
          <w:p w:rsidR="00DB7CC8" w:rsidRDefault="002B5250">
            <w:pPr>
              <w:spacing w:line="240" w:lineRule="auto"/>
              <w:ind w:firstLineChars="0" w:firstLine="0"/>
              <w:jc w:val="center"/>
              <w:rPr>
                <w:kern w:val="24"/>
                <w:sz w:val="21"/>
                <w:szCs w:val="21"/>
              </w:rPr>
            </w:pPr>
            <w:r>
              <w:rPr>
                <w:kern w:val="24"/>
                <w:sz w:val="21"/>
                <w:szCs w:val="21"/>
              </w:rPr>
              <w:t>3</w:t>
            </w:r>
          </w:p>
        </w:tc>
        <w:tc>
          <w:tcPr>
            <w:tcW w:w="1356" w:type="dxa"/>
            <w:tcBorders>
              <w:tl2br w:val="nil"/>
              <w:tr2bl w:val="nil"/>
            </w:tcBorders>
            <w:vAlign w:val="center"/>
          </w:tcPr>
          <w:p w:rsidR="00DB7CC8" w:rsidRDefault="002B5250">
            <w:pPr>
              <w:spacing w:line="240" w:lineRule="auto"/>
              <w:ind w:firstLineChars="0" w:firstLine="0"/>
              <w:jc w:val="center"/>
              <w:rPr>
                <w:kern w:val="24"/>
                <w:sz w:val="21"/>
                <w:szCs w:val="21"/>
              </w:rPr>
            </w:pPr>
            <w:r>
              <w:rPr>
                <w:rFonts w:hint="eastAsia"/>
                <w:kern w:val="24"/>
                <w:sz w:val="21"/>
                <w:szCs w:val="21"/>
              </w:rPr>
              <w:t>地表水</w:t>
            </w:r>
            <w:r>
              <w:rPr>
                <w:kern w:val="24"/>
                <w:sz w:val="21"/>
                <w:szCs w:val="21"/>
              </w:rPr>
              <w:t xml:space="preserve"> </w:t>
            </w:r>
          </w:p>
        </w:tc>
        <w:tc>
          <w:tcPr>
            <w:tcW w:w="1144" w:type="dxa"/>
            <w:tcBorders>
              <w:tl2br w:val="nil"/>
              <w:tr2bl w:val="nil"/>
            </w:tcBorders>
            <w:vAlign w:val="center"/>
          </w:tcPr>
          <w:p w:rsidR="00DB7CC8" w:rsidRDefault="002B5250">
            <w:pPr>
              <w:spacing w:line="240" w:lineRule="auto"/>
              <w:ind w:firstLineChars="0" w:firstLine="0"/>
              <w:jc w:val="center"/>
              <w:rPr>
                <w:kern w:val="24"/>
                <w:sz w:val="21"/>
                <w:szCs w:val="21"/>
              </w:rPr>
            </w:pPr>
            <w:r>
              <w:rPr>
                <w:rFonts w:hint="eastAsia"/>
                <w:kern w:val="24"/>
                <w:sz w:val="21"/>
                <w:szCs w:val="21"/>
              </w:rPr>
              <w:t>三级</w:t>
            </w:r>
            <w:r>
              <w:rPr>
                <w:rFonts w:hint="eastAsia"/>
                <w:kern w:val="24"/>
                <w:sz w:val="21"/>
                <w:szCs w:val="21"/>
              </w:rPr>
              <w:t>B</w:t>
            </w:r>
          </w:p>
        </w:tc>
        <w:tc>
          <w:tcPr>
            <w:tcW w:w="5151" w:type="dxa"/>
            <w:tcBorders>
              <w:tl2br w:val="nil"/>
              <w:tr2bl w:val="nil"/>
            </w:tcBorders>
            <w:vAlign w:val="center"/>
          </w:tcPr>
          <w:p w:rsidR="00DB7CC8" w:rsidRDefault="002B5250">
            <w:pPr>
              <w:spacing w:line="240" w:lineRule="auto"/>
              <w:ind w:firstLineChars="0" w:firstLine="0"/>
              <w:jc w:val="center"/>
              <w:rPr>
                <w:kern w:val="24"/>
                <w:sz w:val="21"/>
                <w:szCs w:val="21"/>
              </w:rPr>
            </w:pPr>
            <w:r>
              <w:rPr>
                <w:rFonts w:hint="eastAsia"/>
                <w:kern w:val="24"/>
                <w:sz w:val="21"/>
                <w:szCs w:val="21"/>
              </w:rPr>
              <w:t>水处理设施环境可行性分析</w:t>
            </w:r>
          </w:p>
        </w:tc>
      </w:tr>
      <w:tr w:rsidR="00DB7CC8">
        <w:trPr>
          <w:trHeight w:val="340"/>
          <w:jc w:val="center"/>
        </w:trPr>
        <w:tc>
          <w:tcPr>
            <w:tcW w:w="87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4</w:t>
            </w:r>
          </w:p>
        </w:tc>
        <w:tc>
          <w:tcPr>
            <w:tcW w:w="1356" w:type="dxa"/>
            <w:tcBorders>
              <w:tl2br w:val="nil"/>
              <w:tr2bl w:val="nil"/>
            </w:tcBorders>
            <w:vAlign w:val="center"/>
          </w:tcPr>
          <w:p w:rsidR="00DB7CC8" w:rsidRDefault="002B5250">
            <w:pPr>
              <w:spacing w:line="240" w:lineRule="auto"/>
              <w:ind w:firstLineChars="0" w:firstLine="0"/>
              <w:jc w:val="center"/>
              <w:rPr>
                <w:kern w:val="24"/>
                <w:sz w:val="21"/>
                <w:szCs w:val="21"/>
              </w:rPr>
            </w:pPr>
            <w:r>
              <w:rPr>
                <w:kern w:val="24"/>
                <w:sz w:val="21"/>
                <w:szCs w:val="21"/>
              </w:rPr>
              <w:t>地下水</w:t>
            </w:r>
          </w:p>
        </w:tc>
        <w:tc>
          <w:tcPr>
            <w:tcW w:w="1144" w:type="dxa"/>
            <w:tcBorders>
              <w:tl2br w:val="nil"/>
              <w:tr2bl w:val="nil"/>
            </w:tcBorders>
            <w:vAlign w:val="center"/>
          </w:tcPr>
          <w:p w:rsidR="00DB7CC8" w:rsidRDefault="002B5250">
            <w:pPr>
              <w:spacing w:line="240" w:lineRule="auto"/>
              <w:ind w:firstLineChars="0" w:firstLine="0"/>
              <w:jc w:val="center"/>
              <w:rPr>
                <w:kern w:val="24"/>
                <w:sz w:val="21"/>
                <w:szCs w:val="21"/>
              </w:rPr>
            </w:pPr>
            <w:r>
              <w:rPr>
                <w:rFonts w:hint="eastAsia"/>
                <w:kern w:val="24"/>
                <w:sz w:val="21"/>
                <w:szCs w:val="21"/>
              </w:rPr>
              <w:t>二级</w:t>
            </w:r>
          </w:p>
        </w:tc>
        <w:tc>
          <w:tcPr>
            <w:tcW w:w="5151" w:type="dxa"/>
            <w:tcBorders>
              <w:tl2br w:val="nil"/>
              <w:tr2bl w:val="nil"/>
            </w:tcBorders>
            <w:vAlign w:val="center"/>
          </w:tcPr>
          <w:p w:rsidR="00DB7CC8" w:rsidRDefault="002B5250">
            <w:pPr>
              <w:spacing w:line="240" w:lineRule="auto"/>
              <w:ind w:firstLineChars="0" w:firstLine="0"/>
              <w:jc w:val="center"/>
              <w:rPr>
                <w:kern w:val="24"/>
                <w:sz w:val="21"/>
                <w:szCs w:val="21"/>
              </w:rPr>
            </w:pPr>
            <w:r>
              <w:rPr>
                <w:rFonts w:hint="eastAsia"/>
                <w:sz w:val="21"/>
                <w:szCs w:val="21"/>
              </w:rPr>
              <w:t>评价</w:t>
            </w:r>
            <w:r>
              <w:rPr>
                <w:sz w:val="21"/>
                <w:szCs w:val="21"/>
              </w:rPr>
              <w:t>区</w:t>
            </w:r>
            <w:r>
              <w:rPr>
                <w:rFonts w:hint="eastAsia"/>
                <w:sz w:val="21"/>
                <w:szCs w:val="21"/>
              </w:rPr>
              <w:t>北、南、东</w:t>
            </w:r>
            <w:r>
              <w:rPr>
                <w:sz w:val="21"/>
                <w:szCs w:val="21"/>
              </w:rPr>
              <w:t>部</w:t>
            </w:r>
            <w:r>
              <w:rPr>
                <w:rFonts w:hint="eastAsia"/>
                <w:sz w:val="21"/>
                <w:szCs w:val="21"/>
              </w:rPr>
              <w:t>边界均选择山区和平原界线处，西部下游边界取距厂区</w:t>
            </w:r>
            <w:r>
              <w:rPr>
                <w:rFonts w:hint="eastAsia"/>
                <w:sz w:val="21"/>
                <w:szCs w:val="21"/>
              </w:rPr>
              <w:t>4.5km</w:t>
            </w:r>
            <w:r>
              <w:rPr>
                <w:rFonts w:hint="eastAsia"/>
                <w:sz w:val="21"/>
                <w:szCs w:val="21"/>
              </w:rPr>
              <w:t>处鸿鸭屯村——王老庄村一线，整体形成一个局部的水文地质小单元，评价区面积约为</w:t>
            </w:r>
            <w:r>
              <w:rPr>
                <w:rFonts w:hint="eastAsia"/>
                <w:sz w:val="21"/>
                <w:szCs w:val="21"/>
              </w:rPr>
              <w:t>16km</w:t>
            </w:r>
            <w:r>
              <w:rPr>
                <w:rFonts w:hint="eastAsia"/>
                <w:sz w:val="21"/>
                <w:szCs w:val="21"/>
                <w:vertAlign w:val="superscript"/>
              </w:rPr>
              <w:t>2</w:t>
            </w:r>
          </w:p>
        </w:tc>
      </w:tr>
      <w:tr w:rsidR="00DB7CC8">
        <w:trPr>
          <w:trHeight w:val="340"/>
          <w:jc w:val="center"/>
        </w:trPr>
        <w:tc>
          <w:tcPr>
            <w:tcW w:w="87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5</w:t>
            </w:r>
          </w:p>
        </w:tc>
        <w:tc>
          <w:tcPr>
            <w:tcW w:w="1356" w:type="dxa"/>
            <w:tcBorders>
              <w:tl2br w:val="nil"/>
              <w:tr2bl w:val="nil"/>
            </w:tcBorders>
            <w:vAlign w:val="center"/>
          </w:tcPr>
          <w:p w:rsidR="00DB7CC8" w:rsidRDefault="002B5250">
            <w:pPr>
              <w:spacing w:line="240" w:lineRule="auto"/>
              <w:ind w:firstLineChars="0" w:firstLine="0"/>
              <w:jc w:val="center"/>
              <w:rPr>
                <w:kern w:val="24"/>
                <w:sz w:val="21"/>
                <w:szCs w:val="21"/>
              </w:rPr>
            </w:pPr>
            <w:r>
              <w:rPr>
                <w:rFonts w:hint="eastAsia"/>
                <w:kern w:val="24"/>
                <w:sz w:val="21"/>
                <w:szCs w:val="21"/>
              </w:rPr>
              <w:t>土壤环境</w:t>
            </w:r>
          </w:p>
        </w:tc>
        <w:tc>
          <w:tcPr>
            <w:tcW w:w="1144" w:type="dxa"/>
            <w:tcBorders>
              <w:tl2br w:val="nil"/>
              <w:tr2bl w:val="nil"/>
            </w:tcBorders>
            <w:vAlign w:val="center"/>
          </w:tcPr>
          <w:p w:rsidR="00DB7CC8" w:rsidRDefault="002B5250">
            <w:pPr>
              <w:spacing w:line="240" w:lineRule="auto"/>
              <w:ind w:firstLineChars="0" w:firstLine="0"/>
              <w:jc w:val="center"/>
              <w:rPr>
                <w:kern w:val="24"/>
                <w:sz w:val="21"/>
                <w:szCs w:val="21"/>
              </w:rPr>
            </w:pPr>
            <w:r>
              <w:rPr>
                <w:rFonts w:hint="eastAsia"/>
                <w:kern w:val="24"/>
                <w:sz w:val="21"/>
                <w:szCs w:val="21"/>
              </w:rPr>
              <w:t>三级</w:t>
            </w:r>
          </w:p>
        </w:tc>
        <w:tc>
          <w:tcPr>
            <w:tcW w:w="5151"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选矿厂占地范围及厂界外</w:t>
            </w:r>
            <w:r>
              <w:rPr>
                <w:rFonts w:hint="eastAsia"/>
                <w:sz w:val="21"/>
                <w:szCs w:val="21"/>
              </w:rPr>
              <w:t>0.05m</w:t>
            </w:r>
            <w:r>
              <w:rPr>
                <w:rFonts w:hint="eastAsia"/>
                <w:sz w:val="21"/>
                <w:szCs w:val="21"/>
              </w:rPr>
              <w:t>范围内</w:t>
            </w:r>
          </w:p>
        </w:tc>
      </w:tr>
      <w:tr w:rsidR="00DB7CC8">
        <w:trPr>
          <w:trHeight w:val="340"/>
          <w:jc w:val="center"/>
        </w:trPr>
        <w:tc>
          <w:tcPr>
            <w:tcW w:w="87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6</w:t>
            </w:r>
          </w:p>
        </w:tc>
        <w:tc>
          <w:tcPr>
            <w:tcW w:w="1356"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生态环境</w:t>
            </w:r>
          </w:p>
        </w:tc>
        <w:tc>
          <w:tcPr>
            <w:tcW w:w="114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影响分析</w:t>
            </w:r>
          </w:p>
        </w:tc>
        <w:tc>
          <w:tcPr>
            <w:tcW w:w="515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本项目占地范围内</w:t>
            </w:r>
          </w:p>
        </w:tc>
      </w:tr>
      <w:tr w:rsidR="00DB7CC8">
        <w:trPr>
          <w:trHeight w:val="340"/>
          <w:jc w:val="center"/>
        </w:trPr>
        <w:tc>
          <w:tcPr>
            <w:tcW w:w="87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lastRenderedPageBreak/>
              <w:t>7</w:t>
            </w:r>
          </w:p>
        </w:tc>
        <w:tc>
          <w:tcPr>
            <w:tcW w:w="1356"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环境风险</w:t>
            </w:r>
          </w:p>
        </w:tc>
        <w:tc>
          <w:tcPr>
            <w:tcW w:w="114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简单分析</w:t>
            </w:r>
          </w:p>
        </w:tc>
        <w:tc>
          <w:tcPr>
            <w:tcW w:w="5151"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w:t>
            </w:r>
          </w:p>
        </w:tc>
      </w:tr>
    </w:tbl>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118" w:name="_Toc499651400"/>
      <w:bookmarkStart w:id="119" w:name="_Toc503218099"/>
      <w:bookmarkStart w:id="120" w:name="_Toc524284662"/>
      <w:bookmarkStart w:id="121" w:name="_Toc521591748"/>
      <w:bookmarkStart w:id="122" w:name="_Toc24072"/>
      <w:bookmarkStart w:id="123" w:name="_Toc1612"/>
      <w:bookmarkStart w:id="124" w:name="_Toc20166"/>
      <w:bookmarkStart w:id="125" w:name="_Toc476574689"/>
      <w:bookmarkStart w:id="126" w:name="_Toc10013"/>
      <w:bookmarkEnd w:id="95"/>
      <w:bookmarkEnd w:id="96"/>
      <w:bookmarkEnd w:id="97"/>
      <w:bookmarkEnd w:id="98"/>
      <w:bookmarkEnd w:id="99"/>
      <w:bookmarkEnd w:id="100"/>
      <w:bookmarkEnd w:id="101"/>
      <w:r>
        <w:rPr>
          <w:rFonts w:ascii="Times New Roman" w:eastAsia="宋体" w:hAnsi="Times New Roman"/>
          <w:bCs w:val="0"/>
          <w:snapToGrid w:val="0"/>
          <w:kern w:val="0"/>
          <w:sz w:val="28"/>
          <w:szCs w:val="28"/>
        </w:rPr>
        <w:t>相关规划及环境功能区划</w:t>
      </w:r>
      <w:bookmarkEnd w:id="118"/>
      <w:bookmarkEnd w:id="119"/>
      <w:bookmarkEnd w:id="120"/>
      <w:bookmarkEnd w:id="121"/>
      <w:bookmarkEnd w:id="122"/>
      <w:bookmarkEnd w:id="123"/>
      <w:bookmarkEnd w:id="124"/>
      <w:bookmarkEnd w:id="125"/>
      <w:bookmarkEnd w:id="126"/>
    </w:p>
    <w:p w:rsidR="00DB7CC8" w:rsidRDefault="002B5250">
      <w:pPr>
        <w:pStyle w:val="3"/>
        <w:numPr>
          <w:ilvl w:val="2"/>
          <w:numId w:val="1"/>
        </w:numPr>
        <w:rPr>
          <w:szCs w:val="28"/>
        </w:rPr>
      </w:pPr>
      <w:bookmarkStart w:id="127" w:name="_Toc521591749"/>
      <w:bookmarkStart w:id="128" w:name="_Toc4576"/>
      <w:r>
        <w:rPr>
          <w:rFonts w:hint="eastAsia"/>
          <w:szCs w:val="28"/>
        </w:rPr>
        <w:t>政策符合性分析</w:t>
      </w:r>
      <w:bookmarkEnd w:id="127"/>
      <w:bookmarkEnd w:id="128"/>
    </w:p>
    <w:p w:rsidR="00DB7CC8" w:rsidRDefault="002B5250">
      <w:pPr>
        <w:pStyle w:val="4"/>
        <w:rPr>
          <w:rFonts w:eastAsiaTheme="minorEastAsia"/>
          <w:b/>
        </w:rPr>
      </w:pPr>
      <w:r>
        <w:rPr>
          <w:rFonts w:eastAsiaTheme="minorEastAsia"/>
          <w:b/>
        </w:rPr>
        <w:t>2.</w:t>
      </w:r>
      <w:r>
        <w:rPr>
          <w:rFonts w:eastAsiaTheme="minorEastAsia" w:hint="eastAsia"/>
          <w:b/>
        </w:rPr>
        <w:t>5</w:t>
      </w:r>
      <w:r>
        <w:rPr>
          <w:rFonts w:eastAsiaTheme="minorEastAsia"/>
          <w:b/>
        </w:rPr>
        <w:t>.1.5</w:t>
      </w:r>
      <w:r>
        <w:rPr>
          <w:rFonts w:eastAsiaTheme="minorEastAsia"/>
          <w:b/>
        </w:rPr>
        <w:t>产业政策符合性分析</w:t>
      </w:r>
    </w:p>
    <w:p w:rsidR="00DB7CC8" w:rsidRDefault="002B5250">
      <w:pPr>
        <w:ind w:firstLine="480"/>
        <w:jc w:val="both"/>
        <w:rPr>
          <w:sz w:val="24"/>
        </w:rPr>
      </w:pPr>
      <w:r>
        <w:rPr>
          <w:sz w:val="24"/>
        </w:rPr>
        <w:t>根据国家发改委《产业结构调整指导目录（</w:t>
      </w:r>
      <w:r>
        <w:rPr>
          <w:sz w:val="24"/>
        </w:rPr>
        <w:t>201</w:t>
      </w:r>
      <w:r>
        <w:rPr>
          <w:rFonts w:hint="eastAsia"/>
          <w:sz w:val="24"/>
        </w:rPr>
        <w:t>9</w:t>
      </w:r>
      <w:r>
        <w:rPr>
          <w:sz w:val="24"/>
        </w:rPr>
        <w:t>年本）》，本项目不在淘汰类、限制类之列</w:t>
      </w:r>
      <w:r>
        <w:rPr>
          <w:rFonts w:hint="eastAsia"/>
          <w:sz w:val="24"/>
        </w:rPr>
        <w:t>，属于允许类</w:t>
      </w:r>
      <w:r>
        <w:rPr>
          <w:sz w:val="24"/>
        </w:rPr>
        <w:t>，符合产业政策。</w:t>
      </w:r>
    </w:p>
    <w:p w:rsidR="00DB7CC8" w:rsidRDefault="002B5250">
      <w:pPr>
        <w:ind w:firstLine="480"/>
        <w:jc w:val="both"/>
        <w:rPr>
          <w:sz w:val="24"/>
        </w:rPr>
      </w:pPr>
      <w:r>
        <w:rPr>
          <w:sz w:val="24"/>
        </w:rPr>
        <w:t>本项目为选矿项目，不涉及采矿，不属于《河北省新增限制和淘汰类产业目录（</w:t>
      </w:r>
      <w:r>
        <w:rPr>
          <w:sz w:val="24"/>
        </w:rPr>
        <w:t>2015</w:t>
      </w:r>
      <w:r>
        <w:rPr>
          <w:sz w:val="24"/>
        </w:rPr>
        <w:t>年版）》中淘汰类、限制类项目，项目建设符合河北省政策要求。</w:t>
      </w:r>
    </w:p>
    <w:p w:rsidR="00DB7CC8" w:rsidRDefault="002B5250">
      <w:pPr>
        <w:snapToGrid w:val="0"/>
        <w:ind w:firstLine="480"/>
        <w:jc w:val="both"/>
        <w:rPr>
          <w:sz w:val="24"/>
          <w:szCs w:val="24"/>
        </w:rPr>
      </w:pPr>
      <w:r>
        <w:rPr>
          <w:sz w:val="24"/>
        </w:rPr>
        <w:t>另外本项目已取得河北省发展和改革委员会备案，备案主要建设内容及规模：</w:t>
      </w:r>
      <w:r>
        <w:rPr>
          <w:rFonts w:hint="eastAsia"/>
          <w:bCs/>
          <w:sz w:val="24"/>
          <w:szCs w:val="24"/>
        </w:rPr>
        <w:t>主要</w:t>
      </w:r>
      <w:r>
        <w:rPr>
          <w:rFonts w:hint="eastAsia"/>
          <w:sz w:val="24"/>
          <w:szCs w:val="24"/>
        </w:rPr>
        <w:t>建设破碎粗选车间、精选车间，购置安装球磨、磁选等设备，配套建设辅助生产设施办公室、配电室、库房。项目建成后年处理</w:t>
      </w:r>
      <w:r>
        <w:rPr>
          <w:rFonts w:hint="eastAsia"/>
          <w:sz w:val="24"/>
          <w:szCs w:val="24"/>
        </w:rPr>
        <w:t>110</w:t>
      </w:r>
      <w:r>
        <w:rPr>
          <w:rFonts w:hint="eastAsia"/>
          <w:sz w:val="24"/>
          <w:szCs w:val="24"/>
        </w:rPr>
        <w:t>万吨铁矿石、</w:t>
      </w:r>
      <w:r>
        <w:rPr>
          <w:rFonts w:hint="eastAsia"/>
          <w:sz w:val="24"/>
          <w:szCs w:val="24"/>
        </w:rPr>
        <w:t>40</w:t>
      </w:r>
      <w:r>
        <w:rPr>
          <w:rFonts w:hint="eastAsia"/>
          <w:sz w:val="24"/>
          <w:szCs w:val="24"/>
        </w:rPr>
        <w:t>万吨粗精矿，年产</w:t>
      </w:r>
      <w:r>
        <w:rPr>
          <w:rFonts w:hint="eastAsia"/>
          <w:sz w:val="24"/>
          <w:szCs w:val="24"/>
        </w:rPr>
        <w:t>66%</w:t>
      </w:r>
      <w:r>
        <w:rPr>
          <w:rFonts w:hint="eastAsia"/>
          <w:sz w:val="24"/>
          <w:szCs w:val="24"/>
        </w:rPr>
        <w:t>铁精粉</w:t>
      </w:r>
      <w:r>
        <w:rPr>
          <w:rFonts w:hint="eastAsia"/>
          <w:sz w:val="24"/>
          <w:szCs w:val="24"/>
        </w:rPr>
        <w:t>35</w:t>
      </w:r>
      <w:r>
        <w:rPr>
          <w:rFonts w:hint="eastAsia"/>
          <w:sz w:val="24"/>
          <w:szCs w:val="24"/>
        </w:rPr>
        <w:t>万吨。</w:t>
      </w:r>
    </w:p>
    <w:p w:rsidR="00DB7CC8" w:rsidRDefault="002B5250">
      <w:pPr>
        <w:pStyle w:val="4"/>
        <w:tabs>
          <w:tab w:val="left" w:pos="4253"/>
        </w:tabs>
        <w:rPr>
          <w:rFonts w:eastAsiaTheme="minorEastAsia"/>
          <w:b/>
        </w:rPr>
      </w:pPr>
      <w:r>
        <w:rPr>
          <w:rFonts w:eastAsiaTheme="minorEastAsia"/>
          <w:b/>
        </w:rPr>
        <w:t>2.</w:t>
      </w:r>
      <w:r>
        <w:rPr>
          <w:rFonts w:eastAsiaTheme="minorEastAsia" w:hint="eastAsia"/>
          <w:b/>
        </w:rPr>
        <w:t>5</w:t>
      </w:r>
      <w:r>
        <w:rPr>
          <w:rFonts w:eastAsiaTheme="minorEastAsia"/>
          <w:b/>
        </w:rPr>
        <w:t>.1.</w:t>
      </w:r>
      <w:r>
        <w:rPr>
          <w:rFonts w:eastAsiaTheme="minorEastAsia" w:hint="eastAsia"/>
          <w:b/>
        </w:rPr>
        <w:t>2</w:t>
      </w:r>
      <w:r>
        <w:rPr>
          <w:rFonts w:eastAsiaTheme="minorEastAsia"/>
          <w:b/>
        </w:rPr>
        <w:t>与《遵化市铁选矿综合治理工作实施方案》相符性分析</w:t>
      </w:r>
    </w:p>
    <w:p w:rsidR="00DB7CC8" w:rsidRDefault="002B5250">
      <w:pPr>
        <w:ind w:firstLine="480"/>
        <w:rPr>
          <w:sz w:val="24"/>
        </w:rPr>
      </w:pPr>
      <w:r>
        <w:rPr>
          <w:sz w:val="24"/>
          <w:szCs w:val="24"/>
        </w:rPr>
        <w:t>本项目与《遵化市铁选矿综合治理工作实施方案》的相符性分析见表</w:t>
      </w:r>
      <w:r>
        <w:rPr>
          <w:sz w:val="24"/>
          <w:szCs w:val="24"/>
        </w:rPr>
        <w:t>2.</w:t>
      </w:r>
      <w:r>
        <w:rPr>
          <w:rFonts w:hint="eastAsia"/>
          <w:sz w:val="24"/>
          <w:szCs w:val="24"/>
        </w:rPr>
        <w:t>5</w:t>
      </w:r>
      <w:r>
        <w:rPr>
          <w:sz w:val="24"/>
          <w:szCs w:val="24"/>
        </w:rPr>
        <w:t>-</w:t>
      </w:r>
      <w:r>
        <w:rPr>
          <w:rFonts w:hint="eastAsia"/>
          <w:sz w:val="24"/>
          <w:szCs w:val="24"/>
        </w:rPr>
        <w:t>1</w:t>
      </w:r>
      <w:r>
        <w:rPr>
          <w:sz w:val="24"/>
          <w:szCs w:val="24"/>
        </w:rPr>
        <w:t>。</w:t>
      </w:r>
    </w:p>
    <w:p w:rsidR="00DB7CC8" w:rsidRDefault="00DB7CC8">
      <w:pPr>
        <w:pStyle w:val="4"/>
        <w:tabs>
          <w:tab w:val="left" w:pos="4253"/>
        </w:tabs>
        <w:rPr>
          <w:szCs w:val="24"/>
        </w:rPr>
        <w:sectPr w:rsidR="00DB7CC8">
          <w:pgSz w:w="11906" w:h="16838"/>
          <w:pgMar w:top="1440" w:right="1800" w:bottom="1440" w:left="1800" w:header="851" w:footer="992" w:gutter="0"/>
          <w:cols w:space="720"/>
          <w:docGrid w:linePitch="312"/>
        </w:sectPr>
      </w:pPr>
    </w:p>
    <w:tbl>
      <w:tblPr>
        <w:tblW w:w="1417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870"/>
        <w:gridCol w:w="6177"/>
        <w:gridCol w:w="6305"/>
        <w:gridCol w:w="822"/>
      </w:tblGrid>
      <w:tr w:rsidR="00DB7CC8">
        <w:trPr>
          <w:trHeight w:val="283"/>
          <w:tblHeader/>
        </w:trPr>
        <w:tc>
          <w:tcPr>
            <w:tcW w:w="14174" w:type="dxa"/>
            <w:gridSpan w:val="4"/>
            <w:tcBorders>
              <w:top w:val="nil"/>
              <w:left w:val="nil"/>
              <w:right w:val="nil"/>
              <w:tl2br w:val="nil"/>
              <w:tr2bl w:val="nil"/>
            </w:tcBorders>
            <w:vAlign w:val="center"/>
          </w:tcPr>
          <w:p w:rsidR="00DB7CC8" w:rsidRDefault="002B5250">
            <w:pPr>
              <w:spacing w:line="240" w:lineRule="auto"/>
              <w:ind w:firstLineChars="0" w:firstLine="0"/>
              <w:jc w:val="center"/>
              <w:rPr>
                <w:rFonts w:ascii="黑体" w:eastAsia="黑体" w:hAnsi="黑体"/>
                <w:bCs/>
                <w:sz w:val="21"/>
                <w:szCs w:val="21"/>
              </w:rPr>
            </w:pPr>
            <w:r>
              <w:rPr>
                <w:rFonts w:eastAsia="黑体"/>
                <w:bCs/>
                <w:sz w:val="21"/>
                <w:szCs w:val="21"/>
              </w:rPr>
              <w:lastRenderedPageBreak/>
              <w:t>表</w:t>
            </w:r>
            <w:r>
              <w:rPr>
                <w:rFonts w:eastAsia="黑体"/>
                <w:bCs/>
                <w:sz w:val="21"/>
                <w:szCs w:val="21"/>
              </w:rPr>
              <w:t xml:space="preserve">2.5-1     </w:t>
            </w:r>
            <w:r>
              <w:rPr>
                <w:rFonts w:eastAsia="黑体"/>
                <w:bCs/>
                <w:sz w:val="21"/>
                <w:szCs w:val="21"/>
              </w:rPr>
              <w:t>与《遵化市铁选矿综合治理工作</w:t>
            </w:r>
            <w:r>
              <w:rPr>
                <w:rFonts w:ascii="黑体" w:eastAsia="黑体" w:hAnsi="黑体" w:hint="eastAsia"/>
                <w:bCs/>
                <w:sz w:val="21"/>
                <w:szCs w:val="21"/>
              </w:rPr>
              <w:t>实施方案》相符性分析</w:t>
            </w:r>
          </w:p>
        </w:tc>
      </w:tr>
      <w:tr w:rsidR="00DB7CC8">
        <w:trPr>
          <w:trHeight w:val="283"/>
          <w:tblHeader/>
        </w:trPr>
        <w:tc>
          <w:tcPr>
            <w:tcW w:w="870"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内容</w:t>
            </w:r>
          </w:p>
        </w:tc>
        <w:tc>
          <w:tcPr>
            <w:tcW w:w="6177"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《遵化市铁选矿综合治理工作实施方案》要求</w:t>
            </w:r>
          </w:p>
        </w:tc>
        <w:tc>
          <w:tcPr>
            <w:tcW w:w="6305" w:type="dxa"/>
            <w:tcBorders>
              <w:tl2br w:val="nil"/>
              <w:tr2bl w:val="nil"/>
            </w:tcBorders>
            <w:vAlign w:val="center"/>
          </w:tcPr>
          <w:p w:rsidR="00DB7CC8" w:rsidRDefault="002B5250">
            <w:pPr>
              <w:spacing w:line="240" w:lineRule="auto"/>
              <w:ind w:firstLineChars="0" w:firstLine="0"/>
              <w:jc w:val="center"/>
              <w:rPr>
                <w:bCs/>
                <w:sz w:val="21"/>
                <w:szCs w:val="21"/>
              </w:rPr>
            </w:pPr>
            <w:r>
              <w:rPr>
                <w:sz w:val="21"/>
                <w:szCs w:val="21"/>
              </w:rPr>
              <w:t>项目拟建情况</w:t>
            </w:r>
          </w:p>
        </w:tc>
        <w:tc>
          <w:tcPr>
            <w:tcW w:w="822"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符合性</w:t>
            </w:r>
          </w:p>
        </w:tc>
      </w:tr>
      <w:tr w:rsidR="00DB7CC8">
        <w:trPr>
          <w:trHeight w:val="283"/>
          <w:tblHeader/>
        </w:trPr>
        <w:tc>
          <w:tcPr>
            <w:tcW w:w="87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原料库</w:t>
            </w:r>
          </w:p>
        </w:tc>
        <w:tc>
          <w:tcPr>
            <w:tcW w:w="6177" w:type="dxa"/>
            <w:tcBorders>
              <w:tl2br w:val="nil"/>
              <w:tr2bl w:val="nil"/>
            </w:tcBorders>
            <w:vAlign w:val="center"/>
          </w:tcPr>
          <w:p w:rsidR="00DB7CC8" w:rsidRDefault="002B5250">
            <w:pPr>
              <w:spacing w:line="240" w:lineRule="auto"/>
              <w:ind w:firstLineChars="0" w:firstLine="0"/>
              <w:jc w:val="center"/>
              <w:rPr>
                <w:sz w:val="21"/>
                <w:szCs w:val="21"/>
              </w:rPr>
            </w:pPr>
            <w:r>
              <w:rPr>
                <w:bCs/>
                <w:sz w:val="21"/>
                <w:szCs w:val="21"/>
              </w:rPr>
              <w:t>原料库不能露天堆放，设置原料库，加装喷淋抑尘装置。</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bCs/>
                <w:sz w:val="21"/>
                <w:szCs w:val="21"/>
              </w:rPr>
              <w:t>原料</w:t>
            </w:r>
            <w:r>
              <w:rPr>
                <w:rFonts w:hint="eastAsia"/>
                <w:bCs/>
                <w:sz w:val="21"/>
                <w:szCs w:val="21"/>
              </w:rPr>
              <w:t>不在厂区</w:t>
            </w:r>
            <w:r>
              <w:rPr>
                <w:bCs/>
                <w:sz w:val="21"/>
                <w:szCs w:val="21"/>
              </w:rPr>
              <w:t>堆存，</w:t>
            </w:r>
            <w:r>
              <w:rPr>
                <w:rFonts w:hint="eastAsia"/>
                <w:bCs/>
                <w:sz w:val="21"/>
                <w:szCs w:val="21"/>
              </w:rPr>
              <w:t>由运输车辆实时运至原料棚卸料至受料仓</w:t>
            </w:r>
            <w:r>
              <w:rPr>
                <w:sz w:val="21"/>
                <w:szCs w:val="21"/>
              </w:rPr>
              <w:t>，原料</w:t>
            </w:r>
            <w:r>
              <w:rPr>
                <w:rFonts w:hint="eastAsia"/>
                <w:sz w:val="21"/>
                <w:szCs w:val="21"/>
              </w:rPr>
              <w:t>棚</w:t>
            </w:r>
            <w:r>
              <w:rPr>
                <w:sz w:val="21"/>
                <w:szCs w:val="21"/>
              </w:rPr>
              <w:t>顶部设置喷雾抑尘装置（电伴热）。</w:t>
            </w:r>
          </w:p>
        </w:tc>
        <w:tc>
          <w:tcPr>
            <w:tcW w:w="822"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符合</w:t>
            </w:r>
          </w:p>
        </w:tc>
      </w:tr>
      <w:tr w:rsidR="00DB7CC8">
        <w:trPr>
          <w:trHeight w:val="283"/>
          <w:tblHeader/>
        </w:trPr>
        <w:tc>
          <w:tcPr>
            <w:tcW w:w="87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尾矿库</w:t>
            </w:r>
          </w:p>
        </w:tc>
        <w:tc>
          <w:tcPr>
            <w:tcW w:w="617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尾矿库铺设喷淋管路实施喷淋抑尘，堆存及卸料作业采取喷淋抑尘措施，并及时清运。</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本项目不建设尾矿库。</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受料仓</w:t>
            </w:r>
          </w:p>
        </w:tc>
        <w:tc>
          <w:tcPr>
            <w:tcW w:w="617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一级破碎受料仓要建三面围挡并带顶的料棚，料棚进深尺度不小于</w:t>
            </w:r>
            <w:r>
              <w:rPr>
                <w:sz w:val="21"/>
                <w:szCs w:val="21"/>
              </w:rPr>
              <w:t>8</w:t>
            </w:r>
            <w:r>
              <w:rPr>
                <w:sz w:val="21"/>
                <w:szCs w:val="21"/>
              </w:rPr>
              <w:t>米，受料仓设置除尘器或喷淋抑尘装置，有效防止卸料扬尘外溢，受料仓围挡发生破损时必须及时维修完善。</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一级破碎受料仓位于三面围挡并带顶的料棚内，在受料仓处设置喷淋抑尘装置，发现受料仓围挡发生破损时，及时维修完善。</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破碎及磁选</w:t>
            </w:r>
          </w:p>
        </w:tc>
        <w:tc>
          <w:tcPr>
            <w:tcW w:w="617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一级破碎、二级破碎及球磨机设备必须全部建设封闭式厂房，并配套建设抑尘、除尘设施</w:t>
            </w:r>
            <w:r>
              <w:rPr>
                <w:sz w:val="21"/>
                <w:szCs w:val="21"/>
              </w:rPr>
              <w:t>,</w:t>
            </w:r>
            <w:r>
              <w:rPr>
                <w:sz w:val="21"/>
                <w:szCs w:val="21"/>
              </w:rPr>
              <w:t>除尘器排气筒高度不低于</w:t>
            </w:r>
            <w:r>
              <w:rPr>
                <w:sz w:val="21"/>
                <w:szCs w:val="21"/>
              </w:rPr>
              <w:t>15</w:t>
            </w:r>
            <w:r>
              <w:rPr>
                <w:sz w:val="21"/>
                <w:szCs w:val="21"/>
              </w:rPr>
              <w:t>米，生产废水循环利用，不允许外排。</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本项目破碎及球磨设备均布置在封闭生产车间内，并配套建设喷雾抑尘装置</w:t>
            </w:r>
            <w:r>
              <w:rPr>
                <w:rFonts w:eastAsia="仿宋"/>
                <w:sz w:val="21"/>
                <w:szCs w:val="21"/>
              </w:rPr>
              <w:t>、</w:t>
            </w:r>
            <w:r>
              <w:rPr>
                <w:sz w:val="21"/>
                <w:szCs w:val="21"/>
              </w:rPr>
              <w:t>脉冲布袋除尘器，除尘器排气筒高度为</w:t>
            </w:r>
            <w:r>
              <w:rPr>
                <w:rFonts w:hint="eastAsia"/>
                <w:sz w:val="21"/>
                <w:szCs w:val="21"/>
              </w:rPr>
              <w:t>18</w:t>
            </w:r>
            <w:r>
              <w:rPr>
                <w:sz w:val="21"/>
                <w:szCs w:val="21"/>
              </w:rPr>
              <w:t>m</w:t>
            </w:r>
            <w:r>
              <w:rPr>
                <w:sz w:val="21"/>
                <w:szCs w:val="21"/>
              </w:rPr>
              <w:t>；生产废水经处理后循环使用不外排。</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原料输送转运</w:t>
            </w:r>
          </w:p>
        </w:tc>
        <w:tc>
          <w:tcPr>
            <w:tcW w:w="617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从一级破碎出料口（加装收尘、抑尘设施）至二级破碎（入料口加装收尘、抑尘设施，出料口加装抑尘设施）、磁选、成品库的物料输送以及二级破碎、返矿输送，室外输送系统必须全部建设满足日常检修、清扫落料要求的全封闭皮带通廊，皮带通廊落料转运端根据物料的含水率设置收尘、抑尘设施。</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皮带输送机全部设置全封闭皮带通廊，皮带转运落料端在产尘节点设置抑尘、收尘措施，并派专人进行日常检修、清扫落料。</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vMerge/>
            <w:tcBorders>
              <w:tl2br w:val="nil"/>
              <w:tr2bl w:val="nil"/>
            </w:tcBorders>
            <w:vAlign w:val="center"/>
          </w:tcPr>
          <w:p w:rsidR="00DB7CC8" w:rsidRDefault="00DB7CC8">
            <w:pPr>
              <w:spacing w:line="240" w:lineRule="auto"/>
              <w:ind w:firstLineChars="0" w:firstLine="0"/>
              <w:rPr>
                <w:rFonts w:eastAsia="Times New Roman"/>
                <w:sz w:val="21"/>
                <w:szCs w:val="21"/>
              </w:rPr>
            </w:pPr>
          </w:p>
        </w:tc>
        <w:tc>
          <w:tcPr>
            <w:tcW w:w="617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物料转运系统必须实现封闭，发生破损及时维修完善。</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物料转运设置封闭廊道，发生破损及时维修完善。</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成品</w:t>
            </w:r>
          </w:p>
          <w:p w:rsidR="00DB7CC8" w:rsidRDefault="002B5250">
            <w:pPr>
              <w:spacing w:line="240" w:lineRule="auto"/>
              <w:ind w:firstLineChars="0" w:firstLine="0"/>
              <w:jc w:val="center"/>
              <w:rPr>
                <w:sz w:val="21"/>
                <w:szCs w:val="21"/>
              </w:rPr>
            </w:pPr>
            <w:r>
              <w:rPr>
                <w:sz w:val="21"/>
                <w:szCs w:val="21"/>
              </w:rPr>
              <w:t>堆场</w:t>
            </w:r>
          </w:p>
        </w:tc>
        <w:tc>
          <w:tcPr>
            <w:tcW w:w="617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成品、半成品物料不能露天堆存，进封闭料库，设置喷淋抑尘措施。场区要全部实现硬化或绿化，每天定时清扫保洁、洒水抑尘。</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本项目</w:t>
            </w:r>
            <w:r>
              <w:rPr>
                <w:rFonts w:hint="eastAsia"/>
                <w:sz w:val="21"/>
                <w:szCs w:val="21"/>
              </w:rPr>
              <w:t>设置封闭</w:t>
            </w:r>
            <w:r>
              <w:rPr>
                <w:sz w:val="21"/>
                <w:szCs w:val="21"/>
              </w:rPr>
              <w:t>成品</w:t>
            </w:r>
            <w:r>
              <w:rPr>
                <w:rFonts w:hint="eastAsia"/>
                <w:sz w:val="21"/>
                <w:szCs w:val="21"/>
              </w:rPr>
              <w:t>库，</w:t>
            </w:r>
            <w:r>
              <w:rPr>
                <w:rFonts w:hint="eastAsia"/>
                <w:sz w:val="21"/>
                <w:szCs w:val="21"/>
              </w:rPr>
              <w:t>物料不露天堆存</w:t>
            </w:r>
            <w:r>
              <w:rPr>
                <w:rFonts w:hint="eastAsia"/>
                <w:sz w:val="21"/>
                <w:szCs w:val="21"/>
              </w:rPr>
              <w:t>，均为</w:t>
            </w:r>
            <w:r>
              <w:rPr>
                <w:sz w:val="21"/>
                <w:szCs w:val="21"/>
              </w:rPr>
              <w:t>封闭库，库顶部设置喷雾抑尘装置（电伴热），喷雾抑尘装置喷雾面积覆盖整个库。</w:t>
            </w:r>
          </w:p>
          <w:p w:rsidR="00DB7CC8" w:rsidRDefault="002B5250">
            <w:pPr>
              <w:spacing w:line="240" w:lineRule="auto"/>
              <w:ind w:firstLineChars="0" w:firstLine="0"/>
              <w:jc w:val="center"/>
              <w:rPr>
                <w:sz w:val="21"/>
                <w:szCs w:val="21"/>
              </w:rPr>
            </w:pPr>
            <w:r>
              <w:rPr>
                <w:sz w:val="21"/>
                <w:szCs w:val="21"/>
              </w:rPr>
              <w:t>厂区</w:t>
            </w:r>
            <w:r>
              <w:rPr>
                <w:sz w:val="21"/>
                <w:szCs w:val="21"/>
              </w:rPr>
              <w:t>“</w:t>
            </w:r>
            <w:r>
              <w:rPr>
                <w:sz w:val="21"/>
                <w:szCs w:val="21"/>
              </w:rPr>
              <w:t>非硬即绿</w:t>
            </w:r>
            <w:r>
              <w:rPr>
                <w:sz w:val="21"/>
                <w:szCs w:val="21"/>
              </w:rPr>
              <w:t>”</w:t>
            </w:r>
            <w:r>
              <w:rPr>
                <w:sz w:val="21"/>
                <w:szCs w:val="21"/>
              </w:rPr>
              <w:t>，并安排专人每天定时清扫保洁、洒水抑尘。</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喷淋供水设施</w:t>
            </w:r>
          </w:p>
        </w:tc>
        <w:tc>
          <w:tcPr>
            <w:tcW w:w="6177" w:type="dxa"/>
            <w:tcBorders>
              <w:tl2br w:val="nil"/>
              <w:tr2bl w:val="nil"/>
            </w:tcBorders>
            <w:vAlign w:val="center"/>
          </w:tcPr>
          <w:p w:rsidR="00DB7CC8" w:rsidRDefault="002B5250">
            <w:pPr>
              <w:spacing w:line="240" w:lineRule="auto"/>
              <w:ind w:firstLineChars="0" w:firstLine="0"/>
              <w:rPr>
                <w:sz w:val="21"/>
                <w:szCs w:val="21"/>
              </w:rPr>
            </w:pPr>
            <w:r>
              <w:rPr>
                <w:sz w:val="21"/>
                <w:szCs w:val="21"/>
              </w:rPr>
              <w:t>一级破碎入料口、落料口、皮带落料转运端、选矿厂、原料库、尾矿库等建设的喷淋设施，供水管路采取保溫措施确保冬季正常使用。</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本项目在一级破碎入料口、落料口、皮带落料转运端、原料库、成品库等处设置了的喷淋设施，供水管路使用保温棉包裹并设置电伴热，确保冬季正常使用。</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除尘</w:t>
            </w:r>
          </w:p>
          <w:p w:rsidR="00DB7CC8" w:rsidRDefault="002B5250">
            <w:pPr>
              <w:spacing w:line="240" w:lineRule="auto"/>
              <w:ind w:firstLineChars="0" w:firstLine="0"/>
              <w:jc w:val="center"/>
              <w:rPr>
                <w:b/>
                <w:bCs/>
                <w:sz w:val="21"/>
                <w:szCs w:val="21"/>
              </w:rPr>
            </w:pPr>
            <w:r>
              <w:rPr>
                <w:sz w:val="21"/>
                <w:szCs w:val="21"/>
              </w:rPr>
              <w:t>设施</w:t>
            </w:r>
          </w:p>
        </w:tc>
        <w:tc>
          <w:tcPr>
            <w:tcW w:w="617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除尘设施采用高效脉冲布袋除尘器等先进除尘方式，破碎设备的</w:t>
            </w:r>
            <w:r>
              <w:rPr>
                <w:bCs/>
                <w:sz w:val="21"/>
                <w:szCs w:val="21"/>
              </w:rPr>
              <w:t>除尘风量、集气罩尺寸以及管道直径的设计要完全满足彻底解决生产设备粉尘无组织外溢需要</w:t>
            </w:r>
            <w:r>
              <w:rPr>
                <w:bCs/>
                <w:sz w:val="21"/>
                <w:szCs w:val="21"/>
              </w:rPr>
              <w:t>(</w:t>
            </w:r>
            <w:r>
              <w:rPr>
                <w:bCs/>
                <w:sz w:val="21"/>
                <w:szCs w:val="21"/>
              </w:rPr>
              <w:t>单台破碎</w:t>
            </w:r>
            <w:r>
              <w:rPr>
                <w:rFonts w:hint="eastAsia"/>
                <w:bCs/>
                <w:sz w:val="21"/>
                <w:szCs w:val="21"/>
              </w:rPr>
              <w:t>、筛分</w:t>
            </w:r>
            <w:r>
              <w:rPr>
                <w:bCs/>
                <w:sz w:val="21"/>
                <w:szCs w:val="21"/>
              </w:rPr>
              <w:t>设备的除尘设计风量按大于</w:t>
            </w:r>
            <w:r>
              <w:rPr>
                <w:bCs/>
                <w:sz w:val="21"/>
                <w:szCs w:val="21"/>
              </w:rPr>
              <w:t>12000m</w:t>
            </w:r>
            <w:r>
              <w:rPr>
                <w:bCs/>
                <w:sz w:val="21"/>
                <w:szCs w:val="21"/>
                <w:vertAlign w:val="superscript"/>
              </w:rPr>
              <w:t>3</w:t>
            </w:r>
            <w:r>
              <w:rPr>
                <w:bCs/>
                <w:sz w:val="21"/>
                <w:szCs w:val="21"/>
              </w:rPr>
              <w:t>/h</w:t>
            </w:r>
            <w:r>
              <w:rPr>
                <w:bCs/>
                <w:sz w:val="21"/>
                <w:szCs w:val="21"/>
              </w:rPr>
              <w:t>计算）</w:t>
            </w:r>
          </w:p>
        </w:tc>
        <w:tc>
          <w:tcPr>
            <w:tcW w:w="6305" w:type="dxa"/>
            <w:tcBorders>
              <w:tl2br w:val="nil"/>
              <w:tr2bl w:val="nil"/>
            </w:tcBorders>
            <w:vAlign w:val="center"/>
          </w:tcPr>
          <w:p w:rsidR="00DB7CC8" w:rsidRDefault="002B5250">
            <w:pPr>
              <w:spacing w:line="240" w:lineRule="auto"/>
              <w:ind w:firstLineChars="0" w:firstLine="0"/>
              <w:jc w:val="center"/>
              <w:rPr>
                <w:b/>
                <w:bCs/>
                <w:sz w:val="21"/>
                <w:szCs w:val="21"/>
              </w:rPr>
            </w:pPr>
            <w:r>
              <w:rPr>
                <w:sz w:val="21"/>
                <w:szCs w:val="21"/>
              </w:rPr>
              <w:t>本项目设</w:t>
            </w:r>
            <w:r>
              <w:rPr>
                <w:rFonts w:hint="eastAsia"/>
                <w:sz w:val="21"/>
                <w:szCs w:val="21"/>
              </w:rPr>
              <w:t>1</w:t>
            </w:r>
            <w:r>
              <w:rPr>
                <w:sz w:val="21"/>
                <w:szCs w:val="21"/>
              </w:rPr>
              <w:t>条破碎筛分生产线，</w:t>
            </w:r>
            <w:r>
              <w:rPr>
                <w:sz w:val="21"/>
                <w:szCs w:val="21"/>
              </w:rPr>
              <w:t>在破碎、筛分环节及落料点除尘设施采用</w:t>
            </w:r>
            <w:r>
              <w:rPr>
                <w:sz w:val="21"/>
                <w:szCs w:val="21"/>
              </w:rPr>
              <w:t>1</w:t>
            </w:r>
            <w:r>
              <w:rPr>
                <w:sz w:val="21"/>
                <w:szCs w:val="21"/>
              </w:rPr>
              <w:t>台离线脉冲布袋除尘器，除尘风量为</w:t>
            </w:r>
            <w:r>
              <w:rPr>
                <w:rFonts w:hint="eastAsia"/>
                <w:bCs/>
                <w:sz w:val="21"/>
                <w:szCs w:val="21"/>
              </w:rPr>
              <w:t>50</w:t>
            </w:r>
            <w:r>
              <w:rPr>
                <w:bCs/>
                <w:sz w:val="21"/>
                <w:szCs w:val="21"/>
              </w:rPr>
              <w:t>000m</w:t>
            </w:r>
            <w:r>
              <w:rPr>
                <w:bCs/>
                <w:sz w:val="21"/>
                <w:szCs w:val="21"/>
                <w:vertAlign w:val="superscript"/>
              </w:rPr>
              <w:t>3</w:t>
            </w:r>
            <w:r>
              <w:rPr>
                <w:bCs/>
                <w:sz w:val="21"/>
                <w:szCs w:val="21"/>
              </w:rPr>
              <w:t>/h</w:t>
            </w:r>
            <w:r>
              <w:rPr>
                <w:sz w:val="21"/>
                <w:szCs w:val="21"/>
              </w:rPr>
              <w:t>，集气罩尺寸以及管道直径满足彻底解决生产设备粉尘无组织外溢需要。</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lastRenderedPageBreak/>
              <w:t>噪声</w:t>
            </w:r>
          </w:p>
          <w:p w:rsidR="00DB7CC8" w:rsidRDefault="002B5250">
            <w:pPr>
              <w:spacing w:line="240" w:lineRule="auto"/>
              <w:ind w:firstLineChars="0" w:firstLine="0"/>
              <w:jc w:val="center"/>
              <w:rPr>
                <w:rFonts w:eastAsia="Times New Roman"/>
                <w:sz w:val="21"/>
                <w:szCs w:val="21"/>
              </w:rPr>
            </w:pPr>
            <w:r>
              <w:rPr>
                <w:sz w:val="21"/>
                <w:szCs w:val="21"/>
              </w:rPr>
              <w:t>控制</w:t>
            </w:r>
          </w:p>
        </w:tc>
        <w:tc>
          <w:tcPr>
            <w:tcW w:w="6177" w:type="dxa"/>
            <w:tcBorders>
              <w:tl2br w:val="nil"/>
              <w:tr2bl w:val="nil"/>
            </w:tcBorders>
            <w:vAlign w:val="center"/>
          </w:tcPr>
          <w:p w:rsidR="00DB7CC8" w:rsidRDefault="002B5250">
            <w:pPr>
              <w:spacing w:line="240" w:lineRule="auto"/>
              <w:ind w:firstLineChars="0" w:firstLine="0"/>
              <w:rPr>
                <w:sz w:val="21"/>
                <w:szCs w:val="21"/>
              </w:rPr>
            </w:pPr>
            <w:r>
              <w:rPr>
                <w:sz w:val="21"/>
                <w:szCs w:val="21"/>
              </w:rPr>
              <w:t>破碎机、振动筛、球磨机等噪声振动较大的生产设备，机座采用基础减震措施，加装減震器，并采取相应降噪措施，噪声排放达到工矿企业厂界噪声排放标准。</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本项目生产设备等均加装了基础减</w:t>
            </w:r>
            <w:r>
              <w:rPr>
                <w:rFonts w:hint="eastAsia"/>
                <w:sz w:val="21"/>
                <w:szCs w:val="21"/>
              </w:rPr>
              <w:t>振</w:t>
            </w:r>
            <w:r>
              <w:rPr>
                <w:sz w:val="21"/>
                <w:szCs w:val="21"/>
              </w:rPr>
              <w:t>垫，置于封闭彩钢车间内，综合降噪</w:t>
            </w:r>
            <w:r>
              <w:rPr>
                <w:sz w:val="21"/>
                <w:szCs w:val="21"/>
              </w:rPr>
              <w:t>2</w:t>
            </w:r>
            <w:r>
              <w:rPr>
                <w:rFonts w:hint="eastAsia"/>
                <w:sz w:val="21"/>
                <w:szCs w:val="21"/>
              </w:rPr>
              <w:t>0</w:t>
            </w:r>
            <w:r>
              <w:rPr>
                <w:sz w:val="21"/>
                <w:szCs w:val="21"/>
              </w:rPr>
              <w:t>dB</w:t>
            </w:r>
            <w:r>
              <w:rPr>
                <w:sz w:val="21"/>
                <w:szCs w:val="21"/>
              </w:rPr>
              <w:t>（</w:t>
            </w:r>
            <w:r>
              <w:rPr>
                <w:sz w:val="21"/>
                <w:szCs w:val="21"/>
              </w:rPr>
              <w:t>A</w:t>
            </w:r>
            <w:r>
              <w:rPr>
                <w:sz w:val="21"/>
                <w:szCs w:val="21"/>
              </w:rPr>
              <w:t>）以上，项目厂界的噪声满足《工业企业厂界环境噪声排放标准》（</w:t>
            </w:r>
            <w:r>
              <w:rPr>
                <w:sz w:val="21"/>
                <w:szCs w:val="21"/>
              </w:rPr>
              <w:t>GB12348-2008</w:t>
            </w:r>
            <w:r>
              <w:rPr>
                <w:sz w:val="21"/>
                <w:szCs w:val="21"/>
              </w:rPr>
              <w:t>）</w:t>
            </w:r>
            <w:r>
              <w:rPr>
                <w:sz w:val="21"/>
                <w:szCs w:val="21"/>
              </w:rPr>
              <w:t>2</w:t>
            </w:r>
            <w:r>
              <w:rPr>
                <w:sz w:val="21"/>
                <w:szCs w:val="21"/>
              </w:rPr>
              <w:t>类标准。</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视频</w:t>
            </w:r>
          </w:p>
          <w:p w:rsidR="00DB7CC8" w:rsidRDefault="002B5250">
            <w:pPr>
              <w:spacing w:line="240" w:lineRule="auto"/>
              <w:ind w:firstLineChars="0" w:firstLine="0"/>
              <w:jc w:val="center"/>
              <w:rPr>
                <w:rFonts w:eastAsia="Times New Roman"/>
                <w:sz w:val="21"/>
                <w:szCs w:val="21"/>
              </w:rPr>
            </w:pPr>
            <w:r>
              <w:rPr>
                <w:sz w:val="21"/>
                <w:szCs w:val="21"/>
              </w:rPr>
              <w:t>监控</w:t>
            </w:r>
          </w:p>
        </w:tc>
        <w:tc>
          <w:tcPr>
            <w:tcW w:w="6177" w:type="dxa"/>
            <w:tcBorders>
              <w:tl2br w:val="nil"/>
              <w:tr2bl w:val="nil"/>
            </w:tcBorders>
            <w:vAlign w:val="center"/>
          </w:tcPr>
          <w:p w:rsidR="00DB7CC8" w:rsidRDefault="002B5250">
            <w:pPr>
              <w:spacing w:line="240" w:lineRule="auto"/>
              <w:ind w:firstLineChars="0" w:firstLine="0"/>
              <w:rPr>
                <w:sz w:val="21"/>
                <w:szCs w:val="21"/>
              </w:rPr>
            </w:pPr>
            <w:r>
              <w:rPr>
                <w:sz w:val="21"/>
                <w:szCs w:val="21"/>
              </w:rPr>
              <w:t>生产作业区按要求设置视频监控，并与唐山市</w:t>
            </w:r>
            <w:r>
              <w:rPr>
                <w:rFonts w:hint="eastAsia"/>
                <w:sz w:val="21"/>
                <w:szCs w:val="21"/>
              </w:rPr>
              <w:t>生态环境局</w:t>
            </w:r>
            <w:r>
              <w:rPr>
                <w:sz w:val="21"/>
                <w:szCs w:val="21"/>
              </w:rPr>
              <w:t>遵化市分局联网，实现</w:t>
            </w:r>
            <w:r>
              <w:rPr>
                <w:sz w:val="21"/>
                <w:szCs w:val="21"/>
              </w:rPr>
              <w:t>24</w:t>
            </w:r>
            <w:r>
              <w:rPr>
                <w:sz w:val="21"/>
                <w:szCs w:val="21"/>
              </w:rPr>
              <w:t>小时视频监控。对发现的超标排放、无组织粉尘、扬尘污染问题，按照相关法律法规子以从严处罚。</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本项目在成品库门口及库房内、生产车间内、布袋除尘器、厂区道路设置视频监控，并与唐山市</w:t>
            </w:r>
            <w:r>
              <w:rPr>
                <w:rFonts w:hint="eastAsia"/>
                <w:sz w:val="21"/>
                <w:szCs w:val="21"/>
              </w:rPr>
              <w:t>生态</w:t>
            </w:r>
            <w:r>
              <w:rPr>
                <w:sz w:val="21"/>
                <w:szCs w:val="21"/>
              </w:rPr>
              <w:t>环境局遵化市分局联网，实现</w:t>
            </w:r>
            <w:r>
              <w:rPr>
                <w:sz w:val="21"/>
                <w:szCs w:val="21"/>
              </w:rPr>
              <w:t>24</w:t>
            </w:r>
            <w:r>
              <w:rPr>
                <w:sz w:val="21"/>
                <w:szCs w:val="21"/>
              </w:rPr>
              <w:t>小时视频监控。</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排放</w:t>
            </w:r>
          </w:p>
          <w:p w:rsidR="00DB7CC8" w:rsidRDefault="002B5250">
            <w:pPr>
              <w:spacing w:line="240" w:lineRule="auto"/>
              <w:ind w:firstLineChars="0" w:firstLine="0"/>
              <w:jc w:val="center"/>
              <w:rPr>
                <w:rFonts w:eastAsia="Times New Roman"/>
                <w:sz w:val="21"/>
                <w:szCs w:val="21"/>
              </w:rPr>
            </w:pPr>
            <w:r>
              <w:rPr>
                <w:sz w:val="21"/>
                <w:szCs w:val="21"/>
              </w:rPr>
              <w:t>限值</w:t>
            </w:r>
          </w:p>
        </w:tc>
        <w:tc>
          <w:tcPr>
            <w:tcW w:w="6177" w:type="dxa"/>
            <w:tcBorders>
              <w:tl2br w:val="nil"/>
              <w:tr2bl w:val="nil"/>
            </w:tcBorders>
            <w:vAlign w:val="center"/>
          </w:tcPr>
          <w:p w:rsidR="00DB7CC8" w:rsidRDefault="002B5250">
            <w:pPr>
              <w:spacing w:line="240" w:lineRule="auto"/>
              <w:ind w:firstLineChars="0" w:firstLine="0"/>
              <w:jc w:val="both"/>
              <w:rPr>
                <w:sz w:val="21"/>
                <w:szCs w:val="21"/>
              </w:rPr>
            </w:pPr>
            <w:r>
              <w:rPr>
                <w:sz w:val="21"/>
                <w:szCs w:val="21"/>
              </w:rPr>
              <w:t>按照环境保护部发布的《铁矿采选工业污染物排放标准》（</w:t>
            </w:r>
            <w:r>
              <w:rPr>
                <w:sz w:val="21"/>
                <w:szCs w:val="21"/>
              </w:rPr>
              <w:t>GB28661-2012</w:t>
            </w:r>
            <w:r>
              <w:rPr>
                <w:sz w:val="21"/>
                <w:szCs w:val="21"/>
              </w:rPr>
              <w:t>），执行表</w:t>
            </w:r>
            <w:r>
              <w:rPr>
                <w:sz w:val="21"/>
                <w:szCs w:val="21"/>
              </w:rPr>
              <w:t>5</w:t>
            </w:r>
            <w:r>
              <w:rPr>
                <w:sz w:val="21"/>
                <w:szCs w:val="21"/>
              </w:rPr>
              <w:t>新建企业大气污染物排放限值，选矿厂的矿石运输、转载、矿仓、破碎等生产工序或设施颗粒物最高允许排放限值为</w:t>
            </w:r>
            <w:r>
              <w:rPr>
                <w:sz w:val="21"/>
                <w:szCs w:val="21"/>
              </w:rPr>
              <w:t>20mg/m</w:t>
            </w:r>
            <w:r>
              <w:rPr>
                <w:sz w:val="21"/>
                <w:szCs w:val="21"/>
                <w:vertAlign w:val="superscript"/>
              </w:rPr>
              <w:t>3</w:t>
            </w:r>
            <w:r>
              <w:rPr>
                <w:sz w:val="21"/>
                <w:szCs w:val="21"/>
              </w:rPr>
              <w:t>，选矿厂、尾矿库等作业场所颗粒物无组织排放限值为</w:t>
            </w:r>
            <w:r>
              <w:rPr>
                <w:sz w:val="21"/>
                <w:szCs w:val="21"/>
              </w:rPr>
              <w:t>1.0mg/m</w:t>
            </w:r>
            <w:r>
              <w:rPr>
                <w:sz w:val="21"/>
                <w:szCs w:val="21"/>
                <w:vertAlign w:val="superscript"/>
              </w:rPr>
              <w:t>3</w:t>
            </w:r>
            <w:r>
              <w:rPr>
                <w:sz w:val="21"/>
                <w:szCs w:val="21"/>
              </w:rPr>
              <w:t xml:space="preserve"> (</w:t>
            </w:r>
            <w:r>
              <w:rPr>
                <w:sz w:val="21"/>
                <w:szCs w:val="21"/>
              </w:rPr>
              <w:t>厂界外</w:t>
            </w:r>
            <w:r>
              <w:rPr>
                <w:sz w:val="21"/>
                <w:szCs w:val="21"/>
              </w:rPr>
              <w:t>10</w:t>
            </w:r>
            <w:r>
              <w:rPr>
                <w:sz w:val="21"/>
                <w:szCs w:val="21"/>
              </w:rPr>
              <w:t>米处</w:t>
            </w:r>
            <w:r>
              <w:rPr>
                <w:sz w:val="21"/>
                <w:szCs w:val="21"/>
              </w:rPr>
              <w:t>)</w:t>
            </w:r>
            <w:r>
              <w:rPr>
                <w:sz w:val="21"/>
                <w:szCs w:val="21"/>
              </w:rPr>
              <w:t>。</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采取相应措施后颗粒物排放满足《铁矿采选工业污染物排放标准》（</w:t>
            </w:r>
            <w:r>
              <w:rPr>
                <w:sz w:val="21"/>
                <w:szCs w:val="21"/>
              </w:rPr>
              <w:t>GB28661-2012</w:t>
            </w:r>
            <w:r>
              <w:rPr>
                <w:sz w:val="21"/>
                <w:szCs w:val="21"/>
              </w:rPr>
              <w:t>）表</w:t>
            </w:r>
            <w:r>
              <w:rPr>
                <w:sz w:val="21"/>
                <w:szCs w:val="21"/>
              </w:rPr>
              <w:t>6</w:t>
            </w:r>
            <w:r>
              <w:rPr>
                <w:sz w:val="21"/>
                <w:szCs w:val="21"/>
              </w:rPr>
              <w:t>新建企业大气污染物特别排放限值，选矿厂的矿石运输、转载、矿仓、破碎等生产工序或设施颗粒物最高允许排放限值为</w:t>
            </w:r>
            <w:r>
              <w:rPr>
                <w:sz w:val="21"/>
                <w:szCs w:val="21"/>
              </w:rPr>
              <w:t>10mg/m</w:t>
            </w:r>
            <w:r>
              <w:rPr>
                <w:sz w:val="21"/>
                <w:szCs w:val="21"/>
                <w:vertAlign w:val="superscript"/>
              </w:rPr>
              <w:t>3</w:t>
            </w:r>
            <w:r>
              <w:rPr>
                <w:sz w:val="21"/>
                <w:szCs w:val="21"/>
              </w:rPr>
              <w:t>，选矿厂、</w:t>
            </w:r>
            <w:r>
              <w:rPr>
                <w:sz w:val="21"/>
                <w:szCs w:val="21"/>
              </w:rPr>
              <w:t>尾矿库等作业场所颗粒物无组织排放限值为</w:t>
            </w:r>
            <w:r>
              <w:rPr>
                <w:sz w:val="21"/>
                <w:szCs w:val="21"/>
              </w:rPr>
              <w:t>1.0mg/m</w:t>
            </w:r>
            <w:r>
              <w:rPr>
                <w:sz w:val="21"/>
                <w:szCs w:val="21"/>
                <w:vertAlign w:val="superscript"/>
              </w:rPr>
              <w:t>3</w:t>
            </w:r>
            <w:r>
              <w:rPr>
                <w:sz w:val="21"/>
                <w:szCs w:val="21"/>
              </w:rPr>
              <w:t>（厂界外</w:t>
            </w:r>
            <w:r>
              <w:rPr>
                <w:sz w:val="21"/>
                <w:szCs w:val="21"/>
              </w:rPr>
              <w:t>10</w:t>
            </w:r>
            <w:r>
              <w:rPr>
                <w:sz w:val="21"/>
                <w:szCs w:val="21"/>
              </w:rPr>
              <w:t>米处）。</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规范</w:t>
            </w:r>
          </w:p>
          <w:p w:rsidR="00DB7CC8" w:rsidRDefault="002B5250">
            <w:pPr>
              <w:spacing w:line="240" w:lineRule="auto"/>
              <w:ind w:firstLineChars="0" w:firstLine="0"/>
              <w:jc w:val="center"/>
              <w:rPr>
                <w:sz w:val="21"/>
                <w:szCs w:val="21"/>
              </w:rPr>
            </w:pPr>
            <w:r>
              <w:rPr>
                <w:sz w:val="21"/>
                <w:szCs w:val="21"/>
              </w:rPr>
              <w:t>管理</w:t>
            </w:r>
          </w:p>
        </w:tc>
        <w:tc>
          <w:tcPr>
            <w:tcW w:w="617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设置专职环保管理人员，管理人员要熟悉环保业务，具备企业日常环境管理经验。</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设有专职环保管理人员，熟悉环保业务，具备相关管理经验。</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vMerge/>
            <w:tcBorders>
              <w:tl2br w:val="nil"/>
              <w:tr2bl w:val="nil"/>
            </w:tcBorders>
            <w:vAlign w:val="center"/>
          </w:tcPr>
          <w:p w:rsidR="00DB7CC8" w:rsidRDefault="00DB7CC8">
            <w:pPr>
              <w:spacing w:line="240" w:lineRule="auto"/>
              <w:ind w:firstLineChars="0" w:firstLine="0"/>
              <w:rPr>
                <w:sz w:val="21"/>
                <w:szCs w:val="21"/>
              </w:rPr>
            </w:pPr>
          </w:p>
        </w:tc>
        <w:tc>
          <w:tcPr>
            <w:tcW w:w="617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建立企业环境管理制度、严格岗位管理及排污口规范化管理，建立健全运行管理制度，明确岗位环保职责和日常环保行为规范、建立和落实环保岗位考核制度。</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制定企业环境管理制度，明确了岗位环保职责和日常环保行为规范、建立和落实环保岗位考核制度。</w:t>
            </w:r>
          </w:p>
        </w:tc>
        <w:tc>
          <w:tcPr>
            <w:tcW w:w="822"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vMerge/>
            <w:tcBorders>
              <w:tl2br w:val="nil"/>
              <w:tr2bl w:val="nil"/>
            </w:tcBorders>
            <w:vAlign w:val="center"/>
          </w:tcPr>
          <w:p w:rsidR="00DB7CC8" w:rsidRDefault="00DB7CC8">
            <w:pPr>
              <w:spacing w:line="240" w:lineRule="auto"/>
              <w:ind w:firstLineChars="0" w:firstLine="0"/>
              <w:rPr>
                <w:sz w:val="21"/>
                <w:szCs w:val="21"/>
              </w:rPr>
            </w:pPr>
          </w:p>
        </w:tc>
        <w:tc>
          <w:tcPr>
            <w:tcW w:w="617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制定和落实生产设备设施和污染防治设施运行维护和管理制度，建立环保设施运行台账，确保各项设备设施稳定、正常运行。</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制定《环保管理制度》、《环保岗位考核制度》、《环保设备管理制度》、《污染防治设施运行管理制度》，建立环保设施运行台账，保证各项设备设施稳定、正常运行。</w:t>
            </w:r>
          </w:p>
        </w:tc>
        <w:tc>
          <w:tcPr>
            <w:tcW w:w="822"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trHeight w:val="283"/>
          <w:tblHeader/>
        </w:trPr>
        <w:tc>
          <w:tcPr>
            <w:tcW w:w="870" w:type="dxa"/>
            <w:vMerge/>
            <w:tcBorders>
              <w:tl2br w:val="nil"/>
              <w:tr2bl w:val="nil"/>
            </w:tcBorders>
            <w:vAlign w:val="center"/>
          </w:tcPr>
          <w:p w:rsidR="00DB7CC8" w:rsidRDefault="00DB7CC8">
            <w:pPr>
              <w:spacing w:line="240" w:lineRule="auto"/>
              <w:ind w:firstLineChars="0" w:firstLine="0"/>
              <w:rPr>
                <w:sz w:val="21"/>
                <w:szCs w:val="21"/>
              </w:rPr>
            </w:pPr>
          </w:p>
        </w:tc>
        <w:tc>
          <w:tcPr>
            <w:tcW w:w="6177" w:type="dxa"/>
            <w:tcBorders>
              <w:tl2br w:val="nil"/>
              <w:tr2bl w:val="nil"/>
            </w:tcBorders>
            <w:vAlign w:val="center"/>
          </w:tcPr>
          <w:p w:rsidR="00DB7CC8" w:rsidRDefault="002B5250">
            <w:pPr>
              <w:spacing w:line="240" w:lineRule="auto"/>
              <w:ind w:firstLineChars="0" w:firstLine="0"/>
              <w:rPr>
                <w:sz w:val="21"/>
                <w:szCs w:val="21"/>
              </w:rPr>
            </w:pPr>
            <w:r>
              <w:rPr>
                <w:sz w:val="21"/>
                <w:szCs w:val="21"/>
              </w:rPr>
              <w:t>落实环境污染报告制度、环境巡查制度、环保事故管理制度。</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落实环境污染报告制度、环境巡查制度、环保事故管理制度。</w:t>
            </w:r>
          </w:p>
        </w:tc>
        <w:tc>
          <w:tcPr>
            <w:tcW w:w="822"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trHeight w:val="283"/>
          <w:tblHeader/>
        </w:trPr>
        <w:tc>
          <w:tcPr>
            <w:tcW w:w="87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lastRenderedPageBreak/>
              <w:t>场区及道路硬化绿化</w:t>
            </w:r>
          </w:p>
        </w:tc>
        <w:tc>
          <w:tcPr>
            <w:tcW w:w="6177" w:type="dxa"/>
            <w:tcBorders>
              <w:tl2br w:val="nil"/>
              <w:tr2bl w:val="nil"/>
            </w:tcBorders>
            <w:vAlign w:val="center"/>
          </w:tcPr>
          <w:p w:rsidR="00DB7CC8" w:rsidRDefault="002B5250">
            <w:pPr>
              <w:spacing w:line="240" w:lineRule="auto"/>
              <w:ind w:firstLineChars="0" w:firstLine="0"/>
              <w:rPr>
                <w:sz w:val="21"/>
                <w:szCs w:val="21"/>
              </w:rPr>
            </w:pPr>
            <w:r>
              <w:rPr>
                <w:sz w:val="21"/>
                <w:szCs w:val="21"/>
              </w:rPr>
              <w:t>配套采矿至公路路网、铁选矿厂区运输通道及成品库房至公路路网道路的硬化、绿化，路面宽度</w:t>
            </w:r>
            <w:r>
              <w:rPr>
                <w:sz w:val="21"/>
                <w:szCs w:val="21"/>
              </w:rPr>
              <w:t>6</w:t>
            </w:r>
            <w:r>
              <w:rPr>
                <w:sz w:val="21"/>
                <w:szCs w:val="21"/>
              </w:rPr>
              <w:t>米，水泥混凝土厚度不低于</w:t>
            </w:r>
            <w:r>
              <w:rPr>
                <w:sz w:val="21"/>
                <w:szCs w:val="21"/>
              </w:rPr>
              <w:t>0.3</w:t>
            </w:r>
            <w:r>
              <w:rPr>
                <w:sz w:val="21"/>
                <w:szCs w:val="21"/>
              </w:rPr>
              <w:t>米，路基宽度</w:t>
            </w:r>
            <w:r>
              <w:rPr>
                <w:sz w:val="21"/>
                <w:szCs w:val="21"/>
              </w:rPr>
              <w:t>6.5</w:t>
            </w:r>
            <w:r>
              <w:rPr>
                <w:sz w:val="21"/>
                <w:szCs w:val="21"/>
              </w:rPr>
              <w:t>米（按照田间道路的标准执行），要在合理位置安装自动洗车设备。两侧要参照三级公路绿化标准进行绿化，每侧需栽植两行胸径不低于</w:t>
            </w:r>
            <w:r>
              <w:rPr>
                <w:sz w:val="21"/>
                <w:szCs w:val="21"/>
              </w:rPr>
              <w:t>10</w:t>
            </w:r>
            <w:r>
              <w:rPr>
                <w:sz w:val="21"/>
                <w:szCs w:val="21"/>
              </w:rPr>
              <w:t>厘米的绿化树木，株距</w:t>
            </w:r>
            <w:r>
              <w:rPr>
                <w:sz w:val="21"/>
                <w:szCs w:val="21"/>
              </w:rPr>
              <w:t>5</w:t>
            </w:r>
            <w:r>
              <w:rPr>
                <w:sz w:val="21"/>
                <w:szCs w:val="21"/>
              </w:rPr>
              <w:t>米，并保证整体绿化效果。每座选矿必须配备一台清扫车和一台洒水车，生产期间，道路路面不间断清扫保洁、洒水抑尘，保持路面整洁、湿润不起尘，有效防止运输环节扬尘污染，同时车辆拉货上路时不允许沥水。两家以上铁选矿共用的运输道路，其硬化、绿化</w:t>
            </w:r>
            <w:r>
              <w:rPr>
                <w:sz w:val="21"/>
                <w:szCs w:val="21"/>
              </w:rPr>
              <w:t>、清扫洒水工作，由所在乡镇政府组织协调，相关企业共同出资解决。</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建设配套原料及产品运输道路（均为村外乡间道路，水泥硬化），路面宽度</w:t>
            </w:r>
            <w:r>
              <w:rPr>
                <w:sz w:val="21"/>
                <w:szCs w:val="21"/>
              </w:rPr>
              <w:t>6m</w:t>
            </w:r>
            <w:r>
              <w:rPr>
                <w:sz w:val="21"/>
                <w:szCs w:val="21"/>
              </w:rPr>
              <w:t>，水泥混凝土厚度不低于</w:t>
            </w:r>
            <w:r>
              <w:rPr>
                <w:sz w:val="21"/>
                <w:szCs w:val="21"/>
              </w:rPr>
              <w:t>0.3m</w:t>
            </w:r>
            <w:r>
              <w:rPr>
                <w:sz w:val="21"/>
                <w:szCs w:val="21"/>
              </w:rPr>
              <w:t>，路基宽度</w:t>
            </w:r>
            <w:r>
              <w:rPr>
                <w:sz w:val="21"/>
                <w:szCs w:val="21"/>
              </w:rPr>
              <w:t>6.5m</w:t>
            </w:r>
            <w:r>
              <w:rPr>
                <w:sz w:val="21"/>
                <w:szCs w:val="21"/>
              </w:rPr>
              <w:t>，在</w:t>
            </w:r>
            <w:r>
              <w:rPr>
                <w:rFonts w:hint="eastAsia"/>
                <w:bCs/>
                <w:sz w:val="21"/>
                <w:szCs w:val="21"/>
              </w:rPr>
              <w:t>厂区门口、成品库、原料库</w:t>
            </w:r>
            <w:r>
              <w:rPr>
                <w:rFonts w:hint="eastAsia"/>
                <w:sz w:val="21"/>
                <w:szCs w:val="21"/>
              </w:rPr>
              <w:t>、尾矿</w:t>
            </w:r>
            <w:r>
              <w:rPr>
                <w:rFonts w:hint="eastAsia"/>
                <w:bCs/>
                <w:sz w:val="21"/>
                <w:szCs w:val="21"/>
              </w:rPr>
              <w:t>库、</w:t>
            </w:r>
            <w:r>
              <w:rPr>
                <w:rFonts w:hint="eastAsia"/>
                <w:sz w:val="21"/>
                <w:szCs w:val="21"/>
              </w:rPr>
              <w:t>砂石库出入口</w:t>
            </w:r>
            <w:r>
              <w:rPr>
                <w:sz w:val="21"/>
                <w:szCs w:val="21"/>
              </w:rPr>
              <w:t>安装自动洗车设备。道路两侧按照三级公路绿化标准进行绿化。</w:t>
            </w:r>
          </w:p>
          <w:p w:rsidR="00DB7CC8" w:rsidRDefault="002B5250">
            <w:pPr>
              <w:spacing w:line="240" w:lineRule="auto"/>
              <w:ind w:firstLineChars="0" w:firstLine="0"/>
              <w:rPr>
                <w:sz w:val="21"/>
                <w:szCs w:val="21"/>
              </w:rPr>
            </w:pPr>
            <w:r>
              <w:rPr>
                <w:sz w:val="21"/>
                <w:szCs w:val="21"/>
              </w:rPr>
              <w:t>厂区内配备清扫车和洒水车，生产期间，保证道路路面不间断清扫保洁、洒水抑尘，保持路面整洁、湿润不起尘，有效防止运输环节扬尘污染，同时车辆拉货上路时不允许沥水。</w:t>
            </w:r>
          </w:p>
          <w:p w:rsidR="00DB7CC8" w:rsidRDefault="002B5250">
            <w:pPr>
              <w:spacing w:line="240" w:lineRule="auto"/>
              <w:ind w:firstLineChars="0" w:firstLine="0"/>
              <w:jc w:val="both"/>
              <w:rPr>
                <w:sz w:val="21"/>
                <w:szCs w:val="21"/>
              </w:rPr>
            </w:pPr>
            <w:r>
              <w:rPr>
                <w:sz w:val="21"/>
                <w:szCs w:val="21"/>
              </w:rPr>
              <w:t>企业厂区外运输道路的绿化、硬化、清扫、洒水工作，由本企业出资解决。</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生产规模</w:t>
            </w:r>
          </w:p>
        </w:tc>
        <w:tc>
          <w:tcPr>
            <w:tcW w:w="6177" w:type="dxa"/>
            <w:tcBorders>
              <w:tl2br w:val="nil"/>
              <w:tr2bl w:val="nil"/>
            </w:tcBorders>
            <w:vAlign w:val="center"/>
          </w:tcPr>
          <w:p w:rsidR="00DB7CC8" w:rsidRDefault="002B5250">
            <w:pPr>
              <w:spacing w:line="240" w:lineRule="auto"/>
              <w:ind w:firstLineChars="0" w:firstLine="0"/>
              <w:rPr>
                <w:sz w:val="21"/>
                <w:szCs w:val="21"/>
              </w:rPr>
            </w:pPr>
            <w:r>
              <w:rPr>
                <w:sz w:val="21"/>
                <w:szCs w:val="21"/>
              </w:rPr>
              <w:t>粗选年处理原矿能力不得低于</w:t>
            </w:r>
            <w:r>
              <w:rPr>
                <w:sz w:val="21"/>
                <w:szCs w:val="21"/>
              </w:rPr>
              <w:t>15</w:t>
            </w:r>
            <w:r>
              <w:rPr>
                <w:sz w:val="21"/>
                <w:szCs w:val="21"/>
              </w:rPr>
              <w:t>万吨，精选年处理铁粉能力不得低于</w:t>
            </w:r>
            <w:r>
              <w:rPr>
                <w:sz w:val="21"/>
                <w:szCs w:val="21"/>
              </w:rPr>
              <w:t>20</w:t>
            </w:r>
            <w:r>
              <w:rPr>
                <w:sz w:val="21"/>
                <w:szCs w:val="21"/>
              </w:rPr>
              <w:t>万吨。</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本项目</w:t>
            </w:r>
            <w:r>
              <w:rPr>
                <w:rFonts w:hint="eastAsia"/>
                <w:sz w:val="21"/>
                <w:szCs w:val="21"/>
              </w:rPr>
              <w:t>实施后全厂</w:t>
            </w:r>
            <w:r>
              <w:rPr>
                <w:sz w:val="21"/>
                <w:szCs w:val="21"/>
              </w:rPr>
              <w:t>年处理铁矿石（原矿）</w:t>
            </w:r>
            <w:r>
              <w:rPr>
                <w:rFonts w:hint="eastAsia"/>
                <w:sz w:val="21"/>
                <w:szCs w:val="21"/>
              </w:rPr>
              <w:t>110</w:t>
            </w:r>
            <w:r>
              <w:rPr>
                <w:sz w:val="21"/>
                <w:szCs w:val="21"/>
              </w:rPr>
              <w:t>万吨</w:t>
            </w:r>
            <w:r>
              <w:rPr>
                <w:rFonts w:hint="eastAsia"/>
                <w:sz w:val="21"/>
                <w:szCs w:val="21"/>
              </w:rPr>
              <w:t>，</w:t>
            </w:r>
            <w:r>
              <w:rPr>
                <w:sz w:val="21"/>
                <w:szCs w:val="21"/>
              </w:rPr>
              <w:t>精选年处理铁粉能力</w:t>
            </w:r>
            <w:r>
              <w:rPr>
                <w:rFonts w:hint="eastAsia"/>
                <w:sz w:val="21"/>
                <w:szCs w:val="21"/>
              </w:rPr>
              <w:t>40</w:t>
            </w:r>
            <w:r>
              <w:rPr>
                <w:sz w:val="21"/>
                <w:szCs w:val="21"/>
              </w:rPr>
              <w:t>万吨。。</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无入河排污口</w:t>
            </w:r>
          </w:p>
        </w:tc>
        <w:tc>
          <w:tcPr>
            <w:tcW w:w="6177" w:type="dxa"/>
            <w:tcBorders>
              <w:tl2br w:val="nil"/>
              <w:tr2bl w:val="nil"/>
            </w:tcBorders>
            <w:vAlign w:val="center"/>
          </w:tcPr>
          <w:p w:rsidR="00DB7CC8" w:rsidRDefault="002B5250">
            <w:pPr>
              <w:spacing w:line="240" w:lineRule="auto"/>
              <w:ind w:firstLineChars="0" w:firstLine="0"/>
              <w:rPr>
                <w:sz w:val="21"/>
                <w:szCs w:val="21"/>
              </w:rPr>
            </w:pPr>
            <w:r>
              <w:rPr>
                <w:sz w:val="21"/>
                <w:szCs w:val="21"/>
              </w:rPr>
              <w:t>对于临河建设的选矿企业均不得设置入河排污口，生产过程中产生的污水必须排入低于地面的尾矿库，并定期进行清理；建设沉砂池及净水池，提高水循环利用率。</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本项目废水全部循环利用或综合利用，不外排，不设入河排污口；本项目采用尾矿干排工艺，不建设尾矿库</w:t>
            </w:r>
            <w:r>
              <w:rPr>
                <w:sz w:val="21"/>
                <w:szCs w:val="21"/>
              </w:rPr>
              <w:t>。</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符合河库安全保护距离</w:t>
            </w:r>
          </w:p>
        </w:tc>
        <w:tc>
          <w:tcPr>
            <w:tcW w:w="6177" w:type="dxa"/>
            <w:tcBorders>
              <w:tl2br w:val="nil"/>
              <w:tr2bl w:val="nil"/>
            </w:tcBorders>
            <w:vAlign w:val="center"/>
          </w:tcPr>
          <w:p w:rsidR="00DB7CC8" w:rsidRDefault="002B5250">
            <w:pPr>
              <w:spacing w:line="240" w:lineRule="auto"/>
              <w:ind w:firstLineChars="0" w:firstLine="0"/>
              <w:rPr>
                <w:sz w:val="21"/>
                <w:szCs w:val="21"/>
              </w:rPr>
            </w:pPr>
            <w:r>
              <w:rPr>
                <w:sz w:val="21"/>
                <w:szCs w:val="21"/>
              </w:rPr>
              <w:t>水库安全保护距离为淹没线以外</w:t>
            </w:r>
            <w:r>
              <w:rPr>
                <w:sz w:val="21"/>
                <w:szCs w:val="21"/>
              </w:rPr>
              <w:t>500</w:t>
            </w:r>
            <w:r>
              <w:rPr>
                <w:sz w:val="21"/>
                <w:szCs w:val="21"/>
              </w:rPr>
              <w:t>米；重点河道黎河、沙河、淋河、魏进河为河提外坡脚以外</w:t>
            </w:r>
            <w:r>
              <w:rPr>
                <w:sz w:val="21"/>
                <w:szCs w:val="21"/>
              </w:rPr>
              <w:t>100</w:t>
            </w:r>
            <w:r>
              <w:rPr>
                <w:sz w:val="21"/>
                <w:szCs w:val="21"/>
              </w:rPr>
              <w:t>米，其中尾矿库距离河道不低于</w:t>
            </w:r>
            <w:r>
              <w:rPr>
                <w:sz w:val="21"/>
                <w:szCs w:val="21"/>
              </w:rPr>
              <w:t>150</w:t>
            </w:r>
            <w:r>
              <w:rPr>
                <w:sz w:val="21"/>
                <w:szCs w:val="21"/>
              </w:rPr>
              <w:t>米；一般性河道为</w:t>
            </w:r>
            <w:r>
              <w:rPr>
                <w:sz w:val="21"/>
                <w:szCs w:val="21"/>
              </w:rPr>
              <w:t>50</w:t>
            </w:r>
            <w:r>
              <w:rPr>
                <w:sz w:val="21"/>
                <w:szCs w:val="21"/>
              </w:rPr>
              <w:t>米，其中尾矿库距离不能低于</w:t>
            </w:r>
            <w:r>
              <w:rPr>
                <w:sz w:val="21"/>
                <w:szCs w:val="21"/>
              </w:rPr>
              <w:t>100</w:t>
            </w:r>
            <w:r>
              <w:rPr>
                <w:sz w:val="21"/>
                <w:szCs w:val="21"/>
              </w:rPr>
              <w:t>米；支流及排水沟渠为</w:t>
            </w:r>
            <w:r>
              <w:rPr>
                <w:sz w:val="21"/>
                <w:szCs w:val="21"/>
              </w:rPr>
              <w:t>20</w:t>
            </w:r>
            <w:r>
              <w:rPr>
                <w:sz w:val="21"/>
                <w:szCs w:val="21"/>
              </w:rPr>
              <w:t>米，其中尾矿库距离不能低于</w:t>
            </w:r>
            <w:r>
              <w:rPr>
                <w:sz w:val="21"/>
                <w:szCs w:val="21"/>
              </w:rPr>
              <w:t>50</w:t>
            </w:r>
            <w:r>
              <w:rPr>
                <w:sz w:val="21"/>
                <w:szCs w:val="21"/>
              </w:rPr>
              <w:t>米。河库安全保护范围内不再新设铁选矿。对保护距离范围内已有的铁选矿，实施绿化隔离，在河提与选矿间建立绿化隔离带，其中重点保护区域在河堤外绿化厚度不低于</w:t>
            </w:r>
            <w:r>
              <w:rPr>
                <w:sz w:val="21"/>
                <w:szCs w:val="21"/>
              </w:rPr>
              <w:t>30</w:t>
            </w:r>
            <w:r>
              <w:rPr>
                <w:sz w:val="21"/>
                <w:szCs w:val="21"/>
              </w:rPr>
              <w:t>米、一般性河道河堤外绿化厚度不低于</w:t>
            </w:r>
            <w:r>
              <w:rPr>
                <w:sz w:val="21"/>
                <w:szCs w:val="21"/>
              </w:rPr>
              <w:t>20</w:t>
            </w:r>
            <w:r>
              <w:rPr>
                <w:sz w:val="21"/>
                <w:szCs w:val="21"/>
              </w:rPr>
              <w:t>米、支流及其他河流河堤外绿化厚度不低于</w:t>
            </w:r>
            <w:r>
              <w:rPr>
                <w:sz w:val="21"/>
                <w:szCs w:val="21"/>
              </w:rPr>
              <w:t>10</w:t>
            </w:r>
            <w:r>
              <w:rPr>
                <w:sz w:val="21"/>
                <w:szCs w:val="21"/>
              </w:rPr>
              <w:t>米，种植要求乔木与灌木</w:t>
            </w:r>
            <w:r>
              <w:rPr>
                <w:sz w:val="21"/>
                <w:szCs w:val="21"/>
              </w:rPr>
              <w:t>相结合。</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本项目距离最近的河流</w:t>
            </w:r>
            <w:r>
              <w:rPr>
                <w:rFonts w:hint="eastAsia"/>
                <w:sz w:val="21"/>
                <w:szCs w:val="21"/>
              </w:rPr>
              <w:t>--</w:t>
            </w:r>
            <w:r>
              <w:rPr>
                <w:rFonts w:hint="eastAsia"/>
                <w:sz w:val="21"/>
                <w:szCs w:val="21"/>
              </w:rPr>
              <w:t>黎河的保护围栏约</w:t>
            </w:r>
            <w:r>
              <w:rPr>
                <w:rFonts w:hint="eastAsia"/>
                <w:sz w:val="21"/>
                <w:szCs w:val="21"/>
              </w:rPr>
              <w:t>136m</w:t>
            </w:r>
            <w:r>
              <w:rPr>
                <w:rFonts w:hint="eastAsia"/>
                <w:sz w:val="21"/>
                <w:szCs w:val="21"/>
              </w:rPr>
              <w:t>，不临河道，项目废水全部循环利用或综合利用，不外排，不设废水排污口；本项目采用尾矿干排工艺，不建设尾矿库。</w:t>
            </w:r>
          </w:p>
          <w:p w:rsidR="00DB7CC8" w:rsidRDefault="002B5250">
            <w:pPr>
              <w:spacing w:line="240" w:lineRule="auto"/>
              <w:ind w:firstLineChars="0" w:firstLine="0"/>
              <w:jc w:val="center"/>
              <w:rPr>
                <w:sz w:val="21"/>
                <w:szCs w:val="21"/>
              </w:rPr>
            </w:pPr>
            <w:r>
              <w:rPr>
                <w:rFonts w:hint="eastAsia"/>
                <w:sz w:val="21"/>
                <w:szCs w:val="21"/>
              </w:rPr>
              <w:t>同时取得遵化市水利局满足河库安全距离的证明。</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r w:rsidR="00DB7CC8">
        <w:trPr>
          <w:trHeight w:val="283"/>
          <w:tblHeader/>
        </w:trPr>
        <w:tc>
          <w:tcPr>
            <w:tcW w:w="87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c>
          <w:tcPr>
            <w:tcW w:w="6177" w:type="dxa"/>
            <w:tcBorders>
              <w:tl2br w:val="nil"/>
              <w:tr2bl w:val="nil"/>
            </w:tcBorders>
            <w:vAlign w:val="center"/>
          </w:tcPr>
          <w:p w:rsidR="00DB7CC8" w:rsidRDefault="002B5250">
            <w:pPr>
              <w:spacing w:line="240" w:lineRule="auto"/>
              <w:ind w:firstLineChars="0" w:firstLine="0"/>
              <w:rPr>
                <w:sz w:val="21"/>
                <w:szCs w:val="21"/>
              </w:rPr>
            </w:pPr>
            <w:r>
              <w:rPr>
                <w:sz w:val="21"/>
                <w:szCs w:val="21"/>
              </w:rPr>
              <w:t>旅游景区、景点周边或通往景区的旅游线路两侧有碍观瞻的铁选矿，合理设置景观墙或景观带消除观瞻影响。</w:t>
            </w:r>
          </w:p>
        </w:tc>
        <w:tc>
          <w:tcPr>
            <w:tcW w:w="63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项目不在旅游景区、景点周边或通往景区的旅游线路两侧。</w:t>
            </w:r>
          </w:p>
        </w:tc>
        <w:tc>
          <w:tcPr>
            <w:tcW w:w="82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符合</w:t>
            </w:r>
          </w:p>
        </w:tc>
      </w:tr>
    </w:tbl>
    <w:p w:rsidR="00DB7CC8" w:rsidRDefault="00DB7CC8">
      <w:pPr>
        <w:ind w:firstLineChars="0" w:firstLine="0"/>
        <w:jc w:val="both"/>
        <w:rPr>
          <w:b/>
        </w:rPr>
      </w:pPr>
    </w:p>
    <w:p w:rsidR="00DB7CC8" w:rsidRDefault="00DB7CC8">
      <w:pPr>
        <w:ind w:firstLine="480"/>
        <w:jc w:val="center"/>
        <w:rPr>
          <w:sz w:val="24"/>
          <w:szCs w:val="24"/>
        </w:rPr>
      </w:pPr>
    </w:p>
    <w:p w:rsidR="00DB7CC8" w:rsidRDefault="00DB7CC8">
      <w:pPr>
        <w:ind w:firstLine="480"/>
        <w:jc w:val="center"/>
        <w:rPr>
          <w:sz w:val="24"/>
          <w:szCs w:val="24"/>
        </w:rPr>
        <w:sectPr w:rsidR="00DB7CC8">
          <w:pgSz w:w="16838" w:h="11906" w:orient="landscape"/>
          <w:pgMar w:top="1800" w:right="1440" w:bottom="1800" w:left="1440" w:header="851" w:footer="992" w:gutter="0"/>
          <w:cols w:space="720"/>
          <w:docGrid w:linePitch="381"/>
        </w:sectPr>
      </w:pPr>
    </w:p>
    <w:p w:rsidR="00DB7CC8" w:rsidRDefault="002B5250">
      <w:pPr>
        <w:pStyle w:val="4"/>
        <w:rPr>
          <w:rFonts w:eastAsiaTheme="minorEastAsia"/>
          <w:b/>
        </w:rPr>
      </w:pPr>
      <w:r>
        <w:rPr>
          <w:rFonts w:eastAsiaTheme="minorEastAsia"/>
          <w:b/>
        </w:rPr>
        <w:lastRenderedPageBreak/>
        <w:t>2.</w:t>
      </w:r>
      <w:r>
        <w:rPr>
          <w:rFonts w:eastAsiaTheme="minorEastAsia" w:hint="eastAsia"/>
          <w:b/>
        </w:rPr>
        <w:t>5</w:t>
      </w:r>
      <w:r>
        <w:rPr>
          <w:rFonts w:eastAsiaTheme="minorEastAsia"/>
          <w:b/>
        </w:rPr>
        <w:t>.1.</w:t>
      </w:r>
      <w:r>
        <w:rPr>
          <w:rFonts w:eastAsiaTheme="minorEastAsia" w:hint="eastAsia"/>
          <w:b/>
        </w:rPr>
        <w:t>3</w:t>
      </w:r>
      <w:r>
        <w:rPr>
          <w:rFonts w:eastAsiaTheme="minorEastAsia"/>
          <w:b/>
        </w:rPr>
        <w:t>与</w:t>
      </w:r>
      <w:r>
        <w:rPr>
          <w:rFonts w:eastAsiaTheme="minorEastAsia"/>
          <w:b/>
        </w:rPr>
        <w:t>“</w:t>
      </w:r>
      <w:r>
        <w:rPr>
          <w:rFonts w:eastAsiaTheme="minorEastAsia"/>
          <w:b/>
        </w:rPr>
        <w:t>三线一单</w:t>
      </w:r>
      <w:r>
        <w:rPr>
          <w:rFonts w:eastAsiaTheme="minorEastAsia"/>
          <w:b/>
        </w:rPr>
        <w:t>”</w:t>
      </w:r>
      <w:r>
        <w:rPr>
          <w:rFonts w:eastAsiaTheme="minorEastAsia"/>
          <w:b/>
        </w:rPr>
        <w:t>符合性分析</w:t>
      </w:r>
    </w:p>
    <w:p w:rsidR="00DB7CC8" w:rsidRDefault="002B5250">
      <w:pPr>
        <w:ind w:firstLine="480"/>
        <w:textAlignment w:val="auto"/>
        <w:rPr>
          <w:kern w:val="2"/>
          <w:sz w:val="24"/>
          <w:szCs w:val="24"/>
        </w:rPr>
      </w:pPr>
      <w:r>
        <w:rPr>
          <w:kern w:val="2"/>
          <w:sz w:val="24"/>
          <w:szCs w:val="24"/>
        </w:rPr>
        <w:t>根据《关于以改善环境质量为核心加强环境影响评价管理的通知》（环环评</w:t>
      </w:r>
      <w:r>
        <w:rPr>
          <w:kern w:val="2"/>
          <w:sz w:val="24"/>
          <w:szCs w:val="24"/>
        </w:rPr>
        <w:t>[2016]150</w:t>
      </w:r>
      <w:r>
        <w:rPr>
          <w:kern w:val="2"/>
          <w:sz w:val="24"/>
          <w:szCs w:val="24"/>
        </w:rPr>
        <w:t>号），要求以生态保护红线、环境质量底线、资源利用上线和环境准入负面清单（以下简称</w:t>
      </w:r>
      <w:r>
        <w:rPr>
          <w:kern w:val="2"/>
          <w:sz w:val="24"/>
          <w:szCs w:val="24"/>
        </w:rPr>
        <w:t>“</w:t>
      </w:r>
      <w:r>
        <w:rPr>
          <w:kern w:val="2"/>
          <w:sz w:val="24"/>
          <w:szCs w:val="24"/>
        </w:rPr>
        <w:t>三线一单</w:t>
      </w:r>
      <w:r>
        <w:rPr>
          <w:kern w:val="2"/>
          <w:sz w:val="24"/>
          <w:szCs w:val="24"/>
        </w:rPr>
        <w:t>”</w:t>
      </w:r>
      <w:r>
        <w:rPr>
          <w:kern w:val="2"/>
          <w:sz w:val="24"/>
          <w:szCs w:val="24"/>
        </w:rPr>
        <w:t>）为手段，强化空间、总量和准入环境管理。本项目建设与上述要求的符合性分析如下：</w:t>
      </w:r>
    </w:p>
    <w:p w:rsidR="00DB7CC8" w:rsidRDefault="002B5250">
      <w:pPr>
        <w:ind w:firstLine="480"/>
        <w:textAlignment w:val="auto"/>
        <w:rPr>
          <w:kern w:val="2"/>
          <w:sz w:val="24"/>
          <w:szCs w:val="24"/>
        </w:rPr>
      </w:pPr>
      <w:r>
        <w:rPr>
          <w:rFonts w:hint="eastAsia"/>
          <w:kern w:val="2"/>
          <w:sz w:val="24"/>
          <w:szCs w:val="24"/>
        </w:rPr>
        <w:t>（</w:t>
      </w:r>
      <w:r>
        <w:rPr>
          <w:rFonts w:hint="eastAsia"/>
          <w:kern w:val="2"/>
          <w:sz w:val="24"/>
          <w:szCs w:val="24"/>
        </w:rPr>
        <w:t>1</w:t>
      </w:r>
      <w:r>
        <w:rPr>
          <w:rFonts w:hint="eastAsia"/>
          <w:kern w:val="2"/>
          <w:sz w:val="24"/>
          <w:szCs w:val="24"/>
        </w:rPr>
        <w:t>）</w:t>
      </w:r>
      <w:r>
        <w:rPr>
          <w:kern w:val="2"/>
          <w:sz w:val="24"/>
          <w:szCs w:val="24"/>
        </w:rPr>
        <w:t>生态保护红线</w:t>
      </w:r>
    </w:p>
    <w:p w:rsidR="00DB7CC8" w:rsidRDefault="002B5250">
      <w:pPr>
        <w:ind w:firstLine="480"/>
        <w:textAlignment w:val="auto"/>
        <w:rPr>
          <w:kern w:val="2"/>
          <w:sz w:val="24"/>
          <w:szCs w:val="24"/>
        </w:rPr>
        <w:sectPr w:rsidR="00DB7CC8">
          <w:pgSz w:w="11906" w:h="16838"/>
          <w:pgMar w:top="1440" w:right="1797" w:bottom="1440" w:left="1797" w:header="851" w:footer="992" w:gutter="0"/>
          <w:cols w:space="720"/>
          <w:docGrid w:linePitch="381"/>
        </w:sectPr>
      </w:pPr>
      <w:r>
        <w:rPr>
          <w:kern w:val="2"/>
          <w:sz w:val="24"/>
          <w:szCs w:val="24"/>
        </w:rPr>
        <w:t>生态保护红线包括重点生态功能区保护红线、生态敏感脆弱区保护红线和禁止开发区保护红线。根据经河北省政府审定的《河北省生态保护红线划定方案》，本项目位于</w:t>
      </w:r>
      <w:r>
        <w:rPr>
          <w:sz w:val="24"/>
        </w:rPr>
        <w:t>遵化市建明镇靠山庄村</w:t>
      </w:r>
      <w:r>
        <w:rPr>
          <w:kern w:val="2"/>
          <w:sz w:val="24"/>
          <w:szCs w:val="24"/>
        </w:rPr>
        <w:t>，该区域</w:t>
      </w:r>
      <w:r>
        <w:rPr>
          <w:rFonts w:hint="eastAsia"/>
          <w:kern w:val="2"/>
          <w:sz w:val="24"/>
          <w:szCs w:val="24"/>
        </w:rPr>
        <w:t>生态保护红线为黎河河道范围，本</w:t>
      </w:r>
      <w:r>
        <w:rPr>
          <w:rFonts w:hint="eastAsia"/>
          <w:kern w:val="2"/>
          <w:sz w:val="24"/>
          <w:szCs w:val="24"/>
        </w:rPr>
        <w:t>项目距离黎河河提外坡脚</w:t>
      </w:r>
      <w:r>
        <w:rPr>
          <w:rFonts w:hint="eastAsia"/>
          <w:kern w:val="2"/>
          <w:sz w:val="24"/>
          <w:szCs w:val="24"/>
        </w:rPr>
        <w:t>136</w:t>
      </w:r>
      <w:r>
        <w:rPr>
          <w:kern w:val="2"/>
          <w:sz w:val="24"/>
          <w:szCs w:val="24"/>
        </w:rPr>
        <w:t>m</w:t>
      </w:r>
      <w:r>
        <w:rPr>
          <w:rFonts w:hint="eastAsia"/>
          <w:kern w:val="2"/>
          <w:sz w:val="24"/>
          <w:szCs w:val="24"/>
        </w:rPr>
        <w:t>，</w:t>
      </w:r>
      <w:r>
        <w:rPr>
          <w:kern w:val="2"/>
          <w:sz w:val="24"/>
          <w:szCs w:val="24"/>
        </w:rPr>
        <w:t>不在生态保护红线区内。</w:t>
      </w:r>
    </w:p>
    <w:p w:rsidR="00DB7CC8" w:rsidRDefault="002B5250">
      <w:pPr>
        <w:ind w:firstLineChars="0" w:firstLine="0"/>
        <w:jc w:val="center"/>
        <w:textAlignment w:val="auto"/>
        <w:rPr>
          <w:kern w:val="2"/>
          <w:sz w:val="24"/>
          <w:szCs w:val="24"/>
        </w:rPr>
      </w:pPr>
      <w:r>
        <w:rPr>
          <w:noProof/>
        </w:rPr>
        <w:lastRenderedPageBreak/>
        <w:drawing>
          <wp:inline distT="0" distB="0" distL="0" distR="0">
            <wp:extent cx="6595110" cy="4663440"/>
            <wp:effectExtent l="0" t="0" r="0" b="381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6602229" cy="4668106"/>
                    </a:xfrm>
                    <a:prstGeom prst="rect">
                      <a:avLst/>
                    </a:prstGeom>
                    <a:noFill/>
                    <a:ln>
                      <a:noFill/>
                    </a:ln>
                  </pic:spPr>
                </pic:pic>
              </a:graphicData>
            </a:graphic>
          </wp:inline>
        </w:drawing>
      </w:r>
    </w:p>
    <w:p w:rsidR="00DB7CC8" w:rsidRDefault="002B5250">
      <w:pPr>
        <w:spacing w:line="240" w:lineRule="auto"/>
        <w:ind w:firstLineChars="0" w:firstLine="0"/>
        <w:jc w:val="center"/>
        <w:textAlignment w:val="auto"/>
        <w:rPr>
          <w:kern w:val="2"/>
          <w:sz w:val="24"/>
          <w:szCs w:val="24"/>
        </w:rPr>
        <w:sectPr w:rsidR="00DB7CC8">
          <w:footerReference w:type="default" r:id="rId24"/>
          <w:pgSz w:w="16838" w:h="11906" w:orient="landscape"/>
          <w:pgMar w:top="1797" w:right="1440" w:bottom="1797" w:left="1440" w:header="851" w:footer="992" w:gutter="0"/>
          <w:cols w:space="720"/>
          <w:docGrid w:linePitch="381"/>
        </w:sectPr>
      </w:pPr>
      <w:r>
        <w:rPr>
          <w:rFonts w:eastAsia="黑体"/>
          <w:kern w:val="2"/>
          <w:sz w:val="21"/>
          <w:szCs w:val="21"/>
        </w:rPr>
        <w:t>图</w:t>
      </w:r>
      <w:r>
        <w:rPr>
          <w:rFonts w:eastAsia="黑体"/>
          <w:kern w:val="2"/>
          <w:sz w:val="21"/>
          <w:szCs w:val="21"/>
        </w:rPr>
        <w:t>2.</w:t>
      </w:r>
      <w:r>
        <w:rPr>
          <w:rFonts w:eastAsia="黑体" w:hint="eastAsia"/>
          <w:kern w:val="2"/>
          <w:sz w:val="21"/>
          <w:szCs w:val="21"/>
        </w:rPr>
        <w:t>5</w:t>
      </w:r>
      <w:r>
        <w:rPr>
          <w:rFonts w:eastAsia="黑体"/>
          <w:kern w:val="2"/>
          <w:sz w:val="21"/>
          <w:szCs w:val="21"/>
        </w:rPr>
        <w:t>-</w:t>
      </w:r>
      <w:r>
        <w:rPr>
          <w:rFonts w:eastAsia="黑体" w:hint="eastAsia"/>
          <w:kern w:val="2"/>
          <w:sz w:val="21"/>
          <w:szCs w:val="21"/>
        </w:rPr>
        <w:t>1</w:t>
      </w:r>
      <w:r>
        <w:rPr>
          <w:rFonts w:eastAsia="黑体"/>
          <w:kern w:val="2"/>
          <w:sz w:val="21"/>
          <w:szCs w:val="21"/>
        </w:rPr>
        <w:t xml:space="preserve">  </w:t>
      </w:r>
      <w:r>
        <w:rPr>
          <w:rFonts w:eastAsia="黑体"/>
          <w:kern w:val="2"/>
          <w:sz w:val="21"/>
          <w:szCs w:val="21"/>
        </w:rPr>
        <w:t>生态保护红线与本项目相对位置图</w:t>
      </w:r>
    </w:p>
    <w:p w:rsidR="00DB7CC8" w:rsidRDefault="002B5250">
      <w:pPr>
        <w:ind w:firstLine="480"/>
        <w:textAlignment w:val="auto"/>
        <w:rPr>
          <w:kern w:val="2"/>
          <w:sz w:val="24"/>
          <w:szCs w:val="24"/>
        </w:rPr>
      </w:pPr>
      <w:r>
        <w:rPr>
          <w:rFonts w:hint="eastAsia"/>
          <w:kern w:val="2"/>
          <w:sz w:val="24"/>
          <w:szCs w:val="24"/>
        </w:rPr>
        <w:lastRenderedPageBreak/>
        <w:t>（</w:t>
      </w:r>
      <w:r>
        <w:rPr>
          <w:rFonts w:hint="eastAsia"/>
          <w:kern w:val="2"/>
          <w:sz w:val="24"/>
          <w:szCs w:val="24"/>
        </w:rPr>
        <w:t>2</w:t>
      </w:r>
      <w:r>
        <w:rPr>
          <w:rFonts w:hint="eastAsia"/>
          <w:kern w:val="2"/>
          <w:sz w:val="24"/>
          <w:szCs w:val="24"/>
        </w:rPr>
        <w:t>）</w:t>
      </w:r>
      <w:r>
        <w:rPr>
          <w:kern w:val="2"/>
          <w:sz w:val="24"/>
          <w:szCs w:val="24"/>
        </w:rPr>
        <w:t>环境质量底线</w:t>
      </w:r>
    </w:p>
    <w:p w:rsidR="00DB7CC8" w:rsidRDefault="002B5250">
      <w:pPr>
        <w:snapToGrid w:val="0"/>
        <w:ind w:firstLine="480"/>
        <w:jc w:val="both"/>
        <w:rPr>
          <w:sz w:val="24"/>
          <w:szCs w:val="24"/>
        </w:rPr>
      </w:pPr>
      <w:r>
        <w:rPr>
          <w:rFonts w:hint="eastAsia"/>
          <w:sz w:val="24"/>
          <w:szCs w:val="24"/>
        </w:rPr>
        <w:t>①环境空气：</w:t>
      </w:r>
      <w:r>
        <w:rPr>
          <w:sz w:val="24"/>
          <w:szCs w:val="24"/>
        </w:rPr>
        <w:t>项目区域大气环境为二类区，根据环境质量现状监测报告及遵化市环境空气质量数据，</w:t>
      </w:r>
      <w:r>
        <w:rPr>
          <w:sz w:val="24"/>
          <w:szCs w:val="24"/>
        </w:rPr>
        <w:t>SO</w:t>
      </w:r>
      <w:r>
        <w:rPr>
          <w:sz w:val="24"/>
          <w:szCs w:val="24"/>
          <w:vertAlign w:val="subscript"/>
        </w:rPr>
        <w:t>2</w:t>
      </w:r>
      <w:r>
        <w:rPr>
          <w:sz w:val="24"/>
          <w:szCs w:val="24"/>
        </w:rPr>
        <w:t>、</w:t>
      </w:r>
      <w:r>
        <w:rPr>
          <w:sz w:val="24"/>
          <w:szCs w:val="24"/>
        </w:rPr>
        <w:t>NO</w:t>
      </w:r>
      <w:r>
        <w:rPr>
          <w:sz w:val="24"/>
          <w:szCs w:val="24"/>
          <w:vertAlign w:val="subscript"/>
        </w:rPr>
        <w:t>2</w:t>
      </w:r>
      <w:r>
        <w:rPr>
          <w:sz w:val="24"/>
          <w:szCs w:val="24"/>
        </w:rPr>
        <w:t>、</w:t>
      </w:r>
      <w:r>
        <w:rPr>
          <w:sz w:val="24"/>
          <w:szCs w:val="24"/>
        </w:rPr>
        <w:t>CO1h</w:t>
      </w:r>
      <w:r>
        <w:rPr>
          <w:sz w:val="24"/>
          <w:szCs w:val="24"/>
        </w:rPr>
        <w:t>浓度及日均浓度满足《环境空气质量标准》（</w:t>
      </w:r>
      <w:r>
        <w:rPr>
          <w:sz w:val="24"/>
          <w:szCs w:val="24"/>
        </w:rPr>
        <w:t>GB3095-2012</w:t>
      </w:r>
      <w:r>
        <w:rPr>
          <w:sz w:val="24"/>
          <w:szCs w:val="24"/>
        </w:rPr>
        <w:t>）二级标准要求。</w:t>
      </w:r>
      <w:r>
        <w:rPr>
          <w:sz w:val="24"/>
          <w:szCs w:val="24"/>
        </w:rPr>
        <w:t>O</w:t>
      </w:r>
      <w:r>
        <w:rPr>
          <w:sz w:val="24"/>
          <w:szCs w:val="24"/>
          <w:vertAlign w:val="subscript"/>
        </w:rPr>
        <w:t>3</w:t>
      </w:r>
      <w:r>
        <w:rPr>
          <w:sz w:val="24"/>
          <w:szCs w:val="24"/>
        </w:rPr>
        <w:t>1h</w:t>
      </w:r>
      <w:r>
        <w:rPr>
          <w:sz w:val="24"/>
          <w:szCs w:val="24"/>
        </w:rPr>
        <w:t>浓度及</w:t>
      </w:r>
      <w:r>
        <w:rPr>
          <w:sz w:val="24"/>
          <w:szCs w:val="24"/>
        </w:rPr>
        <w:t>8h</w:t>
      </w:r>
      <w:r>
        <w:rPr>
          <w:sz w:val="24"/>
          <w:szCs w:val="24"/>
        </w:rPr>
        <w:t>浓度满足《环境空气质量标准》（</w:t>
      </w:r>
      <w:r>
        <w:rPr>
          <w:sz w:val="24"/>
          <w:szCs w:val="24"/>
        </w:rPr>
        <w:t>GB3095-2012</w:t>
      </w:r>
      <w:r>
        <w:rPr>
          <w:sz w:val="24"/>
          <w:szCs w:val="24"/>
        </w:rPr>
        <w:t>）二级标准要求。</w:t>
      </w:r>
      <w:r>
        <w:rPr>
          <w:sz w:val="24"/>
          <w:szCs w:val="24"/>
        </w:rPr>
        <w:t>PM</w:t>
      </w:r>
      <w:r>
        <w:rPr>
          <w:sz w:val="24"/>
          <w:szCs w:val="24"/>
          <w:vertAlign w:val="subscript"/>
        </w:rPr>
        <w:t>2.5</w:t>
      </w:r>
      <w:r>
        <w:rPr>
          <w:sz w:val="24"/>
          <w:szCs w:val="24"/>
        </w:rPr>
        <w:t>日均浓度满足《环境空气质量标准》（</w:t>
      </w:r>
      <w:r>
        <w:rPr>
          <w:sz w:val="24"/>
          <w:szCs w:val="24"/>
        </w:rPr>
        <w:t>GB3095-2012</w:t>
      </w:r>
      <w:r>
        <w:rPr>
          <w:sz w:val="24"/>
          <w:szCs w:val="24"/>
        </w:rPr>
        <w:t>）二级标准要求。</w:t>
      </w:r>
      <w:r>
        <w:rPr>
          <w:sz w:val="24"/>
          <w:szCs w:val="24"/>
        </w:rPr>
        <w:t>PM</w:t>
      </w:r>
      <w:r>
        <w:rPr>
          <w:sz w:val="24"/>
          <w:szCs w:val="24"/>
          <w:vertAlign w:val="subscript"/>
        </w:rPr>
        <w:t>10</w:t>
      </w:r>
      <w:r>
        <w:rPr>
          <w:sz w:val="24"/>
          <w:szCs w:val="24"/>
        </w:rPr>
        <w:t>日均浓度超标。本项目经通过采取相应的治理措施后，废气排放浓度满足《铁矿采选工业污染物排放标准》（</w:t>
      </w:r>
      <w:r>
        <w:rPr>
          <w:sz w:val="24"/>
          <w:szCs w:val="24"/>
        </w:rPr>
        <w:t>GB28661-2012</w:t>
      </w:r>
      <w:r>
        <w:rPr>
          <w:sz w:val="24"/>
          <w:szCs w:val="24"/>
        </w:rPr>
        <w:t>）表</w:t>
      </w:r>
      <w:r>
        <w:rPr>
          <w:sz w:val="24"/>
          <w:szCs w:val="24"/>
        </w:rPr>
        <w:t>6</w:t>
      </w:r>
      <w:r>
        <w:rPr>
          <w:sz w:val="24"/>
          <w:szCs w:val="24"/>
        </w:rPr>
        <w:t>大气污染物特别排放限值要求；厂界无组织颗粒物满足表</w:t>
      </w:r>
      <w:r>
        <w:rPr>
          <w:sz w:val="24"/>
          <w:szCs w:val="24"/>
        </w:rPr>
        <w:t>7</w:t>
      </w:r>
      <w:r>
        <w:rPr>
          <w:sz w:val="24"/>
          <w:szCs w:val="24"/>
        </w:rPr>
        <w:t>大气污染物无组织排放浓度限值。该项目主要污染物</w:t>
      </w:r>
      <w:r>
        <w:rPr>
          <w:sz w:val="24"/>
          <w:szCs w:val="24"/>
        </w:rPr>
        <w:t>—</w:t>
      </w:r>
      <w:r>
        <w:rPr>
          <w:sz w:val="24"/>
          <w:szCs w:val="24"/>
        </w:rPr>
        <w:t>颗粒物污染排放总量需进</w:t>
      </w:r>
      <w:r>
        <w:rPr>
          <w:sz w:val="24"/>
          <w:szCs w:val="24"/>
        </w:rPr>
        <w:t>行区域削减，其削减方案由当地环保管理部门在区域削减的基础上给出，并通过交易获得。该项目为允许类项目，根据</w:t>
      </w:r>
      <w:r>
        <w:rPr>
          <w:sz w:val="24"/>
          <w:szCs w:val="24"/>
        </w:rPr>
        <w:t>“</w:t>
      </w:r>
      <w:r>
        <w:rPr>
          <w:sz w:val="24"/>
          <w:szCs w:val="24"/>
        </w:rPr>
        <w:t>增一减二</w:t>
      </w:r>
      <w:r>
        <w:rPr>
          <w:sz w:val="24"/>
          <w:szCs w:val="24"/>
        </w:rPr>
        <w:t>”</w:t>
      </w:r>
      <w:r>
        <w:rPr>
          <w:sz w:val="24"/>
          <w:szCs w:val="24"/>
        </w:rPr>
        <w:t>原则</w:t>
      </w:r>
      <w:r>
        <w:rPr>
          <w:rFonts w:hint="eastAsia"/>
          <w:sz w:val="24"/>
          <w:szCs w:val="24"/>
        </w:rPr>
        <w:t>进行</w:t>
      </w:r>
      <w:r>
        <w:rPr>
          <w:sz w:val="24"/>
          <w:szCs w:val="24"/>
        </w:rPr>
        <w:t>调剂。因此，当项目投产后，不会对周边区域大气环境造成明显不利影响。</w:t>
      </w:r>
    </w:p>
    <w:p w:rsidR="00DB7CC8" w:rsidRDefault="002B5250">
      <w:pPr>
        <w:snapToGrid w:val="0"/>
        <w:ind w:firstLine="480"/>
        <w:jc w:val="both"/>
        <w:rPr>
          <w:sz w:val="24"/>
          <w:szCs w:val="24"/>
        </w:rPr>
      </w:pPr>
      <w:r>
        <w:rPr>
          <w:rFonts w:hint="eastAsia"/>
          <w:sz w:val="24"/>
          <w:szCs w:val="24"/>
        </w:rPr>
        <w:t>②水环境：本项目生产废水经处理后循环使用，生活废水泼洒抑尘，洗车废水经沉淀后循环使用。项目生产生活废水不外排，不会对区域地表水环境产生影响。</w:t>
      </w:r>
    </w:p>
    <w:p w:rsidR="00DB7CC8" w:rsidRDefault="002B5250">
      <w:pPr>
        <w:snapToGrid w:val="0"/>
        <w:ind w:firstLine="480"/>
        <w:jc w:val="both"/>
        <w:rPr>
          <w:sz w:val="24"/>
          <w:szCs w:val="24"/>
        </w:rPr>
      </w:pPr>
      <w:r>
        <w:rPr>
          <w:rFonts w:hint="eastAsia"/>
          <w:sz w:val="24"/>
          <w:szCs w:val="24"/>
        </w:rPr>
        <w:t>③声环境：项目所在区域声环境执行《声环境质量标准》（</w:t>
      </w:r>
      <w:r>
        <w:rPr>
          <w:rFonts w:hint="eastAsia"/>
          <w:sz w:val="24"/>
          <w:szCs w:val="24"/>
        </w:rPr>
        <w:t>GB3096-2008</w:t>
      </w:r>
      <w:r>
        <w:rPr>
          <w:rFonts w:hint="eastAsia"/>
          <w:sz w:val="24"/>
          <w:szCs w:val="24"/>
        </w:rPr>
        <w:t>）</w:t>
      </w:r>
      <w:r>
        <w:rPr>
          <w:rFonts w:hint="eastAsia"/>
          <w:sz w:val="24"/>
          <w:szCs w:val="24"/>
        </w:rPr>
        <w:t>2</w:t>
      </w:r>
      <w:r>
        <w:rPr>
          <w:rFonts w:hint="eastAsia"/>
          <w:sz w:val="24"/>
          <w:szCs w:val="24"/>
        </w:rPr>
        <w:t>类标准，根据环境质量现状监测报告，项目所在区域满足环境质量标准要求。项目主要噪声源优先选用低噪声设备</w:t>
      </w:r>
      <w:r>
        <w:rPr>
          <w:rFonts w:hint="eastAsia"/>
          <w:sz w:val="24"/>
          <w:szCs w:val="24"/>
        </w:rPr>
        <w:t>，并置于车间内，设备采用基础减振措施、加装減振器等措施，根据预测结果，厂界噪声贡献值满足《工业企业厂界环境噪声排放标准》</w:t>
      </w:r>
      <w:r>
        <w:rPr>
          <w:rFonts w:hint="eastAsia"/>
          <w:sz w:val="24"/>
          <w:szCs w:val="24"/>
        </w:rPr>
        <w:t>(GB13248-2008)2</w:t>
      </w:r>
      <w:r>
        <w:rPr>
          <w:rFonts w:hint="eastAsia"/>
          <w:sz w:val="24"/>
          <w:szCs w:val="24"/>
        </w:rPr>
        <w:t>类标准要求，不会改变厂界现有功能要求。</w:t>
      </w:r>
    </w:p>
    <w:p w:rsidR="00DB7CC8" w:rsidRDefault="002B5250">
      <w:pPr>
        <w:snapToGrid w:val="0"/>
        <w:ind w:firstLine="480"/>
        <w:jc w:val="both"/>
        <w:rPr>
          <w:sz w:val="24"/>
          <w:szCs w:val="24"/>
        </w:rPr>
      </w:pPr>
      <w:r>
        <w:rPr>
          <w:rFonts w:hint="eastAsia"/>
          <w:sz w:val="24"/>
          <w:szCs w:val="24"/>
        </w:rPr>
        <w:t>（</w:t>
      </w:r>
      <w:r>
        <w:rPr>
          <w:rFonts w:hint="eastAsia"/>
          <w:sz w:val="24"/>
          <w:szCs w:val="24"/>
        </w:rPr>
        <w:t>3</w:t>
      </w:r>
      <w:r>
        <w:rPr>
          <w:rFonts w:hint="eastAsia"/>
          <w:sz w:val="24"/>
          <w:szCs w:val="24"/>
        </w:rPr>
        <w:t>）资源利用上线</w:t>
      </w:r>
    </w:p>
    <w:p w:rsidR="00DB7CC8" w:rsidRDefault="002B5250">
      <w:pPr>
        <w:ind w:firstLine="480"/>
        <w:rPr>
          <w:sz w:val="24"/>
          <w:szCs w:val="24"/>
        </w:rPr>
      </w:pPr>
      <w:r>
        <w:rPr>
          <w:rFonts w:hint="eastAsia"/>
          <w:sz w:val="24"/>
          <w:szCs w:val="24"/>
        </w:rPr>
        <w:t>本项目建设生产过程中，主要利用的资源是铁矿石，水，电能。项目原料铁矿石主要来源于</w:t>
      </w:r>
      <w:r>
        <w:rPr>
          <w:sz w:val="24"/>
          <w:szCs w:val="24"/>
        </w:rPr>
        <w:t>遵化市</w:t>
      </w:r>
      <w:r>
        <w:rPr>
          <w:rFonts w:hint="eastAsia"/>
          <w:sz w:val="24"/>
          <w:szCs w:val="24"/>
        </w:rPr>
        <w:t>本地矿场，原料供应有保障。项目用水为地下水，根据《河北省人民政府关于公布地下水超采区、禁止开采区和限制开采区范围的通知》（冀政字〔</w:t>
      </w:r>
      <w:r>
        <w:rPr>
          <w:rFonts w:hint="eastAsia"/>
          <w:sz w:val="24"/>
          <w:szCs w:val="24"/>
        </w:rPr>
        <w:t>20</w:t>
      </w:r>
      <w:r>
        <w:rPr>
          <w:rFonts w:hint="eastAsia"/>
          <w:sz w:val="24"/>
          <w:szCs w:val="24"/>
        </w:rPr>
        <w:t>22</w:t>
      </w:r>
      <w:r>
        <w:rPr>
          <w:rFonts w:hint="eastAsia"/>
          <w:sz w:val="24"/>
          <w:szCs w:val="24"/>
        </w:rPr>
        <w:t>〕</w:t>
      </w:r>
      <w:r>
        <w:rPr>
          <w:rFonts w:hint="eastAsia"/>
          <w:sz w:val="24"/>
          <w:szCs w:val="24"/>
        </w:rPr>
        <w:t>59</w:t>
      </w:r>
      <w:r>
        <w:rPr>
          <w:rFonts w:hint="eastAsia"/>
          <w:sz w:val="24"/>
          <w:szCs w:val="24"/>
        </w:rPr>
        <w:t>号），项目所在地不属于超采、禁采和限采范围内，项目所在区地下水资源丰富，</w:t>
      </w:r>
      <w:r>
        <w:rPr>
          <w:rFonts w:hint="eastAsia"/>
          <w:sz w:val="24"/>
          <w:szCs w:val="24"/>
        </w:rPr>
        <w:t>水资源供应有保障。项目供电由当地变电站供电，</w:t>
      </w:r>
      <w:r>
        <w:rPr>
          <w:sz w:val="24"/>
          <w:szCs w:val="24"/>
        </w:rPr>
        <w:t>项目设置配电室</w:t>
      </w:r>
      <w:r>
        <w:rPr>
          <w:sz w:val="24"/>
          <w:szCs w:val="24"/>
        </w:rPr>
        <w:t>1</w:t>
      </w:r>
      <w:r>
        <w:rPr>
          <w:sz w:val="24"/>
          <w:szCs w:val="24"/>
        </w:rPr>
        <w:t>座，变压器</w:t>
      </w:r>
      <w:r>
        <w:rPr>
          <w:sz w:val="24"/>
          <w:szCs w:val="24"/>
        </w:rPr>
        <w:t>2</w:t>
      </w:r>
      <w:r>
        <w:rPr>
          <w:sz w:val="24"/>
          <w:szCs w:val="24"/>
        </w:rPr>
        <w:t>台，给破碎</w:t>
      </w:r>
      <w:r>
        <w:rPr>
          <w:rFonts w:hint="eastAsia"/>
          <w:sz w:val="24"/>
          <w:szCs w:val="24"/>
        </w:rPr>
        <w:t>生产线</w:t>
      </w:r>
      <w:r>
        <w:rPr>
          <w:sz w:val="24"/>
          <w:szCs w:val="24"/>
        </w:rPr>
        <w:t>、球磨车间及公辅设施设备等放射式供电，</w:t>
      </w:r>
      <w:r>
        <w:rPr>
          <w:sz w:val="24"/>
          <w:szCs w:val="24"/>
        </w:rPr>
        <w:t>10kV</w:t>
      </w:r>
      <w:r>
        <w:rPr>
          <w:sz w:val="24"/>
          <w:szCs w:val="24"/>
        </w:rPr>
        <w:t>侧均采用单母线不分段接线方式</w:t>
      </w:r>
      <w:r>
        <w:rPr>
          <w:rFonts w:hint="eastAsia"/>
          <w:sz w:val="24"/>
          <w:szCs w:val="24"/>
        </w:rPr>
        <w:t>，电供应有保障。</w:t>
      </w:r>
    </w:p>
    <w:p w:rsidR="00DB7CC8" w:rsidRDefault="002B5250">
      <w:pPr>
        <w:snapToGrid w:val="0"/>
        <w:ind w:firstLine="480"/>
        <w:jc w:val="both"/>
        <w:rPr>
          <w:sz w:val="24"/>
          <w:szCs w:val="24"/>
        </w:rPr>
      </w:pPr>
      <w:r>
        <w:rPr>
          <w:rFonts w:hint="eastAsia"/>
          <w:sz w:val="24"/>
          <w:szCs w:val="24"/>
        </w:rPr>
        <w:t>（</w:t>
      </w:r>
      <w:r>
        <w:rPr>
          <w:rFonts w:hint="eastAsia"/>
          <w:sz w:val="24"/>
          <w:szCs w:val="24"/>
        </w:rPr>
        <w:t>4</w:t>
      </w:r>
      <w:r>
        <w:rPr>
          <w:rFonts w:hint="eastAsia"/>
          <w:sz w:val="24"/>
          <w:szCs w:val="24"/>
        </w:rPr>
        <w:t>）环境准入负面清单</w:t>
      </w:r>
    </w:p>
    <w:p w:rsidR="00DB7CC8" w:rsidRDefault="002B5250">
      <w:pPr>
        <w:ind w:firstLine="480"/>
        <w:jc w:val="both"/>
        <w:rPr>
          <w:sz w:val="24"/>
        </w:rPr>
      </w:pPr>
      <w:r>
        <w:rPr>
          <w:rFonts w:hint="eastAsia"/>
          <w:sz w:val="24"/>
          <w:szCs w:val="24"/>
          <w:lang w:val="zh-CN"/>
        </w:rPr>
        <w:t>本项目生产规模为年处理</w:t>
      </w:r>
      <w:r>
        <w:rPr>
          <w:rFonts w:hint="eastAsia"/>
          <w:sz w:val="24"/>
          <w:szCs w:val="24"/>
        </w:rPr>
        <w:t>110</w:t>
      </w:r>
      <w:r>
        <w:rPr>
          <w:rFonts w:hint="eastAsia"/>
          <w:sz w:val="24"/>
          <w:szCs w:val="24"/>
          <w:lang w:val="zh-CN"/>
        </w:rPr>
        <w:t>万吨铁矿石、</w:t>
      </w:r>
      <w:r>
        <w:rPr>
          <w:rFonts w:hint="eastAsia"/>
          <w:sz w:val="24"/>
          <w:szCs w:val="24"/>
        </w:rPr>
        <w:t>40</w:t>
      </w:r>
      <w:r>
        <w:rPr>
          <w:rFonts w:hint="eastAsia"/>
          <w:sz w:val="24"/>
          <w:szCs w:val="24"/>
        </w:rPr>
        <w:t>万吨粗精矿</w:t>
      </w:r>
      <w:r>
        <w:rPr>
          <w:rFonts w:hint="eastAsia"/>
          <w:sz w:val="24"/>
          <w:szCs w:val="24"/>
          <w:lang w:val="zh-CN"/>
        </w:rPr>
        <w:t>，不属于《产业</w:t>
      </w:r>
      <w:r>
        <w:rPr>
          <w:rFonts w:hint="eastAsia"/>
          <w:sz w:val="24"/>
          <w:szCs w:val="24"/>
          <w:lang w:val="zh-CN"/>
        </w:rPr>
        <w:lastRenderedPageBreak/>
        <w:t>结构调整指导目录（</w:t>
      </w:r>
      <w:r>
        <w:rPr>
          <w:rFonts w:hint="eastAsia"/>
          <w:sz w:val="24"/>
          <w:szCs w:val="24"/>
          <w:lang w:val="zh-CN"/>
        </w:rPr>
        <w:t>201</w:t>
      </w:r>
      <w:r>
        <w:rPr>
          <w:rFonts w:hint="eastAsia"/>
          <w:sz w:val="24"/>
          <w:szCs w:val="24"/>
        </w:rPr>
        <w:t>9</w:t>
      </w:r>
      <w:r>
        <w:rPr>
          <w:rFonts w:hint="eastAsia"/>
          <w:sz w:val="24"/>
          <w:szCs w:val="24"/>
          <w:lang w:val="zh-CN"/>
        </w:rPr>
        <w:t>年本）（国家发改委</w:t>
      </w:r>
      <w:r>
        <w:rPr>
          <w:rFonts w:hint="eastAsia"/>
          <w:sz w:val="24"/>
          <w:szCs w:val="24"/>
        </w:rPr>
        <w:t>第</w:t>
      </w:r>
      <w:r>
        <w:rPr>
          <w:rFonts w:hint="eastAsia"/>
          <w:sz w:val="24"/>
          <w:szCs w:val="24"/>
        </w:rPr>
        <w:t>29</w:t>
      </w:r>
      <w:r>
        <w:rPr>
          <w:rFonts w:hint="eastAsia"/>
          <w:sz w:val="24"/>
          <w:szCs w:val="24"/>
          <w:lang w:val="zh-CN"/>
        </w:rPr>
        <w:t>号令）禁止或限制类项目，属于允许建设类项目；亦不属于《河北省人民政府办公厅关于印发河北省新增限制和淘汰类产业目录的通知》（冀政办发</w:t>
      </w:r>
      <w:r>
        <w:rPr>
          <w:rFonts w:hint="eastAsia"/>
          <w:sz w:val="24"/>
          <w:szCs w:val="24"/>
          <w:lang w:val="zh-CN"/>
        </w:rPr>
        <w:t>[2015]7</w:t>
      </w:r>
      <w:r>
        <w:rPr>
          <w:rFonts w:hint="eastAsia"/>
          <w:sz w:val="24"/>
          <w:szCs w:val="24"/>
          <w:lang w:val="zh-CN"/>
        </w:rPr>
        <w:t>号）中所规定的禁止和限制建设的工程。本项目建设方案符合《遵化市铁选矿综合治理工作实施方案》的要求（粗选年处理原矿能力不得低于</w:t>
      </w:r>
      <w:r>
        <w:rPr>
          <w:rFonts w:hint="eastAsia"/>
          <w:sz w:val="24"/>
          <w:szCs w:val="24"/>
          <w:lang w:val="zh-CN"/>
        </w:rPr>
        <w:t>15</w:t>
      </w:r>
      <w:r>
        <w:rPr>
          <w:rFonts w:hint="eastAsia"/>
          <w:sz w:val="24"/>
          <w:szCs w:val="24"/>
          <w:lang w:val="zh-CN"/>
        </w:rPr>
        <w:t>万吨，精选年处理铁粉能力不得低于</w:t>
      </w:r>
      <w:r>
        <w:rPr>
          <w:rFonts w:hint="eastAsia"/>
          <w:sz w:val="24"/>
          <w:szCs w:val="24"/>
          <w:lang w:val="zh-CN"/>
        </w:rPr>
        <w:t>20</w:t>
      </w:r>
      <w:r>
        <w:rPr>
          <w:rFonts w:hint="eastAsia"/>
          <w:sz w:val="24"/>
          <w:szCs w:val="24"/>
          <w:lang w:val="zh-CN"/>
        </w:rPr>
        <w:t>万吨），符合环境准入负面清单有关的要求。</w:t>
      </w:r>
    </w:p>
    <w:p w:rsidR="00DB7CC8" w:rsidRDefault="002B5250">
      <w:pPr>
        <w:ind w:firstLine="480"/>
        <w:rPr>
          <w:sz w:val="24"/>
          <w:szCs w:val="24"/>
          <w:lang w:val="zh-CN"/>
        </w:rPr>
      </w:pPr>
      <w:r>
        <w:rPr>
          <w:rFonts w:hint="eastAsia"/>
          <w:sz w:val="24"/>
          <w:szCs w:val="24"/>
          <w:lang w:val="zh-CN"/>
        </w:rPr>
        <w:t>综上所述，本项目位于</w:t>
      </w:r>
      <w:r>
        <w:rPr>
          <w:sz w:val="24"/>
          <w:szCs w:val="24"/>
        </w:rPr>
        <w:t>遵化市建明镇靠山庄村，</w:t>
      </w:r>
      <w:r>
        <w:rPr>
          <w:rFonts w:hint="eastAsia"/>
          <w:sz w:val="24"/>
          <w:szCs w:val="24"/>
          <w:lang w:val="zh-CN"/>
        </w:rPr>
        <w:t>项目建设符合</w:t>
      </w:r>
      <w:bookmarkStart w:id="129" w:name="_Hlk7389985"/>
      <w:r>
        <w:rPr>
          <w:rFonts w:hint="eastAsia"/>
          <w:sz w:val="24"/>
          <w:szCs w:val="24"/>
          <w:lang w:val="zh-CN"/>
        </w:rPr>
        <w:t>《产业结构调整指导目录（</w:t>
      </w:r>
      <w:r>
        <w:rPr>
          <w:rFonts w:hint="eastAsia"/>
          <w:sz w:val="24"/>
          <w:szCs w:val="24"/>
          <w:lang w:val="zh-CN"/>
        </w:rPr>
        <w:t>201</w:t>
      </w:r>
      <w:r>
        <w:rPr>
          <w:rFonts w:hint="eastAsia"/>
          <w:sz w:val="24"/>
          <w:szCs w:val="24"/>
        </w:rPr>
        <w:t>9</w:t>
      </w:r>
      <w:r>
        <w:rPr>
          <w:rFonts w:hint="eastAsia"/>
          <w:sz w:val="24"/>
          <w:szCs w:val="24"/>
          <w:lang w:val="zh-CN"/>
        </w:rPr>
        <w:t>年本）》、《河北省新增限制和淘汰类产业目录（</w:t>
      </w:r>
      <w:r>
        <w:rPr>
          <w:rFonts w:hint="eastAsia"/>
          <w:sz w:val="24"/>
          <w:szCs w:val="24"/>
          <w:lang w:val="zh-CN"/>
        </w:rPr>
        <w:t>2015</w:t>
      </w:r>
      <w:r>
        <w:rPr>
          <w:rFonts w:hint="eastAsia"/>
          <w:sz w:val="24"/>
          <w:szCs w:val="24"/>
          <w:lang w:val="zh-CN"/>
        </w:rPr>
        <w:t>年版）》（冀政办发［</w:t>
      </w:r>
      <w:r>
        <w:rPr>
          <w:rFonts w:hint="eastAsia"/>
          <w:sz w:val="24"/>
          <w:szCs w:val="24"/>
          <w:lang w:val="zh-CN"/>
        </w:rPr>
        <w:t>2015</w:t>
      </w:r>
      <w:r>
        <w:rPr>
          <w:rFonts w:hint="eastAsia"/>
          <w:sz w:val="24"/>
          <w:szCs w:val="24"/>
          <w:lang w:val="zh-CN"/>
        </w:rPr>
        <w:t>］</w:t>
      </w:r>
      <w:r>
        <w:rPr>
          <w:rFonts w:hint="eastAsia"/>
          <w:sz w:val="24"/>
          <w:szCs w:val="24"/>
          <w:lang w:val="zh-CN"/>
        </w:rPr>
        <w:t>57</w:t>
      </w:r>
      <w:r>
        <w:rPr>
          <w:rFonts w:hint="eastAsia"/>
          <w:sz w:val="24"/>
          <w:szCs w:val="24"/>
          <w:lang w:val="zh-CN"/>
        </w:rPr>
        <w:t>号）、</w:t>
      </w:r>
      <w:bookmarkEnd w:id="129"/>
      <w:r>
        <w:rPr>
          <w:rFonts w:hint="eastAsia"/>
          <w:sz w:val="24"/>
          <w:szCs w:val="24"/>
          <w:lang w:val="zh-CN"/>
        </w:rPr>
        <w:t>河北省生态保护红线规划、环境质量底线、资源利用上线、环境准入负面清单的要求。</w:t>
      </w:r>
    </w:p>
    <w:p w:rsidR="00DB7CC8" w:rsidRDefault="002B5250">
      <w:pPr>
        <w:pStyle w:val="3"/>
        <w:numPr>
          <w:ilvl w:val="2"/>
          <w:numId w:val="1"/>
        </w:numPr>
        <w:rPr>
          <w:szCs w:val="28"/>
        </w:rPr>
      </w:pPr>
      <w:r>
        <w:rPr>
          <w:szCs w:val="28"/>
        </w:rPr>
        <w:t>规划符合性分析</w:t>
      </w:r>
    </w:p>
    <w:p w:rsidR="00DB7CC8" w:rsidRDefault="002B5250">
      <w:pPr>
        <w:pStyle w:val="4"/>
        <w:rPr>
          <w:rFonts w:eastAsiaTheme="minorEastAsia"/>
          <w:b/>
        </w:rPr>
      </w:pPr>
      <w:r>
        <w:rPr>
          <w:rFonts w:eastAsiaTheme="minorEastAsia"/>
          <w:b/>
        </w:rPr>
        <w:t>2.</w:t>
      </w:r>
      <w:r>
        <w:rPr>
          <w:rFonts w:eastAsiaTheme="minorEastAsia" w:hint="eastAsia"/>
          <w:b/>
        </w:rPr>
        <w:t>5</w:t>
      </w:r>
      <w:r>
        <w:rPr>
          <w:rFonts w:eastAsiaTheme="minorEastAsia"/>
          <w:b/>
        </w:rPr>
        <w:t>.</w:t>
      </w:r>
      <w:r>
        <w:rPr>
          <w:rFonts w:eastAsiaTheme="minorEastAsia" w:hint="eastAsia"/>
          <w:b/>
        </w:rPr>
        <w:t>2</w:t>
      </w:r>
      <w:r>
        <w:rPr>
          <w:rFonts w:eastAsiaTheme="minorEastAsia"/>
          <w:b/>
        </w:rPr>
        <w:t>.1</w:t>
      </w:r>
      <w:r>
        <w:rPr>
          <w:rFonts w:eastAsiaTheme="minorEastAsia"/>
          <w:b/>
        </w:rPr>
        <w:t>河北省主体功能区规划</w:t>
      </w:r>
    </w:p>
    <w:p w:rsidR="00DB7CC8" w:rsidRDefault="002B5250">
      <w:pPr>
        <w:ind w:firstLine="480"/>
        <w:jc w:val="both"/>
        <w:rPr>
          <w:sz w:val="24"/>
          <w:szCs w:val="24"/>
        </w:rPr>
      </w:pPr>
      <w:r>
        <w:rPr>
          <w:sz w:val="24"/>
          <w:szCs w:val="24"/>
        </w:rPr>
        <w:t>对照《河北省主体功能区规划》，项目所在地遵化市地处该规划所指的</w:t>
      </w:r>
      <w:r>
        <w:rPr>
          <w:sz w:val="24"/>
          <w:szCs w:val="24"/>
        </w:rPr>
        <w:t>“</w:t>
      </w:r>
      <w:r>
        <w:rPr>
          <w:sz w:val="24"/>
          <w:szCs w:val="24"/>
        </w:rPr>
        <w:t>燕山山前平原地区</w:t>
      </w:r>
      <w:r>
        <w:rPr>
          <w:sz w:val="24"/>
          <w:szCs w:val="24"/>
        </w:rPr>
        <w:t>”</w:t>
      </w:r>
      <w:r>
        <w:rPr>
          <w:sz w:val="24"/>
          <w:szCs w:val="24"/>
        </w:rPr>
        <w:t>，属于该规划中附一</w:t>
      </w:r>
      <w:r>
        <w:rPr>
          <w:sz w:val="24"/>
          <w:szCs w:val="24"/>
        </w:rPr>
        <w:t>“</w:t>
      </w:r>
      <w:r>
        <w:rPr>
          <w:sz w:val="24"/>
          <w:szCs w:val="24"/>
        </w:rPr>
        <w:t>河北省优化、重点开发、限制开发区域名录中</w:t>
      </w:r>
      <w:r>
        <w:rPr>
          <w:sz w:val="24"/>
          <w:szCs w:val="24"/>
        </w:rPr>
        <w:t>”</w:t>
      </w:r>
      <w:r>
        <w:rPr>
          <w:sz w:val="24"/>
          <w:szCs w:val="24"/>
        </w:rPr>
        <w:t>的优化开发区域。该区是中国现代工业的摇篮，冀东北地区综合交通枢纽，煤炭、铁矿石等资源密集区，是京津冀区域内经济比较发达、城市化水平较高的区域。区域</w:t>
      </w:r>
      <w:r>
        <w:rPr>
          <w:sz w:val="24"/>
          <w:szCs w:val="24"/>
        </w:rPr>
        <w:t>功能定位为</w:t>
      </w:r>
      <w:r>
        <w:rPr>
          <w:sz w:val="24"/>
          <w:szCs w:val="24"/>
        </w:rPr>
        <w:t>“</w:t>
      </w:r>
      <w:r>
        <w:rPr>
          <w:sz w:val="24"/>
          <w:szCs w:val="24"/>
        </w:rPr>
        <w:t>中国北方经济中心区的重要组成部分，我国开放合作的新高地，京津冀区域现代工业密集区、高新技术成果转化和先进装备制造业基地，河北省新型工业化基地。</w:t>
      </w:r>
      <w:r>
        <w:rPr>
          <w:sz w:val="24"/>
          <w:szCs w:val="24"/>
        </w:rPr>
        <w:t>”</w:t>
      </w:r>
      <w:r>
        <w:rPr>
          <w:sz w:val="24"/>
          <w:szCs w:val="24"/>
        </w:rPr>
        <w:t>生态建设和环境保护中：</w:t>
      </w:r>
      <w:r>
        <w:rPr>
          <w:sz w:val="24"/>
          <w:szCs w:val="24"/>
        </w:rPr>
        <w:t>“</w:t>
      </w:r>
      <w:r>
        <w:rPr>
          <w:sz w:val="24"/>
          <w:szCs w:val="24"/>
        </w:rPr>
        <w:t>高起点规划建设南湖城市生态中心区治理采煤塌陷区、尾矿库和废石场，恢复矿山生态。加快重污染企业搬迁，深入开展空气污染综合整治，加强水、噪声、固体废弃物等污染治理</w:t>
      </w:r>
      <w:r>
        <w:rPr>
          <w:sz w:val="24"/>
          <w:szCs w:val="24"/>
        </w:rPr>
        <w:t>”</w:t>
      </w:r>
      <w:r>
        <w:rPr>
          <w:sz w:val="24"/>
          <w:szCs w:val="24"/>
        </w:rPr>
        <w:t>。</w:t>
      </w:r>
    </w:p>
    <w:p w:rsidR="00DB7CC8" w:rsidRDefault="002B5250">
      <w:pPr>
        <w:ind w:firstLine="480"/>
        <w:jc w:val="both"/>
        <w:rPr>
          <w:sz w:val="24"/>
          <w:szCs w:val="24"/>
        </w:rPr>
      </w:pPr>
      <w:r>
        <w:rPr>
          <w:sz w:val="24"/>
          <w:szCs w:val="24"/>
        </w:rPr>
        <w:t>项目选址位于遵化市建明镇靠山庄村，属于《河北省主体功能区规划》中的优化开发区域（见图</w:t>
      </w:r>
      <w:r>
        <w:rPr>
          <w:sz w:val="24"/>
          <w:szCs w:val="24"/>
        </w:rPr>
        <w:t>2.</w:t>
      </w:r>
      <w:r>
        <w:rPr>
          <w:rFonts w:hint="eastAsia"/>
          <w:sz w:val="24"/>
          <w:szCs w:val="24"/>
        </w:rPr>
        <w:t>5</w:t>
      </w:r>
      <w:r>
        <w:rPr>
          <w:sz w:val="24"/>
          <w:szCs w:val="24"/>
        </w:rPr>
        <w:t>-</w:t>
      </w:r>
      <w:r>
        <w:rPr>
          <w:rFonts w:hint="eastAsia"/>
          <w:sz w:val="24"/>
          <w:szCs w:val="24"/>
        </w:rPr>
        <w:t>2</w:t>
      </w:r>
      <w:r>
        <w:rPr>
          <w:sz w:val="24"/>
          <w:szCs w:val="24"/>
        </w:rPr>
        <w:t>），符合该规划中生态建设和环境保护中</w:t>
      </w:r>
      <w:r>
        <w:rPr>
          <w:sz w:val="24"/>
          <w:szCs w:val="24"/>
        </w:rPr>
        <w:t>“</w:t>
      </w:r>
      <w:r>
        <w:rPr>
          <w:sz w:val="24"/>
          <w:szCs w:val="24"/>
        </w:rPr>
        <w:t>深入开展空气污染综合整治，加强水、噪</w:t>
      </w:r>
      <w:r>
        <w:rPr>
          <w:sz w:val="24"/>
          <w:szCs w:val="24"/>
        </w:rPr>
        <w:t>声、固体废弃物等污染治理</w:t>
      </w:r>
      <w:r>
        <w:rPr>
          <w:sz w:val="24"/>
          <w:szCs w:val="24"/>
        </w:rPr>
        <w:t>”</w:t>
      </w:r>
      <w:r>
        <w:rPr>
          <w:sz w:val="24"/>
          <w:szCs w:val="24"/>
        </w:rPr>
        <w:t>。</w:t>
      </w:r>
    </w:p>
    <w:p w:rsidR="00DB7CC8" w:rsidRDefault="002B5250">
      <w:pPr>
        <w:ind w:firstLineChars="0" w:firstLine="0"/>
        <w:rPr>
          <w:sz w:val="23"/>
          <w:szCs w:val="23"/>
        </w:rPr>
      </w:pPr>
      <w:r>
        <w:rPr>
          <w:noProof/>
        </w:rPr>
        <w:lastRenderedPageBreak/>
        <mc:AlternateContent>
          <mc:Choice Requires="wps">
            <w:drawing>
              <wp:anchor distT="0" distB="0" distL="114300" distR="114300" simplePos="0" relativeHeight="251663360" behindDoc="0" locked="0" layoutInCell="1" allowOverlap="1">
                <wp:simplePos x="0" y="0"/>
                <wp:positionH relativeFrom="column">
                  <wp:posOffset>3892550</wp:posOffset>
                </wp:positionH>
                <wp:positionV relativeFrom="paragraph">
                  <wp:posOffset>2734945</wp:posOffset>
                </wp:positionV>
                <wp:extent cx="75565" cy="75565"/>
                <wp:effectExtent l="4445" t="4445" r="15240" b="15240"/>
                <wp:wrapNone/>
                <wp:docPr id="121" name="矩形 3"/>
                <wp:cNvGraphicFramePr/>
                <a:graphic xmlns:a="http://schemas.openxmlformats.org/drawingml/2006/main">
                  <a:graphicData uri="http://schemas.microsoft.com/office/word/2010/wordprocessingShape">
                    <wps:wsp>
                      <wps:cNvSpPr/>
                      <wps:spPr>
                        <a:xfrm>
                          <a:off x="0" y="0"/>
                          <a:ext cx="75565" cy="75565"/>
                        </a:xfrm>
                        <a:prstGeom prst="rect">
                          <a:avLst/>
                        </a:prstGeom>
                        <a:solidFill>
                          <a:srgbClr val="FFFF00"/>
                        </a:solidFill>
                        <a:ln w="9525" cap="flat" cmpd="sng">
                          <a:solidFill>
                            <a:srgbClr val="000000"/>
                          </a:solidFill>
                          <a:prstDash val="solid"/>
                          <a:miter/>
                          <a:headEnd type="none" w="med" len="med"/>
                          <a:tailEnd type="none" w="med" len="med"/>
                        </a:ln>
                      </wps:spPr>
                      <wps:txbx>
                        <w:txbxContent>
                          <w:p w:rsidR="00DB7CC8" w:rsidRDefault="00DB7CC8">
                            <w:pPr>
                              <w:ind w:firstLine="560"/>
                              <w:jc w:val="center"/>
                            </w:pPr>
                          </w:p>
                        </w:txbxContent>
                      </wps:txbx>
                      <wps:bodyPr upright="1"/>
                    </wps:wsp>
                  </a:graphicData>
                </a:graphic>
              </wp:anchor>
            </w:drawing>
          </mc:Choice>
          <mc:Fallback>
            <w:pict>
              <v:rect id="矩形 3" o:spid="_x0000_s1027" style="position:absolute;margin-left:306.5pt;margin-top:215.35pt;width:5.95pt;height:5.9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" fillcolor="yellow">
                <v:textbox>
                  <w:txbxContent>
                    <w:p w:rsidR="00DB7CC8" w:rsidRDefault="00DB7CC8">
                      <w:pPr>
                        <w:ind w:firstLine="560"/>
                        <w:jc w:val="center"/>
                      </w:pPr>
                    </w:p>
                  </w:txbxContent>
                </v:textbox>
              </v:rect>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2709545</wp:posOffset>
                </wp:positionH>
                <wp:positionV relativeFrom="paragraph">
                  <wp:posOffset>3381375</wp:posOffset>
                </wp:positionV>
                <wp:extent cx="1104900" cy="398145"/>
                <wp:effectExtent l="4445" t="840740" r="90805" b="18415"/>
                <wp:wrapNone/>
                <wp:docPr id="122" name="自选图形 4"/>
                <wp:cNvGraphicFramePr/>
                <a:graphic xmlns:a="http://schemas.openxmlformats.org/drawingml/2006/main">
                  <a:graphicData uri="http://schemas.microsoft.com/office/word/2010/wordprocessingShape">
                    <wps:wsp>
                      <wps:cNvSpPr/>
                      <wps:spPr>
                        <a:xfrm rot="10800000">
                          <a:off x="0" y="0"/>
                          <a:ext cx="1104900" cy="398145"/>
                        </a:xfrm>
                        <a:prstGeom prst="wedgeRoundRectCallout">
                          <a:avLst>
                            <a:gd name="adj1" fmla="val -56843"/>
                            <a:gd name="adj2" fmla="val 253250"/>
                            <a:gd name="adj3" fmla="val 16667"/>
                          </a:avLst>
                        </a:prstGeom>
                        <a:solidFill>
                          <a:srgbClr val="FFFFFF">
                            <a:alpha val="32941"/>
                          </a:srgbClr>
                        </a:solidFill>
                        <a:ln w="9525" cap="flat" cmpd="sng">
                          <a:solidFill>
                            <a:srgbClr val="000000"/>
                          </a:solidFill>
                          <a:prstDash val="solid"/>
                          <a:miter/>
                          <a:headEnd type="none" w="med" len="med"/>
                          <a:tailEnd type="none" w="med" len="med"/>
                        </a:ln>
                      </wps:spPr>
                      <wps:txbx>
                        <w:txbxContent>
                          <w:p w:rsidR="00DB7CC8" w:rsidRDefault="002B5250">
                            <w:pPr>
                              <w:spacing w:line="240" w:lineRule="auto"/>
                              <w:ind w:firstLineChars="0" w:firstLine="0"/>
                              <w:jc w:val="center"/>
                              <w:rPr>
                                <w:b/>
                                <w:sz w:val="24"/>
                              </w:rPr>
                            </w:pPr>
                            <w:r>
                              <w:rPr>
                                <w:rFonts w:hint="eastAsia"/>
                                <w:b/>
                                <w:sz w:val="24"/>
                              </w:rPr>
                              <w:t>项目位置</w:t>
                            </w:r>
                          </w:p>
                        </w:txbxContent>
                      </wps:txbx>
                      <wps:bodyPr upright="1"/>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自选图形 4" o:spid="_x0000_s1028" type="#_x0000_t62" style="position:absolute;margin-left:213.35pt;margin-top:266.25pt;width:87pt;height:31.35pt;rotation:180;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" adj="-1478,65502">
                <v:fill opacity="21588f"/>
                <v:textbox>
                  <w:txbxContent>
                    <w:p w:rsidR="00DB7CC8" w:rsidRDefault="002B5250">
                      <w:pPr>
                        <w:spacing w:line="240" w:lineRule="auto"/>
                        <w:ind w:firstLineChars="0" w:firstLine="0"/>
                        <w:jc w:val="center"/>
                        <w:rPr>
                          <w:b/>
                          <w:sz w:val="24"/>
                        </w:rPr>
                      </w:pPr>
                      <w:r>
                        <w:rPr>
                          <w:rFonts w:hint="eastAsia"/>
                          <w:b/>
                          <w:sz w:val="24"/>
                        </w:rPr>
                        <w:t>项目位置</w:t>
                      </w:r>
                    </w:p>
                  </w:txbxContent>
                </v:textbox>
              </v:shape>
            </w:pict>
          </mc:Fallback>
        </mc:AlternateContent>
      </w:r>
      <w:r>
        <w:rPr>
          <w:noProof/>
          <w:sz w:val="23"/>
          <w:szCs w:val="23"/>
        </w:rPr>
        <w:drawing>
          <wp:inline distT="0" distB="0" distL="0" distR="0">
            <wp:extent cx="5326380" cy="6690360"/>
            <wp:effectExtent l="0" t="0" r="7620" b="15240"/>
            <wp:docPr id="123" name="图片 3" descr="微信图片_2018080616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 descr="微信图片_20180806162619"/>
                    <pic:cNvPicPr>
                      <a:picLocks noChangeAspect="1" noChangeArrowheads="1"/>
                    </pic:cNvPicPr>
                  </pic:nvPicPr>
                  <pic:blipFill>
                    <a:blip r:embed="rId25" cstate="print"/>
                    <a:srcRect t="5646"/>
                    <a:stretch>
                      <a:fillRect/>
                    </a:stretch>
                  </pic:blipFill>
                  <pic:spPr>
                    <a:xfrm>
                      <a:off x="0" y="0"/>
                      <a:ext cx="5326380" cy="6690360"/>
                    </a:xfrm>
                    <a:prstGeom prst="rect">
                      <a:avLst/>
                    </a:prstGeom>
                    <a:noFill/>
                    <a:ln w="9525">
                      <a:noFill/>
                      <a:miter lim="800000"/>
                      <a:headEnd/>
                      <a:tailEnd/>
                    </a:ln>
                  </pic:spPr>
                </pic:pic>
              </a:graphicData>
            </a:graphic>
          </wp:inline>
        </w:drawing>
      </w:r>
    </w:p>
    <w:p w:rsidR="00DB7CC8" w:rsidRDefault="002B5250">
      <w:pPr>
        <w:spacing w:line="240" w:lineRule="auto"/>
        <w:ind w:left="425" w:firstLineChars="900" w:firstLine="1890"/>
        <w:textAlignment w:val="auto"/>
        <w:rPr>
          <w:rFonts w:eastAsia="黑体"/>
          <w:kern w:val="2"/>
          <w:sz w:val="21"/>
          <w:szCs w:val="21"/>
        </w:rPr>
      </w:pPr>
      <w:r>
        <w:rPr>
          <w:rFonts w:eastAsia="黑体"/>
          <w:kern w:val="2"/>
          <w:sz w:val="21"/>
          <w:szCs w:val="21"/>
        </w:rPr>
        <w:t>图</w:t>
      </w:r>
      <w:r>
        <w:rPr>
          <w:rFonts w:eastAsia="黑体"/>
          <w:kern w:val="2"/>
          <w:sz w:val="21"/>
          <w:szCs w:val="21"/>
        </w:rPr>
        <w:t>2.</w:t>
      </w:r>
      <w:r>
        <w:rPr>
          <w:rFonts w:eastAsia="黑体" w:hint="eastAsia"/>
          <w:kern w:val="2"/>
          <w:sz w:val="21"/>
          <w:szCs w:val="21"/>
        </w:rPr>
        <w:t>5</w:t>
      </w:r>
      <w:r>
        <w:rPr>
          <w:rFonts w:eastAsia="黑体"/>
          <w:kern w:val="2"/>
          <w:sz w:val="21"/>
          <w:szCs w:val="21"/>
        </w:rPr>
        <w:t>-</w:t>
      </w:r>
      <w:r>
        <w:rPr>
          <w:rFonts w:eastAsia="黑体" w:hint="eastAsia"/>
          <w:kern w:val="2"/>
          <w:sz w:val="21"/>
          <w:szCs w:val="21"/>
        </w:rPr>
        <w:t>2</w:t>
      </w:r>
      <w:r>
        <w:rPr>
          <w:rFonts w:eastAsia="黑体"/>
          <w:kern w:val="2"/>
          <w:sz w:val="21"/>
          <w:szCs w:val="21"/>
        </w:rPr>
        <w:t xml:space="preserve">    </w:t>
      </w:r>
      <w:r>
        <w:rPr>
          <w:rFonts w:eastAsia="黑体"/>
          <w:kern w:val="2"/>
          <w:sz w:val="21"/>
          <w:szCs w:val="21"/>
        </w:rPr>
        <w:t>河北省主体功能区规划图</w:t>
      </w:r>
    </w:p>
    <w:p w:rsidR="00DB7CC8" w:rsidRDefault="00DB7CC8">
      <w:pPr>
        <w:spacing w:line="240" w:lineRule="auto"/>
        <w:ind w:left="425" w:firstLineChars="900" w:firstLine="1890"/>
        <w:textAlignment w:val="auto"/>
        <w:rPr>
          <w:rFonts w:eastAsia="黑体"/>
          <w:kern w:val="2"/>
          <w:sz w:val="21"/>
          <w:szCs w:val="21"/>
        </w:rPr>
      </w:pPr>
    </w:p>
    <w:p w:rsidR="00DB7CC8" w:rsidRDefault="002B5250">
      <w:pPr>
        <w:pStyle w:val="4"/>
        <w:rPr>
          <w:rFonts w:eastAsia="宋体"/>
          <w:b/>
          <w:bCs w:val="0"/>
        </w:rPr>
      </w:pPr>
      <w:r>
        <w:rPr>
          <w:rFonts w:eastAsiaTheme="minorEastAsia"/>
          <w:b/>
        </w:rPr>
        <w:t>2.</w:t>
      </w:r>
      <w:r>
        <w:rPr>
          <w:rFonts w:eastAsiaTheme="minorEastAsia" w:hint="eastAsia"/>
          <w:b/>
        </w:rPr>
        <w:t>5.2</w:t>
      </w:r>
      <w:r>
        <w:rPr>
          <w:rFonts w:eastAsiaTheme="minorEastAsia"/>
          <w:b/>
        </w:rPr>
        <w:t>.2</w:t>
      </w:r>
      <w:r>
        <w:rPr>
          <w:rFonts w:eastAsia="宋体"/>
          <w:b/>
          <w:bCs w:val="0"/>
        </w:rPr>
        <w:t>《河北省矿产资源总体规划》（</w:t>
      </w:r>
      <w:r>
        <w:rPr>
          <w:rFonts w:eastAsia="宋体"/>
          <w:b/>
          <w:bCs w:val="0"/>
        </w:rPr>
        <w:t>20</w:t>
      </w:r>
      <w:r>
        <w:rPr>
          <w:rFonts w:eastAsia="宋体" w:hint="eastAsia"/>
          <w:b/>
          <w:bCs w:val="0"/>
        </w:rPr>
        <w:t>21</w:t>
      </w:r>
      <w:r>
        <w:rPr>
          <w:rFonts w:eastAsia="宋体"/>
          <w:b/>
          <w:bCs w:val="0"/>
        </w:rPr>
        <w:t>-20</w:t>
      </w:r>
      <w:r>
        <w:rPr>
          <w:rFonts w:eastAsia="宋体" w:hint="eastAsia"/>
          <w:b/>
          <w:bCs w:val="0"/>
        </w:rPr>
        <w:t>25</w:t>
      </w:r>
      <w:r>
        <w:rPr>
          <w:rFonts w:eastAsia="宋体"/>
          <w:b/>
          <w:bCs w:val="0"/>
        </w:rPr>
        <w:t>年）</w:t>
      </w:r>
    </w:p>
    <w:p w:rsidR="00DB7CC8" w:rsidRDefault="002B5250">
      <w:pPr>
        <w:ind w:firstLine="480"/>
        <w:jc w:val="both"/>
        <w:rPr>
          <w:sz w:val="24"/>
          <w:szCs w:val="24"/>
          <w:lang w:val="zh-CN"/>
        </w:rPr>
      </w:pPr>
      <w:r>
        <w:rPr>
          <w:rFonts w:hint="eastAsia"/>
          <w:sz w:val="24"/>
          <w:szCs w:val="24"/>
          <w:lang w:val="zh-CN"/>
        </w:rPr>
        <w:t>与本项目相关的规划内容包括：</w:t>
      </w:r>
    </w:p>
    <w:p w:rsidR="00DB7CC8" w:rsidRDefault="002B5250">
      <w:pPr>
        <w:ind w:firstLine="480"/>
        <w:jc w:val="both"/>
        <w:rPr>
          <w:sz w:val="24"/>
          <w:szCs w:val="24"/>
          <w:lang w:val="zh-CN"/>
        </w:rPr>
      </w:pPr>
      <w:r>
        <w:rPr>
          <w:rFonts w:hint="eastAsia"/>
          <w:sz w:val="24"/>
          <w:szCs w:val="24"/>
          <w:lang w:val="zh-CN"/>
        </w:rPr>
        <w:t>矿产资源开发保护与利用水平进一步提高。资源利用率保持较高水平，共伴生矿产资源综合利用率得到进一步提升，矿山“三率”水平达标率达到</w:t>
      </w:r>
      <w:r>
        <w:rPr>
          <w:rFonts w:hint="eastAsia"/>
          <w:sz w:val="24"/>
          <w:szCs w:val="24"/>
          <w:lang w:val="zh-CN"/>
        </w:rPr>
        <w:t>90%</w:t>
      </w:r>
      <w:r>
        <w:rPr>
          <w:rFonts w:hint="eastAsia"/>
          <w:sz w:val="24"/>
          <w:szCs w:val="24"/>
          <w:lang w:val="zh-CN"/>
        </w:rPr>
        <w:t>，本项目选矿回收率达到</w:t>
      </w:r>
      <w:r>
        <w:rPr>
          <w:rFonts w:hint="eastAsia"/>
          <w:sz w:val="24"/>
          <w:szCs w:val="24"/>
        </w:rPr>
        <w:t>9</w:t>
      </w:r>
      <w:r>
        <w:rPr>
          <w:rFonts w:hint="eastAsia"/>
          <w:sz w:val="24"/>
          <w:szCs w:val="24"/>
        </w:rPr>
        <w:t>6.2</w:t>
      </w:r>
      <w:r>
        <w:rPr>
          <w:rFonts w:hint="eastAsia"/>
          <w:sz w:val="24"/>
          <w:szCs w:val="24"/>
          <w:lang w:val="zh-CN"/>
        </w:rPr>
        <w:t>%</w:t>
      </w:r>
      <w:r>
        <w:rPr>
          <w:rFonts w:hint="eastAsia"/>
          <w:sz w:val="24"/>
          <w:szCs w:val="24"/>
          <w:lang w:val="zh-CN"/>
        </w:rPr>
        <w:t>，符合规划指标要求。</w:t>
      </w:r>
    </w:p>
    <w:p w:rsidR="00DB7CC8" w:rsidRDefault="002B5250">
      <w:pPr>
        <w:pStyle w:val="4"/>
        <w:keepNext w:val="0"/>
        <w:keepLines w:val="0"/>
        <w:spacing w:before="48" w:after="48"/>
        <w:rPr>
          <w:rFonts w:eastAsia="宋体"/>
          <w:b/>
          <w:bCs w:val="0"/>
        </w:rPr>
      </w:pPr>
      <w:r>
        <w:rPr>
          <w:rFonts w:eastAsia="宋体"/>
          <w:b/>
          <w:bCs w:val="0"/>
        </w:rPr>
        <w:t>2.5.2.3</w:t>
      </w:r>
      <w:r>
        <w:rPr>
          <w:rFonts w:eastAsia="宋体"/>
          <w:b/>
          <w:bCs w:val="0"/>
        </w:rPr>
        <w:t>《唐山市矿产资源总体规划》（</w:t>
      </w:r>
      <w:r>
        <w:rPr>
          <w:rFonts w:eastAsia="宋体"/>
          <w:b/>
          <w:bCs w:val="0"/>
        </w:rPr>
        <w:t>20</w:t>
      </w:r>
      <w:r>
        <w:rPr>
          <w:rFonts w:eastAsia="宋体" w:hint="eastAsia"/>
          <w:b/>
          <w:bCs w:val="0"/>
        </w:rPr>
        <w:t>2</w:t>
      </w:r>
      <w:r>
        <w:rPr>
          <w:rFonts w:eastAsia="宋体"/>
          <w:b/>
          <w:bCs w:val="0"/>
        </w:rPr>
        <w:t>1-20</w:t>
      </w:r>
      <w:r>
        <w:rPr>
          <w:rFonts w:eastAsia="宋体" w:hint="eastAsia"/>
          <w:b/>
          <w:bCs w:val="0"/>
        </w:rPr>
        <w:t>2</w:t>
      </w:r>
      <w:r>
        <w:rPr>
          <w:rFonts w:eastAsia="宋体"/>
          <w:b/>
          <w:bCs w:val="0"/>
        </w:rPr>
        <w:t>5</w:t>
      </w:r>
      <w:r>
        <w:rPr>
          <w:rFonts w:eastAsia="宋体"/>
          <w:b/>
          <w:bCs w:val="0"/>
        </w:rPr>
        <w:t>年）</w:t>
      </w:r>
    </w:p>
    <w:p w:rsidR="00DB7CC8" w:rsidRDefault="002B5250">
      <w:pPr>
        <w:ind w:firstLine="480"/>
        <w:jc w:val="both"/>
        <w:rPr>
          <w:sz w:val="24"/>
          <w:szCs w:val="24"/>
          <w:lang w:val="zh-CN"/>
        </w:rPr>
      </w:pPr>
      <w:r>
        <w:rPr>
          <w:rFonts w:hint="eastAsia"/>
          <w:sz w:val="24"/>
          <w:szCs w:val="24"/>
          <w:lang w:val="zh-CN"/>
        </w:rPr>
        <w:lastRenderedPageBreak/>
        <w:t>与本项目选矿活动相关的规划内容包括：</w:t>
      </w:r>
    </w:p>
    <w:p w:rsidR="00DB7CC8" w:rsidRDefault="002B5250">
      <w:pPr>
        <w:ind w:firstLine="480"/>
        <w:jc w:val="both"/>
        <w:rPr>
          <w:sz w:val="24"/>
          <w:szCs w:val="24"/>
          <w:lang w:val="zh-CN"/>
        </w:rPr>
      </w:pPr>
      <w:r>
        <w:rPr>
          <w:rFonts w:hint="eastAsia"/>
          <w:sz w:val="24"/>
          <w:szCs w:val="24"/>
          <w:lang w:val="zh-CN"/>
        </w:rPr>
        <w:t>矿产资源的节约与综合利用，重点在矿产资源“三率”、共伴生矿产综合利用、尾矿和固体废弃物综合利用、低品位矿开发利用四个方面，围绕资源节约与综合利用，发展和推广循环经济。大力推广利用尾矿加工生产建筑材料及制品技术。开发利用效率指标：铁矿选矿回收率</w:t>
      </w:r>
      <w:r>
        <w:rPr>
          <w:rFonts w:hint="eastAsia"/>
          <w:sz w:val="24"/>
          <w:szCs w:val="24"/>
          <w:lang w:val="zh-CN"/>
        </w:rPr>
        <w:t>85</w:t>
      </w:r>
      <w:r>
        <w:rPr>
          <w:rFonts w:hint="eastAsia"/>
          <w:sz w:val="24"/>
          <w:szCs w:val="24"/>
          <w:lang w:val="zh-CN"/>
        </w:rPr>
        <w:t>％，尾矿利用率</w:t>
      </w:r>
      <w:r>
        <w:rPr>
          <w:rFonts w:hint="eastAsia"/>
          <w:sz w:val="24"/>
          <w:szCs w:val="24"/>
          <w:lang w:val="zh-CN"/>
        </w:rPr>
        <w:t>10</w:t>
      </w:r>
      <w:r>
        <w:rPr>
          <w:rFonts w:hint="eastAsia"/>
          <w:sz w:val="24"/>
          <w:szCs w:val="24"/>
          <w:lang w:val="zh-CN"/>
        </w:rPr>
        <w:t>％以上。</w:t>
      </w:r>
    </w:p>
    <w:p w:rsidR="00DB7CC8" w:rsidRDefault="002B5250">
      <w:pPr>
        <w:ind w:firstLine="480"/>
        <w:jc w:val="both"/>
        <w:rPr>
          <w:sz w:val="24"/>
          <w:szCs w:val="24"/>
          <w:lang w:val="zh-CN"/>
        </w:rPr>
      </w:pPr>
      <w:r>
        <w:rPr>
          <w:rFonts w:hint="eastAsia"/>
          <w:sz w:val="24"/>
          <w:szCs w:val="24"/>
          <w:lang w:val="zh-CN"/>
        </w:rPr>
        <w:t>本项目回收率达到</w:t>
      </w:r>
      <w:r>
        <w:rPr>
          <w:rFonts w:hint="eastAsia"/>
          <w:sz w:val="24"/>
          <w:szCs w:val="24"/>
        </w:rPr>
        <w:t>96.2</w:t>
      </w:r>
      <w:r>
        <w:rPr>
          <w:rFonts w:hint="eastAsia"/>
          <w:sz w:val="24"/>
          <w:szCs w:val="24"/>
          <w:lang w:val="zh-CN"/>
        </w:rPr>
        <w:t>％，尾矿利用率</w:t>
      </w:r>
      <w:r>
        <w:rPr>
          <w:rFonts w:hint="eastAsia"/>
          <w:sz w:val="24"/>
          <w:szCs w:val="24"/>
        </w:rPr>
        <w:t>100%</w:t>
      </w:r>
      <w:r>
        <w:rPr>
          <w:rFonts w:hint="eastAsia"/>
          <w:sz w:val="24"/>
          <w:szCs w:val="24"/>
        </w:rPr>
        <w:t>，</w:t>
      </w:r>
      <w:r>
        <w:rPr>
          <w:rFonts w:hint="eastAsia"/>
          <w:sz w:val="24"/>
          <w:szCs w:val="24"/>
          <w:lang w:val="zh-CN"/>
        </w:rPr>
        <w:t>尾矿收集后全部作为建筑材料外售，符合规划指标要求和尾矿综合利用要求。</w:t>
      </w:r>
    </w:p>
    <w:p w:rsidR="00DB7CC8" w:rsidRDefault="002B5250">
      <w:pPr>
        <w:pStyle w:val="4"/>
        <w:rPr>
          <w:rFonts w:eastAsiaTheme="minorEastAsia"/>
          <w:b/>
        </w:rPr>
      </w:pPr>
      <w:r>
        <w:rPr>
          <w:rFonts w:eastAsiaTheme="minorEastAsia"/>
          <w:b/>
        </w:rPr>
        <w:t>2.</w:t>
      </w:r>
      <w:r>
        <w:rPr>
          <w:rFonts w:eastAsiaTheme="minorEastAsia" w:hint="eastAsia"/>
          <w:b/>
        </w:rPr>
        <w:t>5</w:t>
      </w:r>
      <w:r>
        <w:rPr>
          <w:rFonts w:eastAsiaTheme="minorEastAsia"/>
          <w:b/>
        </w:rPr>
        <w:t>.</w:t>
      </w:r>
      <w:r>
        <w:rPr>
          <w:rFonts w:eastAsiaTheme="minorEastAsia" w:hint="eastAsia"/>
          <w:b/>
        </w:rPr>
        <w:t>2</w:t>
      </w:r>
      <w:r>
        <w:rPr>
          <w:rFonts w:eastAsiaTheme="minorEastAsia"/>
          <w:b/>
        </w:rPr>
        <w:t>.</w:t>
      </w:r>
      <w:r>
        <w:rPr>
          <w:rFonts w:eastAsiaTheme="minorEastAsia" w:hint="eastAsia"/>
          <w:b/>
        </w:rPr>
        <w:t>4</w:t>
      </w:r>
      <w:r>
        <w:rPr>
          <w:rFonts w:eastAsiaTheme="minorEastAsia"/>
          <w:b/>
        </w:rPr>
        <w:t>与《遵化市城乡总体规划》符合性</w:t>
      </w:r>
    </w:p>
    <w:p w:rsidR="00DB7CC8" w:rsidRDefault="002B5250">
      <w:pPr>
        <w:ind w:firstLine="480"/>
        <w:jc w:val="both"/>
        <w:rPr>
          <w:sz w:val="24"/>
          <w:szCs w:val="24"/>
        </w:rPr>
      </w:pPr>
      <w:r>
        <w:rPr>
          <w:sz w:val="24"/>
          <w:szCs w:val="24"/>
        </w:rPr>
        <w:t>本项目位于遵化市建明镇靠山庄村。根据《遵化市城乡总体规划》，本项目用地性质为</w:t>
      </w:r>
      <w:r>
        <w:rPr>
          <w:rFonts w:hint="eastAsia"/>
          <w:sz w:val="24"/>
          <w:szCs w:val="24"/>
        </w:rPr>
        <w:t>建设用</w:t>
      </w:r>
      <w:r>
        <w:rPr>
          <w:sz w:val="24"/>
          <w:szCs w:val="24"/>
        </w:rPr>
        <w:t>地，已取得遵化市住房和城乡规划建设局的用地性质说明，符合城乡规划要求。</w:t>
      </w:r>
    </w:p>
    <w:p w:rsidR="00DB7CC8" w:rsidRDefault="002B5250">
      <w:pPr>
        <w:pStyle w:val="4"/>
        <w:rPr>
          <w:rFonts w:eastAsiaTheme="minorEastAsia"/>
          <w:b/>
        </w:rPr>
      </w:pPr>
      <w:r>
        <w:rPr>
          <w:rFonts w:eastAsiaTheme="minorEastAsia"/>
          <w:b/>
        </w:rPr>
        <w:t>2.</w:t>
      </w:r>
      <w:r>
        <w:rPr>
          <w:rFonts w:eastAsiaTheme="minorEastAsia" w:hint="eastAsia"/>
          <w:b/>
        </w:rPr>
        <w:t>5</w:t>
      </w:r>
      <w:r>
        <w:rPr>
          <w:rFonts w:eastAsiaTheme="minorEastAsia"/>
          <w:b/>
        </w:rPr>
        <w:t>.</w:t>
      </w:r>
      <w:r>
        <w:rPr>
          <w:rFonts w:eastAsiaTheme="minorEastAsia" w:hint="eastAsia"/>
          <w:b/>
        </w:rPr>
        <w:t>2</w:t>
      </w:r>
      <w:r>
        <w:rPr>
          <w:rFonts w:eastAsiaTheme="minorEastAsia"/>
          <w:b/>
        </w:rPr>
        <w:t>.</w:t>
      </w:r>
      <w:r>
        <w:rPr>
          <w:rFonts w:eastAsiaTheme="minorEastAsia" w:hint="eastAsia"/>
          <w:b/>
        </w:rPr>
        <w:t>5</w:t>
      </w:r>
      <w:r>
        <w:rPr>
          <w:rFonts w:eastAsiaTheme="minorEastAsia"/>
          <w:b/>
        </w:rPr>
        <w:t>与《遵化市生态市建设规划》的符合性</w:t>
      </w:r>
    </w:p>
    <w:p w:rsidR="00DB7CC8" w:rsidRDefault="002B5250">
      <w:pPr>
        <w:ind w:firstLine="480"/>
        <w:jc w:val="both"/>
        <w:rPr>
          <w:sz w:val="24"/>
          <w:szCs w:val="24"/>
        </w:rPr>
      </w:pPr>
      <w:r>
        <w:rPr>
          <w:sz w:val="24"/>
          <w:szCs w:val="24"/>
        </w:rPr>
        <w:t>根据《遵化市生态市建设规划》，将遵化市全市划分为</w:t>
      </w:r>
      <w:r>
        <w:rPr>
          <w:sz w:val="24"/>
          <w:szCs w:val="24"/>
        </w:rPr>
        <w:t>2</w:t>
      </w:r>
      <w:r>
        <w:rPr>
          <w:sz w:val="24"/>
          <w:szCs w:val="24"/>
        </w:rPr>
        <w:t>个生态功能区</w:t>
      </w:r>
      <w:r>
        <w:rPr>
          <w:sz w:val="24"/>
          <w:szCs w:val="24"/>
        </w:rPr>
        <w:t>4</w:t>
      </w:r>
      <w:r>
        <w:rPr>
          <w:sz w:val="24"/>
          <w:szCs w:val="24"/>
        </w:rPr>
        <w:t>个生态功能亚区，详见表</w:t>
      </w:r>
      <w:r>
        <w:rPr>
          <w:sz w:val="24"/>
          <w:szCs w:val="24"/>
        </w:rPr>
        <w:t>2.</w:t>
      </w:r>
      <w:r>
        <w:rPr>
          <w:rFonts w:hint="eastAsia"/>
          <w:sz w:val="24"/>
          <w:szCs w:val="24"/>
        </w:rPr>
        <w:t>5</w:t>
      </w:r>
      <w:r>
        <w:rPr>
          <w:sz w:val="24"/>
          <w:szCs w:val="24"/>
        </w:rPr>
        <w:t>-</w:t>
      </w:r>
      <w:r>
        <w:rPr>
          <w:rFonts w:hint="eastAsia"/>
          <w:sz w:val="24"/>
          <w:szCs w:val="24"/>
        </w:rPr>
        <w:t>2</w:t>
      </w:r>
      <w:r>
        <w:rPr>
          <w:sz w:val="24"/>
          <w:szCs w:val="24"/>
        </w:rPr>
        <w:t>。</w:t>
      </w:r>
    </w:p>
    <w:p w:rsidR="00DB7CC8" w:rsidRDefault="002B5250">
      <w:pPr>
        <w:spacing w:line="240" w:lineRule="auto"/>
        <w:ind w:firstLineChars="0" w:firstLine="0"/>
        <w:jc w:val="center"/>
        <w:textAlignment w:val="auto"/>
        <w:rPr>
          <w:rFonts w:eastAsia="黑体"/>
          <w:kern w:val="2"/>
          <w:sz w:val="21"/>
          <w:szCs w:val="21"/>
          <w:lang w:val="zh-CN"/>
        </w:rPr>
      </w:pPr>
      <w:r>
        <w:rPr>
          <w:rFonts w:eastAsia="黑体" w:hint="eastAsia"/>
          <w:kern w:val="2"/>
          <w:sz w:val="21"/>
          <w:szCs w:val="21"/>
          <w:lang w:val="zh-CN"/>
        </w:rPr>
        <w:t>表</w:t>
      </w:r>
      <w:r>
        <w:rPr>
          <w:rFonts w:eastAsia="黑体" w:hint="eastAsia"/>
          <w:kern w:val="2"/>
          <w:sz w:val="21"/>
          <w:szCs w:val="21"/>
          <w:lang w:val="zh-CN"/>
        </w:rPr>
        <w:t>2</w:t>
      </w:r>
      <w:r>
        <w:rPr>
          <w:rFonts w:eastAsia="黑体"/>
          <w:kern w:val="2"/>
          <w:sz w:val="21"/>
          <w:szCs w:val="21"/>
          <w:lang w:val="zh-CN"/>
        </w:rPr>
        <w:t xml:space="preserve">.5-2    </w:t>
      </w:r>
      <w:r>
        <w:rPr>
          <w:rFonts w:eastAsia="黑体"/>
          <w:kern w:val="2"/>
          <w:sz w:val="21"/>
          <w:szCs w:val="21"/>
          <w:lang w:val="zh-CN"/>
        </w:rPr>
        <w:t>遵化市生态功能区划表</w:t>
      </w:r>
    </w:p>
    <w:tbl>
      <w:tblPr>
        <w:tblW w:w="83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0"/>
        <w:gridCol w:w="1183"/>
        <w:gridCol w:w="3037"/>
        <w:gridCol w:w="1744"/>
        <w:gridCol w:w="992"/>
      </w:tblGrid>
      <w:tr w:rsidR="00DB7CC8">
        <w:trPr>
          <w:tblHeader/>
        </w:trPr>
        <w:tc>
          <w:tcPr>
            <w:tcW w:w="1350" w:type="dxa"/>
            <w:vAlign w:val="center"/>
          </w:tcPr>
          <w:p w:rsidR="00DB7CC8" w:rsidRDefault="002B5250">
            <w:pPr>
              <w:pStyle w:val="afffffffc"/>
              <w:spacing w:line="240" w:lineRule="auto"/>
              <w:rPr>
                <w:lang w:val="zh-CN" w:bidi="zh-CN"/>
              </w:rPr>
            </w:pPr>
            <w:r>
              <w:rPr>
                <w:lang w:val="zh-CN" w:bidi="zh-CN"/>
              </w:rPr>
              <w:t>生态功能区</w:t>
            </w:r>
          </w:p>
        </w:tc>
        <w:tc>
          <w:tcPr>
            <w:tcW w:w="1183" w:type="dxa"/>
            <w:vAlign w:val="center"/>
          </w:tcPr>
          <w:p w:rsidR="00DB7CC8" w:rsidRDefault="002B5250">
            <w:pPr>
              <w:pStyle w:val="afffffffc"/>
              <w:spacing w:line="240" w:lineRule="auto"/>
              <w:rPr>
                <w:lang w:val="zh-CN" w:bidi="zh-CN"/>
              </w:rPr>
            </w:pPr>
            <w:r>
              <w:rPr>
                <w:lang w:val="zh-CN" w:bidi="zh-CN"/>
              </w:rPr>
              <w:t>生态功能亚区</w:t>
            </w:r>
          </w:p>
        </w:tc>
        <w:tc>
          <w:tcPr>
            <w:tcW w:w="3037" w:type="dxa"/>
            <w:vAlign w:val="center"/>
          </w:tcPr>
          <w:p w:rsidR="00DB7CC8" w:rsidRDefault="002B5250">
            <w:pPr>
              <w:pStyle w:val="afffffffc"/>
              <w:spacing w:line="240" w:lineRule="auto"/>
              <w:rPr>
                <w:lang w:val="zh-CN" w:bidi="zh-CN"/>
              </w:rPr>
            </w:pPr>
            <w:r>
              <w:rPr>
                <w:lang w:val="zh-CN" w:bidi="zh-CN"/>
              </w:rPr>
              <w:t>包含乡镇</w:t>
            </w:r>
          </w:p>
        </w:tc>
        <w:tc>
          <w:tcPr>
            <w:tcW w:w="1744" w:type="dxa"/>
            <w:vAlign w:val="center"/>
          </w:tcPr>
          <w:p w:rsidR="00DB7CC8" w:rsidRDefault="002B5250">
            <w:pPr>
              <w:pStyle w:val="afffffffc"/>
              <w:spacing w:line="240" w:lineRule="auto"/>
              <w:rPr>
                <w:lang w:val="zh-CN" w:bidi="zh-CN"/>
              </w:rPr>
            </w:pPr>
            <w:r>
              <w:rPr>
                <w:lang w:val="zh-CN" w:bidi="zh-CN"/>
              </w:rPr>
              <w:t>主导功能</w:t>
            </w:r>
          </w:p>
        </w:tc>
        <w:tc>
          <w:tcPr>
            <w:tcW w:w="992" w:type="dxa"/>
            <w:vAlign w:val="center"/>
          </w:tcPr>
          <w:p w:rsidR="00DB7CC8" w:rsidRDefault="002B5250">
            <w:pPr>
              <w:pStyle w:val="afffffffc"/>
              <w:spacing w:line="240" w:lineRule="auto"/>
              <w:rPr>
                <w:lang w:val="zh-CN" w:bidi="zh-CN"/>
              </w:rPr>
            </w:pPr>
            <w:r>
              <w:rPr>
                <w:lang w:val="zh-CN" w:bidi="zh-CN"/>
              </w:rPr>
              <w:t>面积</w:t>
            </w:r>
            <w:r>
              <w:rPr>
                <w:lang w:val="zh-CN" w:bidi="zh-CN"/>
              </w:rPr>
              <w:t>(</w:t>
            </w:r>
            <w:r>
              <w:rPr>
                <w:lang w:val="zh-CN" w:bidi="zh-CN"/>
              </w:rPr>
              <w:t>平方公里</w:t>
            </w:r>
            <w:r>
              <w:rPr>
                <w:lang w:val="zh-CN" w:bidi="zh-CN"/>
              </w:rPr>
              <w:t>)</w:t>
            </w:r>
          </w:p>
        </w:tc>
      </w:tr>
      <w:tr w:rsidR="00DB7CC8">
        <w:tc>
          <w:tcPr>
            <w:tcW w:w="1350" w:type="dxa"/>
            <w:vMerge w:val="restart"/>
            <w:vAlign w:val="center"/>
          </w:tcPr>
          <w:p w:rsidR="00DB7CC8" w:rsidRDefault="002B5250">
            <w:pPr>
              <w:pStyle w:val="afffffffc"/>
              <w:spacing w:line="240" w:lineRule="auto"/>
              <w:rPr>
                <w:lang w:val="zh-CN" w:bidi="zh-CN"/>
              </w:rPr>
            </w:pPr>
            <w:r>
              <w:rPr>
                <w:lang w:val="zh-CN" w:bidi="zh-CN"/>
              </w:rPr>
              <w:t>燕山山地南部生态区</w:t>
            </w:r>
          </w:p>
        </w:tc>
        <w:tc>
          <w:tcPr>
            <w:tcW w:w="1183" w:type="dxa"/>
            <w:vAlign w:val="center"/>
          </w:tcPr>
          <w:p w:rsidR="00DB7CC8" w:rsidRDefault="002B5250">
            <w:pPr>
              <w:pStyle w:val="afffffffc"/>
              <w:spacing w:line="240" w:lineRule="auto"/>
              <w:rPr>
                <w:lang w:val="zh-CN" w:bidi="zh-CN"/>
              </w:rPr>
            </w:pPr>
            <w:r>
              <w:rPr>
                <w:lang w:val="zh-CN" w:bidi="zh-CN"/>
              </w:rPr>
              <w:t>遵化镇生态型城镇建设区</w:t>
            </w:r>
          </w:p>
        </w:tc>
        <w:tc>
          <w:tcPr>
            <w:tcW w:w="3037" w:type="dxa"/>
            <w:vAlign w:val="center"/>
          </w:tcPr>
          <w:p w:rsidR="00DB7CC8" w:rsidRDefault="002B5250">
            <w:pPr>
              <w:pStyle w:val="afffffffc"/>
              <w:spacing w:line="240" w:lineRule="auto"/>
              <w:rPr>
                <w:lang w:val="zh-CN" w:bidi="zh-CN"/>
              </w:rPr>
            </w:pPr>
            <w:r>
              <w:rPr>
                <w:lang w:val="zh-CN" w:bidi="zh-CN"/>
              </w:rPr>
              <w:t>遵化镇</w:t>
            </w:r>
          </w:p>
        </w:tc>
        <w:tc>
          <w:tcPr>
            <w:tcW w:w="1744" w:type="dxa"/>
            <w:vAlign w:val="center"/>
          </w:tcPr>
          <w:p w:rsidR="00DB7CC8" w:rsidRDefault="002B5250">
            <w:pPr>
              <w:pStyle w:val="afffffffc"/>
              <w:spacing w:line="240" w:lineRule="auto"/>
              <w:rPr>
                <w:lang w:val="zh-CN" w:bidi="zh-CN"/>
              </w:rPr>
            </w:pPr>
            <w:r>
              <w:rPr>
                <w:lang w:val="zh-CN" w:bidi="zh-CN"/>
              </w:rPr>
              <w:t>城镇建设、水源保护</w:t>
            </w:r>
          </w:p>
        </w:tc>
        <w:tc>
          <w:tcPr>
            <w:tcW w:w="992" w:type="dxa"/>
            <w:vAlign w:val="center"/>
          </w:tcPr>
          <w:p w:rsidR="00DB7CC8" w:rsidRDefault="002B5250">
            <w:pPr>
              <w:pStyle w:val="afffffffc"/>
              <w:spacing w:line="240" w:lineRule="auto"/>
              <w:rPr>
                <w:lang w:val="zh-CN" w:bidi="zh-CN"/>
              </w:rPr>
            </w:pPr>
            <w:r>
              <w:rPr>
                <w:lang w:val="zh-CN" w:bidi="zh-CN"/>
              </w:rPr>
              <w:t>31.5</w:t>
            </w:r>
          </w:p>
        </w:tc>
      </w:tr>
      <w:tr w:rsidR="00DB7CC8">
        <w:tc>
          <w:tcPr>
            <w:tcW w:w="1350" w:type="dxa"/>
            <w:vMerge/>
            <w:vAlign w:val="center"/>
          </w:tcPr>
          <w:p w:rsidR="00DB7CC8" w:rsidRDefault="00DB7CC8">
            <w:pPr>
              <w:pStyle w:val="afffffffc"/>
              <w:spacing w:line="240" w:lineRule="auto"/>
              <w:rPr>
                <w:lang w:val="zh-CN" w:bidi="zh-CN"/>
              </w:rPr>
            </w:pPr>
          </w:p>
        </w:tc>
        <w:tc>
          <w:tcPr>
            <w:tcW w:w="1183" w:type="dxa"/>
            <w:vAlign w:val="center"/>
          </w:tcPr>
          <w:p w:rsidR="00DB7CC8" w:rsidRDefault="002B5250">
            <w:pPr>
              <w:pStyle w:val="afffffffc"/>
              <w:spacing w:line="240" w:lineRule="auto"/>
              <w:rPr>
                <w:lang w:val="zh-CN" w:bidi="zh-CN"/>
              </w:rPr>
            </w:pPr>
            <w:r>
              <w:rPr>
                <w:lang w:val="zh-CN" w:bidi="zh-CN"/>
              </w:rPr>
              <w:t>北部山区生态保护、重建区</w:t>
            </w:r>
          </w:p>
        </w:tc>
        <w:tc>
          <w:tcPr>
            <w:tcW w:w="3037" w:type="dxa"/>
            <w:vAlign w:val="center"/>
          </w:tcPr>
          <w:p w:rsidR="00DB7CC8" w:rsidRDefault="002B5250">
            <w:pPr>
              <w:pStyle w:val="afffffffc"/>
              <w:spacing w:line="240" w:lineRule="auto"/>
              <w:rPr>
                <w:lang w:val="zh-CN" w:bidi="zh-CN"/>
              </w:rPr>
            </w:pPr>
            <w:r>
              <w:rPr>
                <w:lang w:val="zh-CN" w:bidi="zh-CN"/>
              </w:rPr>
              <w:t>东陵乡、马兰峪镇、汤泉乡、西下营乡、兴旺寨乡、西三里乡、苏家洼镇、侯家寨乡、小厂乡、建明镇</w:t>
            </w:r>
          </w:p>
        </w:tc>
        <w:tc>
          <w:tcPr>
            <w:tcW w:w="1744" w:type="dxa"/>
            <w:vAlign w:val="center"/>
          </w:tcPr>
          <w:p w:rsidR="00DB7CC8" w:rsidRDefault="002B5250">
            <w:pPr>
              <w:pStyle w:val="afffffffc"/>
              <w:spacing w:line="240" w:lineRule="auto"/>
              <w:rPr>
                <w:lang w:val="zh-CN" w:bidi="zh-CN"/>
              </w:rPr>
            </w:pPr>
            <w:r>
              <w:rPr>
                <w:lang w:val="zh-CN" w:bidi="zh-CN"/>
              </w:rPr>
              <w:t>水源涵养、水文调蓄、生物多样性保护、生态重建</w:t>
            </w:r>
          </w:p>
        </w:tc>
        <w:tc>
          <w:tcPr>
            <w:tcW w:w="992" w:type="dxa"/>
            <w:vAlign w:val="center"/>
          </w:tcPr>
          <w:p w:rsidR="00DB7CC8" w:rsidRDefault="002B5250">
            <w:pPr>
              <w:pStyle w:val="afffffffc"/>
              <w:spacing w:line="240" w:lineRule="auto"/>
              <w:rPr>
                <w:lang w:val="zh-CN" w:bidi="zh-CN"/>
              </w:rPr>
            </w:pPr>
            <w:r>
              <w:rPr>
                <w:lang w:val="zh-CN" w:bidi="zh-CN"/>
              </w:rPr>
              <w:t>556.5</w:t>
            </w:r>
          </w:p>
        </w:tc>
      </w:tr>
      <w:tr w:rsidR="00DB7CC8">
        <w:tc>
          <w:tcPr>
            <w:tcW w:w="1350" w:type="dxa"/>
            <w:vMerge/>
            <w:vAlign w:val="center"/>
          </w:tcPr>
          <w:p w:rsidR="00DB7CC8" w:rsidRDefault="00DB7CC8">
            <w:pPr>
              <w:pStyle w:val="afffffffc"/>
              <w:spacing w:line="240" w:lineRule="auto"/>
              <w:rPr>
                <w:lang w:val="zh-CN" w:bidi="zh-CN"/>
              </w:rPr>
            </w:pPr>
          </w:p>
        </w:tc>
        <w:tc>
          <w:tcPr>
            <w:tcW w:w="1183" w:type="dxa"/>
            <w:vAlign w:val="center"/>
          </w:tcPr>
          <w:p w:rsidR="00DB7CC8" w:rsidRDefault="002B5250">
            <w:pPr>
              <w:pStyle w:val="afffffffc"/>
              <w:spacing w:line="240" w:lineRule="auto"/>
              <w:rPr>
                <w:lang w:val="zh-CN" w:bidi="zh-CN"/>
              </w:rPr>
            </w:pPr>
            <w:r>
              <w:rPr>
                <w:lang w:val="zh-CN" w:bidi="zh-CN"/>
              </w:rPr>
              <w:t>中部生态农业保育区</w:t>
            </w:r>
          </w:p>
        </w:tc>
        <w:tc>
          <w:tcPr>
            <w:tcW w:w="3037" w:type="dxa"/>
            <w:vAlign w:val="center"/>
          </w:tcPr>
          <w:p w:rsidR="00DB7CC8" w:rsidRDefault="002B5250">
            <w:pPr>
              <w:pStyle w:val="afffffffc"/>
              <w:spacing w:line="240" w:lineRule="auto"/>
              <w:rPr>
                <w:lang w:val="zh-CN" w:bidi="zh-CN"/>
              </w:rPr>
            </w:pPr>
            <w:r>
              <w:rPr>
                <w:lang w:val="zh-CN" w:bidi="zh-CN"/>
              </w:rPr>
              <w:t>石门镇、平安城镇、东新庄镇、团瓢庄乡、崔家庄乡、西留村乡、新店子镇、堡子店镇</w:t>
            </w:r>
          </w:p>
        </w:tc>
        <w:tc>
          <w:tcPr>
            <w:tcW w:w="1744" w:type="dxa"/>
            <w:vAlign w:val="center"/>
          </w:tcPr>
          <w:p w:rsidR="00DB7CC8" w:rsidRDefault="002B5250">
            <w:pPr>
              <w:pStyle w:val="afffffffc"/>
              <w:spacing w:line="240" w:lineRule="auto"/>
              <w:rPr>
                <w:lang w:val="zh-CN" w:bidi="zh-CN"/>
              </w:rPr>
            </w:pPr>
            <w:r>
              <w:rPr>
                <w:lang w:val="zh-CN" w:bidi="zh-CN"/>
              </w:rPr>
              <w:t>基本农田保护、生态农业示范区</w:t>
            </w:r>
          </w:p>
        </w:tc>
        <w:tc>
          <w:tcPr>
            <w:tcW w:w="992" w:type="dxa"/>
            <w:vAlign w:val="center"/>
          </w:tcPr>
          <w:p w:rsidR="00DB7CC8" w:rsidRDefault="002B5250">
            <w:pPr>
              <w:pStyle w:val="afffffffc"/>
              <w:spacing w:line="240" w:lineRule="auto"/>
              <w:rPr>
                <w:lang w:val="zh-CN" w:bidi="zh-CN"/>
              </w:rPr>
            </w:pPr>
            <w:r>
              <w:rPr>
                <w:lang w:val="zh-CN" w:bidi="zh-CN"/>
              </w:rPr>
              <w:t>496.55</w:t>
            </w:r>
          </w:p>
        </w:tc>
      </w:tr>
      <w:tr w:rsidR="00DB7CC8">
        <w:tc>
          <w:tcPr>
            <w:tcW w:w="1350" w:type="dxa"/>
          </w:tcPr>
          <w:p w:rsidR="00DB7CC8" w:rsidRDefault="002B5250">
            <w:pPr>
              <w:pStyle w:val="afffffffc"/>
              <w:spacing w:line="240" w:lineRule="auto"/>
              <w:rPr>
                <w:lang w:val="zh-CN" w:bidi="zh-CN"/>
              </w:rPr>
            </w:pPr>
            <w:r>
              <w:rPr>
                <w:lang w:val="zh-CN" w:bidi="zh-CN"/>
              </w:rPr>
              <w:t>东南部山区水土保持、水源涵养区</w:t>
            </w:r>
          </w:p>
        </w:tc>
        <w:tc>
          <w:tcPr>
            <w:tcW w:w="1183" w:type="dxa"/>
            <w:vAlign w:val="center"/>
          </w:tcPr>
          <w:p w:rsidR="00DB7CC8" w:rsidRDefault="002B5250">
            <w:pPr>
              <w:pStyle w:val="afffffffc"/>
              <w:spacing w:line="240" w:lineRule="auto"/>
              <w:rPr>
                <w:lang w:val="zh-CN" w:bidi="zh-CN"/>
              </w:rPr>
            </w:pPr>
            <w:r>
              <w:rPr>
                <w:lang w:val="zh-CN" w:bidi="zh-CN"/>
              </w:rPr>
              <w:t>－</w:t>
            </w:r>
          </w:p>
        </w:tc>
        <w:tc>
          <w:tcPr>
            <w:tcW w:w="3037" w:type="dxa"/>
            <w:vAlign w:val="center"/>
          </w:tcPr>
          <w:p w:rsidR="00DB7CC8" w:rsidRDefault="002B5250">
            <w:pPr>
              <w:pStyle w:val="afffffffc"/>
              <w:spacing w:line="240" w:lineRule="auto"/>
              <w:rPr>
                <w:lang w:val="zh-CN" w:bidi="zh-CN"/>
              </w:rPr>
            </w:pPr>
            <w:r>
              <w:rPr>
                <w:lang w:val="zh-CN" w:bidi="zh-CN"/>
              </w:rPr>
              <w:t>刘备寨乡、地北头镇、东旧寨镇、党峪镇、铁厂镇、娘娘庄乡</w:t>
            </w:r>
          </w:p>
        </w:tc>
        <w:tc>
          <w:tcPr>
            <w:tcW w:w="1744" w:type="dxa"/>
            <w:vAlign w:val="center"/>
          </w:tcPr>
          <w:p w:rsidR="00DB7CC8" w:rsidRDefault="002B5250">
            <w:pPr>
              <w:pStyle w:val="afffffffc"/>
              <w:spacing w:line="240" w:lineRule="auto"/>
              <w:rPr>
                <w:lang w:val="zh-CN" w:bidi="zh-CN"/>
              </w:rPr>
            </w:pPr>
            <w:r>
              <w:rPr>
                <w:lang w:val="zh-CN" w:bidi="zh-CN"/>
              </w:rPr>
              <w:t>水土保持、水源涵养、水文调蓄</w:t>
            </w:r>
          </w:p>
        </w:tc>
        <w:tc>
          <w:tcPr>
            <w:tcW w:w="992" w:type="dxa"/>
            <w:vAlign w:val="center"/>
          </w:tcPr>
          <w:p w:rsidR="00DB7CC8" w:rsidRDefault="002B5250">
            <w:pPr>
              <w:pStyle w:val="afffffffc"/>
              <w:spacing w:line="240" w:lineRule="auto"/>
              <w:rPr>
                <w:lang w:val="zh-CN" w:bidi="zh-CN"/>
              </w:rPr>
            </w:pPr>
            <w:r>
              <w:rPr>
                <w:lang w:val="zh-CN" w:bidi="zh-CN"/>
              </w:rPr>
              <w:t>431.95</w:t>
            </w:r>
          </w:p>
        </w:tc>
      </w:tr>
    </w:tbl>
    <w:p w:rsidR="00DB7CC8" w:rsidRDefault="002B5250">
      <w:pPr>
        <w:ind w:firstLine="480"/>
        <w:jc w:val="both"/>
        <w:rPr>
          <w:sz w:val="24"/>
        </w:rPr>
      </w:pPr>
      <w:r>
        <w:rPr>
          <w:sz w:val="24"/>
          <w:szCs w:val="24"/>
        </w:rPr>
        <w:t>本项目位于建明镇，属北部山区生态保护、重建区，该区域主导功能为</w:t>
      </w:r>
      <w:r>
        <w:rPr>
          <w:sz w:val="24"/>
        </w:rPr>
        <w:t>水源涵养、水文调蓄、生物多样性保护、生态重建。</w:t>
      </w:r>
    </w:p>
    <w:p w:rsidR="00DB7CC8" w:rsidRDefault="002B5250">
      <w:pPr>
        <w:ind w:firstLine="480"/>
        <w:rPr>
          <w:sz w:val="24"/>
          <w:szCs w:val="24"/>
        </w:rPr>
      </w:pPr>
      <w:r>
        <w:rPr>
          <w:sz w:val="24"/>
          <w:szCs w:val="24"/>
        </w:rPr>
        <w:t>该区重要生态功能区包括：</w:t>
      </w:r>
    </w:p>
    <w:p w:rsidR="00DB7CC8" w:rsidRDefault="002B5250">
      <w:pPr>
        <w:ind w:firstLine="480"/>
        <w:rPr>
          <w:sz w:val="24"/>
          <w:szCs w:val="24"/>
        </w:rPr>
      </w:pPr>
      <w:r>
        <w:rPr>
          <w:sz w:val="24"/>
          <w:szCs w:val="24"/>
        </w:rPr>
        <w:t>（</w:t>
      </w:r>
      <w:r>
        <w:rPr>
          <w:sz w:val="24"/>
          <w:szCs w:val="24"/>
        </w:rPr>
        <w:t>1</w:t>
      </w:r>
      <w:r>
        <w:rPr>
          <w:sz w:val="24"/>
          <w:szCs w:val="24"/>
        </w:rPr>
        <w:t>）禁止开发区：包括清东陵国家森林公园、古长城遗址、鹫峰山省级森林公园、上关水库地表水源保护区；</w:t>
      </w:r>
    </w:p>
    <w:p w:rsidR="00DB7CC8" w:rsidRDefault="002B5250">
      <w:pPr>
        <w:ind w:firstLine="480"/>
        <w:rPr>
          <w:sz w:val="24"/>
          <w:szCs w:val="24"/>
        </w:rPr>
      </w:pPr>
      <w:r>
        <w:rPr>
          <w:sz w:val="24"/>
          <w:szCs w:val="24"/>
        </w:rPr>
        <w:t>（</w:t>
      </w:r>
      <w:r>
        <w:rPr>
          <w:sz w:val="24"/>
          <w:szCs w:val="24"/>
        </w:rPr>
        <w:t>2</w:t>
      </w:r>
      <w:r>
        <w:rPr>
          <w:sz w:val="24"/>
          <w:szCs w:val="24"/>
        </w:rPr>
        <w:t>）限制开发区：包括汤泉风景名胜区、般若院水库、万佛园等受保护地范围及基本农田保护区；</w:t>
      </w:r>
    </w:p>
    <w:p w:rsidR="00DB7CC8" w:rsidRDefault="002B5250">
      <w:pPr>
        <w:ind w:firstLine="480"/>
        <w:rPr>
          <w:sz w:val="24"/>
          <w:szCs w:val="24"/>
        </w:rPr>
      </w:pPr>
      <w:r>
        <w:rPr>
          <w:sz w:val="24"/>
          <w:szCs w:val="24"/>
        </w:rPr>
        <w:lastRenderedPageBreak/>
        <w:t>（</w:t>
      </w:r>
      <w:r>
        <w:rPr>
          <w:sz w:val="24"/>
          <w:szCs w:val="24"/>
        </w:rPr>
        <w:t>3</w:t>
      </w:r>
      <w:r>
        <w:rPr>
          <w:sz w:val="24"/>
          <w:szCs w:val="24"/>
        </w:rPr>
        <w:t>）优化开发区：小厂乡、建明镇、苏家洼镇及兴旺寨乡内矿山集中开采区；</w:t>
      </w:r>
    </w:p>
    <w:p w:rsidR="00DB7CC8" w:rsidRDefault="002B5250">
      <w:pPr>
        <w:ind w:firstLine="480"/>
        <w:rPr>
          <w:sz w:val="24"/>
          <w:szCs w:val="24"/>
        </w:rPr>
      </w:pPr>
      <w:r>
        <w:rPr>
          <w:sz w:val="24"/>
          <w:szCs w:val="24"/>
        </w:rPr>
        <w:t>除此之外的区域属重点开发区域。</w:t>
      </w:r>
    </w:p>
    <w:p w:rsidR="00DB7CC8" w:rsidRDefault="002B5250">
      <w:pPr>
        <w:ind w:firstLine="480"/>
        <w:jc w:val="both"/>
        <w:textAlignment w:val="auto"/>
        <w:rPr>
          <w:kern w:val="2"/>
          <w:sz w:val="24"/>
          <w:szCs w:val="24"/>
        </w:rPr>
      </w:pPr>
      <w:r>
        <w:rPr>
          <w:sz w:val="24"/>
          <w:szCs w:val="24"/>
        </w:rPr>
        <w:t>根据遵化市土地利用总体规划及遵化市住房和城乡规划建设局出具的用地性质说明，本项目占</w:t>
      </w:r>
      <w:r>
        <w:rPr>
          <w:sz w:val="24"/>
          <w:szCs w:val="24"/>
        </w:rPr>
        <w:t>地类为工业用地，不占用基本农田，不属于该区域中禁止开发区和限制开发区，同时本项目产生的各类固体废物均能得到合理处理，固体废物（尾砂）全部综合利用，符合《遵化市生态市建设规划》。</w:t>
      </w:r>
    </w:p>
    <w:p w:rsidR="00DB7CC8" w:rsidRDefault="002B5250">
      <w:pPr>
        <w:pStyle w:val="3"/>
        <w:numPr>
          <w:ilvl w:val="2"/>
          <w:numId w:val="1"/>
        </w:numPr>
        <w:rPr>
          <w:szCs w:val="28"/>
        </w:rPr>
      </w:pPr>
      <w:bookmarkStart w:id="130" w:name="_Toc4734"/>
      <w:bookmarkStart w:id="131" w:name="_Toc521591750"/>
      <w:r>
        <w:rPr>
          <w:szCs w:val="28"/>
        </w:rPr>
        <w:t>环境功能区划</w:t>
      </w:r>
      <w:bookmarkEnd w:id="130"/>
      <w:bookmarkEnd w:id="131"/>
    </w:p>
    <w:p w:rsidR="00DB7CC8" w:rsidRDefault="002B5250">
      <w:pPr>
        <w:ind w:left="425" w:firstLineChars="0" w:firstLine="0"/>
        <w:jc w:val="both"/>
        <w:rPr>
          <w:sz w:val="24"/>
          <w:szCs w:val="24"/>
        </w:rPr>
      </w:pPr>
      <w:r>
        <w:rPr>
          <w:sz w:val="24"/>
          <w:szCs w:val="24"/>
        </w:rPr>
        <w:t>（</w:t>
      </w:r>
      <w:r>
        <w:rPr>
          <w:sz w:val="24"/>
          <w:szCs w:val="24"/>
        </w:rPr>
        <w:t>1</w:t>
      </w:r>
      <w:r>
        <w:rPr>
          <w:sz w:val="24"/>
          <w:szCs w:val="24"/>
        </w:rPr>
        <w:t>）环境空气功能区划分</w:t>
      </w:r>
    </w:p>
    <w:p w:rsidR="00DB7CC8" w:rsidRDefault="002B5250">
      <w:pPr>
        <w:ind w:firstLine="480"/>
        <w:jc w:val="both"/>
        <w:rPr>
          <w:sz w:val="24"/>
          <w:szCs w:val="24"/>
        </w:rPr>
      </w:pPr>
      <w:r>
        <w:rPr>
          <w:sz w:val="24"/>
          <w:szCs w:val="24"/>
        </w:rPr>
        <w:t>根据《环境空气质量标准》（</w:t>
      </w:r>
      <w:r>
        <w:rPr>
          <w:sz w:val="24"/>
          <w:szCs w:val="24"/>
        </w:rPr>
        <w:t>GB3095-2012</w:t>
      </w:r>
      <w:r>
        <w:rPr>
          <w:sz w:val="24"/>
          <w:szCs w:val="24"/>
        </w:rPr>
        <w:t>）中环境空气质量功能分类规定：</w:t>
      </w:r>
      <w:r>
        <w:rPr>
          <w:sz w:val="24"/>
          <w:szCs w:val="24"/>
        </w:rPr>
        <w:t>“</w:t>
      </w:r>
      <w:r>
        <w:rPr>
          <w:sz w:val="24"/>
          <w:szCs w:val="24"/>
        </w:rPr>
        <w:t>二类区为城镇规划中确定的居住区、商业交通居民混合区，文化区、一般工业区和农林地区</w:t>
      </w:r>
      <w:r>
        <w:rPr>
          <w:sz w:val="24"/>
          <w:szCs w:val="24"/>
        </w:rPr>
        <w:t>”</w:t>
      </w:r>
      <w:r>
        <w:rPr>
          <w:sz w:val="24"/>
          <w:szCs w:val="24"/>
        </w:rPr>
        <w:t>，结合本区域的具体情况，本区属于二类区，环境空气执行二级标准。</w:t>
      </w:r>
    </w:p>
    <w:p w:rsidR="00DB7CC8" w:rsidRDefault="002B5250">
      <w:pPr>
        <w:ind w:firstLine="480"/>
        <w:jc w:val="both"/>
        <w:rPr>
          <w:sz w:val="24"/>
          <w:szCs w:val="24"/>
        </w:rPr>
      </w:pPr>
      <w:r>
        <w:rPr>
          <w:sz w:val="24"/>
          <w:szCs w:val="24"/>
        </w:rPr>
        <w:t>（</w:t>
      </w:r>
      <w:r>
        <w:rPr>
          <w:sz w:val="24"/>
          <w:szCs w:val="24"/>
        </w:rPr>
        <w:t>2</w:t>
      </w:r>
      <w:r>
        <w:rPr>
          <w:sz w:val="24"/>
          <w:szCs w:val="24"/>
        </w:rPr>
        <w:t>）地表水环境功能区划</w:t>
      </w:r>
    </w:p>
    <w:p w:rsidR="00DB7CC8" w:rsidRDefault="002B5250">
      <w:pPr>
        <w:ind w:firstLine="480"/>
        <w:jc w:val="both"/>
        <w:rPr>
          <w:sz w:val="24"/>
          <w:szCs w:val="24"/>
        </w:rPr>
      </w:pPr>
      <w:r>
        <w:rPr>
          <w:sz w:val="24"/>
          <w:szCs w:val="24"/>
        </w:rPr>
        <w:t>根据《遵化市水环境功能区划》，黎河、沙河、</w:t>
      </w:r>
      <w:r>
        <w:rPr>
          <w:sz w:val="24"/>
          <w:szCs w:val="24"/>
        </w:rPr>
        <w:t>淋河是遵化境内的三条主要河流，执行《地表水环境质量标准》（</w:t>
      </w:r>
      <w:r>
        <w:rPr>
          <w:sz w:val="24"/>
          <w:szCs w:val="24"/>
        </w:rPr>
        <w:t>GB3838-2002</w:t>
      </w:r>
      <w:r>
        <w:rPr>
          <w:sz w:val="24"/>
          <w:szCs w:val="24"/>
        </w:rPr>
        <w:t>）</w:t>
      </w:r>
      <w:r>
        <w:rPr>
          <w:sz w:val="24"/>
          <w:szCs w:val="24"/>
        </w:rPr>
        <w:t>III</w:t>
      </w:r>
      <w:r>
        <w:rPr>
          <w:sz w:val="24"/>
          <w:szCs w:val="24"/>
        </w:rPr>
        <w:t>类标准。距离本项目最近的地表水体为项目南侧的黎河</w:t>
      </w:r>
      <w:r>
        <w:rPr>
          <w:rFonts w:hint="eastAsia"/>
          <w:sz w:val="24"/>
          <w:szCs w:val="24"/>
        </w:rPr>
        <w:t>，</w:t>
      </w:r>
      <w:r>
        <w:rPr>
          <w:sz w:val="24"/>
          <w:szCs w:val="24"/>
        </w:rPr>
        <w:t>执行《地表水环境质量标准》（</w:t>
      </w:r>
      <w:r>
        <w:rPr>
          <w:sz w:val="24"/>
          <w:szCs w:val="24"/>
        </w:rPr>
        <w:t>GB3838-2002</w:t>
      </w:r>
      <w:r>
        <w:rPr>
          <w:sz w:val="24"/>
          <w:szCs w:val="24"/>
        </w:rPr>
        <w:t>）</w:t>
      </w:r>
      <w:r>
        <w:rPr>
          <w:sz w:val="24"/>
          <w:szCs w:val="24"/>
        </w:rPr>
        <w:t>III</w:t>
      </w:r>
      <w:r>
        <w:rPr>
          <w:sz w:val="24"/>
          <w:szCs w:val="24"/>
        </w:rPr>
        <w:t>类标准。</w:t>
      </w:r>
    </w:p>
    <w:p w:rsidR="00DB7CC8" w:rsidRDefault="002B5250">
      <w:pPr>
        <w:ind w:firstLine="480"/>
        <w:jc w:val="both"/>
        <w:rPr>
          <w:sz w:val="24"/>
          <w:szCs w:val="24"/>
        </w:rPr>
      </w:pPr>
      <w:r>
        <w:rPr>
          <w:sz w:val="24"/>
          <w:szCs w:val="24"/>
        </w:rPr>
        <w:t>（</w:t>
      </w:r>
      <w:r>
        <w:rPr>
          <w:sz w:val="24"/>
          <w:szCs w:val="24"/>
        </w:rPr>
        <w:t>3</w:t>
      </w:r>
      <w:r>
        <w:rPr>
          <w:sz w:val="24"/>
          <w:szCs w:val="24"/>
        </w:rPr>
        <w:t>）地下水环境功能区划</w:t>
      </w:r>
    </w:p>
    <w:p w:rsidR="00DB7CC8" w:rsidRDefault="002B5250">
      <w:pPr>
        <w:ind w:firstLine="480"/>
        <w:jc w:val="both"/>
        <w:rPr>
          <w:sz w:val="24"/>
          <w:szCs w:val="24"/>
        </w:rPr>
      </w:pPr>
      <w:r>
        <w:rPr>
          <w:sz w:val="24"/>
          <w:szCs w:val="24"/>
        </w:rPr>
        <w:t>根据《地下水质量标准》（</w:t>
      </w:r>
      <w:r>
        <w:rPr>
          <w:sz w:val="24"/>
          <w:szCs w:val="24"/>
        </w:rPr>
        <w:t>GB/T14848-2017)</w:t>
      </w:r>
      <w:r>
        <w:rPr>
          <w:sz w:val="24"/>
          <w:szCs w:val="24"/>
        </w:rPr>
        <w:t>中地下水的分类要求：</w:t>
      </w:r>
      <w:r>
        <w:rPr>
          <w:sz w:val="24"/>
          <w:szCs w:val="24"/>
        </w:rPr>
        <w:t>“</w:t>
      </w:r>
      <w:r>
        <w:rPr>
          <w:sz w:val="24"/>
          <w:szCs w:val="24"/>
        </w:rPr>
        <w:t>以人体健康基准值为依据，主要适用于集中式生活饮用水水源及工、农业用水</w:t>
      </w:r>
      <w:r>
        <w:rPr>
          <w:sz w:val="24"/>
          <w:szCs w:val="24"/>
        </w:rPr>
        <w:t>”</w:t>
      </w:r>
      <w:r>
        <w:rPr>
          <w:sz w:val="24"/>
          <w:szCs w:val="24"/>
        </w:rPr>
        <w:t>，本项目所在区域地下水执行</w:t>
      </w:r>
      <w:r>
        <w:rPr>
          <w:sz w:val="24"/>
          <w:szCs w:val="24"/>
        </w:rPr>
        <w:t>III</w:t>
      </w:r>
      <w:r>
        <w:rPr>
          <w:sz w:val="24"/>
          <w:szCs w:val="24"/>
        </w:rPr>
        <w:t>类标准。</w:t>
      </w:r>
    </w:p>
    <w:p w:rsidR="00DB7CC8" w:rsidRDefault="002B5250">
      <w:pPr>
        <w:ind w:firstLine="480"/>
        <w:jc w:val="both"/>
        <w:rPr>
          <w:sz w:val="24"/>
          <w:szCs w:val="24"/>
        </w:rPr>
      </w:pPr>
      <w:r>
        <w:rPr>
          <w:sz w:val="24"/>
          <w:szCs w:val="24"/>
        </w:rPr>
        <w:t>（</w:t>
      </w:r>
      <w:r>
        <w:rPr>
          <w:sz w:val="24"/>
          <w:szCs w:val="24"/>
        </w:rPr>
        <w:t>4</w:t>
      </w:r>
      <w:r>
        <w:rPr>
          <w:sz w:val="24"/>
          <w:szCs w:val="24"/>
        </w:rPr>
        <w:t>）声环境功能区划</w:t>
      </w:r>
    </w:p>
    <w:p w:rsidR="00DB7CC8" w:rsidRDefault="002B5250">
      <w:pPr>
        <w:ind w:firstLine="480"/>
        <w:jc w:val="both"/>
        <w:rPr>
          <w:sz w:val="24"/>
          <w:szCs w:val="24"/>
        </w:rPr>
      </w:pPr>
      <w:r>
        <w:rPr>
          <w:sz w:val="24"/>
          <w:szCs w:val="24"/>
        </w:rPr>
        <w:t>根据《声环境质量标准》（</w:t>
      </w:r>
      <w:r>
        <w:rPr>
          <w:sz w:val="24"/>
          <w:szCs w:val="24"/>
        </w:rPr>
        <w:t>GB3096-2008</w:t>
      </w:r>
      <w:r>
        <w:rPr>
          <w:sz w:val="24"/>
          <w:szCs w:val="24"/>
        </w:rPr>
        <w:t>）的规定，</w:t>
      </w:r>
      <w:r>
        <w:rPr>
          <w:rFonts w:hint="eastAsia"/>
          <w:sz w:val="24"/>
          <w:szCs w:val="24"/>
        </w:rPr>
        <w:t>本项目所在区属遵化市总体规划的一般工业区，</w:t>
      </w:r>
      <w:r>
        <w:rPr>
          <w:sz w:val="24"/>
          <w:szCs w:val="24"/>
        </w:rPr>
        <w:t>评价区环境噪声执行</w:t>
      </w:r>
      <w:r>
        <w:rPr>
          <w:sz w:val="24"/>
          <w:szCs w:val="24"/>
        </w:rPr>
        <w:t>2</w:t>
      </w:r>
      <w:r>
        <w:rPr>
          <w:sz w:val="24"/>
          <w:szCs w:val="24"/>
        </w:rPr>
        <w:t>类标准限值。</w:t>
      </w:r>
    </w:p>
    <w:p w:rsidR="00DB7CC8" w:rsidRDefault="002B5250">
      <w:pPr>
        <w:ind w:firstLine="480"/>
        <w:jc w:val="both"/>
        <w:rPr>
          <w:sz w:val="24"/>
          <w:szCs w:val="24"/>
          <w:lang w:val="zh-CN"/>
        </w:rPr>
      </w:pPr>
      <w:r>
        <w:rPr>
          <w:sz w:val="24"/>
          <w:szCs w:val="24"/>
          <w:lang w:val="zh-CN"/>
        </w:rPr>
        <w:t>本项目环境功能区划见</w:t>
      </w:r>
      <w:r>
        <w:rPr>
          <w:rFonts w:hint="eastAsia"/>
          <w:sz w:val="24"/>
          <w:szCs w:val="24"/>
          <w:lang w:val="zh-CN"/>
        </w:rPr>
        <w:t>表</w:t>
      </w:r>
      <w:r>
        <w:rPr>
          <w:rFonts w:hint="eastAsia"/>
          <w:sz w:val="24"/>
          <w:szCs w:val="24"/>
          <w:lang w:val="zh-CN"/>
        </w:rPr>
        <w:t>2</w:t>
      </w:r>
      <w:r>
        <w:rPr>
          <w:sz w:val="24"/>
          <w:szCs w:val="24"/>
          <w:lang w:val="zh-CN"/>
        </w:rPr>
        <w:t>.5-3</w:t>
      </w:r>
      <w:r>
        <w:rPr>
          <w:sz w:val="24"/>
          <w:szCs w:val="24"/>
          <w:lang w:val="zh-CN"/>
        </w:rPr>
        <w:t>。</w:t>
      </w:r>
    </w:p>
    <w:p w:rsidR="00DB7CC8" w:rsidRDefault="002B5250">
      <w:pPr>
        <w:spacing w:line="240" w:lineRule="auto"/>
        <w:ind w:firstLineChars="0" w:firstLine="0"/>
        <w:jc w:val="center"/>
        <w:textAlignment w:val="auto"/>
        <w:rPr>
          <w:rFonts w:eastAsia="黑体"/>
          <w:kern w:val="2"/>
          <w:sz w:val="21"/>
          <w:szCs w:val="21"/>
          <w:lang w:val="zh-CN"/>
        </w:rPr>
      </w:pPr>
      <w:bookmarkStart w:id="132" w:name="_Ref6875239"/>
      <w:r>
        <w:rPr>
          <w:rFonts w:eastAsia="黑体"/>
          <w:kern w:val="2"/>
          <w:sz w:val="21"/>
          <w:szCs w:val="21"/>
          <w:lang w:val="zh-CN"/>
        </w:rPr>
        <w:t>表</w:t>
      </w:r>
      <w:r>
        <w:rPr>
          <w:rFonts w:eastAsia="黑体"/>
          <w:kern w:val="2"/>
          <w:sz w:val="21"/>
          <w:szCs w:val="21"/>
          <w:lang w:val="zh-CN"/>
        </w:rPr>
        <w:t xml:space="preserve"> </w:t>
      </w:r>
      <w:bookmarkEnd w:id="132"/>
      <w:r>
        <w:rPr>
          <w:rFonts w:eastAsia="黑体"/>
          <w:kern w:val="2"/>
          <w:sz w:val="21"/>
          <w:szCs w:val="21"/>
          <w:lang w:val="zh-CN"/>
        </w:rPr>
        <w:t xml:space="preserve">2.5-3   </w:t>
      </w:r>
      <w:r>
        <w:rPr>
          <w:rFonts w:eastAsia="黑体"/>
          <w:kern w:val="2"/>
          <w:sz w:val="21"/>
          <w:szCs w:val="21"/>
          <w:lang w:val="zh-CN"/>
        </w:rPr>
        <w:t>环境功能区划一览表</w:t>
      </w:r>
    </w:p>
    <w:tbl>
      <w:tblPr>
        <w:tblW w:w="8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1"/>
        <w:gridCol w:w="4162"/>
        <w:gridCol w:w="2081"/>
      </w:tblGrid>
      <w:tr w:rsidR="00DB7CC8">
        <w:trPr>
          <w:trHeight w:val="294"/>
        </w:trPr>
        <w:tc>
          <w:tcPr>
            <w:tcW w:w="2081" w:type="dxa"/>
            <w:vAlign w:val="center"/>
          </w:tcPr>
          <w:p w:rsidR="00DB7CC8" w:rsidRDefault="002B5250">
            <w:pPr>
              <w:pStyle w:val="afffffffc"/>
              <w:spacing w:line="240" w:lineRule="auto"/>
              <w:rPr>
                <w:lang w:val="zh-CN" w:bidi="zh-CN"/>
              </w:rPr>
            </w:pPr>
            <w:r>
              <w:rPr>
                <w:lang w:val="zh-CN" w:bidi="zh-CN"/>
              </w:rPr>
              <w:t>序号</w:t>
            </w:r>
          </w:p>
        </w:tc>
        <w:tc>
          <w:tcPr>
            <w:tcW w:w="4162" w:type="dxa"/>
            <w:vAlign w:val="center"/>
          </w:tcPr>
          <w:p w:rsidR="00DB7CC8" w:rsidRDefault="002B5250">
            <w:pPr>
              <w:pStyle w:val="afffffffc"/>
              <w:spacing w:line="240" w:lineRule="auto"/>
              <w:rPr>
                <w:lang w:val="zh-CN" w:bidi="zh-CN"/>
              </w:rPr>
            </w:pPr>
            <w:r>
              <w:rPr>
                <w:lang w:val="zh-CN" w:bidi="zh-CN"/>
              </w:rPr>
              <w:t>环境要素</w:t>
            </w:r>
          </w:p>
        </w:tc>
        <w:tc>
          <w:tcPr>
            <w:tcW w:w="2081" w:type="dxa"/>
            <w:vAlign w:val="center"/>
          </w:tcPr>
          <w:p w:rsidR="00DB7CC8" w:rsidRDefault="002B5250">
            <w:pPr>
              <w:pStyle w:val="afffffffc"/>
              <w:spacing w:line="240" w:lineRule="auto"/>
              <w:rPr>
                <w:lang w:val="zh-CN" w:bidi="zh-CN"/>
              </w:rPr>
            </w:pPr>
            <w:r>
              <w:rPr>
                <w:lang w:val="zh-CN" w:bidi="zh-CN"/>
              </w:rPr>
              <w:t>环境区划</w:t>
            </w:r>
          </w:p>
        </w:tc>
      </w:tr>
      <w:tr w:rsidR="00DB7CC8">
        <w:trPr>
          <w:trHeight w:val="294"/>
        </w:trPr>
        <w:tc>
          <w:tcPr>
            <w:tcW w:w="2081" w:type="dxa"/>
            <w:vAlign w:val="center"/>
          </w:tcPr>
          <w:p w:rsidR="00DB7CC8" w:rsidRDefault="002B5250">
            <w:pPr>
              <w:pStyle w:val="afffffffc"/>
              <w:spacing w:line="240" w:lineRule="auto"/>
              <w:rPr>
                <w:lang w:val="zh-CN" w:bidi="zh-CN"/>
              </w:rPr>
            </w:pPr>
            <w:r>
              <w:rPr>
                <w:lang w:val="zh-CN" w:bidi="zh-CN"/>
              </w:rPr>
              <w:t>1</w:t>
            </w:r>
          </w:p>
        </w:tc>
        <w:tc>
          <w:tcPr>
            <w:tcW w:w="4162" w:type="dxa"/>
            <w:vAlign w:val="center"/>
          </w:tcPr>
          <w:p w:rsidR="00DB7CC8" w:rsidRDefault="002B5250">
            <w:pPr>
              <w:pStyle w:val="afffffffc"/>
              <w:spacing w:line="240" w:lineRule="auto"/>
              <w:rPr>
                <w:lang w:val="zh-CN" w:bidi="zh-CN"/>
              </w:rPr>
            </w:pPr>
            <w:r>
              <w:rPr>
                <w:lang w:val="zh-CN" w:bidi="zh-CN"/>
              </w:rPr>
              <w:t>环境空气</w:t>
            </w:r>
          </w:p>
        </w:tc>
        <w:tc>
          <w:tcPr>
            <w:tcW w:w="2081" w:type="dxa"/>
            <w:vAlign w:val="center"/>
          </w:tcPr>
          <w:p w:rsidR="00DB7CC8" w:rsidRDefault="002B5250">
            <w:pPr>
              <w:pStyle w:val="afffffffc"/>
              <w:spacing w:line="240" w:lineRule="auto"/>
              <w:rPr>
                <w:lang w:val="zh-CN" w:bidi="zh-CN"/>
              </w:rPr>
            </w:pPr>
            <w:r>
              <w:rPr>
                <w:lang w:val="zh-CN" w:bidi="zh-CN"/>
              </w:rPr>
              <w:t>二类</w:t>
            </w:r>
          </w:p>
        </w:tc>
      </w:tr>
      <w:tr w:rsidR="00DB7CC8">
        <w:trPr>
          <w:trHeight w:val="294"/>
        </w:trPr>
        <w:tc>
          <w:tcPr>
            <w:tcW w:w="2081" w:type="dxa"/>
            <w:vAlign w:val="center"/>
          </w:tcPr>
          <w:p w:rsidR="00DB7CC8" w:rsidRDefault="002B5250">
            <w:pPr>
              <w:pStyle w:val="afffffffc"/>
              <w:spacing w:line="240" w:lineRule="auto"/>
              <w:rPr>
                <w:lang w:val="zh-CN" w:bidi="zh-CN"/>
              </w:rPr>
            </w:pPr>
            <w:r>
              <w:rPr>
                <w:lang w:val="zh-CN" w:bidi="zh-CN"/>
              </w:rPr>
              <w:t>2</w:t>
            </w:r>
          </w:p>
        </w:tc>
        <w:tc>
          <w:tcPr>
            <w:tcW w:w="4162" w:type="dxa"/>
            <w:vAlign w:val="center"/>
          </w:tcPr>
          <w:p w:rsidR="00DB7CC8" w:rsidRDefault="002B5250">
            <w:pPr>
              <w:pStyle w:val="afffffffc"/>
              <w:spacing w:line="240" w:lineRule="auto"/>
              <w:rPr>
                <w:lang w:val="zh-CN" w:bidi="zh-CN"/>
              </w:rPr>
            </w:pPr>
            <w:r>
              <w:rPr>
                <w:lang w:val="zh-CN" w:bidi="zh-CN"/>
              </w:rPr>
              <w:t>地下水</w:t>
            </w:r>
          </w:p>
        </w:tc>
        <w:tc>
          <w:tcPr>
            <w:tcW w:w="2081" w:type="dxa"/>
            <w:vAlign w:val="center"/>
          </w:tcPr>
          <w:p w:rsidR="00DB7CC8" w:rsidRDefault="002B5250">
            <w:pPr>
              <w:pStyle w:val="afffffffc"/>
              <w:spacing w:line="240" w:lineRule="auto"/>
              <w:rPr>
                <w:lang w:val="zh-CN" w:bidi="zh-CN"/>
              </w:rPr>
            </w:pPr>
            <w:r>
              <w:rPr>
                <w:lang w:val="zh-CN" w:bidi="zh-CN"/>
              </w:rPr>
              <w:t>Ⅲ</w:t>
            </w:r>
            <w:r>
              <w:rPr>
                <w:lang w:val="zh-CN" w:bidi="zh-CN"/>
              </w:rPr>
              <w:t>类</w:t>
            </w:r>
          </w:p>
        </w:tc>
      </w:tr>
      <w:tr w:rsidR="00DB7CC8">
        <w:trPr>
          <w:trHeight w:val="294"/>
        </w:trPr>
        <w:tc>
          <w:tcPr>
            <w:tcW w:w="2081" w:type="dxa"/>
            <w:vAlign w:val="center"/>
          </w:tcPr>
          <w:p w:rsidR="00DB7CC8" w:rsidRDefault="002B5250">
            <w:pPr>
              <w:pStyle w:val="afffffffc"/>
              <w:spacing w:line="240" w:lineRule="auto"/>
              <w:rPr>
                <w:lang w:val="zh-CN" w:bidi="zh-CN"/>
              </w:rPr>
            </w:pPr>
            <w:r>
              <w:rPr>
                <w:lang w:val="zh-CN" w:bidi="zh-CN"/>
              </w:rPr>
              <w:t>3</w:t>
            </w:r>
          </w:p>
        </w:tc>
        <w:tc>
          <w:tcPr>
            <w:tcW w:w="4162" w:type="dxa"/>
            <w:vAlign w:val="center"/>
          </w:tcPr>
          <w:p w:rsidR="00DB7CC8" w:rsidRDefault="002B5250">
            <w:pPr>
              <w:pStyle w:val="afffffffc"/>
              <w:spacing w:line="240" w:lineRule="auto"/>
              <w:rPr>
                <w:lang w:bidi="zh-CN"/>
              </w:rPr>
            </w:pPr>
            <w:r>
              <w:rPr>
                <w:lang w:bidi="zh-CN"/>
              </w:rPr>
              <w:t>地表水</w:t>
            </w:r>
          </w:p>
        </w:tc>
        <w:tc>
          <w:tcPr>
            <w:tcW w:w="2081" w:type="dxa"/>
            <w:vAlign w:val="center"/>
          </w:tcPr>
          <w:p w:rsidR="00DB7CC8" w:rsidRDefault="002B5250">
            <w:pPr>
              <w:pStyle w:val="afffffffc"/>
              <w:spacing w:line="240" w:lineRule="auto"/>
              <w:rPr>
                <w:lang w:val="zh-CN" w:bidi="zh-CN"/>
              </w:rPr>
            </w:pPr>
            <w:r>
              <w:rPr>
                <w:lang w:bidi="zh-CN"/>
              </w:rPr>
              <w:t>Ⅲ</w:t>
            </w:r>
            <w:r>
              <w:rPr>
                <w:lang w:val="zh-CN" w:bidi="zh-CN"/>
              </w:rPr>
              <w:t>类</w:t>
            </w:r>
          </w:p>
        </w:tc>
      </w:tr>
      <w:tr w:rsidR="00DB7CC8">
        <w:trPr>
          <w:trHeight w:val="294"/>
        </w:trPr>
        <w:tc>
          <w:tcPr>
            <w:tcW w:w="2081" w:type="dxa"/>
            <w:vAlign w:val="center"/>
          </w:tcPr>
          <w:p w:rsidR="00DB7CC8" w:rsidRDefault="002B5250">
            <w:pPr>
              <w:pStyle w:val="afffffffc"/>
              <w:spacing w:line="240" w:lineRule="auto"/>
              <w:rPr>
                <w:lang w:bidi="zh-CN"/>
              </w:rPr>
            </w:pPr>
            <w:r>
              <w:rPr>
                <w:lang w:bidi="zh-CN"/>
              </w:rPr>
              <w:t>4</w:t>
            </w:r>
          </w:p>
        </w:tc>
        <w:tc>
          <w:tcPr>
            <w:tcW w:w="4162" w:type="dxa"/>
            <w:vAlign w:val="center"/>
          </w:tcPr>
          <w:p w:rsidR="00DB7CC8" w:rsidRDefault="002B5250">
            <w:pPr>
              <w:pStyle w:val="afffffffc"/>
              <w:spacing w:line="240" w:lineRule="auto"/>
              <w:rPr>
                <w:lang w:val="zh-CN" w:bidi="zh-CN"/>
              </w:rPr>
            </w:pPr>
            <w:r>
              <w:rPr>
                <w:lang w:val="zh-CN" w:bidi="zh-CN"/>
              </w:rPr>
              <w:t>声环境</w:t>
            </w:r>
          </w:p>
        </w:tc>
        <w:tc>
          <w:tcPr>
            <w:tcW w:w="2081" w:type="dxa"/>
            <w:vAlign w:val="center"/>
          </w:tcPr>
          <w:p w:rsidR="00DB7CC8" w:rsidRDefault="002B5250">
            <w:pPr>
              <w:pStyle w:val="afffffffc"/>
              <w:spacing w:line="240" w:lineRule="auto"/>
              <w:rPr>
                <w:lang w:val="zh-CN" w:bidi="zh-CN"/>
              </w:rPr>
            </w:pPr>
            <w:r>
              <w:rPr>
                <w:lang w:val="zh-CN" w:bidi="zh-CN"/>
              </w:rPr>
              <w:t>2</w:t>
            </w:r>
            <w:r>
              <w:rPr>
                <w:lang w:val="zh-CN" w:bidi="zh-CN"/>
              </w:rPr>
              <w:t>类</w:t>
            </w:r>
          </w:p>
        </w:tc>
      </w:tr>
    </w:tbl>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133" w:name="_Toc13216530"/>
      <w:bookmarkStart w:id="134" w:name="_Toc8650367"/>
      <w:bookmarkStart w:id="135" w:name="_Toc8045544"/>
      <w:bookmarkStart w:id="136" w:name="_Toc28751"/>
      <w:bookmarkStart w:id="137" w:name="_Toc32101"/>
      <w:bookmarkStart w:id="138" w:name="_Toc12991"/>
      <w:r>
        <w:rPr>
          <w:rFonts w:ascii="Times New Roman" w:eastAsia="宋体" w:hAnsi="Times New Roman" w:hint="eastAsia"/>
          <w:bCs w:val="0"/>
          <w:snapToGrid w:val="0"/>
          <w:kern w:val="0"/>
          <w:sz w:val="28"/>
          <w:szCs w:val="28"/>
        </w:rPr>
        <w:lastRenderedPageBreak/>
        <w:t>评价内容和评价重点</w:t>
      </w:r>
      <w:bookmarkEnd w:id="133"/>
      <w:bookmarkEnd w:id="134"/>
      <w:bookmarkEnd w:id="135"/>
      <w:bookmarkEnd w:id="136"/>
      <w:bookmarkEnd w:id="137"/>
      <w:bookmarkEnd w:id="138"/>
    </w:p>
    <w:p w:rsidR="00DB7CC8" w:rsidRDefault="002B5250">
      <w:pPr>
        <w:pStyle w:val="3"/>
        <w:numPr>
          <w:ilvl w:val="2"/>
          <w:numId w:val="1"/>
        </w:numPr>
        <w:rPr>
          <w:szCs w:val="28"/>
        </w:rPr>
      </w:pPr>
      <w:r>
        <w:rPr>
          <w:szCs w:val="28"/>
        </w:rPr>
        <w:t>评价内容</w:t>
      </w:r>
    </w:p>
    <w:p w:rsidR="00DB7CC8" w:rsidRDefault="002B5250">
      <w:pPr>
        <w:ind w:firstLine="480"/>
        <w:jc w:val="both"/>
        <w:rPr>
          <w:sz w:val="24"/>
          <w:szCs w:val="24"/>
          <w:lang w:val="zh-CN"/>
        </w:rPr>
      </w:pPr>
      <w:r>
        <w:rPr>
          <w:sz w:val="24"/>
          <w:szCs w:val="24"/>
          <w:lang w:val="zh-CN"/>
        </w:rPr>
        <w:t>本次评价内容主要包括：</w:t>
      </w:r>
      <w:bookmarkStart w:id="139" w:name="_Hlk6738365"/>
      <w:r>
        <w:rPr>
          <w:sz w:val="24"/>
          <w:szCs w:val="24"/>
          <w:lang w:val="zh-CN"/>
        </w:rPr>
        <w:t>概述、总则、建设项目工程分析、环境现状调查与评价、环境影响预测与评价、环境保护措施及其可行性论证、环境影响经济损益分析、环境管理与监测计划、环境影响评价结论</w:t>
      </w:r>
      <w:bookmarkEnd w:id="139"/>
      <w:r>
        <w:rPr>
          <w:sz w:val="24"/>
          <w:szCs w:val="24"/>
          <w:lang w:val="zh-CN"/>
        </w:rPr>
        <w:t>等</w:t>
      </w:r>
      <w:r>
        <w:rPr>
          <w:rFonts w:hint="eastAsia"/>
          <w:sz w:val="24"/>
          <w:szCs w:val="24"/>
          <w:lang w:val="zh-CN"/>
        </w:rPr>
        <w:t>。</w:t>
      </w:r>
    </w:p>
    <w:p w:rsidR="00DB7CC8" w:rsidRDefault="002B5250">
      <w:pPr>
        <w:pStyle w:val="3"/>
        <w:keepNext w:val="0"/>
        <w:keepLines w:val="0"/>
        <w:numPr>
          <w:ilvl w:val="2"/>
          <w:numId w:val="1"/>
        </w:numPr>
        <w:rPr>
          <w:szCs w:val="28"/>
        </w:rPr>
      </w:pPr>
      <w:r>
        <w:rPr>
          <w:szCs w:val="28"/>
        </w:rPr>
        <w:t>评价重点</w:t>
      </w:r>
    </w:p>
    <w:p w:rsidR="00DB7CC8" w:rsidRDefault="002B5250">
      <w:pPr>
        <w:ind w:firstLineChars="0" w:firstLine="482"/>
        <w:jc w:val="both"/>
        <w:rPr>
          <w:sz w:val="24"/>
          <w:szCs w:val="24"/>
        </w:rPr>
      </w:pPr>
      <w:r>
        <w:rPr>
          <w:sz w:val="24"/>
          <w:szCs w:val="24"/>
          <w:lang w:val="zh-CN"/>
        </w:rPr>
        <w:t>结合本项目的排污特点和周围环境状况，确定本次评价工作重点为：建设项目工程分析、大气环境影响评价、声环境影响评价、环保措施可行性论证</w:t>
      </w:r>
      <w:r>
        <w:rPr>
          <w:rFonts w:hint="eastAsia"/>
          <w:sz w:val="24"/>
          <w:szCs w:val="24"/>
          <w:lang w:val="zh-CN"/>
        </w:rPr>
        <w:t>。</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140" w:name="_Toc12298"/>
      <w:bookmarkStart w:id="141" w:name="_Toc477175414"/>
      <w:bookmarkStart w:id="142" w:name="_Toc499651401"/>
      <w:bookmarkStart w:id="143" w:name="_Toc503218100"/>
      <w:bookmarkStart w:id="144" w:name="_Toc8065"/>
      <w:bookmarkStart w:id="145" w:name="_Toc524284663"/>
      <w:bookmarkStart w:id="146" w:name="_Toc27875"/>
      <w:bookmarkStart w:id="147" w:name="_Toc521591751"/>
      <w:bookmarkStart w:id="148" w:name="_Toc13121"/>
      <w:r>
        <w:rPr>
          <w:rFonts w:ascii="Times New Roman" w:eastAsia="宋体" w:hAnsi="Times New Roman" w:hint="eastAsia"/>
          <w:bCs w:val="0"/>
          <w:snapToGrid w:val="0"/>
          <w:kern w:val="0"/>
          <w:sz w:val="28"/>
          <w:szCs w:val="28"/>
        </w:rPr>
        <w:t>评价标准</w:t>
      </w:r>
      <w:bookmarkEnd w:id="140"/>
    </w:p>
    <w:p w:rsidR="00DB7CC8" w:rsidRDefault="002B5250">
      <w:pPr>
        <w:pStyle w:val="3"/>
        <w:numPr>
          <w:ilvl w:val="2"/>
          <w:numId w:val="1"/>
        </w:numPr>
        <w:rPr>
          <w:szCs w:val="28"/>
        </w:rPr>
      </w:pPr>
      <w:r>
        <w:rPr>
          <w:szCs w:val="28"/>
        </w:rPr>
        <w:t>环境质量标准</w:t>
      </w:r>
    </w:p>
    <w:p w:rsidR="00DB7CC8" w:rsidRDefault="002B5250">
      <w:pPr>
        <w:pStyle w:val="4"/>
        <w:numPr>
          <w:ilvl w:val="3"/>
          <w:numId w:val="1"/>
        </w:numPr>
        <w:ind w:left="709" w:hanging="709"/>
        <w:rPr>
          <w:rFonts w:eastAsia="宋体"/>
          <w:b/>
        </w:rPr>
      </w:pPr>
      <w:r>
        <w:rPr>
          <w:rFonts w:eastAsia="宋体"/>
          <w:b/>
        </w:rPr>
        <w:t>环境空气</w:t>
      </w:r>
    </w:p>
    <w:p w:rsidR="00DB7CC8" w:rsidRDefault="002B5250">
      <w:pPr>
        <w:pStyle w:val="affff9"/>
        <w:spacing w:before="0" w:after="0" w:line="360" w:lineRule="auto"/>
        <w:ind w:firstLine="480"/>
      </w:pPr>
      <w:r>
        <w:t>本项目所在区域环境空气质量功能区为二类区，环境空气执行《环境空气质量标准》（</w:t>
      </w:r>
      <w:r>
        <w:t>GB3095-2012</w:t>
      </w:r>
      <w:r>
        <w:t>）中二级标准。具体标准限值见表</w:t>
      </w:r>
      <w:r>
        <w:t>2.</w:t>
      </w:r>
      <w:r>
        <w:rPr>
          <w:rFonts w:hint="eastAsia"/>
        </w:rPr>
        <w:t>7</w:t>
      </w:r>
      <w:r>
        <w:t>-1</w:t>
      </w:r>
      <w:r>
        <w:t>。</w:t>
      </w:r>
    </w:p>
    <w:p w:rsidR="00DB7CC8" w:rsidRDefault="002B5250">
      <w:pPr>
        <w:pStyle w:val="affff9"/>
        <w:spacing w:before="0" w:after="0" w:line="240" w:lineRule="auto"/>
        <w:ind w:firstLineChars="0" w:firstLine="0"/>
        <w:jc w:val="center"/>
        <w:rPr>
          <w:rFonts w:eastAsia="黑体"/>
        </w:rPr>
      </w:pPr>
      <w:r>
        <w:rPr>
          <w:rFonts w:eastAsia="黑体"/>
          <w:sz w:val="21"/>
          <w:szCs w:val="21"/>
        </w:rPr>
        <w:t>表</w:t>
      </w:r>
      <w:r>
        <w:rPr>
          <w:rFonts w:eastAsia="黑体"/>
          <w:sz w:val="21"/>
          <w:szCs w:val="21"/>
        </w:rPr>
        <w:t>2.</w:t>
      </w:r>
      <w:r>
        <w:rPr>
          <w:rFonts w:eastAsia="黑体" w:hint="eastAsia"/>
          <w:sz w:val="21"/>
          <w:szCs w:val="21"/>
        </w:rPr>
        <w:t>7</w:t>
      </w:r>
      <w:r>
        <w:rPr>
          <w:rFonts w:eastAsia="黑体"/>
          <w:sz w:val="21"/>
          <w:szCs w:val="21"/>
        </w:rPr>
        <w:t xml:space="preserve">-1    </w:t>
      </w:r>
      <w:r>
        <w:rPr>
          <w:rFonts w:eastAsia="黑体"/>
          <w:sz w:val="21"/>
          <w:szCs w:val="21"/>
        </w:rPr>
        <w:t>环境空气质量标准</w:t>
      </w:r>
    </w:p>
    <w:tbl>
      <w:tblPr>
        <w:tblW w:w="8362" w:type="dxa"/>
        <w:jc w:val="center"/>
        <w:tblBorders>
          <w:top w:val="single" w:sz="4" w:space="0" w:color="auto"/>
          <w:left w:val="single" w:sz="4" w:space="0" w:color="auto"/>
          <w:bottom w:val="single" w:sz="4" w:space="0" w:color="auto"/>
          <w:right w:val="single" w:sz="4" w:space="0" w:color="auto"/>
          <w:insideH w:val="single" w:sz="4" w:space="0" w:color="auto"/>
          <w:insideV w:val="single" w:sz="6" w:space="0" w:color="auto"/>
        </w:tblBorders>
        <w:tblLayout w:type="fixed"/>
        <w:tblCellMar>
          <w:left w:w="28" w:type="dxa"/>
          <w:right w:w="28" w:type="dxa"/>
        </w:tblCellMar>
        <w:tblLook w:val="04A0" w:firstRow="1" w:lastRow="0" w:firstColumn="1" w:lastColumn="0" w:noHBand="0" w:noVBand="1"/>
      </w:tblPr>
      <w:tblGrid>
        <w:gridCol w:w="2296"/>
        <w:gridCol w:w="1891"/>
        <w:gridCol w:w="1315"/>
        <w:gridCol w:w="806"/>
        <w:gridCol w:w="2054"/>
      </w:tblGrid>
      <w:tr w:rsidR="00DB7CC8">
        <w:trPr>
          <w:trHeight w:val="283"/>
          <w:jc w:val="center"/>
        </w:trPr>
        <w:tc>
          <w:tcPr>
            <w:tcW w:w="2296" w:type="dxa"/>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污染物名称</w:t>
            </w:r>
          </w:p>
        </w:tc>
        <w:tc>
          <w:tcPr>
            <w:tcW w:w="3206" w:type="dxa"/>
            <w:gridSpan w:val="2"/>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标准值</w:t>
            </w:r>
          </w:p>
        </w:tc>
        <w:tc>
          <w:tcPr>
            <w:tcW w:w="806" w:type="dxa"/>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单位</w:t>
            </w:r>
          </w:p>
        </w:tc>
        <w:tc>
          <w:tcPr>
            <w:tcW w:w="2054" w:type="dxa"/>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标准来源</w:t>
            </w:r>
          </w:p>
        </w:tc>
      </w:tr>
      <w:tr w:rsidR="00DB7CC8">
        <w:trPr>
          <w:trHeight w:val="283"/>
          <w:jc w:val="center"/>
        </w:trPr>
        <w:tc>
          <w:tcPr>
            <w:tcW w:w="2296" w:type="dxa"/>
            <w:vMerge w:val="restart"/>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SO</w:t>
            </w:r>
            <w:r>
              <w:rPr>
                <w:kern w:val="2"/>
                <w:sz w:val="21"/>
                <w:szCs w:val="21"/>
                <w:vertAlign w:val="subscript"/>
              </w:rPr>
              <w:t>2</w:t>
            </w:r>
          </w:p>
        </w:tc>
        <w:tc>
          <w:tcPr>
            <w:tcW w:w="1891" w:type="dxa"/>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24</w:t>
            </w:r>
            <w:r>
              <w:rPr>
                <w:kern w:val="2"/>
                <w:sz w:val="21"/>
                <w:szCs w:val="21"/>
              </w:rPr>
              <w:t>小时平均</w:t>
            </w:r>
          </w:p>
        </w:tc>
        <w:tc>
          <w:tcPr>
            <w:tcW w:w="1315" w:type="dxa"/>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150</w:t>
            </w:r>
          </w:p>
        </w:tc>
        <w:tc>
          <w:tcPr>
            <w:tcW w:w="806" w:type="dxa"/>
            <w:vMerge w:val="restart"/>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ug/m</w:t>
            </w:r>
            <w:r>
              <w:rPr>
                <w:kern w:val="2"/>
                <w:sz w:val="21"/>
                <w:szCs w:val="21"/>
                <w:vertAlign w:val="superscript"/>
              </w:rPr>
              <w:t>3</w:t>
            </w:r>
          </w:p>
        </w:tc>
        <w:tc>
          <w:tcPr>
            <w:tcW w:w="2054" w:type="dxa"/>
            <w:vMerge w:val="restart"/>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《环境空气质量标准》</w:t>
            </w:r>
          </w:p>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(GB3095-2012)</w:t>
            </w:r>
            <w:r>
              <w:rPr>
                <w:kern w:val="2"/>
                <w:sz w:val="21"/>
                <w:szCs w:val="21"/>
              </w:rPr>
              <w:t>二级</w:t>
            </w:r>
          </w:p>
        </w:tc>
      </w:tr>
      <w:tr w:rsidR="00DB7CC8">
        <w:trPr>
          <w:trHeight w:val="283"/>
          <w:jc w:val="center"/>
        </w:trPr>
        <w:tc>
          <w:tcPr>
            <w:tcW w:w="2296" w:type="dxa"/>
            <w:vMerge/>
            <w:tcBorders>
              <w:tl2br w:val="nil"/>
              <w:tr2bl w:val="nil"/>
            </w:tcBorders>
            <w:vAlign w:val="center"/>
          </w:tcPr>
          <w:p w:rsidR="00DB7CC8" w:rsidRDefault="00DB7CC8">
            <w:pPr>
              <w:ind w:firstLineChars="0" w:firstLine="0"/>
              <w:jc w:val="center"/>
              <w:rPr>
                <w:kern w:val="2"/>
                <w:sz w:val="21"/>
                <w:szCs w:val="21"/>
              </w:rPr>
            </w:pPr>
          </w:p>
        </w:tc>
        <w:tc>
          <w:tcPr>
            <w:tcW w:w="1891" w:type="dxa"/>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1</w:t>
            </w:r>
            <w:r>
              <w:rPr>
                <w:kern w:val="2"/>
                <w:sz w:val="21"/>
                <w:szCs w:val="21"/>
              </w:rPr>
              <w:t>小时平均</w:t>
            </w:r>
          </w:p>
        </w:tc>
        <w:tc>
          <w:tcPr>
            <w:tcW w:w="1315" w:type="dxa"/>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500</w:t>
            </w:r>
          </w:p>
        </w:tc>
        <w:tc>
          <w:tcPr>
            <w:tcW w:w="806" w:type="dxa"/>
            <w:vMerge/>
            <w:tcBorders>
              <w:tl2br w:val="nil"/>
              <w:tr2bl w:val="nil"/>
            </w:tcBorders>
            <w:vAlign w:val="center"/>
          </w:tcPr>
          <w:p w:rsidR="00DB7CC8" w:rsidRDefault="00DB7CC8">
            <w:pPr>
              <w:ind w:firstLineChars="0" w:firstLine="0"/>
              <w:rPr>
                <w:kern w:val="2"/>
                <w:sz w:val="21"/>
                <w:szCs w:val="21"/>
              </w:rPr>
            </w:pPr>
          </w:p>
        </w:tc>
        <w:tc>
          <w:tcPr>
            <w:tcW w:w="2054" w:type="dxa"/>
            <w:vMerge/>
            <w:tcBorders>
              <w:tl2br w:val="nil"/>
              <w:tr2bl w:val="nil"/>
            </w:tcBorders>
            <w:vAlign w:val="center"/>
          </w:tcPr>
          <w:p w:rsidR="00DB7CC8" w:rsidRDefault="00DB7CC8">
            <w:pPr>
              <w:ind w:firstLineChars="0" w:firstLine="0"/>
              <w:rPr>
                <w:kern w:val="2"/>
                <w:sz w:val="21"/>
                <w:szCs w:val="21"/>
              </w:rPr>
            </w:pPr>
          </w:p>
        </w:tc>
      </w:tr>
      <w:tr w:rsidR="00DB7CC8">
        <w:trPr>
          <w:trHeight w:val="283"/>
          <w:jc w:val="center"/>
        </w:trPr>
        <w:tc>
          <w:tcPr>
            <w:tcW w:w="2296" w:type="dxa"/>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PM</w:t>
            </w:r>
            <w:r>
              <w:rPr>
                <w:kern w:val="2"/>
                <w:sz w:val="21"/>
                <w:szCs w:val="21"/>
                <w:vertAlign w:val="subscript"/>
              </w:rPr>
              <w:t>10</w:t>
            </w:r>
          </w:p>
        </w:tc>
        <w:tc>
          <w:tcPr>
            <w:tcW w:w="1891" w:type="dxa"/>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24</w:t>
            </w:r>
            <w:r>
              <w:rPr>
                <w:kern w:val="2"/>
                <w:sz w:val="21"/>
                <w:szCs w:val="21"/>
              </w:rPr>
              <w:t>小时平均</w:t>
            </w:r>
          </w:p>
        </w:tc>
        <w:tc>
          <w:tcPr>
            <w:tcW w:w="1315" w:type="dxa"/>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150</w:t>
            </w:r>
          </w:p>
        </w:tc>
        <w:tc>
          <w:tcPr>
            <w:tcW w:w="806" w:type="dxa"/>
            <w:vMerge/>
            <w:tcBorders>
              <w:tl2br w:val="nil"/>
              <w:tr2bl w:val="nil"/>
            </w:tcBorders>
            <w:vAlign w:val="center"/>
          </w:tcPr>
          <w:p w:rsidR="00DB7CC8" w:rsidRDefault="00DB7CC8">
            <w:pPr>
              <w:ind w:firstLineChars="0" w:firstLine="0"/>
              <w:rPr>
                <w:kern w:val="2"/>
                <w:sz w:val="21"/>
                <w:szCs w:val="21"/>
              </w:rPr>
            </w:pPr>
          </w:p>
        </w:tc>
        <w:tc>
          <w:tcPr>
            <w:tcW w:w="2054" w:type="dxa"/>
            <w:vMerge/>
            <w:tcBorders>
              <w:tl2br w:val="nil"/>
              <w:tr2bl w:val="nil"/>
            </w:tcBorders>
            <w:vAlign w:val="center"/>
          </w:tcPr>
          <w:p w:rsidR="00DB7CC8" w:rsidRDefault="00DB7CC8">
            <w:pPr>
              <w:ind w:firstLineChars="0" w:firstLine="0"/>
              <w:rPr>
                <w:kern w:val="2"/>
                <w:sz w:val="21"/>
                <w:szCs w:val="21"/>
              </w:rPr>
            </w:pPr>
          </w:p>
        </w:tc>
      </w:tr>
      <w:tr w:rsidR="00DB7CC8">
        <w:trPr>
          <w:trHeight w:val="283"/>
          <w:jc w:val="center"/>
        </w:trPr>
        <w:tc>
          <w:tcPr>
            <w:tcW w:w="2296" w:type="dxa"/>
            <w:vMerge w:val="restart"/>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NO</w:t>
            </w:r>
            <w:r>
              <w:rPr>
                <w:kern w:val="2"/>
                <w:sz w:val="21"/>
                <w:szCs w:val="21"/>
                <w:vertAlign w:val="subscript"/>
              </w:rPr>
              <w:t>2</w:t>
            </w:r>
          </w:p>
        </w:tc>
        <w:tc>
          <w:tcPr>
            <w:tcW w:w="1891" w:type="dxa"/>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24</w:t>
            </w:r>
            <w:r>
              <w:rPr>
                <w:kern w:val="2"/>
                <w:sz w:val="21"/>
                <w:szCs w:val="21"/>
              </w:rPr>
              <w:t>小时平均</w:t>
            </w:r>
          </w:p>
        </w:tc>
        <w:tc>
          <w:tcPr>
            <w:tcW w:w="1315" w:type="dxa"/>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80</w:t>
            </w:r>
          </w:p>
        </w:tc>
        <w:tc>
          <w:tcPr>
            <w:tcW w:w="806" w:type="dxa"/>
            <w:vMerge/>
            <w:tcBorders>
              <w:tl2br w:val="nil"/>
              <w:tr2bl w:val="nil"/>
            </w:tcBorders>
            <w:vAlign w:val="center"/>
          </w:tcPr>
          <w:p w:rsidR="00DB7CC8" w:rsidRDefault="00DB7CC8">
            <w:pPr>
              <w:ind w:firstLineChars="0" w:firstLine="0"/>
              <w:rPr>
                <w:kern w:val="2"/>
                <w:sz w:val="21"/>
                <w:szCs w:val="21"/>
              </w:rPr>
            </w:pPr>
          </w:p>
        </w:tc>
        <w:tc>
          <w:tcPr>
            <w:tcW w:w="2054" w:type="dxa"/>
            <w:vMerge/>
            <w:tcBorders>
              <w:tl2br w:val="nil"/>
              <w:tr2bl w:val="nil"/>
            </w:tcBorders>
            <w:vAlign w:val="center"/>
          </w:tcPr>
          <w:p w:rsidR="00DB7CC8" w:rsidRDefault="00DB7CC8">
            <w:pPr>
              <w:ind w:firstLineChars="0" w:firstLine="0"/>
              <w:rPr>
                <w:kern w:val="2"/>
                <w:sz w:val="21"/>
                <w:szCs w:val="21"/>
              </w:rPr>
            </w:pPr>
          </w:p>
        </w:tc>
      </w:tr>
      <w:tr w:rsidR="00DB7CC8">
        <w:trPr>
          <w:trHeight w:val="283"/>
          <w:jc w:val="center"/>
        </w:trPr>
        <w:tc>
          <w:tcPr>
            <w:tcW w:w="2296" w:type="dxa"/>
            <w:vMerge/>
            <w:tcBorders>
              <w:tl2br w:val="nil"/>
              <w:tr2bl w:val="nil"/>
            </w:tcBorders>
            <w:vAlign w:val="center"/>
          </w:tcPr>
          <w:p w:rsidR="00DB7CC8" w:rsidRDefault="00DB7CC8">
            <w:pPr>
              <w:ind w:firstLineChars="0" w:firstLine="0"/>
              <w:jc w:val="center"/>
              <w:rPr>
                <w:kern w:val="2"/>
                <w:sz w:val="21"/>
                <w:szCs w:val="21"/>
              </w:rPr>
            </w:pPr>
          </w:p>
        </w:tc>
        <w:tc>
          <w:tcPr>
            <w:tcW w:w="1891" w:type="dxa"/>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1</w:t>
            </w:r>
            <w:r>
              <w:rPr>
                <w:kern w:val="2"/>
                <w:sz w:val="21"/>
                <w:szCs w:val="21"/>
              </w:rPr>
              <w:t>小时平均</w:t>
            </w:r>
          </w:p>
        </w:tc>
        <w:tc>
          <w:tcPr>
            <w:tcW w:w="1315" w:type="dxa"/>
            <w:tcBorders>
              <w:tl2br w:val="nil"/>
              <w:tr2bl w:val="nil"/>
            </w:tcBorders>
            <w:vAlign w:val="center"/>
          </w:tcPr>
          <w:p w:rsidR="00DB7CC8" w:rsidRDefault="002B5250">
            <w:pPr>
              <w:adjustRightInd w:val="0"/>
              <w:spacing w:line="240" w:lineRule="atLeast"/>
              <w:ind w:firstLineChars="0" w:firstLine="0"/>
              <w:jc w:val="center"/>
              <w:textAlignment w:val="baseline"/>
              <w:rPr>
                <w:kern w:val="2"/>
                <w:sz w:val="21"/>
                <w:szCs w:val="21"/>
              </w:rPr>
            </w:pPr>
            <w:r>
              <w:rPr>
                <w:kern w:val="2"/>
                <w:sz w:val="21"/>
                <w:szCs w:val="21"/>
              </w:rPr>
              <w:t>200</w:t>
            </w:r>
          </w:p>
        </w:tc>
        <w:tc>
          <w:tcPr>
            <w:tcW w:w="806" w:type="dxa"/>
            <w:vMerge/>
            <w:tcBorders>
              <w:tl2br w:val="nil"/>
              <w:tr2bl w:val="nil"/>
            </w:tcBorders>
            <w:vAlign w:val="center"/>
          </w:tcPr>
          <w:p w:rsidR="00DB7CC8" w:rsidRDefault="00DB7CC8">
            <w:pPr>
              <w:ind w:firstLineChars="0" w:firstLine="0"/>
              <w:rPr>
                <w:kern w:val="2"/>
                <w:sz w:val="21"/>
                <w:szCs w:val="21"/>
              </w:rPr>
            </w:pPr>
          </w:p>
        </w:tc>
        <w:tc>
          <w:tcPr>
            <w:tcW w:w="2054" w:type="dxa"/>
            <w:vMerge/>
            <w:tcBorders>
              <w:tl2br w:val="nil"/>
              <w:tr2bl w:val="nil"/>
            </w:tcBorders>
            <w:vAlign w:val="center"/>
          </w:tcPr>
          <w:p w:rsidR="00DB7CC8" w:rsidRDefault="00DB7CC8">
            <w:pPr>
              <w:ind w:firstLineChars="0" w:firstLine="0"/>
              <w:rPr>
                <w:kern w:val="2"/>
                <w:sz w:val="21"/>
                <w:szCs w:val="21"/>
              </w:rPr>
            </w:pPr>
          </w:p>
        </w:tc>
      </w:tr>
      <w:tr w:rsidR="00DB7CC8">
        <w:trPr>
          <w:trHeight w:val="283"/>
          <w:jc w:val="center"/>
        </w:trPr>
        <w:tc>
          <w:tcPr>
            <w:tcW w:w="2296" w:type="dxa"/>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kern w:val="2"/>
                <w:sz w:val="21"/>
                <w:szCs w:val="21"/>
              </w:rPr>
            </w:pPr>
            <w:r>
              <w:rPr>
                <w:spacing w:val="-10"/>
                <w:kern w:val="2"/>
                <w:sz w:val="21"/>
                <w:szCs w:val="21"/>
              </w:rPr>
              <w:t>PM</w:t>
            </w:r>
            <w:r>
              <w:rPr>
                <w:spacing w:val="-10"/>
                <w:kern w:val="2"/>
                <w:sz w:val="21"/>
                <w:szCs w:val="21"/>
                <w:vertAlign w:val="subscript"/>
              </w:rPr>
              <w:t>2.5</w:t>
            </w:r>
          </w:p>
        </w:tc>
        <w:tc>
          <w:tcPr>
            <w:tcW w:w="1891" w:type="dxa"/>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kern w:val="2"/>
                <w:sz w:val="21"/>
                <w:szCs w:val="21"/>
              </w:rPr>
            </w:pPr>
            <w:r>
              <w:rPr>
                <w:spacing w:val="-10"/>
                <w:kern w:val="2"/>
                <w:sz w:val="21"/>
                <w:szCs w:val="21"/>
              </w:rPr>
              <w:t>24</w:t>
            </w:r>
            <w:r>
              <w:rPr>
                <w:spacing w:val="-10"/>
                <w:kern w:val="2"/>
                <w:sz w:val="21"/>
                <w:szCs w:val="21"/>
              </w:rPr>
              <w:t>小时平均</w:t>
            </w:r>
          </w:p>
        </w:tc>
        <w:tc>
          <w:tcPr>
            <w:tcW w:w="1315" w:type="dxa"/>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kern w:val="2"/>
                <w:sz w:val="21"/>
                <w:szCs w:val="21"/>
              </w:rPr>
            </w:pPr>
            <w:r>
              <w:rPr>
                <w:spacing w:val="-10"/>
                <w:kern w:val="2"/>
                <w:sz w:val="21"/>
                <w:szCs w:val="21"/>
              </w:rPr>
              <w:t>75</w:t>
            </w:r>
          </w:p>
        </w:tc>
        <w:tc>
          <w:tcPr>
            <w:tcW w:w="806" w:type="dxa"/>
            <w:vMerge/>
            <w:tcBorders>
              <w:tl2br w:val="nil"/>
              <w:tr2bl w:val="nil"/>
            </w:tcBorders>
            <w:vAlign w:val="center"/>
          </w:tcPr>
          <w:p w:rsidR="00DB7CC8" w:rsidRDefault="00DB7CC8">
            <w:pPr>
              <w:ind w:firstLineChars="0" w:firstLine="0"/>
              <w:rPr>
                <w:kern w:val="2"/>
                <w:sz w:val="21"/>
                <w:szCs w:val="21"/>
              </w:rPr>
            </w:pPr>
          </w:p>
        </w:tc>
        <w:tc>
          <w:tcPr>
            <w:tcW w:w="2054" w:type="dxa"/>
            <w:vMerge/>
            <w:tcBorders>
              <w:tl2br w:val="nil"/>
              <w:tr2bl w:val="nil"/>
            </w:tcBorders>
            <w:vAlign w:val="center"/>
          </w:tcPr>
          <w:p w:rsidR="00DB7CC8" w:rsidRDefault="00DB7CC8">
            <w:pPr>
              <w:ind w:firstLineChars="0" w:firstLine="0"/>
              <w:rPr>
                <w:kern w:val="2"/>
                <w:sz w:val="21"/>
                <w:szCs w:val="21"/>
              </w:rPr>
            </w:pPr>
          </w:p>
        </w:tc>
      </w:tr>
      <w:tr w:rsidR="00DB7CC8">
        <w:trPr>
          <w:trHeight w:val="283"/>
          <w:jc w:val="center"/>
        </w:trPr>
        <w:tc>
          <w:tcPr>
            <w:tcW w:w="2296" w:type="dxa"/>
            <w:vMerge w:val="restart"/>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kern w:val="2"/>
                <w:sz w:val="21"/>
                <w:szCs w:val="21"/>
              </w:rPr>
            </w:pPr>
            <w:r>
              <w:rPr>
                <w:spacing w:val="-10"/>
                <w:kern w:val="2"/>
                <w:sz w:val="21"/>
                <w:szCs w:val="21"/>
              </w:rPr>
              <w:t>O</w:t>
            </w:r>
            <w:r>
              <w:rPr>
                <w:spacing w:val="-10"/>
                <w:kern w:val="2"/>
                <w:sz w:val="21"/>
                <w:szCs w:val="21"/>
                <w:vertAlign w:val="subscript"/>
              </w:rPr>
              <w:t>3</w:t>
            </w:r>
          </w:p>
        </w:tc>
        <w:tc>
          <w:tcPr>
            <w:tcW w:w="1891" w:type="dxa"/>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kern w:val="2"/>
                <w:sz w:val="21"/>
                <w:szCs w:val="21"/>
              </w:rPr>
            </w:pPr>
            <w:r>
              <w:rPr>
                <w:spacing w:val="-10"/>
                <w:kern w:val="2"/>
                <w:sz w:val="21"/>
                <w:szCs w:val="21"/>
              </w:rPr>
              <w:t>日最大</w:t>
            </w:r>
            <w:r>
              <w:rPr>
                <w:spacing w:val="-10"/>
                <w:kern w:val="2"/>
                <w:sz w:val="21"/>
                <w:szCs w:val="21"/>
              </w:rPr>
              <w:t>8</w:t>
            </w:r>
            <w:r>
              <w:rPr>
                <w:spacing w:val="-10"/>
                <w:kern w:val="2"/>
                <w:sz w:val="21"/>
                <w:szCs w:val="21"/>
              </w:rPr>
              <w:t>小时平均</w:t>
            </w:r>
          </w:p>
        </w:tc>
        <w:tc>
          <w:tcPr>
            <w:tcW w:w="1315" w:type="dxa"/>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kern w:val="2"/>
                <w:sz w:val="21"/>
                <w:szCs w:val="21"/>
              </w:rPr>
            </w:pPr>
            <w:r>
              <w:rPr>
                <w:spacing w:val="-10"/>
                <w:kern w:val="2"/>
                <w:sz w:val="21"/>
                <w:szCs w:val="21"/>
              </w:rPr>
              <w:t>160</w:t>
            </w:r>
          </w:p>
        </w:tc>
        <w:tc>
          <w:tcPr>
            <w:tcW w:w="806" w:type="dxa"/>
            <w:vMerge/>
            <w:tcBorders>
              <w:tl2br w:val="nil"/>
              <w:tr2bl w:val="nil"/>
            </w:tcBorders>
            <w:vAlign w:val="center"/>
          </w:tcPr>
          <w:p w:rsidR="00DB7CC8" w:rsidRDefault="00DB7CC8">
            <w:pPr>
              <w:ind w:firstLineChars="0" w:firstLine="0"/>
              <w:rPr>
                <w:kern w:val="2"/>
                <w:sz w:val="21"/>
                <w:szCs w:val="21"/>
              </w:rPr>
            </w:pPr>
          </w:p>
        </w:tc>
        <w:tc>
          <w:tcPr>
            <w:tcW w:w="2054" w:type="dxa"/>
            <w:vMerge/>
            <w:tcBorders>
              <w:tl2br w:val="nil"/>
              <w:tr2bl w:val="nil"/>
            </w:tcBorders>
            <w:vAlign w:val="center"/>
          </w:tcPr>
          <w:p w:rsidR="00DB7CC8" w:rsidRDefault="00DB7CC8">
            <w:pPr>
              <w:ind w:firstLineChars="0" w:firstLine="0"/>
              <w:rPr>
                <w:kern w:val="2"/>
                <w:sz w:val="21"/>
                <w:szCs w:val="21"/>
              </w:rPr>
            </w:pPr>
          </w:p>
        </w:tc>
      </w:tr>
      <w:tr w:rsidR="00DB7CC8">
        <w:trPr>
          <w:trHeight w:val="283"/>
          <w:jc w:val="center"/>
        </w:trPr>
        <w:tc>
          <w:tcPr>
            <w:tcW w:w="2296" w:type="dxa"/>
            <w:vMerge/>
            <w:tcBorders>
              <w:tl2br w:val="nil"/>
              <w:tr2bl w:val="nil"/>
            </w:tcBorders>
            <w:vAlign w:val="center"/>
          </w:tcPr>
          <w:p w:rsidR="00DB7CC8" w:rsidRDefault="00DB7CC8">
            <w:pPr>
              <w:ind w:firstLineChars="0" w:firstLine="0"/>
              <w:jc w:val="center"/>
              <w:rPr>
                <w:kern w:val="2"/>
                <w:sz w:val="21"/>
                <w:szCs w:val="21"/>
              </w:rPr>
            </w:pPr>
          </w:p>
        </w:tc>
        <w:tc>
          <w:tcPr>
            <w:tcW w:w="1891" w:type="dxa"/>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kern w:val="2"/>
                <w:sz w:val="21"/>
                <w:szCs w:val="21"/>
              </w:rPr>
            </w:pPr>
            <w:r>
              <w:rPr>
                <w:spacing w:val="-10"/>
                <w:kern w:val="2"/>
                <w:sz w:val="21"/>
                <w:szCs w:val="21"/>
              </w:rPr>
              <w:t>小时平均</w:t>
            </w:r>
          </w:p>
        </w:tc>
        <w:tc>
          <w:tcPr>
            <w:tcW w:w="1315" w:type="dxa"/>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kern w:val="2"/>
                <w:sz w:val="21"/>
                <w:szCs w:val="21"/>
              </w:rPr>
            </w:pPr>
            <w:r>
              <w:rPr>
                <w:spacing w:val="-10"/>
                <w:kern w:val="2"/>
                <w:sz w:val="21"/>
                <w:szCs w:val="21"/>
              </w:rPr>
              <w:t>200</w:t>
            </w:r>
          </w:p>
        </w:tc>
        <w:tc>
          <w:tcPr>
            <w:tcW w:w="806" w:type="dxa"/>
            <w:vMerge/>
            <w:tcBorders>
              <w:tl2br w:val="nil"/>
              <w:tr2bl w:val="nil"/>
            </w:tcBorders>
            <w:vAlign w:val="center"/>
          </w:tcPr>
          <w:p w:rsidR="00DB7CC8" w:rsidRDefault="00DB7CC8">
            <w:pPr>
              <w:ind w:firstLineChars="0" w:firstLine="0"/>
              <w:rPr>
                <w:kern w:val="2"/>
                <w:sz w:val="21"/>
                <w:szCs w:val="21"/>
              </w:rPr>
            </w:pPr>
          </w:p>
        </w:tc>
        <w:tc>
          <w:tcPr>
            <w:tcW w:w="2054" w:type="dxa"/>
            <w:vMerge/>
            <w:tcBorders>
              <w:tl2br w:val="nil"/>
              <w:tr2bl w:val="nil"/>
            </w:tcBorders>
            <w:vAlign w:val="center"/>
          </w:tcPr>
          <w:p w:rsidR="00DB7CC8" w:rsidRDefault="00DB7CC8">
            <w:pPr>
              <w:ind w:firstLineChars="0" w:firstLine="0"/>
              <w:rPr>
                <w:kern w:val="2"/>
                <w:sz w:val="21"/>
                <w:szCs w:val="21"/>
              </w:rPr>
            </w:pPr>
          </w:p>
        </w:tc>
      </w:tr>
      <w:tr w:rsidR="00DB7CC8">
        <w:trPr>
          <w:trHeight w:val="283"/>
          <w:jc w:val="center"/>
        </w:trPr>
        <w:tc>
          <w:tcPr>
            <w:tcW w:w="2296" w:type="dxa"/>
            <w:vMerge w:val="restart"/>
            <w:tcBorders>
              <w:tl2br w:val="nil"/>
              <w:tr2bl w:val="nil"/>
            </w:tcBorders>
            <w:vAlign w:val="center"/>
          </w:tcPr>
          <w:p w:rsidR="00DB7CC8" w:rsidRDefault="002B5250">
            <w:pPr>
              <w:ind w:firstLineChars="0" w:firstLine="0"/>
              <w:jc w:val="center"/>
              <w:rPr>
                <w:kern w:val="2"/>
                <w:sz w:val="21"/>
                <w:szCs w:val="21"/>
              </w:rPr>
            </w:pPr>
            <w:r>
              <w:rPr>
                <w:kern w:val="2"/>
                <w:sz w:val="21"/>
                <w:szCs w:val="21"/>
              </w:rPr>
              <w:t>TSP</w:t>
            </w:r>
          </w:p>
        </w:tc>
        <w:tc>
          <w:tcPr>
            <w:tcW w:w="1891" w:type="dxa"/>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spacing w:val="-10"/>
                <w:kern w:val="2"/>
                <w:sz w:val="21"/>
                <w:szCs w:val="21"/>
              </w:rPr>
            </w:pPr>
            <w:r>
              <w:rPr>
                <w:spacing w:val="-10"/>
                <w:kern w:val="2"/>
                <w:sz w:val="21"/>
                <w:szCs w:val="21"/>
              </w:rPr>
              <w:t>年平均</w:t>
            </w:r>
          </w:p>
        </w:tc>
        <w:tc>
          <w:tcPr>
            <w:tcW w:w="1315" w:type="dxa"/>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spacing w:val="-10"/>
                <w:kern w:val="2"/>
                <w:sz w:val="21"/>
                <w:szCs w:val="21"/>
              </w:rPr>
            </w:pPr>
            <w:r>
              <w:rPr>
                <w:spacing w:val="-10"/>
                <w:kern w:val="2"/>
                <w:sz w:val="21"/>
                <w:szCs w:val="21"/>
              </w:rPr>
              <w:t>200</w:t>
            </w:r>
          </w:p>
        </w:tc>
        <w:tc>
          <w:tcPr>
            <w:tcW w:w="806" w:type="dxa"/>
            <w:vMerge/>
            <w:tcBorders>
              <w:tl2br w:val="nil"/>
              <w:tr2bl w:val="nil"/>
            </w:tcBorders>
            <w:vAlign w:val="center"/>
          </w:tcPr>
          <w:p w:rsidR="00DB7CC8" w:rsidRDefault="00DB7CC8">
            <w:pPr>
              <w:ind w:firstLineChars="0" w:firstLine="0"/>
              <w:rPr>
                <w:kern w:val="2"/>
                <w:sz w:val="21"/>
                <w:szCs w:val="21"/>
              </w:rPr>
            </w:pPr>
          </w:p>
        </w:tc>
        <w:tc>
          <w:tcPr>
            <w:tcW w:w="2054" w:type="dxa"/>
            <w:vMerge/>
            <w:tcBorders>
              <w:tl2br w:val="nil"/>
              <w:tr2bl w:val="nil"/>
            </w:tcBorders>
            <w:vAlign w:val="center"/>
          </w:tcPr>
          <w:p w:rsidR="00DB7CC8" w:rsidRDefault="00DB7CC8">
            <w:pPr>
              <w:ind w:firstLineChars="0" w:firstLine="0"/>
              <w:rPr>
                <w:kern w:val="2"/>
                <w:sz w:val="21"/>
                <w:szCs w:val="21"/>
              </w:rPr>
            </w:pPr>
          </w:p>
        </w:tc>
      </w:tr>
      <w:tr w:rsidR="00DB7CC8">
        <w:trPr>
          <w:trHeight w:val="283"/>
          <w:jc w:val="center"/>
        </w:trPr>
        <w:tc>
          <w:tcPr>
            <w:tcW w:w="2296" w:type="dxa"/>
            <w:vMerge/>
            <w:tcBorders>
              <w:tl2br w:val="nil"/>
              <w:tr2bl w:val="nil"/>
            </w:tcBorders>
            <w:vAlign w:val="center"/>
          </w:tcPr>
          <w:p w:rsidR="00DB7CC8" w:rsidRDefault="00DB7CC8">
            <w:pPr>
              <w:ind w:firstLineChars="0" w:firstLine="0"/>
              <w:jc w:val="center"/>
              <w:rPr>
                <w:kern w:val="2"/>
                <w:sz w:val="21"/>
                <w:szCs w:val="21"/>
              </w:rPr>
            </w:pPr>
          </w:p>
        </w:tc>
        <w:tc>
          <w:tcPr>
            <w:tcW w:w="1891" w:type="dxa"/>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spacing w:val="-10"/>
                <w:kern w:val="2"/>
                <w:sz w:val="21"/>
                <w:szCs w:val="21"/>
              </w:rPr>
            </w:pPr>
            <w:r>
              <w:rPr>
                <w:spacing w:val="-10"/>
                <w:kern w:val="2"/>
                <w:sz w:val="21"/>
                <w:szCs w:val="21"/>
              </w:rPr>
              <w:t>24</w:t>
            </w:r>
            <w:r>
              <w:rPr>
                <w:spacing w:val="-10"/>
                <w:kern w:val="2"/>
                <w:sz w:val="21"/>
                <w:szCs w:val="21"/>
              </w:rPr>
              <w:t>小时平均</w:t>
            </w:r>
          </w:p>
        </w:tc>
        <w:tc>
          <w:tcPr>
            <w:tcW w:w="1315" w:type="dxa"/>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spacing w:val="-10"/>
                <w:kern w:val="2"/>
                <w:sz w:val="21"/>
                <w:szCs w:val="21"/>
              </w:rPr>
            </w:pPr>
            <w:r>
              <w:rPr>
                <w:spacing w:val="-10"/>
                <w:kern w:val="2"/>
                <w:sz w:val="21"/>
                <w:szCs w:val="21"/>
              </w:rPr>
              <w:t>300</w:t>
            </w:r>
          </w:p>
        </w:tc>
        <w:tc>
          <w:tcPr>
            <w:tcW w:w="806" w:type="dxa"/>
            <w:vMerge/>
            <w:tcBorders>
              <w:tl2br w:val="nil"/>
              <w:tr2bl w:val="nil"/>
            </w:tcBorders>
            <w:vAlign w:val="center"/>
          </w:tcPr>
          <w:p w:rsidR="00DB7CC8" w:rsidRDefault="00DB7CC8">
            <w:pPr>
              <w:ind w:firstLineChars="0" w:firstLine="0"/>
              <w:rPr>
                <w:kern w:val="2"/>
                <w:sz w:val="21"/>
                <w:szCs w:val="21"/>
              </w:rPr>
            </w:pPr>
          </w:p>
        </w:tc>
        <w:tc>
          <w:tcPr>
            <w:tcW w:w="2054" w:type="dxa"/>
            <w:vMerge/>
            <w:tcBorders>
              <w:tl2br w:val="nil"/>
              <w:tr2bl w:val="nil"/>
            </w:tcBorders>
            <w:vAlign w:val="center"/>
          </w:tcPr>
          <w:p w:rsidR="00DB7CC8" w:rsidRDefault="00DB7CC8">
            <w:pPr>
              <w:ind w:firstLineChars="0" w:firstLine="0"/>
              <w:rPr>
                <w:kern w:val="2"/>
                <w:sz w:val="21"/>
                <w:szCs w:val="21"/>
              </w:rPr>
            </w:pPr>
          </w:p>
        </w:tc>
      </w:tr>
      <w:tr w:rsidR="00DB7CC8">
        <w:trPr>
          <w:trHeight w:val="283"/>
          <w:jc w:val="center"/>
        </w:trPr>
        <w:tc>
          <w:tcPr>
            <w:tcW w:w="2296" w:type="dxa"/>
            <w:vMerge w:val="restart"/>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kern w:val="2"/>
                <w:sz w:val="21"/>
                <w:szCs w:val="21"/>
              </w:rPr>
            </w:pPr>
            <w:r>
              <w:rPr>
                <w:spacing w:val="-10"/>
                <w:kern w:val="2"/>
                <w:sz w:val="21"/>
                <w:szCs w:val="21"/>
              </w:rPr>
              <w:t>CO</w:t>
            </w:r>
          </w:p>
        </w:tc>
        <w:tc>
          <w:tcPr>
            <w:tcW w:w="1891" w:type="dxa"/>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kern w:val="2"/>
                <w:sz w:val="21"/>
                <w:szCs w:val="21"/>
              </w:rPr>
            </w:pPr>
            <w:r>
              <w:rPr>
                <w:spacing w:val="-10"/>
                <w:kern w:val="2"/>
                <w:sz w:val="21"/>
                <w:szCs w:val="21"/>
              </w:rPr>
              <w:t>24</w:t>
            </w:r>
            <w:r>
              <w:rPr>
                <w:spacing w:val="-10"/>
                <w:kern w:val="2"/>
                <w:sz w:val="21"/>
                <w:szCs w:val="21"/>
              </w:rPr>
              <w:t>小时</w:t>
            </w:r>
          </w:p>
        </w:tc>
        <w:tc>
          <w:tcPr>
            <w:tcW w:w="1315" w:type="dxa"/>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kern w:val="2"/>
                <w:sz w:val="21"/>
                <w:szCs w:val="21"/>
              </w:rPr>
            </w:pPr>
            <w:r>
              <w:rPr>
                <w:spacing w:val="-10"/>
                <w:kern w:val="2"/>
                <w:sz w:val="21"/>
                <w:szCs w:val="21"/>
              </w:rPr>
              <w:t>4</w:t>
            </w:r>
          </w:p>
        </w:tc>
        <w:tc>
          <w:tcPr>
            <w:tcW w:w="806" w:type="dxa"/>
            <w:vMerge w:val="restart"/>
            <w:tcBorders>
              <w:tl2br w:val="nil"/>
              <w:tr2bl w:val="nil"/>
            </w:tcBorders>
            <w:vAlign w:val="center"/>
          </w:tcPr>
          <w:p w:rsidR="00DB7CC8" w:rsidRDefault="002B5250">
            <w:pPr>
              <w:ind w:firstLineChars="0" w:firstLine="0"/>
              <w:jc w:val="center"/>
              <w:rPr>
                <w:kern w:val="2"/>
                <w:sz w:val="21"/>
                <w:szCs w:val="21"/>
              </w:rPr>
            </w:pPr>
            <w:r>
              <w:rPr>
                <w:spacing w:val="-10"/>
                <w:kern w:val="2"/>
                <w:sz w:val="21"/>
                <w:szCs w:val="21"/>
              </w:rPr>
              <w:t>mg/m</w:t>
            </w:r>
            <w:r>
              <w:rPr>
                <w:spacing w:val="-10"/>
                <w:kern w:val="2"/>
                <w:sz w:val="21"/>
                <w:szCs w:val="21"/>
                <w:vertAlign w:val="superscript"/>
              </w:rPr>
              <w:t>3</w:t>
            </w:r>
          </w:p>
        </w:tc>
        <w:tc>
          <w:tcPr>
            <w:tcW w:w="2054" w:type="dxa"/>
            <w:vMerge/>
            <w:tcBorders>
              <w:tl2br w:val="nil"/>
              <w:tr2bl w:val="nil"/>
            </w:tcBorders>
            <w:vAlign w:val="center"/>
          </w:tcPr>
          <w:p w:rsidR="00DB7CC8" w:rsidRDefault="00DB7CC8">
            <w:pPr>
              <w:ind w:firstLineChars="0" w:firstLine="0"/>
              <w:rPr>
                <w:kern w:val="2"/>
                <w:sz w:val="21"/>
                <w:szCs w:val="21"/>
              </w:rPr>
            </w:pPr>
          </w:p>
        </w:tc>
      </w:tr>
      <w:tr w:rsidR="00DB7CC8">
        <w:trPr>
          <w:trHeight w:val="283"/>
          <w:jc w:val="center"/>
        </w:trPr>
        <w:tc>
          <w:tcPr>
            <w:tcW w:w="2296" w:type="dxa"/>
            <w:vMerge/>
            <w:tcBorders>
              <w:tl2br w:val="nil"/>
              <w:tr2bl w:val="nil"/>
            </w:tcBorders>
            <w:vAlign w:val="center"/>
          </w:tcPr>
          <w:p w:rsidR="00DB7CC8" w:rsidRDefault="00DB7CC8">
            <w:pPr>
              <w:ind w:firstLineChars="0" w:firstLine="0"/>
              <w:jc w:val="center"/>
              <w:rPr>
                <w:kern w:val="2"/>
                <w:sz w:val="21"/>
                <w:szCs w:val="21"/>
              </w:rPr>
            </w:pPr>
          </w:p>
        </w:tc>
        <w:tc>
          <w:tcPr>
            <w:tcW w:w="1891" w:type="dxa"/>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kern w:val="2"/>
                <w:sz w:val="21"/>
                <w:szCs w:val="21"/>
              </w:rPr>
            </w:pPr>
            <w:r>
              <w:rPr>
                <w:spacing w:val="-10"/>
                <w:kern w:val="2"/>
                <w:sz w:val="21"/>
                <w:szCs w:val="21"/>
              </w:rPr>
              <w:t>1</w:t>
            </w:r>
            <w:r>
              <w:rPr>
                <w:spacing w:val="-10"/>
                <w:kern w:val="2"/>
                <w:sz w:val="21"/>
                <w:szCs w:val="21"/>
              </w:rPr>
              <w:t>小时平均</w:t>
            </w:r>
          </w:p>
        </w:tc>
        <w:tc>
          <w:tcPr>
            <w:tcW w:w="1315" w:type="dxa"/>
            <w:tcBorders>
              <w:tl2br w:val="nil"/>
              <w:tr2bl w:val="nil"/>
            </w:tcBorders>
            <w:vAlign w:val="center"/>
          </w:tcPr>
          <w:p w:rsidR="00DB7CC8" w:rsidRDefault="002B5250">
            <w:pPr>
              <w:autoSpaceDE w:val="0"/>
              <w:autoSpaceDN w:val="0"/>
              <w:adjustRightInd w:val="0"/>
              <w:snapToGrid w:val="0"/>
              <w:spacing w:line="0" w:lineRule="atLeast"/>
              <w:ind w:firstLineChars="0" w:firstLine="0"/>
              <w:jc w:val="center"/>
              <w:rPr>
                <w:kern w:val="2"/>
                <w:sz w:val="21"/>
                <w:szCs w:val="21"/>
              </w:rPr>
            </w:pPr>
            <w:r>
              <w:rPr>
                <w:spacing w:val="-10"/>
                <w:kern w:val="2"/>
                <w:sz w:val="21"/>
                <w:szCs w:val="21"/>
              </w:rPr>
              <w:t>10</w:t>
            </w:r>
          </w:p>
        </w:tc>
        <w:tc>
          <w:tcPr>
            <w:tcW w:w="806" w:type="dxa"/>
            <w:vMerge/>
            <w:tcBorders>
              <w:tl2br w:val="nil"/>
              <w:tr2bl w:val="nil"/>
            </w:tcBorders>
            <w:vAlign w:val="center"/>
          </w:tcPr>
          <w:p w:rsidR="00DB7CC8" w:rsidRDefault="00DB7CC8">
            <w:pPr>
              <w:ind w:firstLineChars="0" w:firstLine="0"/>
              <w:rPr>
                <w:kern w:val="2"/>
                <w:sz w:val="21"/>
                <w:szCs w:val="21"/>
              </w:rPr>
            </w:pPr>
          </w:p>
        </w:tc>
        <w:tc>
          <w:tcPr>
            <w:tcW w:w="2054" w:type="dxa"/>
            <w:vMerge/>
            <w:tcBorders>
              <w:tl2br w:val="nil"/>
              <w:tr2bl w:val="nil"/>
            </w:tcBorders>
            <w:vAlign w:val="center"/>
          </w:tcPr>
          <w:p w:rsidR="00DB7CC8" w:rsidRDefault="00DB7CC8">
            <w:pPr>
              <w:ind w:firstLineChars="0" w:firstLine="0"/>
              <w:rPr>
                <w:kern w:val="2"/>
                <w:sz w:val="21"/>
                <w:szCs w:val="21"/>
              </w:rPr>
            </w:pPr>
          </w:p>
        </w:tc>
      </w:tr>
    </w:tbl>
    <w:p w:rsidR="00DB7CC8" w:rsidRDefault="002B5250">
      <w:pPr>
        <w:pStyle w:val="4"/>
        <w:numPr>
          <w:ilvl w:val="3"/>
          <w:numId w:val="1"/>
        </w:numPr>
        <w:ind w:left="709" w:hanging="709"/>
        <w:rPr>
          <w:rFonts w:eastAsia="宋体"/>
          <w:b/>
        </w:rPr>
      </w:pPr>
      <w:r>
        <w:rPr>
          <w:rFonts w:eastAsia="宋体"/>
          <w:b/>
        </w:rPr>
        <w:t>地表水</w:t>
      </w:r>
    </w:p>
    <w:p w:rsidR="00DB7CC8" w:rsidRDefault="002B5250">
      <w:pPr>
        <w:pStyle w:val="affff9"/>
        <w:spacing w:before="0" w:after="0" w:line="360" w:lineRule="auto"/>
        <w:ind w:firstLine="480"/>
      </w:pPr>
      <w:r>
        <w:rPr>
          <w:rFonts w:hint="eastAsia"/>
        </w:rPr>
        <w:t>地表水环境：</w:t>
      </w:r>
      <w:r>
        <w:t>根据《遵化市水环境功能区划》，黎河、沙河、淋河是遵化境内的三条主要河流，其主要水体功能为饮用水源，执行《地表水环境质量标准》（</w:t>
      </w:r>
      <w:r>
        <w:t>GB3838-2002</w:t>
      </w:r>
      <w:r>
        <w:t>）</w:t>
      </w:r>
      <w:r>
        <w:t>III</w:t>
      </w:r>
      <w:r>
        <w:t>类标准。距离本项目最近的地表水体为项目南侧的黎河，参照执行《地表水环境质量标准》（</w:t>
      </w:r>
      <w:r>
        <w:t>GB3838-2002</w:t>
      </w:r>
      <w:r>
        <w:t>）</w:t>
      </w:r>
      <w:r>
        <w:t>III</w:t>
      </w:r>
      <w:r>
        <w:t>类标准。具体标准限值见表</w:t>
      </w:r>
      <w:r>
        <w:t>2.</w:t>
      </w:r>
      <w:r>
        <w:rPr>
          <w:rFonts w:hint="eastAsia"/>
        </w:rPr>
        <w:t>7</w:t>
      </w:r>
      <w:r>
        <w:t>-2</w:t>
      </w:r>
      <w:r>
        <w:t>。</w:t>
      </w:r>
    </w:p>
    <w:p w:rsidR="00DB7CC8" w:rsidRDefault="00DB7CC8">
      <w:pPr>
        <w:pStyle w:val="affff9"/>
        <w:spacing w:before="0" w:after="0" w:line="360" w:lineRule="auto"/>
        <w:ind w:firstLine="480"/>
      </w:pPr>
    </w:p>
    <w:p w:rsidR="00DB7CC8" w:rsidRDefault="00DB7CC8">
      <w:pPr>
        <w:pStyle w:val="affff9"/>
        <w:spacing w:before="0" w:after="0" w:line="360" w:lineRule="auto"/>
        <w:ind w:firstLine="480"/>
      </w:pPr>
    </w:p>
    <w:p w:rsidR="00DB7CC8" w:rsidRDefault="002B5250">
      <w:pPr>
        <w:adjustRightInd w:val="0"/>
        <w:spacing w:line="240" w:lineRule="auto"/>
        <w:ind w:firstLine="420"/>
        <w:jc w:val="center"/>
        <w:rPr>
          <w:rFonts w:eastAsia="黑体"/>
          <w:sz w:val="21"/>
          <w:szCs w:val="21"/>
        </w:rPr>
      </w:pPr>
      <w:r>
        <w:rPr>
          <w:rFonts w:eastAsia="黑体"/>
          <w:sz w:val="21"/>
          <w:szCs w:val="21"/>
        </w:rPr>
        <w:lastRenderedPageBreak/>
        <w:t>表</w:t>
      </w:r>
      <w:r>
        <w:rPr>
          <w:rFonts w:eastAsia="黑体"/>
          <w:sz w:val="21"/>
          <w:szCs w:val="21"/>
        </w:rPr>
        <w:t>2.</w:t>
      </w:r>
      <w:r>
        <w:rPr>
          <w:rFonts w:eastAsia="黑体" w:hint="eastAsia"/>
          <w:sz w:val="21"/>
          <w:szCs w:val="21"/>
        </w:rPr>
        <w:t>7</w:t>
      </w:r>
      <w:r>
        <w:rPr>
          <w:rFonts w:eastAsia="黑体"/>
          <w:sz w:val="21"/>
          <w:szCs w:val="21"/>
        </w:rPr>
        <w:t xml:space="preserve">-2    </w:t>
      </w:r>
      <w:r>
        <w:rPr>
          <w:rFonts w:eastAsia="黑体"/>
          <w:sz w:val="21"/>
          <w:szCs w:val="21"/>
        </w:rPr>
        <w:t>地表水环境质量标准</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7"/>
        <w:gridCol w:w="1623"/>
        <w:gridCol w:w="1461"/>
        <w:gridCol w:w="1663"/>
        <w:gridCol w:w="1207"/>
        <w:gridCol w:w="861"/>
      </w:tblGrid>
      <w:tr w:rsidR="00DB7CC8">
        <w:trPr>
          <w:cantSplit/>
          <w:trHeight w:val="283"/>
          <w:jc w:val="center"/>
        </w:trPr>
        <w:tc>
          <w:tcPr>
            <w:tcW w:w="1707" w:type="dxa"/>
            <w:vMerge w:val="restart"/>
            <w:tcBorders>
              <w:tl2br w:val="nil"/>
              <w:tr2bl w:val="nil"/>
            </w:tcBorders>
            <w:vAlign w:val="center"/>
          </w:tcPr>
          <w:p w:rsidR="00DB7CC8" w:rsidRDefault="002B5250">
            <w:pPr>
              <w:spacing w:line="240" w:lineRule="auto"/>
              <w:ind w:firstLineChars="71" w:firstLine="149"/>
              <w:jc w:val="center"/>
              <w:rPr>
                <w:sz w:val="21"/>
                <w:szCs w:val="21"/>
              </w:rPr>
            </w:pPr>
            <w:r>
              <w:rPr>
                <w:sz w:val="21"/>
                <w:szCs w:val="21"/>
              </w:rPr>
              <w:t>标准号</w:t>
            </w:r>
          </w:p>
        </w:tc>
        <w:tc>
          <w:tcPr>
            <w:tcW w:w="1623"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标准名称</w:t>
            </w:r>
          </w:p>
        </w:tc>
        <w:tc>
          <w:tcPr>
            <w:tcW w:w="1461"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标准级别</w:t>
            </w:r>
          </w:p>
        </w:tc>
        <w:tc>
          <w:tcPr>
            <w:tcW w:w="1663"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评价因子</w:t>
            </w:r>
          </w:p>
        </w:tc>
        <w:tc>
          <w:tcPr>
            <w:tcW w:w="2068" w:type="dxa"/>
            <w:gridSpan w:val="2"/>
            <w:tcBorders>
              <w:tl2br w:val="nil"/>
              <w:tr2bl w:val="nil"/>
            </w:tcBorders>
            <w:vAlign w:val="center"/>
          </w:tcPr>
          <w:p w:rsidR="00DB7CC8" w:rsidRDefault="002B5250">
            <w:pPr>
              <w:spacing w:line="240" w:lineRule="auto"/>
              <w:ind w:firstLine="420"/>
              <w:jc w:val="center"/>
              <w:rPr>
                <w:sz w:val="21"/>
                <w:szCs w:val="21"/>
              </w:rPr>
            </w:pPr>
            <w:r>
              <w:rPr>
                <w:sz w:val="21"/>
                <w:szCs w:val="21"/>
              </w:rPr>
              <w:t>标准值</w:t>
            </w:r>
          </w:p>
        </w:tc>
      </w:tr>
      <w:tr w:rsidR="00DB7CC8">
        <w:trPr>
          <w:cantSplit/>
          <w:trHeight w:val="283"/>
          <w:jc w:val="center"/>
        </w:trPr>
        <w:tc>
          <w:tcPr>
            <w:tcW w:w="1707" w:type="dxa"/>
            <w:vMerge/>
            <w:tcBorders>
              <w:tl2br w:val="nil"/>
              <w:tr2bl w:val="nil"/>
            </w:tcBorders>
            <w:vAlign w:val="center"/>
          </w:tcPr>
          <w:p w:rsidR="00DB7CC8" w:rsidRDefault="00DB7CC8">
            <w:pPr>
              <w:spacing w:line="240" w:lineRule="auto"/>
              <w:ind w:firstLine="420"/>
              <w:jc w:val="center"/>
              <w:rPr>
                <w:sz w:val="21"/>
                <w:szCs w:val="21"/>
              </w:rPr>
            </w:pPr>
          </w:p>
        </w:tc>
        <w:tc>
          <w:tcPr>
            <w:tcW w:w="1623" w:type="dxa"/>
            <w:vMerge/>
            <w:tcBorders>
              <w:tl2br w:val="nil"/>
              <w:tr2bl w:val="nil"/>
            </w:tcBorders>
            <w:vAlign w:val="center"/>
          </w:tcPr>
          <w:p w:rsidR="00DB7CC8" w:rsidRDefault="00DB7CC8">
            <w:pPr>
              <w:spacing w:line="240" w:lineRule="auto"/>
              <w:ind w:firstLine="420"/>
              <w:jc w:val="center"/>
              <w:rPr>
                <w:sz w:val="21"/>
                <w:szCs w:val="21"/>
              </w:rPr>
            </w:pPr>
          </w:p>
        </w:tc>
        <w:tc>
          <w:tcPr>
            <w:tcW w:w="1461" w:type="dxa"/>
            <w:vMerge/>
            <w:tcBorders>
              <w:tl2br w:val="nil"/>
              <w:tr2bl w:val="nil"/>
            </w:tcBorders>
            <w:vAlign w:val="center"/>
          </w:tcPr>
          <w:p w:rsidR="00DB7CC8" w:rsidRDefault="00DB7CC8">
            <w:pPr>
              <w:spacing w:line="240" w:lineRule="auto"/>
              <w:ind w:firstLine="420"/>
              <w:jc w:val="center"/>
              <w:rPr>
                <w:sz w:val="21"/>
                <w:szCs w:val="21"/>
              </w:rPr>
            </w:pPr>
          </w:p>
        </w:tc>
        <w:tc>
          <w:tcPr>
            <w:tcW w:w="1663" w:type="dxa"/>
            <w:vMerge/>
            <w:tcBorders>
              <w:tl2br w:val="nil"/>
              <w:tr2bl w:val="nil"/>
            </w:tcBorders>
            <w:vAlign w:val="center"/>
          </w:tcPr>
          <w:p w:rsidR="00DB7CC8" w:rsidRDefault="00DB7CC8">
            <w:pPr>
              <w:spacing w:line="240" w:lineRule="auto"/>
              <w:ind w:firstLine="420"/>
              <w:jc w:val="center"/>
              <w:rPr>
                <w:sz w:val="21"/>
                <w:szCs w:val="21"/>
              </w:rPr>
            </w:pPr>
          </w:p>
        </w:tc>
        <w:tc>
          <w:tcPr>
            <w:tcW w:w="120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数值</w:t>
            </w:r>
          </w:p>
        </w:tc>
        <w:tc>
          <w:tcPr>
            <w:tcW w:w="86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单位</w:t>
            </w:r>
          </w:p>
        </w:tc>
      </w:tr>
      <w:tr w:rsidR="00DB7CC8">
        <w:trPr>
          <w:cantSplit/>
          <w:trHeight w:val="283"/>
          <w:jc w:val="center"/>
        </w:trPr>
        <w:tc>
          <w:tcPr>
            <w:tcW w:w="1707"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GB3838-2002</w:t>
            </w:r>
          </w:p>
        </w:tc>
        <w:tc>
          <w:tcPr>
            <w:tcW w:w="1623"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地表水环境质量标准</w:t>
            </w:r>
          </w:p>
        </w:tc>
        <w:tc>
          <w:tcPr>
            <w:tcW w:w="1461"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Ⅲ</w:t>
            </w:r>
            <w:r>
              <w:rPr>
                <w:sz w:val="21"/>
                <w:szCs w:val="21"/>
              </w:rPr>
              <w:t>类</w:t>
            </w:r>
          </w:p>
        </w:tc>
        <w:tc>
          <w:tcPr>
            <w:tcW w:w="166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pH</w:t>
            </w:r>
          </w:p>
        </w:tc>
        <w:tc>
          <w:tcPr>
            <w:tcW w:w="120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6-9</w:t>
            </w:r>
          </w:p>
        </w:tc>
        <w:tc>
          <w:tcPr>
            <w:tcW w:w="86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r>
      <w:tr w:rsidR="00DB7CC8">
        <w:trPr>
          <w:cantSplit/>
          <w:trHeight w:val="283"/>
          <w:jc w:val="center"/>
        </w:trPr>
        <w:tc>
          <w:tcPr>
            <w:tcW w:w="1707"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623"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6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66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溶解氧</w:t>
            </w:r>
          </w:p>
        </w:tc>
        <w:tc>
          <w:tcPr>
            <w:tcW w:w="1207" w:type="dxa"/>
            <w:tcBorders>
              <w:tl2br w:val="nil"/>
              <w:tr2bl w:val="nil"/>
            </w:tcBorders>
            <w:vAlign w:val="center"/>
          </w:tcPr>
          <w:p w:rsidR="00DB7CC8" w:rsidRDefault="002B5250">
            <w:pPr>
              <w:spacing w:line="240" w:lineRule="auto"/>
              <w:ind w:firstLineChars="0" w:firstLine="0"/>
              <w:jc w:val="center"/>
              <w:rPr>
                <w:sz w:val="21"/>
                <w:szCs w:val="21"/>
              </w:rPr>
            </w:pPr>
            <w:r>
              <w:rPr>
                <w:rFonts w:eastAsia="等线"/>
                <w:sz w:val="21"/>
                <w:szCs w:val="21"/>
              </w:rPr>
              <w:t>≥</w:t>
            </w:r>
            <w:r>
              <w:rPr>
                <w:sz w:val="21"/>
                <w:szCs w:val="21"/>
              </w:rPr>
              <w:t>5</w:t>
            </w:r>
          </w:p>
        </w:tc>
        <w:tc>
          <w:tcPr>
            <w:tcW w:w="861" w:type="dxa"/>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cantSplit/>
          <w:trHeight w:val="283"/>
          <w:jc w:val="center"/>
        </w:trPr>
        <w:tc>
          <w:tcPr>
            <w:tcW w:w="1707" w:type="dxa"/>
            <w:vMerge/>
            <w:tcBorders>
              <w:tl2br w:val="nil"/>
              <w:tr2bl w:val="nil"/>
            </w:tcBorders>
            <w:vAlign w:val="center"/>
          </w:tcPr>
          <w:p w:rsidR="00DB7CC8" w:rsidRDefault="00DB7CC8">
            <w:pPr>
              <w:spacing w:line="240" w:lineRule="auto"/>
              <w:ind w:firstLine="420"/>
              <w:jc w:val="center"/>
              <w:rPr>
                <w:sz w:val="21"/>
                <w:szCs w:val="21"/>
              </w:rPr>
            </w:pPr>
          </w:p>
        </w:tc>
        <w:tc>
          <w:tcPr>
            <w:tcW w:w="1623" w:type="dxa"/>
            <w:vMerge/>
            <w:tcBorders>
              <w:tl2br w:val="nil"/>
              <w:tr2bl w:val="nil"/>
            </w:tcBorders>
            <w:vAlign w:val="center"/>
          </w:tcPr>
          <w:p w:rsidR="00DB7CC8" w:rsidRDefault="00DB7CC8">
            <w:pPr>
              <w:spacing w:line="240" w:lineRule="auto"/>
              <w:ind w:firstLine="420"/>
              <w:jc w:val="center"/>
              <w:rPr>
                <w:sz w:val="21"/>
                <w:szCs w:val="21"/>
              </w:rPr>
            </w:pPr>
          </w:p>
        </w:tc>
        <w:tc>
          <w:tcPr>
            <w:tcW w:w="1461" w:type="dxa"/>
            <w:vMerge/>
            <w:tcBorders>
              <w:tl2br w:val="nil"/>
              <w:tr2bl w:val="nil"/>
            </w:tcBorders>
            <w:vAlign w:val="center"/>
          </w:tcPr>
          <w:p w:rsidR="00DB7CC8" w:rsidRDefault="00DB7CC8">
            <w:pPr>
              <w:spacing w:line="240" w:lineRule="auto"/>
              <w:ind w:firstLine="420"/>
              <w:jc w:val="center"/>
              <w:rPr>
                <w:sz w:val="21"/>
                <w:szCs w:val="21"/>
              </w:rPr>
            </w:pPr>
          </w:p>
        </w:tc>
        <w:tc>
          <w:tcPr>
            <w:tcW w:w="166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COD</w:t>
            </w:r>
          </w:p>
        </w:tc>
        <w:tc>
          <w:tcPr>
            <w:tcW w:w="120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≤20</w:t>
            </w:r>
          </w:p>
        </w:tc>
        <w:tc>
          <w:tcPr>
            <w:tcW w:w="861"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mg/L</w:t>
            </w:r>
          </w:p>
        </w:tc>
      </w:tr>
      <w:tr w:rsidR="00DB7CC8">
        <w:trPr>
          <w:cantSplit/>
          <w:trHeight w:val="283"/>
          <w:jc w:val="center"/>
        </w:trPr>
        <w:tc>
          <w:tcPr>
            <w:tcW w:w="1707" w:type="dxa"/>
            <w:vMerge/>
            <w:tcBorders>
              <w:tl2br w:val="nil"/>
              <w:tr2bl w:val="nil"/>
            </w:tcBorders>
            <w:vAlign w:val="center"/>
          </w:tcPr>
          <w:p w:rsidR="00DB7CC8" w:rsidRDefault="00DB7CC8">
            <w:pPr>
              <w:spacing w:line="240" w:lineRule="auto"/>
              <w:ind w:firstLine="420"/>
              <w:jc w:val="center"/>
              <w:rPr>
                <w:sz w:val="21"/>
                <w:szCs w:val="21"/>
              </w:rPr>
            </w:pPr>
          </w:p>
        </w:tc>
        <w:tc>
          <w:tcPr>
            <w:tcW w:w="1623" w:type="dxa"/>
            <w:vMerge/>
            <w:tcBorders>
              <w:tl2br w:val="nil"/>
              <w:tr2bl w:val="nil"/>
            </w:tcBorders>
            <w:vAlign w:val="center"/>
          </w:tcPr>
          <w:p w:rsidR="00DB7CC8" w:rsidRDefault="00DB7CC8">
            <w:pPr>
              <w:spacing w:line="240" w:lineRule="auto"/>
              <w:ind w:firstLine="420"/>
              <w:jc w:val="center"/>
              <w:rPr>
                <w:sz w:val="21"/>
                <w:szCs w:val="21"/>
              </w:rPr>
            </w:pPr>
          </w:p>
        </w:tc>
        <w:tc>
          <w:tcPr>
            <w:tcW w:w="1461" w:type="dxa"/>
            <w:vMerge/>
            <w:tcBorders>
              <w:tl2br w:val="nil"/>
              <w:tr2bl w:val="nil"/>
            </w:tcBorders>
            <w:vAlign w:val="center"/>
          </w:tcPr>
          <w:p w:rsidR="00DB7CC8" w:rsidRDefault="00DB7CC8">
            <w:pPr>
              <w:spacing w:line="240" w:lineRule="auto"/>
              <w:ind w:firstLine="420"/>
              <w:jc w:val="center"/>
              <w:rPr>
                <w:sz w:val="21"/>
                <w:szCs w:val="21"/>
              </w:rPr>
            </w:pPr>
          </w:p>
        </w:tc>
        <w:tc>
          <w:tcPr>
            <w:tcW w:w="166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BOD</w:t>
            </w:r>
            <w:r>
              <w:rPr>
                <w:sz w:val="21"/>
                <w:szCs w:val="21"/>
                <w:vertAlign w:val="subscript"/>
              </w:rPr>
              <w:t>5</w:t>
            </w:r>
          </w:p>
        </w:tc>
        <w:tc>
          <w:tcPr>
            <w:tcW w:w="120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≤4</w:t>
            </w:r>
          </w:p>
        </w:tc>
        <w:tc>
          <w:tcPr>
            <w:tcW w:w="861"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cantSplit/>
          <w:trHeight w:val="283"/>
          <w:jc w:val="center"/>
        </w:trPr>
        <w:tc>
          <w:tcPr>
            <w:tcW w:w="1707" w:type="dxa"/>
            <w:vMerge/>
            <w:tcBorders>
              <w:tl2br w:val="nil"/>
              <w:tr2bl w:val="nil"/>
            </w:tcBorders>
            <w:vAlign w:val="center"/>
          </w:tcPr>
          <w:p w:rsidR="00DB7CC8" w:rsidRDefault="00DB7CC8">
            <w:pPr>
              <w:spacing w:line="240" w:lineRule="auto"/>
              <w:ind w:firstLine="420"/>
              <w:jc w:val="center"/>
              <w:rPr>
                <w:sz w:val="21"/>
                <w:szCs w:val="21"/>
              </w:rPr>
            </w:pPr>
          </w:p>
        </w:tc>
        <w:tc>
          <w:tcPr>
            <w:tcW w:w="1623" w:type="dxa"/>
            <w:vMerge/>
            <w:tcBorders>
              <w:tl2br w:val="nil"/>
              <w:tr2bl w:val="nil"/>
            </w:tcBorders>
            <w:vAlign w:val="center"/>
          </w:tcPr>
          <w:p w:rsidR="00DB7CC8" w:rsidRDefault="00DB7CC8">
            <w:pPr>
              <w:spacing w:line="240" w:lineRule="auto"/>
              <w:ind w:firstLine="420"/>
              <w:jc w:val="center"/>
              <w:rPr>
                <w:sz w:val="21"/>
                <w:szCs w:val="21"/>
              </w:rPr>
            </w:pPr>
          </w:p>
        </w:tc>
        <w:tc>
          <w:tcPr>
            <w:tcW w:w="1461" w:type="dxa"/>
            <w:vMerge/>
            <w:tcBorders>
              <w:tl2br w:val="nil"/>
              <w:tr2bl w:val="nil"/>
            </w:tcBorders>
            <w:vAlign w:val="center"/>
          </w:tcPr>
          <w:p w:rsidR="00DB7CC8" w:rsidRDefault="00DB7CC8">
            <w:pPr>
              <w:spacing w:line="240" w:lineRule="auto"/>
              <w:ind w:firstLine="420"/>
              <w:jc w:val="center"/>
              <w:rPr>
                <w:sz w:val="21"/>
                <w:szCs w:val="21"/>
              </w:rPr>
            </w:pPr>
          </w:p>
        </w:tc>
        <w:tc>
          <w:tcPr>
            <w:tcW w:w="166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氨氮</w:t>
            </w:r>
          </w:p>
        </w:tc>
        <w:tc>
          <w:tcPr>
            <w:tcW w:w="120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≤1.0</w:t>
            </w:r>
          </w:p>
        </w:tc>
        <w:tc>
          <w:tcPr>
            <w:tcW w:w="861" w:type="dxa"/>
            <w:vMerge/>
            <w:tcBorders>
              <w:tl2br w:val="nil"/>
              <w:tr2bl w:val="nil"/>
            </w:tcBorders>
            <w:vAlign w:val="center"/>
          </w:tcPr>
          <w:p w:rsidR="00DB7CC8" w:rsidRDefault="00DB7CC8">
            <w:pPr>
              <w:spacing w:line="240" w:lineRule="auto"/>
              <w:ind w:firstLine="420"/>
              <w:jc w:val="center"/>
              <w:rPr>
                <w:sz w:val="21"/>
                <w:szCs w:val="21"/>
              </w:rPr>
            </w:pPr>
          </w:p>
        </w:tc>
      </w:tr>
      <w:tr w:rsidR="00DB7CC8">
        <w:trPr>
          <w:cantSplit/>
          <w:trHeight w:val="283"/>
          <w:jc w:val="center"/>
        </w:trPr>
        <w:tc>
          <w:tcPr>
            <w:tcW w:w="1707" w:type="dxa"/>
            <w:vMerge/>
            <w:tcBorders>
              <w:tl2br w:val="nil"/>
              <w:tr2bl w:val="nil"/>
            </w:tcBorders>
            <w:vAlign w:val="center"/>
          </w:tcPr>
          <w:p w:rsidR="00DB7CC8" w:rsidRDefault="00DB7CC8">
            <w:pPr>
              <w:spacing w:line="240" w:lineRule="auto"/>
              <w:ind w:firstLine="420"/>
              <w:jc w:val="center"/>
              <w:rPr>
                <w:sz w:val="21"/>
                <w:szCs w:val="21"/>
              </w:rPr>
            </w:pPr>
          </w:p>
        </w:tc>
        <w:tc>
          <w:tcPr>
            <w:tcW w:w="1623" w:type="dxa"/>
            <w:vMerge/>
            <w:tcBorders>
              <w:tl2br w:val="nil"/>
              <w:tr2bl w:val="nil"/>
            </w:tcBorders>
            <w:vAlign w:val="center"/>
          </w:tcPr>
          <w:p w:rsidR="00DB7CC8" w:rsidRDefault="00DB7CC8">
            <w:pPr>
              <w:spacing w:line="240" w:lineRule="auto"/>
              <w:ind w:firstLine="420"/>
              <w:jc w:val="center"/>
              <w:rPr>
                <w:sz w:val="21"/>
                <w:szCs w:val="21"/>
              </w:rPr>
            </w:pPr>
          </w:p>
        </w:tc>
        <w:tc>
          <w:tcPr>
            <w:tcW w:w="1461" w:type="dxa"/>
            <w:vMerge/>
            <w:tcBorders>
              <w:tl2br w:val="nil"/>
              <w:tr2bl w:val="nil"/>
            </w:tcBorders>
            <w:vAlign w:val="center"/>
          </w:tcPr>
          <w:p w:rsidR="00DB7CC8" w:rsidRDefault="00DB7CC8">
            <w:pPr>
              <w:spacing w:line="240" w:lineRule="auto"/>
              <w:ind w:firstLine="420"/>
              <w:jc w:val="center"/>
              <w:rPr>
                <w:sz w:val="21"/>
                <w:szCs w:val="21"/>
              </w:rPr>
            </w:pPr>
          </w:p>
        </w:tc>
        <w:tc>
          <w:tcPr>
            <w:tcW w:w="166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石油类</w:t>
            </w:r>
          </w:p>
        </w:tc>
        <w:tc>
          <w:tcPr>
            <w:tcW w:w="120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≤0.05</w:t>
            </w:r>
          </w:p>
        </w:tc>
        <w:tc>
          <w:tcPr>
            <w:tcW w:w="861" w:type="dxa"/>
            <w:vMerge/>
            <w:tcBorders>
              <w:tl2br w:val="nil"/>
              <w:tr2bl w:val="nil"/>
            </w:tcBorders>
            <w:vAlign w:val="center"/>
          </w:tcPr>
          <w:p w:rsidR="00DB7CC8" w:rsidRDefault="00DB7CC8">
            <w:pPr>
              <w:spacing w:line="240" w:lineRule="auto"/>
              <w:ind w:firstLine="420"/>
              <w:jc w:val="center"/>
              <w:rPr>
                <w:sz w:val="21"/>
                <w:szCs w:val="21"/>
              </w:rPr>
            </w:pPr>
          </w:p>
        </w:tc>
      </w:tr>
      <w:tr w:rsidR="00DB7CC8">
        <w:trPr>
          <w:cantSplit/>
          <w:trHeight w:val="283"/>
          <w:jc w:val="center"/>
        </w:trPr>
        <w:tc>
          <w:tcPr>
            <w:tcW w:w="1707" w:type="dxa"/>
            <w:vMerge/>
            <w:tcBorders>
              <w:tl2br w:val="nil"/>
              <w:tr2bl w:val="nil"/>
            </w:tcBorders>
            <w:vAlign w:val="center"/>
          </w:tcPr>
          <w:p w:rsidR="00DB7CC8" w:rsidRDefault="00DB7CC8">
            <w:pPr>
              <w:spacing w:line="240" w:lineRule="auto"/>
              <w:ind w:firstLine="420"/>
              <w:jc w:val="center"/>
              <w:rPr>
                <w:sz w:val="21"/>
                <w:szCs w:val="21"/>
              </w:rPr>
            </w:pPr>
          </w:p>
        </w:tc>
        <w:tc>
          <w:tcPr>
            <w:tcW w:w="1623" w:type="dxa"/>
            <w:vMerge/>
            <w:tcBorders>
              <w:tl2br w:val="nil"/>
              <w:tr2bl w:val="nil"/>
            </w:tcBorders>
            <w:vAlign w:val="center"/>
          </w:tcPr>
          <w:p w:rsidR="00DB7CC8" w:rsidRDefault="00DB7CC8">
            <w:pPr>
              <w:spacing w:line="240" w:lineRule="auto"/>
              <w:ind w:firstLine="420"/>
              <w:jc w:val="center"/>
              <w:rPr>
                <w:sz w:val="21"/>
                <w:szCs w:val="21"/>
              </w:rPr>
            </w:pPr>
          </w:p>
        </w:tc>
        <w:tc>
          <w:tcPr>
            <w:tcW w:w="1461" w:type="dxa"/>
            <w:vMerge/>
            <w:tcBorders>
              <w:tl2br w:val="nil"/>
              <w:tr2bl w:val="nil"/>
            </w:tcBorders>
            <w:vAlign w:val="center"/>
          </w:tcPr>
          <w:p w:rsidR="00DB7CC8" w:rsidRDefault="00DB7CC8">
            <w:pPr>
              <w:spacing w:line="240" w:lineRule="auto"/>
              <w:ind w:firstLine="420"/>
              <w:jc w:val="center"/>
              <w:rPr>
                <w:sz w:val="21"/>
                <w:szCs w:val="21"/>
              </w:rPr>
            </w:pPr>
          </w:p>
        </w:tc>
        <w:tc>
          <w:tcPr>
            <w:tcW w:w="166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硫化物</w:t>
            </w:r>
          </w:p>
        </w:tc>
        <w:tc>
          <w:tcPr>
            <w:tcW w:w="120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≤0.2</w:t>
            </w:r>
          </w:p>
        </w:tc>
        <w:tc>
          <w:tcPr>
            <w:tcW w:w="861" w:type="dxa"/>
            <w:vMerge/>
            <w:tcBorders>
              <w:tl2br w:val="nil"/>
              <w:tr2bl w:val="nil"/>
            </w:tcBorders>
            <w:vAlign w:val="center"/>
          </w:tcPr>
          <w:p w:rsidR="00DB7CC8" w:rsidRDefault="00DB7CC8">
            <w:pPr>
              <w:spacing w:line="240" w:lineRule="auto"/>
              <w:ind w:firstLine="420"/>
              <w:jc w:val="center"/>
              <w:rPr>
                <w:sz w:val="21"/>
                <w:szCs w:val="21"/>
              </w:rPr>
            </w:pPr>
          </w:p>
        </w:tc>
      </w:tr>
      <w:tr w:rsidR="00DB7CC8">
        <w:trPr>
          <w:cantSplit/>
          <w:trHeight w:val="283"/>
          <w:jc w:val="center"/>
        </w:trPr>
        <w:tc>
          <w:tcPr>
            <w:tcW w:w="1707" w:type="dxa"/>
            <w:vMerge/>
            <w:tcBorders>
              <w:tl2br w:val="nil"/>
              <w:tr2bl w:val="nil"/>
            </w:tcBorders>
            <w:vAlign w:val="center"/>
          </w:tcPr>
          <w:p w:rsidR="00DB7CC8" w:rsidRDefault="00DB7CC8">
            <w:pPr>
              <w:spacing w:line="240" w:lineRule="auto"/>
              <w:ind w:firstLine="420"/>
              <w:jc w:val="center"/>
              <w:rPr>
                <w:sz w:val="21"/>
                <w:szCs w:val="21"/>
              </w:rPr>
            </w:pPr>
          </w:p>
        </w:tc>
        <w:tc>
          <w:tcPr>
            <w:tcW w:w="1623" w:type="dxa"/>
            <w:vMerge/>
            <w:tcBorders>
              <w:tl2br w:val="nil"/>
              <w:tr2bl w:val="nil"/>
            </w:tcBorders>
            <w:vAlign w:val="center"/>
          </w:tcPr>
          <w:p w:rsidR="00DB7CC8" w:rsidRDefault="00DB7CC8">
            <w:pPr>
              <w:spacing w:line="240" w:lineRule="auto"/>
              <w:ind w:firstLine="420"/>
              <w:jc w:val="center"/>
              <w:rPr>
                <w:sz w:val="21"/>
                <w:szCs w:val="21"/>
              </w:rPr>
            </w:pPr>
          </w:p>
        </w:tc>
        <w:tc>
          <w:tcPr>
            <w:tcW w:w="1461" w:type="dxa"/>
            <w:vMerge/>
            <w:tcBorders>
              <w:tl2br w:val="nil"/>
              <w:tr2bl w:val="nil"/>
            </w:tcBorders>
            <w:vAlign w:val="center"/>
          </w:tcPr>
          <w:p w:rsidR="00DB7CC8" w:rsidRDefault="00DB7CC8">
            <w:pPr>
              <w:spacing w:line="240" w:lineRule="auto"/>
              <w:ind w:firstLine="420"/>
              <w:jc w:val="center"/>
              <w:rPr>
                <w:sz w:val="21"/>
                <w:szCs w:val="21"/>
              </w:rPr>
            </w:pPr>
          </w:p>
        </w:tc>
        <w:tc>
          <w:tcPr>
            <w:tcW w:w="166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锌</w:t>
            </w:r>
          </w:p>
        </w:tc>
        <w:tc>
          <w:tcPr>
            <w:tcW w:w="120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≤1.0</w:t>
            </w:r>
          </w:p>
        </w:tc>
        <w:tc>
          <w:tcPr>
            <w:tcW w:w="861" w:type="dxa"/>
            <w:vMerge/>
            <w:tcBorders>
              <w:tl2br w:val="nil"/>
              <w:tr2bl w:val="nil"/>
            </w:tcBorders>
            <w:vAlign w:val="center"/>
          </w:tcPr>
          <w:p w:rsidR="00DB7CC8" w:rsidRDefault="00DB7CC8">
            <w:pPr>
              <w:spacing w:line="240" w:lineRule="auto"/>
              <w:ind w:firstLine="420"/>
              <w:jc w:val="center"/>
              <w:rPr>
                <w:sz w:val="21"/>
                <w:szCs w:val="21"/>
              </w:rPr>
            </w:pPr>
          </w:p>
        </w:tc>
      </w:tr>
      <w:tr w:rsidR="00DB7CC8">
        <w:trPr>
          <w:cantSplit/>
          <w:trHeight w:val="283"/>
          <w:jc w:val="center"/>
        </w:trPr>
        <w:tc>
          <w:tcPr>
            <w:tcW w:w="1707" w:type="dxa"/>
            <w:vMerge/>
            <w:tcBorders>
              <w:tl2br w:val="nil"/>
              <w:tr2bl w:val="nil"/>
            </w:tcBorders>
            <w:vAlign w:val="center"/>
          </w:tcPr>
          <w:p w:rsidR="00DB7CC8" w:rsidRDefault="00DB7CC8">
            <w:pPr>
              <w:spacing w:line="240" w:lineRule="auto"/>
              <w:ind w:firstLine="420"/>
              <w:jc w:val="center"/>
              <w:rPr>
                <w:sz w:val="21"/>
                <w:szCs w:val="21"/>
              </w:rPr>
            </w:pPr>
          </w:p>
        </w:tc>
        <w:tc>
          <w:tcPr>
            <w:tcW w:w="1623" w:type="dxa"/>
            <w:vMerge/>
            <w:tcBorders>
              <w:tl2br w:val="nil"/>
              <w:tr2bl w:val="nil"/>
            </w:tcBorders>
            <w:vAlign w:val="center"/>
          </w:tcPr>
          <w:p w:rsidR="00DB7CC8" w:rsidRDefault="00DB7CC8">
            <w:pPr>
              <w:spacing w:line="240" w:lineRule="auto"/>
              <w:ind w:firstLine="420"/>
              <w:jc w:val="center"/>
              <w:rPr>
                <w:sz w:val="21"/>
                <w:szCs w:val="21"/>
              </w:rPr>
            </w:pPr>
          </w:p>
        </w:tc>
        <w:tc>
          <w:tcPr>
            <w:tcW w:w="1461" w:type="dxa"/>
            <w:vMerge/>
            <w:tcBorders>
              <w:tl2br w:val="nil"/>
              <w:tr2bl w:val="nil"/>
            </w:tcBorders>
            <w:vAlign w:val="center"/>
          </w:tcPr>
          <w:p w:rsidR="00DB7CC8" w:rsidRDefault="00DB7CC8">
            <w:pPr>
              <w:spacing w:line="240" w:lineRule="auto"/>
              <w:ind w:firstLine="420"/>
              <w:jc w:val="center"/>
              <w:rPr>
                <w:sz w:val="21"/>
                <w:szCs w:val="21"/>
              </w:rPr>
            </w:pPr>
          </w:p>
        </w:tc>
        <w:tc>
          <w:tcPr>
            <w:tcW w:w="166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汞</w:t>
            </w:r>
          </w:p>
        </w:tc>
        <w:tc>
          <w:tcPr>
            <w:tcW w:w="120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≤0.0001</w:t>
            </w:r>
          </w:p>
        </w:tc>
        <w:tc>
          <w:tcPr>
            <w:tcW w:w="861" w:type="dxa"/>
            <w:vMerge/>
            <w:tcBorders>
              <w:tl2br w:val="nil"/>
              <w:tr2bl w:val="nil"/>
            </w:tcBorders>
            <w:vAlign w:val="center"/>
          </w:tcPr>
          <w:p w:rsidR="00DB7CC8" w:rsidRDefault="00DB7CC8">
            <w:pPr>
              <w:spacing w:line="240" w:lineRule="auto"/>
              <w:ind w:firstLine="420"/>
              <w:jc w:val="center"/>
              <w:rPr>
                <w:sz w:val="21"/>
                <w:szCs w:val="21"/>
              </w:rPr>
            </w:pPr>
          </w:p>
        </w:tc>
      </w:tr>
      <w:tr w:rsidR="00DB7CC8">
        <w:trPr>
          <w:cantSplit/>
          <w:trHeight w:val="283"/>
          <w:jc w:val="center"/>
        </w:trPr>
        <w:tc>
          <w:tcPr>
            <w:tcW w:w="1707" w:type="dxa"/>
            <w:vMerge/>
            <w:tcBorders>
              <w:tl2br w:val="nil"/>
              <w:tr2bl w:val="nil"/>
            </w:tcBorders>
            <w:vAlign w:val="center"/>
          </w:tcPr>
          <w:p w:rsidR="00DB7CC8" w:rsidRDefault="00DB7CC8">
            <w:pPr>
              <w:spacing w:line="240" w:lineRule="auto"/>
              <w:ind w:firstLine="420"/>
              <w:jc w:val="center"/>
              <w:rPr>
                <w:sz w:val="21"/>
                <w:szCs w:val="21"/>
              </w:rPr>
            </w:pPr>
          </w:p>
        </w:tc>
        <w:tc>
          <w:tcPr>
            <w:tcW w:w="1623" w:type="dxa"/>
            <w:vMerge/>
            <w:tcBorders>
              <w:tl2br w:val="nil"/>
              <w:tr2bl w:val="nil"/>
            </w:tcBorders>
            <w:vAlign w:val="center"/>
          </w:tcPr>
          <w:p w:rsidR="00DB7CC8" w:rsidRDefault="00DB7CC8">
            <w:pPr>
              <w:spacing w:line="240" w:lineRule="auto"/>
              <w:ind w:firstLine="420"/>
              <w:jc w:val="center"/>
              <w:rPr>
                <w:sz w:val="21"/>
                <w:szCs w:val="21"/>
              </w:rPr>
            </w:pPr>
          </w:p>
        </w:tc>
        <w:tc>
          <w:tcPr>
            <w:tcW w:w="1461" w:type="dxa"/>
            <w:vMerge/>
            <w:tcBorders>
              <w:tl2br w:val="nil"/>
              <w:tr2bl w:val="nil"/>
            </w:tcBorders>
            <w:vAlign w:val="center"/>
          </w:tcPr>
          <w:p w:rsidR="00DB7CC8" w:rsidRDefault="00DB7CC8">
            <w:pPr>
              <w:spacing w:line="240" w:lineRule="auto"/>
              <w:ind w:firstLine="420"/>
              <w:jc w:val="center"/>
              <w:rPr>
                <w:sz w:val="21"/>
                <w:szCs w:val="21"/>
              </w:rPr>
            </w:pPr>
          </w:p>
        </w:tc>
        <w:tc>
          <w:tcPr>
            <w:tcW w:w="166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镉</w:t>
            </w:r>
          </w:p>
        </w:tc>
        <w:tc>
          <w:tcPr>
            <w:tcW w:w="120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≤0.005</w:t>
            </w:r>
          </w:p>
        </w:tc>
        <w:tc>
          <w:tcPr>
            <w:tcW w:w="861" w:type="dxa"/>
            <w:vMerge/>
            <w:tcBorders>
              <w:tl2br w:val="nil"/>
              <w:tr2bl w:val="nil"/>
            </w:tcBorders>
            <w:vAlign w:val="center"/>
          </w:tcPr>
          <w:p w:rsidR="00DB7CC8" w:rsidRDefault="00DB7CC8">
            <w:pPr>
              <w:spacing w:line="240" w:lineRule="auto"/>
              <w:ind w:firstLine="420"/>
              <w:jc w:val="center"/>
              <w:rPr>
                <w:sz w:val="21"/>
                <w:szCs w:val="21"/>
              </w:rPr>
            </w:pPr>
          </w:p>
        </w:tc>
      </w:tr>
      <w:tr w:rsidR="00DB7CC8">
        <w:trPr>
          <w:cantSplit/>
          <w:trHeight w:val="283"/>
          <w:jc w:val="center"/>
        </w:trPr>
        <w:tc>
          <w:tcPr>
            <w:tcW w:w="1707" w:type="dxa"/>
            <w:vMerge/>
            <w:tcBorders>
              <w:tl2br w:val="nil"/>
              <w:tr2bl w:val="nil"/>
            </w:tcBorders>
            <w:vAlign w:val="center"/>
          </w:tcPr>
          <w:p w:rsidR="00DB7CC8" w:rsidRDefault="00DB7CC8">
            <w:pPr>
              <w:spacing w:line="240" w:lineRule="auto"/>
              <w:ind w:firstLine="420"/>
              <w:jc w:val="center"/>
              <w:rPr>
                <w:sz w:val="21"/>
                <w:szCs w:val="21"/>
              </w:rPr>
            </w:pPr>
          </w:p>
        </w:tc>
        <w:tc>
          <w:tcPr>
            <w:tcW w:w="1623" w:type="dxa"/>
            <w:vMerge/>
            <w:tcBorders>
              <w:tl2br w:val="nil"/>
              <w:tr2bl w:val="nil"/>
            </w:tcBorders>
            <w:vAlign w:val="center"/>
          </w:tcPr>
          <w:p w:rsidR="00DB7CC8" w:rsidRDefault="00DB7CC8">
            <w:pPr>
              <w:spacing w:line="240" w:lineRule="auto"/>
              <w:ind w:firstLine="420"/>
              <w:jc w:val="center"/>
              <w:rPr>
                <w:sz w:val="21"/>
                <w:szCs w:val="21"/>
              </w:rPr>
            </w:pPr>
          </w:p>
        </w:tc>
        <w:tc>
          <w:tcPr>
            <w:tcW w:w="1461" w:type="dxa"/>
            <w:vMerge/>
            <w:tcBorders>
              <w:tl2br w:val="nil"/>
              <w:tr2bl w:val="nil"/>
            </w:tcBorders>
            <w:vAlign w:val="center"/>
          </w:tcPr>
          <w:p w:rsidR="00DB7CC8" w:rsidRDefault="00DB7CC8">
            <w:pPr>
              <w:spacing w:line="240" w:lineRule="auto"/>
              <w:ind w:firstLine="420"/>
              <w:jc w:val="center"/>
              <w:rPr>
                <w:sz w:val="21"/>
                <w:szCs w:val="21"/>
              </w:rPr>
            </w:pPr>
          </w:p>
        </w:tc>
        <w:tc>
          <w:tcPr>
            <w:tcW w:w="166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六价铬</w:t>
            </w:r>
          </w:p>
        </w:tc>
        <w:tc>
          <w:tcPr>
            <w:tcW w:w="120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≤0.05</w:t>
            </w:r>
          </w:p>
        </w:tc>
        <w:tc>
          <w:tcPr>
            <w:tcW w:w="861" w:type="dxa"/>
            <w:vMerge/>
            <w:tcBorders>
              <w:tl2br w:val="nil"/>
              <w:tr2bl w:val="nil"/>
            </w:tcBorders>
            <w:vAlign w:val="center"/>
          </w:tcPr>
          <w:p w:rsidR="00DB7CC8" w:rsidRDefault="00DB7CC8">
            <w:pPr>
              <w:spacing w:line="240" w:lineRule="auto"/>
              <w:ind w:firstLine="420"/>
              <w:jc w:val="center"/>
              <w:rPr>
                <w:sz w:val="21"/>
                <w:szCs w:val="21"/>
              </w:rPr>
            </w:pPr>
          </w:p>
        </w:tc>
      </w:tr>
      <w:tr w:rsidR="00DB7CC8">
        <w:trPr>
          <w:cantSplit/>
          <w:trHeight w:val="283"/>
          <w:jc w:val="center"/>
        </w:trPr>
        <w:tc>
          <w:tcPr>
            <w:tcW w:w="1707" w:type="dxa"/>
            <w:vMerge/>
            <w:tcBorders>
              <w:tl2br w:val="nil"/>
              <w:tr2bl w:val="nil"/>
            </w:tcBorders>
            <w:vAlign w:val="center"/>
          </w:tcPr>
          <w:p w:rsidR="00DB7CC8" w:rsidRDefault="00DB7CC8">
            <w:pPr>
              <w:spacing w:line="240" w:lineRule="auto"/>
              <w:ind w:firstLine="420"/>
              <w:jc w:val="center"/>
              <w:rPr>
                <w:sz w:val="21"/>
                <w:szCs w:val="21"/>
              </w:rPr>
            </w:pPr>
          </w:p>
        </w:tc>
        <w:tc>
          <w:tcPr>
            <w:tcW w:w="1623" w:type="dxa"/>
            <w:vMerge/>
            <w:tcBorders>
              <w:tl2br w:val="nil"/>
              <w:tr2bl w:val="nil"/>
            </w:tcBorders>
            <w:vAlign w:val="center"/>
          </w:tcPr>
          <w:p w:rsidR="00DB7CC8" w:rsidRDefault="00DB7CC8">
            <w:pPr>
              <w:spacing w:line="240" w:lineRule="auto"/>
              <w:ind w:firstLine="420"/>
              <w:jc w:val="center"/>
              <w:rPr>
                <w:sz w:val="21"/>
                <w:szCs w:val="21"/>
              </w:rPr>
            </w:pPr>
          </w:p>
        </w:tc>
        <w:tc>
          <w:tcPr>
            <w:tcW w:w="1461" w:type="dxa"/>
            <w:vMerge/>
            <w:tcBorders>
              <w:tl2br w:val="nil"/>
              <w:tr2bl w:val="nil"/>
            </w:tcBorders>
            <w:vAlign w:val="center"/>
          </w:tcPr>
          <w:p w:rsidR="00DB7CC8" w:rsidRDefault="00DB7CC8">
            <w:pPr>
              <w:spacing w:line="240" w:lineRule="auto"/>
              <w:ind w:firstLine="420"/>
              <w:jc w:val="center"/>
              <w:rPr>
                <w:sz w:val="21"/>
                <w:szCs w:val="21"/>
              </w:rPr>
            </w:pPr>
          </w:p>
        </w:tc>
        <w:tc>
          <w:tcPr>
            <w:tcW w:w="166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铅</w:t>
            </w:r>
          </w:p>
        </w:tc>
        <w:tc>
          <w:tcPr>
            <w:tcW w:w="120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≤0.05</w:t>
            </w:r>
          </w:p>
        </w:tc>
        <w:tc>
          <w:tcPr>
            <w:tcW w:w="861" w:type="dxa"/>
            <w:vMerge/>
            <w:tcBorders>
              <w:tl2br w:val="nil"/>
              <w:tr2bl w:val="nil"/>
            </w:tcBorders>
            <w:vAlign w:val="center"/>
          </w:tcPr>
          <w:p w:rsidR="00DB7CC8" w:rsidRDefault="00DB7CC8">
            <w:pPr>
              <w:spacing w:line="240" w:lineRule="auto"/>
              <w:ind w:firstLine="420"/>
              <w:jc w:val="center"/>
              <w:rPr>
                <w:sz w:val="21"/>
                <w:szCs w:val="21"/>
              </w:rPr>
            </w:pPr>
          </w:p>
        </w:tc>
      </w:tr>
      <w:tr w:rsidR="00DB7CC8">
        <w:trPr>
          <w:cantSplit/>
          <w:trHeight w:val="283"/>
          <w:jc w:val="center"/>
        </w:trPr>
        <w:tc>
          <w:tcPr>
            <w:tcW w:w="1707" w:type="dxa"/>
            <w:vMerge/>
            <w:tcBorders>
              <w:tl2br w:val="nil"/>
              <w:tr2bl w:val="nil"/>
            </w:tcBorders>
            <w:vAlign w:val="center"/>
          </w:tcPr>
          <w:p w:rsidR="00DB7CC8" w:rsidRDefault="00DB7CC8">
            <w:pPr>
              <w:spacing w:line="240" w:lineRule="auto"/>
              <w:ind w:firstLine="420"/>
              <w:jc w:val="center"/>
              <w:rPr>
                <w:sz w:val="21"/>
                <w:szCs w:val="21"/>
              </w:rPr>
            </w:pPr>
          </w:p>
        </w:tc>
        <w:tc>
          <w:tcPr>
            <w:tcW w:w="1623" w:type="dxa"/>
            <w:vMerge/>
            <w:tcBorders>
              <w:tl2br w:val="nil"/>
              <w:tr2bl w:val="nil"/>
            </w:tcBorders>
            <w:vAlign w:val="center"/>
          </w:tcPr>
          <w:p w:rsidR="00DB7CC8" w:rsidRDefault="00DB7CC8">
            <w:pPr>
              <w:spacing w:line="240" w:lineRule="auto"/>
              <w:ind w:firstLine="420"/>
              <w:jc w:val="center"/>
              <w:rPr>
                <w:sz w:val="21"/>
                <w:szCs w:val="21"/>
              </w:rPr>
            </w:pPr>
          </w:p>
        </w:tc>
        <w:tc>
          <w:tcPr>
            <w:tcW w:w="1461" w:type="dxa"/>
            <w:vMerge/>
            <w:tcBorders>
              <w:tl2br w:val="nil"/>
              <w:tr2bl w:val="nil"/>
            </w:tcBorders>
            <w:vAlign w:val="center"/>
          </w:tcPr>
          <w:p w:rsidR="00DB7CC8" w:rsidRDefault="00DB7CC8">
            <w:pPr>
              <w:spacing w:line="240" w:lineRule="auto"/>
              <w:ind w:firstLine="420"/>
              <w:jc w:val="center"/>
              <w:rPr>
                <w:sz w:val="21"/>
                <w:szCs w:val="21"/>
              </w:rPr>
            </w:pPr>
          </w:p>
        </w:tc>
        <w:tc>
          <w:tcPr>
            <w:tcW w:w="166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铜</w:t>
            </w:r>
          </w:p>
        </w:tc>
        <w:tc>
          <w:tcPr>
            <w:tcW w:w="120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≤1.0</w:t>
            </w:r>
          </w:p>
        </w:tc>
        <w:tc>
          <w:tcPr>
            <w:tcW w:w="861" w:type="dxa"/>
            <w:vMerge/>
            <w:tcBorders>
              <w:tl2br w:val="nil"/>
              <w:tr2bl w:val="nil"/>
            </w:tcBorders>
            <w:vAlign w:val="center"/>
          </w:tcPr>
          <w:p w:rsidR="00DB7CC8" w:rsidRDefault="00DB7CC8">
            <w:pPr>
              <w:spacing w:line="240" w:lineRule="auto"/>
              <w:ind w:firstLine="420"/>
              <w:jc w:val="center"/>
              <w:rPr>
                <w:sz w:val="21"/>
                <w:szCs w:val="21"/>
              </w:rPr>
            </w:pPr>
          </w:p>
        </w:tc>
      </w:tr>
    </w:tbl>
    <w:p w:rsidR="00DB7CC8" w:rsidRDefault="002B5250">
      <w:pPr>
        <w:pStyle w:val="4"/>
        <w:numPr>
          <w:ilvl w:val="3"/>
          <w:numId w:val="1"/>
        </w:numPr>
        <w:ind w:left="709" w:hanging="709"/>
        <w:rPr>
          <w:rFonts w:eastAsia="宋体"/>
          <w:b/>
        </w:rPr>
      </w:pPr>
      <w:r>
        <w:rPr>
          <w:rFonts w:eastAsia="宋体"/>
          <w:b/>
        </w:rPr>
        <w:t>地下水</w:t>
      </w:r>
    </w:p>
    <w:p w:rsidR="00DB7CC8" w:rsidRDefault="002B5250">
      <w:pPr>
        <w:ind w:firstLine="480"/>
        <w:jc w:val="both"/>
        <w:rPr>
          <w:sz w:val="24"/>
          <w:szCs w:val="24"/>
        </w:rPr>
      </w:pPr>
      <w:r>
        <w:rPr>
          <w:sz w:val="24"/>
          <w:szCs w:val="24"/>
        </w:rPr>
        <w:t>本项目所在区域地下水环境执行《地下水质量标准》（</w:t>
      </w:r>
      <w:r>
        <w:rPr>
          <w:sz w:val="24"/>
          <w:szCs w:val="24"/>
        </w:rPr>
        <w:t>GB/T14848-2017</w:t>
      </w:r>
      <w:r>
        <w:rPr>
          <w:sz w:val="24"/>
          <w:szCs w:val="24"/>
        </w:rPr>
        <w:t>）中</w:t>
      </w:r>
      <w:r>
        <w:rPr>
          <w:sz w:val="24"/>
          <w:szCs w:val="24"/>
        </w:rPr>
        <w:t>Ⅲ</w:t>
      </w:r>
      <w:r>
        <w:rPr>
          <w:sz w:val="24"/>
          <w:szCs w:val="24"/>
        </w:rPr>
        <w:t>类标准，石油类参照《地表水环境质量标准》（</w:t>
      </w:r>
      <w:r>
        <w:rPr>
          <w:sz w:val="24"/>
          <w:szCs w:val="24"/>
        </w:rPr>
        <w:t>GB3838-2002</w:t>
      </w:r>
      <w:r>
        <w:rPr>
          <w:sz w:val="24"/>
          <w:szCs w:val="24"/>
        </w:rPr>
        <w:t>）</w:t>
      </w:r>
      <w:r>
        <w:rPr>
          <w:sz w:val="24"/>
          <w:szCs w:val="24"/>
        </w:rPr>
        <w:t>III</w:t>
      </w:r>
      <w:r>
        <w:rPr>
          <w:sz w:val="24"/>
          <w:szCs w:val="24"/>
        </w:rPr>
        <w:t>类标准，具体标准值见表</w:t>
      </w:r>
      <w:r>
        <w:rPr>
          <w:sz w:val="24"/>
          <w:szCs w:val="24"/>
        </w:rPr>
        <w:t>2.</w:t>
      </w:r>
      <w:r>
        <w:rPr>
          <w:rFonts w:hint="eastAsia"/>
          <w:sz w:val="24"/>
          <w:szCs w:val="24"/>
        </w:rPr>
        <w:t>7</w:t>
      </w:r>
      <w:r>
        <w:rPr>
          <w:sz w:val="24"/>
          <w:szCs w:val="24"/>
        </w:rPr>
        <w:t>-3</w:t>
      </w:r>
      <w:r>
        <w:rPr>
          <w:sz w:val="24"/>
          <w:szCs w:val="24"/>
        </w:rPr>
        <w:t>。</w:t>
      </w:r>
    </w:p>
    <w:p w:rsidR="00DB7CC8" w:rsidRDefault="002B5250">
      <w:pPr>
        <w:adjustRightInd w:val="0"/>
        <w:spacing w:line="240" w:lineRule="auto"/>
        <w:ind w:firstLine="420"/>
        <w:jc w:val="center"/>
        <w:rPr>
          <w:rFonts w:eastAsia="黑体"/>
          <w:sz w:val="21"/>
          <w:szCs w:val="21"/>
        </w:rPr>
      </w:pPr>
      <w:r>
        <w:rPr>
          <w:rFonts w:eastAsia="黑体"/>
          <w:sz w:val="21"/>
          <w:szCs w:val="21"/>
        </w:rPr>
        <w:t>表</w:t>
      </w:r>
      <w:r>
        <w:rPr>
          <w:rFonts w:eastAsia="黑体"/>
          <w:sz w:val="21"/>
          <w:szCs w:val="21"/>
        </w:rPr>
        <w:t>2.</w:t>
      </w:r>
      <w:r>
        <w:rPr>
          <w:rFonts w:eastAsia="黑体" w:hint="eastAsia"/>
          <w:sz w:val="21"/>
          <w:szCs w:val="21"/>
        </w:rPr>
        <w:t>7</w:t>
      </w:r>
      <w:r>
        <w:rPr>
          <w:rFonts w:eastAsia="黑体"/>
          <w:sz w:val="21"/>
          <w:szCs w:val="21"/>
        </w:rPr>
        <w:t>-3</w:t>
      </w:r>
      <w:r>
        <w:rPr>
          <w:rFonts w:eastAsia="黑体" w:hint="eastAsia"/>
          <w:sz w:val="21"/>
          <w:szCs w:val="21"/>
        </w:rPr>
        <w:t xml:space="preserve">   </w:t>
      </w:r>
      <w:r>
        <w:rPr>
          <w:rFonts w:eastAsia="黑体"/>
          <w:sz w:val="21"/>
          <w:szCs w:val="21"/>
        </w:rPr>
        <w:t>地下水质量标准</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1"/>
        <w:gridCol w:w="1007"/>
        <w:gridCol w:w="501"/>
        <w:gridCol w:w="1514"/>
        <w:gridCol w:w="811"/>
        <w:gridCol w:w="671"/>
        <w:gridCol w:w="1532"/>
        <w:gridCol w:w="804"/>
        <w:gridCol w:w="881"/>
      </w:tblGrid>
      <w:tr w:rsidR="00DB7CC8">
        <w:trPr>
          <w:cantSplit/>
          <w:trHeight w:val="64"/>
          <w:jc w:val="center"/>
        </w:trPr>
        <w:tc>
          <w:tcPr>
            <w:tcW w:w="801"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标准号</w:t>
            </w:r>
          </w:p>
        </w:tc>
        <w:tc>
          <w:tcPr>
            <w:tcW w:w="1007"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标准名称</w:t>
            </w:r>
          </w:p>
        </w:tc>
        <w:tc>
          <w:tcPr>
            <w:tcW w:w="501"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类别</w:t>
            </w:r>
          </w:p>
        </w:tc>
        <w:tc>
          <w:tcPr>
            <w:tcW w:w="1514"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污染物</w:t>
            </w:r>
          </w:p>
        </w:tc>
        <w:tc>
          <w:tcPr>
            <w:tcW w:w="1482" w:type="dxa"/>
            <w:gridSpan w:val="2"/>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标准值</w:t>
            </w:r>
          </w:p>
        </w:tc>
        <w:tc>
          <w:tcPr>
            <w:tcW w:w="1532"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污染物</w:t>
            </w:r>
          </w:p>
        </w:tc>
        <w:tc>
          <w:tcPr>
            <w:tcW w:w="1685" w:type="dxa"/>
            <w:gridSpan w:val="2"/>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标准值</w:t>
            </w:r>
          </w:p>
        </w:tc>
      </w:tr>
      <w:tr w:rsidR="00DB7CC8">
        <w:trPr>
          <w:cantSplit/>
          <w:trHeight w:val="64"/>
          <w:jc w:val="center"/>
        </w:trPr>
        <w:tc>
          <w:tcPr>
            <w:tcW w:w="8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07"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5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1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81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数值</w:t>
            </w:r>
          </w:p>
        </w:tc>
        <w:tc>
          <w:tcPr>
            <w:tcW w:w="67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单位</w:t>
            </w:r>
          </w:p>
        </w:tc>
        <w:tc>
          <w:tcPr>
            <w:tcW w:w="1532"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80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数值</w:t>
            </w:r>
          </w:p>
        </w:tc>
        <w:tc>
          <w:tcPr>
            <w:tcW w:w="88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单位</w:t>
            </w:r>
          </w:p>
        </w:tc>
      </w:tr>
      <w:tr w:rsidR="00DB7CC8">
        <w:trPr>
          <w:cantSplit/>
          <w:trHeight w:val="64"/>
          <w:jc w:val="center"/>
        </w:trPr>
        <w:tc>
          <w:tcPr>
            <w:tcW w:w="801"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GB/T</w:t>
            </w:r>
          </w:p>
          <w:p w:rsidR="00DB7CC8" w:rsidRDefault="002B5250">
            <w:pPr>
              <w:spacing w:line="240" w:lineRule="auto"/>
              <w:ind w:firstLineChars="0" w:firstLine="0"/>
              <w:jc w:val="center"/>
              <w:rPr>
                <w:sz w:val="21"/>
                <w:szCs w:val="21"/>
              </w:rPr>
            </w:pPr>
            <w:r>
              <w:rPr>
                <w:sz w:val="21"/>
                <w:szCs w:val="21"/>
              </w:rPr>
              <w:t>14848</w:t>
            </w:r>
          </w:p>
          <w:p w:rsidR="00DB7CC8" w:rsidRDefault="002B5250">
            <w:pPr>
              <w:spacing w:line="240" w:lineRule="auto"/>
              <w:ind w:firstLineChars="0" w:firstLine="0"/>
              <w:jc w:val="center"/>
              <w:rPr>
                <w:sz w:val="21"/>
                <w:szCs w:val="21"/>
              </w:rPr>
            </w:pPr>
            <w:r>
              <w:rPr>
                <w:sz w:val="21"/>
                <w:szCs w:val="21"/>
              </w:rPr>
              <w:t>-2017</w:t>
            </w:r>
          </w:p>
        </w:tc>
        <w:tc>
          <w:tcPr>
            <w:tcW w:w="1007"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地下</w:t>
            </w:r>
          </w:p>
          <w:p w:rsidR="00DB7CC8" w:rsidRDefault="002B5250">
            <w:pPr>
              <w:spacing w:line="240" w:lineRule="auto"/>
              <w:ind w:firstLineChars="0" w:firstLine="0"/>
              <w:jc w:val="center"/>
              <w:rPr>
                <w:sz w:val="21"/>
                <w:szCs w:val="21"/>
              </w:rPr>
            </w:pPr>
            <w:r>
              <w:rPr>
                <w:sz w:val="21"/>
                <w:szCs w:val="21"/>
              </w:rPr>
              <w:t>水</w:t>
            </w:r>
          </w:p>
          <w:p w:rsidR="00DB7CC8" w:rsidRDefault="002B5250">
            <w:pPr>
              <w:spacing w:line="240" w:lineRule="auto"/>
              <w:ind w:firstLineChars="0" w:firstLine="0"/>
              <w:jc w:val="center"/>
              <w:rPr>
                <w:sz w:val="21"/>
                <w:szCs w:val="21"/>
              </w:rPr>
            </w:pPr>
            <w:r>
              <w:rPr>
                <w:sz w:val="21"/>
                <w:szCs w:val="21"/>
              </w:rPr>
              <w:t>质量</w:t>
            </w:r>
          </w:p>
          <w:p w:rsidR="00DB7CC8" w:rsidRDefault="002B5250">
            <w:pPr>
              <w:spacing w:line="240" w:lineRule="auto"/>
              <w:ind w:firstLineChars="0" w:firstLine="0"/>
              <w:jc w:val="center"/>
              <w:rPr>
                <w:sz w:val="21"/>
                <w:szCs w:val="21"/>
              </w:rPr>
            </w:pPr>
            <w:r>
              <w:rPr>
                <w:sz w:val="21"/>
                <w:szCs w:val="21"/>
              </w:rPr>
              <w:t>标准</w:t>
            </w:r>
          </w:p>
        </w:tc>
        <w:tc>
          <w:tcPr>
            <w:tcW w:w="501"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Ⅲ</w:t>
            </w:r>
            <w:r>
              <w:rPr>
                <w:sz w:val="21"/>
                <w:szCs w:val="21"/>
              </w:rPr>
              <w:t>类</w:t>
            </w:r>
          </w:p>
        </w:tc>
        <w:tc>
          <w:tcPr>
            <w:tcW w:w="151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pH</w:t>
            </w:r>
          </w:p>
        </w:tc>
        <w:tc>
          <w:tcPr>
            <w:tcW w:w="81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6.5-8.5</w:t>
            </w:r>
          </w:p>
        </w:tc>
        <w:tc>
          <w:tcPr>
            <w:tcW w:w="67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c>
          <w:tcPr>
            <w:tcW w:w="153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硫化物</w:t>
            </w:r>
          </w:p>
        </w:tc>
        <w:tc>
          <w:tcPr>
            <w:tcW w:w="80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≤0.02</w:t>
            </w:r>
          </w:p>
        </w:tc>
        <w:tc>
          <w:tcPr>
            <w:tcW w:w="881"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mg/L</w:t>
            </w:r>
          </w:p>
        </w:tc>
      </w:tr>
      <w:tr w:rsidR="00DB7CC8">
        <w:trPr>
          <w:cantSplit/>
          <w:trHeight w:val="140"/>
          <w:jc w:val="center"/>
        </w:trPr>
        <w:tc>
          <w:tcPr>
            <w:tcW w:w="8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07"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5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1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总硬度</w:t>
            </w:r>
          </w:p>
        </w:tc>
        <w:tc>
          <w:tcPr>
            <w:tcW w:w="81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≤450</w:t>
            </w:r>
          </w:p>
        </w:tc>
        <w:tc>
          <w:tcPr>
            <w:tcW w:w="671"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mg/L</w:t>
            </w:r>
          </w:p>
        </w:tc>
        <w:tc>
          <w:tcPr>
            <w:tcW w:w="153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铜</w:t>
            </w:r>
          </w:p>
        </w:tc>
        <w:tc>
          <w:tcPr>
            <w:tcW w:w="80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≤1.0</w:t>
            </w:r>
          </w:p>
        </w:tc>
        <w:tc>
          <w:tcPr>
            <w:tcW w:w="881"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cantSplit/>
          <w:trHeight w:val="140"/>
          <w:jc w:val="center"/>
        </w:trPr>
        <w:tc>
          <w:tcPr>
            <w:tcW w:w="8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07"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5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1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硫酸盐</w:t>
            </w:r>
          </w:p>
        </w:tc>
        <w:tc>
          <w:tcPr>
            <w:tcW w:w="81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≤250</w:t>
            </w:r>
          </w:p>
        </w:tc>
        <w:tc>
          <w:tcPr>
            <w:tcW w:w="67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3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锌</w:t>
            </w:r>
          </w:p>
        </w:tc>
        <w:tc>
          <w:tcPr>
            <w:tcW w:w="80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≤1.0</w:t>
            </w:r>
          </w:p>
        </w:tc>
        <w:tc>
          <w:tcPr>
            <w:tcW w:w="881"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cantSplit/>
          <w:trHeight w:val="140"/>
          <w:jc w:val="center"/>
        </w:trPr>
        <w:tc>
          <w:tcPr>
            <w:tcW w:w="8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07"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5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1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挥发性酚类</w:t>
            </w:r>
          </w:p>
        </w:tc>
        <w:tc>
          <w:tcPr>
            <w:tcW w:w="81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≤0.002</w:t>
            </w:r>
          </w:p>
        </w:tc>
        <w:tc>
          <w:tcPr>
            <w:tcW w:w="67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3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汞</w:t>
            </w:r>
          </w:p>
        </w:tc>
        <w:tc>
          <w:tcPr>
            <w:tcW w:w="80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≤0.001</w:t>
            </w:r>
          </w:p>
        </w:tc>
        <w:tc>
          <w:tcPr>
            <w:tcW w:w="881"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cantSplit/>
          <w:trHeight w:val="140"/>
          <w:jc w:val="center"/>
        </w:trPr>
        <w:tc>
          <w:tcPr>
            <w:tcW w:w="8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07"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5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1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硝酸盐</w:t>
            </w:r>
          </w:p>
        </w:tc>
        <w:tc>
          <w:tcPr>
            <w:tcW w:w="81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≤20</w:t>
            </w:r>
          </w:p>
        </w:tc>
        <w:tc>
          <w:tcPr>
            <w:tcW w:w="67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3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砷</w:t>
            </w:r>
          </w:p>
        </w:tc>
        <w:tc>
          <w:tcPr>
            <w:tcW w:w="80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≤0.01</w:t>
            </w:r>
          </w:p>
        </w:tc>
        <w:tc>
          <w:tcPr>
            <w:tcW w:w="881"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cantSplit/>
          <w:trHeight w:val="140"/>
          <w:jc w:val="center"/>
        </w:trPr>
        <w:tc>
          <w:tcPr>
            <w:tcW w:w="8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07"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5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1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亚硝酸盐</w:t>
            </w:r>
          </w:p>
        </w:tc>
        <w:tc>
          <w:tcPr>
            <w:tcW w:w="81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≤1.00</w:t>
            </w:r>
          </w:p>
        </w:tc>
        <w:tc>
          <w:tcPr>
            <w:tcW w:w="67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3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镉</w:t>
            </w:r>
          </w:p>
        </w:tc>
        <w:tc>
          <w:tcPr>
            <w:tcW w:w="80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≤0.005</w:t>
            </w:r>
          </w:p>
        </w:tc>
        <w:tc>
          <w:tcPr>
            <w:tcW w:w="881"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cantSplit/>
          <w:trHeight w:val="140"/>
          <w:jc w:val="center"/>
        </w:trPr>
        <w:tc>
          <w:tcPr>
            <w:tcW w:w="8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07"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5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1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耗氧量</w:t>
            </w:r>
          </w:p>
        </w:tc>
        <w:tc>
          <w:tcPr>
            <w:tcW w:w="81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≤3.0</w:t>
            </w:r>
          </w:p>
        </w:tc>
        <w:tc>
          <w:tcPr>
            <w:tcW w:w="67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3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铅</w:t>
            </w:r>
          </w:p>
        </w:tc>
        <w:tc>
          <w:tcPr>
            <w:tcW w:w="80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≤0.01</w:t>
            </w:r>
          </w:p>
        </w:tc>
        <w:tc>
          <w:tcPr>
            <w:tcW w:w="881"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cantSplit/>
          <w:trHeight w:val="140"/>
          <w:jc w:val="center"/>
        </w:trPr>
        <w:tc>
          <w:tcPr>
            <w:tcW w:w="8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07"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5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1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氨氮</w:t>
            </w:r>
          </w:p>
        </w:tc>
        <w:tc>
          <w:tcPr>
            <w:tcW w:w="81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≤0.5</w:t>
            </w:r>
          </w:p>
        </w:tc>
        <w:tc>
          <w:tcPr>
            <w:tcW w:w="67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3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铁</w:t>
            </w:r>
          </w:p>
        </w:tc>
        <w:tc>
          <w:tcPr>
            <w:tcW w:w="80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≤0.3</w:t>
            </w:r>
          </w:p>
        </w:tc>
        <w:tc>
          <w:tcPr>
            <w:tcW w:w="881"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cantSplit/>
          <w:trHeight w:val="140"/>
          <w:jc w:val="center"/>
        </w:trPr>
        <w:tc>
          <w:tcPr>
            <w:tcW w:w="8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07"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5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1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铬（六价）</w:t>
            </w:r>
          </w:p>
        </w:tc>
        <w:tc>
          <w:tcPr>
            <w:tcW w:w="81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≤0.05</w:t>
            </w:r>
          </w:p>
        </w:tc>
        <w:tc>
          <w:tcPr>
            <w:tcW w:w="67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3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锰</w:t>
            </w:r>
          </w:p>
        </w:tc>
        <w:tc>
          <w:tcPr>
            <w:tcW w:w="80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≤0.1</w:t>
            </w:r>
          </w:p>
        </w:tc>
        <w:tc>
          <w:tcPr>
            <w:tcW w:w="881"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cantSplit/>
          <w:trHeight w:val="140"/>
          <w:jc w:val="center"/>
        </w:trPr>
        <w:tc>
          <w:tcPr>
            <w:tcW w:w="8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07"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5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1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溶解性总固体</w:t>
            </w:r>
          </w:p>
        </w:tc>
        <w:tc>
          <w:tcPr>
            <w:tcW w:w="81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≤1000</w:t>
            </w:r>
          </w:p>
        </w:tc>
        <w:tc>
          <w:tcPr>
            <w:tcW w:w="67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3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石油类</w:t>
            </w:r>
          </w:p>
        </w:tc>
        <w:tc>
          <w:tcPr>
            <w:tcW w:w="80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≤0.05</w:t>
            </w:r>
          </w:p>
        </w:tc>
        <w:tc>
          <w:tcPr>
            <w:tcW w:w="881"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cantSplit/>
          <w:trHeight w:val="70"/>
          <w:jc w:val="center"/>
        </w:trPr>
        <w:tc>
          <w:tcPr>
            <w:tcW w:w="8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07"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5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1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氯化物</w:t>
            </w:r>
          </w:p>
        </w:tc>
        <w:tc>
          <w:tcPr>
            <w:tcW w:w="81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≤250</w:t>
            </w:r>
          </w:p>
        </w:tc>
        <w:tc>
          <w:tcPr>
            <w:tcW w:w="67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3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总大肠菌群数</w:t>
            </w:r>
          </w:p>
        </w:tc>
        <w:tc>
          <w:tcPr>
            <w:tcW w:w="80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≤3.0</w:t>
            </w:r>
          </w:p>
        </w:tc>
        <w:tc>
          <w:tcPr>
            <w:tcW w:w="88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个</w:t>
            </w:r>
            <w:r>
              <w:rPr>
                <w:sz w:val="21"/>
                <w:szCs w:val="21"/>
              </w:rPr>
              <w:t>/L</w:t>
            </w:r>
          </w:p>
        </w:tc>
      </w:tr>
      <w:tr w:rsidR="00DB7CC8">
        <w:trPr>
          <w:cantSplit/>
          <w:trHeight w:val="70"/>
          <w:jc w:val="center"/>
        </w:trPr>
        <w:tc>
          <w:tcPr>
            <w:tcW w:w="8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07"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5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1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氰化物</w:t>
            </w:r>
          </w:p>
        </w:tc>
        <w:tc>
          <w:tcPr>
            <w:tcW w:w="81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≤0.05</w:t>
            </w:r>
          </w:p>
        </w:tc>
        <w:tc>
          <w:tcPr>
            <w:tcW w:w="67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3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细菌总数</w:t>
            </w:r>
          </w:p>
        </w:tc>
        <w:tc>
          <w:tcPr>
            <w:tcW w:w="80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≤100</w:t>
            </w:r>
          </w:p>
        </w:tc>
        <w:tc>
          <w:tcPr>
            <w:tcW w:w="88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个</w:t>
            </w:r>
            <w:r>
              <w:rPr>
                <w:sz w:val="21"/>
                <w:szCs w:val="21"/>
              </w:rPr>
              <w:t>/mL</w:t>
            </w:r>
          </w:p>
        </w:tc>
      </w:tr>
      <w:tr w:rsidR="00DB7CC8">
        <w:trPr>
          <w:cantSplit/>
          <w:trHeight w:val="70"/>
          <w:jc w:val="center"/>
        </w:trPr>
        <w:tc>
          <w:tcPr>
            <w:tcW w:w="8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07"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50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1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氟化物</w:t>
            </w:r>
          </w:p>
        </w:tc>
        <w:tc>
          <w:tcPr>
            <w:tcW w:w="81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≤1.0</w:t>
            </w:r>
          </w:p>
        </w:tc>
        <w:tc>
          <w:tcPr>
            <w:tcW w:w="671"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53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c>
          <w:tcPr>
            <w:tcW w:w="80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c>
          <w:tcPr>
            <w:tcW w:w="88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r>
    </w:tbl>
    <w:p w:rsidR="00DB7CC8" w:rsidRDefault="002B5250">
      <w:pPr>
        <w:pStyle w:val="4"/>
        <w:numPr>
          <w:ilvl w:val="3"/>
          <w:numId w:val="1"/>
        </w:numPr>
        <w:ind w:left="709" w:hanging="709"/>
        <w:rPr>
          <w:rFonts w:eastAsia="宋体"/>
          <w:b/>
        </w:rPr>
      </w:pPr>
      <w:r>
        <w:rPr>
          <w:rFonts w:eastAsia="宋体"/>
          <w:b/>
        </w:rPr>
        <w:t>声环境</w:t>
      </w:r>
    </w:p>
    <w:p w:rsidR="00DB7CC8" w:rsidRDefault="002B5250">
      <w:pPr>
        <w:ind w:firstLine="480"/>
      </w:pPr>
      <w:r>
        <w:rPr>
          <w:sz w:val="24"/>
          <w:szCs w:val="24"/>
        </w:rPr>
        <w:t>本项目所在地噪声环境功能区划为</w:t>
      </w:r>
      <w:r>
        <w:rPr>
          <w:sz w:val="24"/>
          <w:szCs w:val="24"/>
        </w:rPr>
        <w:t>2</w:t>
      </w:r>
      <w:r>
        <w:rPr>
          <w:sz w:val="24"/>
          <w:szCs w:val="24"/>
        </w:rPr>
        <w:t>类，声环境执行《声环境质量标准》（</w:t>
      </w:r>
      <w:r>
        <w:rPr>
          <w:sz w:val="24"/>
          <w:szCs w:val="24"/>
        </w:rPr>
        <w:t>GB3096-2008</w:t>
      </w:r>
      <w:r>
        <w:rPr>
          <w:sz w:val="24"/>
          <w:szCs w:val="24"/>
        </w:rPr>
        <w:t>）</w:t>
      </w:r>
      <w:r>
        <w:rPr>
          <w:sz w:val="24"/>
          <w:szCs w:val="24"/>
        </w:rPr>
        <w:t>2</w:t>
      </w:r>
      <w:r>
        <w:rPr>
          <w:sz w:val="24"/>
          <w:szCs w:val="24"/>
        </w:rPr>
        <w:t>类标准，具体见表</w:t>
      </w:r>
      <w:r>
        <w:rPr>
          <w:sz w:val="24"/>
          <w:szCs w:val="24"/>
        </w:rPr>
        <w:t>2.</w:t>
      </w:r>
      <w:r>
        <w:rPr>
          <w:rFonts w:hint="eastAsia"/>
          <w:sz w:val="24"/>
          <w:szCs w:val="24"/>
        </w:rPr>
        <w:t>7</w:t>
      </w:r>
      <w:r>
        <w:rPr>
          <w:sz w:val="24"/>
          <w:szCs w:val="24"/>
        </w:rPr>
        <w:t>-4</w:t>
      </w:r>
      <w:r>
        <w:rPr>
          <w:sz w:val="24"/>
          <w:szCs w:val="24"/>
        </w:rPr>
        <w:t>。</w:t>
      </w:r>
    </w:p>
    <w:p w:rsidR="00DB7CC8" w:rsidRDefault="002B5250">
      <w:pPr>
        <w:spacing w:line="240" w:lineRule="auto"/>
        <w:ind w:firstLineChars="0"/>
        <w:jc w:val="center"/>
        <w:textAlignment w:val="auto"/>
        <w:rPr>
          <w:rFonts w:eastAsia="黑体"/>
          <w:kern w:val="2"/>
          <w:sz w:val="21"/>
          <w:szCs w:val="21"/>
        </w:rPr>
      </w:pPr>
      <w:r>
        <w:rPr>
          <w:rFonts w:eastAsia="黑体"/>
          <w:kern w:val="2"/>
          <w:sz w:val="21"/>
          <w:szCs w:val="21"/>
        </w:rPr>
        <w:t>表</w:t>
      </w:r>
      <w:r>
        <w:rPr>
          <w:rFonts w:eastAsia="黑体"/>
          <w:kern w:val="2"/>
          <w:sz w:val="21"/>
          <w:szCs w:val="21"/>
        </w:rPr>
        <w:t>2.</w:t>
      </w:r>
      <w:r>
        <w:rPr>
          <w:rFonts w:eastAsia="黑体" w:hint="eastAsia"/>
          <w:kern w:val="2"/>
          <w:sz w:val="21"/>
          <w:szCs w:val="21"/>
        </w:rPr>
        <w:t>7</w:t>
      </w:r>
      <w:r>
        <w:rPr>
          <w:rFonts w:eastAsia="黑体"/>
          <w:kern w:val="2"/>
          <w:sz w:val="21"/>
          <w:szCs w:val="21"/>
        </w:rPr>
        <w:t xml:space="preserve">-4    </w:t>
      </w:r>
      <w:r>
        <w:rPr>
          <w:rFonts w:eastAsia="黑体"/>
          <w:kern w:val="2"/>
          <w:sz w:val="21"/>
          <w:szCs w:val="21"/>
        </w:rPr>
        <w:t>声环境质量标准</w:t>
      </w:r>
    </w:p>
    <w:tbl>
      <w:tblPr>
        <w:tblW w:w="8362"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2121"/>
        <w:gridCol w:w="1298"/>
        <w:gridCol w:w="2433"/>
        <w:gridCol w:w="2510"/>
      </w:tblGrid>
      <w:tr w:rsidR="00DB7CC8">
        <w:trPr>
          <w:trHeight w:val="283"/>
          <w:jc w:val="center"/>
        </w:trPr>
        <w:tc>
          <w:tcPr>
            <w:tcW w:w="2121" w:type="dxa"/>
            <w:tcBorders>
              <w:tl2br w:val="nil"/>
              <w:tr2bl w:val="nil"/>
            </w:tcBorders>
            <w:vAlign w:val="center"/>
          </w:tcPr>
          <w:p w:rsidR="00DB7CC8" w:rsidRDefault="002B5250">
            <w:pPr>
              <w:spacing w:line="240" w:lineRule="auto"/>
              <w:ind w:firstLineChars="0" w:firstLine="0"/>
              <w:jc w:val="center"/>
              <w:rPr>
                <w:kern w:val="2"/>
                <w:sz w:val="21"/>
                <w:szCs w:val="21"/>
              </w:rPr>
            </w:pPr>
            <w:r>
              <w:rPr>
                <w:kern w:val="2"/>
                <w:sz w:val="21"/>
                <w:szCs w:val="21"/>
              </w:rPr>
              <w:t>声环境功能区划类别</w:t>
            </w:r>
          </w:p>
        </w:tc>
        <w:tc>
          <w:tcPr>
            <w:tcW w:w="3731" w:type="dxa"/>
            <w:gridSpan w:val="2"/>
            <w:tcBorders>
              <w:tl2br w:val="nil"/>
              <w:tr2bl w:val="nil"/>
            </w:tcBorders>
            <w:vAlign w:val="center"/>
          </w:tcPr>
          <w:p w:rsidR="00DB7CC8" w:rsidRDefault="002B5250">
            <w:pPr>
              <w:adjustRightInd w:val="0"/>
              <w:spacing w:line="240" w:lineRule="auto"/>
              <w:ind w:firstLineChars="0" w:firstLine="0"/>
              <w:jc w:val="center"/>
              <w:textAlignment w:val="baseline"/>
              <w:rPr>
                <w:kern w:val="2"/>
                <w:sz w:val="21"/>
                <w:szCs w:val="21"/>
              </w:rPr>
            </w:pPr>
            <w:r>
              <w:rPr>
                <w:kern w:val="2"/>
                <w:sz w:val="21"/>
                <w:szCs w:val="21"/>
              </w:rPr>
              <w:t>时段</w:t>
            </w:r>
          </w:p>
        </w:tc>
        <w:tc>
          <w:tcPr>
            <w:tcW w:w="2510" w:type="dxa"/>
            <w:tcBorders>
              <w:tl2br w:val="nil"/>
              <w:tr2bl w:val="nil"/>
            </w:tcBorders>
            <w:vAlign w:val="center"/>
          </w:tcPr>
          <w:p w:rsidR="00DB7CC8" w:rsidRDefault="002B5250">
            <w:pPr>
              <w:spacing w:line="240" w:lineRule="auto"/>
              <w:ind w:firstLineChars="0" w:firstLine="0"/>
              <w:jc w:val="center"/>
              <w:rPr>
                <w:kern w:val="2"/>
                <w:sz w:val="21"/>
                <w:szCs w:val="21"/>
              </w:rPr>
            </w:pPr>
            <w:r>
              <w:rPr>
                <w:kern w:val="2"/>
                <w:sz w:val="21"/>
                <w:szCs w:val="21"/>
              </w:rPr>
              <w:t>标准来源</w:t>
            </w:r>
          </w:p>
        </w:tc>
      </w:tr>
      <w:tr w:rsidR="00DB7CC8">
        <w:trPr>
          <w:trHeight w:val="283"/>
          <w:jc w:val="center"/>
        </w:trPr>
        <w:tc>
          <w:tcPr>
            <w:tcW w:w="2121" w:type="dxa"/>
            <w:vMerge w:val="restart"/>
            <w:tcBorders>
              <w:tl2br w:val="nil"/>
              <w:tr2bl w:val="nil"/>
            </w:tcBorders>
            <w:vAlign w:val="center"/>
          </w:tcPr>
          <w:p w:rsidR="00DB7CC8" w:rsidRDefault="002B5250">
            <w:pPr>
              <w:spacing w:line="240" w:lineRule="auto"/>
              <w:ind w:firstLineChars="0" w:firstLine="0"/>
              <w:jc w:val="center"/>
              <w:rPr>
                <w:kern w:val="2"/>
                <w:sz w:val="21"/>
                <w:szCs w:val="21"/>
              </w:rPr>
            </w:pPr>
            <w:r>
              <w:rPr>
                <w:kern w:val="2"/>
                <w:sz w:val="21"/>
                <w:szCs w:val="21"/>
              </w:rPr>
              <w:t>2</w:t>
            </w:r>
            <w:r>
              <w:rPr>
                <w:kern w:val="2"/>
                <w:sz w:val="21"/>
                <w:szCs w:val="21"/>
              </w:rPr>
              <w:t>类</w:t>
            </w:r>
          </w:p>
        </w:tc>
        <w:tc>
          <w:tcPr>
            <w:tcW w:w="1298" w:type="dxa"/>
            <w:tcBorders>
              <w:tl2br w:val="nil"/>
              <w:tr2bl w:val="nil"/>
            </w:tcBorders>
            <w:vAlign w:val="center"/>
          </w:tcPr>
          <w:p w:rsidR="00DB7CC8" w:rsidRDefault="002B5250">
            <w:pPr>
              <w:spacing w:line="240" w:lineRule="auto"/>
              <w:ind w:firstLineChars="0" w:firstLine="0"/>
              <w:jc w:val="center"/>
              <w:rPr>
                <w:kern w:val="2"/>
                <w:sz w:val="21"/>
                <w:szCs w:val="21"/>
              </w:rPr>
            </w:pPr>
            <w:r>
              <w:rPr>
                <w:kern w:val="2"/>
                <w:sz w:val="21"/>
                <w:szCs w:val="21"/>
              </w:rPr>
              <w:t>昼间</w:t>
            </w:r>
          </w:p>
        </w:tc>
        <w:tc>
          <w:tcPr>
            <w:tcW w:w="2433" w:type="dxa"/>
            <w:tcBorders>
              <w:tl2br w:val="nil"/>
              <w:tr2bl w:val="nil"/>
            </w:tcBorders>
            <w:vAlign w:val="center"/>
          </w:tcPr>
          <w:p w:rsidR="00DB7CC8" w:rsidRDefault="002B5250">
            <w:pPr>
              <w:adjustRightInd w:val="0"/>
              <w:spacing w:line="240" w:lineRule="auto"/>
              <w:ind w:firstLineChars="0" w:firstLine="0"/>
              <w:jc w:val="center"/>
              <w:textAlignment w:val="baseline"/>
              <w:rPr>
                <w:kern w:val="2"/>
                <w:sz w:val="21"/>
                <w:szCs w:val="21"/>
              </w:rPr>
            </w:pPr>
            <w:r>
              <w:rPr>
                <w:kern w:val="2"/>
                <w:sz w:val="21"/>
                <w:szCs w:val="21"/>
              </w:rPr>
              <w:t>夜间</w:t>
            </w:r>
          </w:p>
        </w:tc>
        <w:tc>
          <w:tcPr>
            <w:tcW w:w="2510" w:type="dxa"/>
            <w:vMerge w:val="restart"/>
            <w:tcBorders>
              <w:tl2br w:val="nil"/>
              <w:tr2bl w:val="nil"/>
            </w:tcBorders>
            <w:vAlign w:val="center"/>
          </w:tcPr>
          <w:p w:rsidR="00DB7CC8" w:rsidRDefault="002B5250">
            <w:pPr>
              <w:spacing w:line="240" w:lineRule="auto"/>
              <w:ind w:firstLineChars="0" w:firstLine="0"/>
              <w:jc w:val="center"/>
              <w:rPr>
                <w:kern w:val="2"/>
                <w:sz w:val="21"/>
                <w:szCs w:val="21"/>
              </w:rPr>
            </w:pPr>
            <w:r>
              <w:rPr>
                <w:kern w:val="2"/>
                <w:sz w:val="21"/>
                <w:szCs w:val="21"/>
              </w:rPr>
              <w:t>《声环境质量标准》（</w:t>
            </w:r>
            <w:r>
              <w:rPr>
                <w:kern w:val="2"/>
                <w:sz w:val="21"/>
                <w:szCs w:val="21"/>
              </w:rPr>
              <w:t>GB3096—2008</w:t>
            </w:r>
            <w:r>
              <w:rPr>
                <w:kern w:val="2"/>
                <w:sz w:val="21"/>
                <w:szCs w:val="21"/>
              </w:rPr>
              <w:t>）</w:t>
            </w:r>
          </w:p>
        </w:tc>
      </w:tr>
      <w:tr w:rsidR="00DB7CC8">
        <w:trPr>
          <w:trHeight w:val="283"/>
          <w:jc w:val="center"/>
        </w:trPr>
        <w:tc>
          <w:tcPr>
            <w:tcW w:w="2121" w:type="dxa"/>
            <w:vMerge/>
            <w:tcBorders>
              <w:tl2br w:val="nil"/>
              <w:tr2bl w:val="nil"/>
            </w:tcBorders>
            <w:vAlign w:val="center"/>
          </w:tcPr>
          <w:p w:rsidR="00DB7CC8" w:rsidRDefault="00DB7CC8">
            <w:pPr>
              <w:spacing w:line="240" w:lineRule="auto"/>
              <w:ind w:firstLineChars="0" w:firstLine="0"/>
              <w:rPr>
                <w:kern w:val="2"/>
                <w:sz w:val="21"/>
                <w:szCs w:val="21"/>
              </w:rPr>
            </w:pPr>
          </w:p>
        </w:tc>
        <w:tc>
          <w:tcPr>
            <w:tcW w:w="1298" w:type="dxa"/>
            <w:tcBorders>
              <w:tl2br w:val="nil"/>
              <w:tr2bl w:val="nil"/>
            </w:tcBorders>
            <w:vAlign w:val="center"/>
          </w:tcPr>
          <w:p w:rsidR="00DB7CC8" w:rsidRDefault="002B5250">
            <w:pPr>
              <w:spacing w:line="240" w:lineRule="auto"/>
              <w:ind w:firstLineChars="0" w:firstLine="0"/>
              <w:jc w:val="center"/>
              <w:rPr>
                <w:kern w:val="2"/>
                <w:sz w:val="21"/>
                <w:szCs w:val="21"/>
              </w:rPr>
            </w:pPr>
            <w:r>
              <w:rPr>
                <w:kern w:val="2"/>
                <w:sz w:val="21"/>
                <w:szCs w:val="21"/>
              </w:rPr>
              <w:t>60</w:t>
            </w:r>
          </w:p>
        </w:tc>
        <w:tc>
          <w:tcPr>
            <w:tcW w:w="2433" w:type="dxa"/>
            <w:tcBorders>
              <w:tl2br w:val="nil"/>
              <w:tr2bl w:val="nil"/>
            </w:tcBorders>
            <w:vAlign w:val="center"/>
          </w:tcPr>
          <w:p w:rsidR="00DB7CC8" w:rsidRDefault="002B5250">
            <w:pPr>
              <w:adjustRightInd w:val="0"/>
              <w:spacing w:line="240" w:lineRule="auto"/>
              <w:ind w:firstLineChars="0" w:firstLine="0"/>
              <w:jc w:val="center"/>
              <w:textAlignment w:val="baseline"/>
              <w:rPr>
                <w:kern w:val="2"/>
                <w:sz w:val="21"/>
                <w:szCs w:val="21"/>
              </w:rPr>
            </w:pPr>
            <w:r>
              <w:rPr>
                <w:kern w:val="2"/>
                <w:sz w:val="21"/>
                <w:szCs w:val="21"/>
              </w:rPr>
              <w:t>50</w:t>
            </w:r>
          </w:p>
        </w:tc>
        <w:tc>
          <w:tcPr>
            <w:tcW w:w="2510" w:type="dxa"/>
            <w:vMerge/>
            <w:tcBorders>
              <w:tl2br w:val="nil"/>
              <w:tr2bl w:val="nil"/>
            </w:tcBorders>
            <w:vAlign w:val="center"/>
          </w:tcPr>
          <w:p w:rsidR="00DB7CC8" w:rsidRDefault="00DB7CC8">
            <w:pPr>
              <w:spacing w:line="240" w:lineRule="auto"/>
              <w:ind w:firstLineChars="0" w:firstLine="0"/>
              <w:rPr>
                <w:kern w:val="2"/>
                <w:sz w:val="21"/>
                <w:szCs w:val="21"/>
              </w:rPr>
            </w:pPr>
          </w:p>
        </w:tc>
      </w:tr>
    </w:tbl>
    <w:p w:rsidR="00DB7CC8" w:rsidRDefault="002B5250">
      <w:pPr>
        <w:pStyle w:val="4"/>
        <w:numPr>
          <w:ilvl w:val="3"/>
          <w:numId w:val="1"/>
        </w:numPr>
        <w:ind w:left="709" w:hanging="709"/>
        <w:rPr>
          <w:rFonts w:eastAsia="宋体"/>
          <w:b/>
        </w:rPr>
      </w:pPr>
      <w:r>
        <w:rPr>
          <w:rFonts w:eastAsia="宋体" w:hint="eastAsia"/>
          <w:b/>
        </w:rPr>
        <w:lastRenderedPageBreak/>
        <w:t>土壤环境</w:t>
      </w:r>
    </w:p>
    <w:p w:rsidR="00DB7CC8" w:rsidRDefault="002B5250">
      <w:pPr>
        <w:ind w:firstLine="480"/>
        <w:rPr>
          <w:sz w:val="24"/>
          <w:szCs w:val="24"/>
        </w:rPr>
      </w:pPr>
      <w:r>
        <w:rPr>
          <w:rFonts w:hint="eastAsia"/>
          <w:sz w:val="24"/>
          <w:szCs w:val="24"/>
        </w:rPr>
        <w:t>项目场地监测点执行《土壤环境质量</w:t>
      </w:r>
      <w:r>
        <w:rPr>
          <w:rFonts w:hint="eastAsia"/>
          <w:sz w:val="24"/>
          <w:szCs w:val="24"/>
        </w:rPr>
        <w:t xml:space="preserve"> </w:t>
      </w:r>
      <w:r>
        <w:rPr>
          <w:rFonts w:hint="eastAsia"/>
          <w:sz w:val="24"/>
          <w:szCs w:val="24"/>
        </w:rPr>
        <w:t>建设用地土壤污染风险管控标准（试行）》</w:t>
      </w:r>
      <w:r>
        <w:rPr>
          <w:rFonts w:hint="eastAsia"/>
          <w:sz w:val="24"/>
          <w:szCs w:val="24"/>
        </w:rPr>
        <w:t>(GB36600-2018)</w:t>
      </w:r>
      <w:r>
        <w:rPr>
          <w:rFonts w:hint="eastAsia"/>
          <w:sz w:val="24"/>
          <w:szCs w:val="24"/>
        </w:rPr>
        <w:t>表</w:t>
      </w:r>
      <w:r>
        <w:rPr>
          <w:rFonts w:hint="eastAsia"/>
          <w:sz w:val="24"/>
          <w:szCs w:val="24"/>
        </w:rPr>
        <w:t>1</w:t>
      </w:r>
      <w:r>
        <w:rPr>
          <w:rFonts w:hint="eastAsia"/>
          <w:sz w:val="24"/>
          <w:szCs w:val="24"/>
        </w:rPr>
        <w:t>第二类用地筛选值和《土壤环境质量</w:t>
      </w:r>
      <w:r>
        <w:rPr>
          <w:rFonts w:hint="eastAsia"/>
          <w:sz w:val="24"/>
          <w:szCs w:val="24"/>
        </w:rPr>
        <w:t xml:space="preserve"> </w:t>
      </w:r>
      <w:r>
        <w:rPr>
          <w:rFonts w:hint="eastAsia"/>
          <w:sz w:val="24"/>
          <w:szCs w:val="24"/>
        </w:rPr>
        <w:t>农用地土壤污染风险管控标准（试行）》（</w:t>
      </w:r>
      <w:r>
        <w:rPr>
          <w:rFonts w:hint="eastAsia"/>
          <w:sz w:val="24"/>
          <w:szCs w:val="24"/>
        </w:rPr>
        <w:t>GB15618-2018</w:t>
      </w:r>
      <w:r>
        <w:rPr>
          <w:rFonts w:hint="eastAsia"/>
          <w:sz w:val="24"/>
          <w:szCs w:val="24"/>
        </w:rPr>
        <w:t>），详见表</w:t>
      </w:r>
      <w:r>
        <w:rPr>
          <w:rFonts w:hint="eastAsia"/>
          <w:sz w:val="24"/>
          <w:szCs w:val="24"/>
        </w:rPr>
        <w:t>2.7-5</w:t>
      </w:r>
      <w:r>
        <w:rPr>
          <w:rFonts w:hint="eastAsia"/>
          <w:sz w:val="24"/>
          <w:szCs w:val="24"/>
        </w:rPr>
        <w:t>和表</w:t>
      </w:r>
      <w:r>
        <w:rPr>
          <w:rFonts w:hint="eastAsia"/>
          <w:sz w:val="24"/>
          <w:szCs w:val="24"/>
        </w:rPr>
        <w:t>2.7-6</w:t>
      </w:r>
      <w:r>
        <w:rPr>
          <w:rFonts w:hint="eastAsia"/>
          <w:sz w:val="24"/>
          <w:szCs w:val="24"/>
        </w:rPr>
        <w:t>。</w:t>
      </w:r>
    </w:p>
    <w:p w:rsidR="00DB7CC8" w:rsidRDefault="002B5250">
      <w:pPr>
        <w:spacing w:line="240" w:lineRule="auto"/>
        <w:ind w:firstLineChars="0"/>
        <w:jc w:val="center"/>
        <w:textAlignment w:val="auto"/>
        <w:rPr>
          <w:rFonts w:eastAsia="黑体"/>
          <w:kern w:val="2"/>
          <w:sz w:val="21"/>
          <w:szCs w:val="21"/>
        </w:rPr>
      </w:pPr>
      <w:bookmarkStart w:id="149" w:name="_Ref14077803"/>
      <w:r>
        <w:rPr>
          <w:rFonts w:eastAsia="黑体" w:hint="eastAsia"/>
          <w:kern w:val="2"/>
          <w:sz w:val="21"/>
          <w:szCs w:val="21"/>
        </w:rPr>
        <w:t>表</w:t>
      </w:r>
      <w:r>
        <w:rPr>
          <w:rFonts w:eastAsia="黑体" w:hint="eastAsia"/>
          <w:kern w:val="2"/>
          <w:sz w:val="21"/>
          <w:szCs w:val="21"/>
        </w:rPr>
        <w:t xml:space="preserve">2.7-5 </w:t>
      </w:r>
      <w:bookmarkEnd w:id="149"/>
      <w:r>
        <w:rPr>
          <w:rFonts w:eastAsia="黑体"/>
          <w:kern w:val="2"/>
          <w:sz w:val="21"/>
          <w:szCs w:val="21"/>
        </w:rPr>
        <w:t xml:space="preserve">   </w:t>
      </w:r>
      <w:r>
        <w:rPr>
          <w:rFonts w:eastAsia="黑体" w:hint="eastAsia"/>
          <w:kern w:val="2"/>
          <w:sz w:val="21"/>
          <w:szCs w:val="21"/>
        </w:rPr>
        <w:t>土壤环境质量标准</w:t>
      </w:r>
    </w:p>
    <w:tbl>
      <w:tblP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9"/>
        <w:gridCol w:w="1940"/>
        <w:gridCol w:w="1585"/>
        <w:gridCol w:w="1588"/>
        <w:gridCol w:w="1876"/>
      </w:tblGrid>
      <w:tr w:rsidR="00DB7CC8">
        <w:tc>
          <w:tcPr>
            <w:tcW w:w="1539" w:type="dxa"/>
            <w:shd w:val="clear" w:color="auto" w:fill="auto"/>
          </w:tcPr>
          <w:p w:rsidR="00DB7CC8" w:rsidRDefault="002B5250">
            <w:pPr>
              <w:pStyle w:val="affff7"/>
              <w:rPr>
                <w:sz w:val="20"/>
                <w:lang w:bidi="zh-CN"/>
              </w:rPr>
            </w:pPr>
            <w:r>
              <w:rPr>
                <w:sz w:val="20"/>
                <w:lang w:bidi="zh-CN"/>
              </w:rPr>
              <w:t>标准号</w:t>
            </w:r>
          </w:p>
        </w:tc>
        <w:tc>
          <w:tcPr>
            <w:tcW w:w="1940" w:type="dxa"/>
            <w:shd w:val="clear" w:color="auto" w:fill="auto"/>
          </w:tcPr>
          <w:p w:rsidR="00DB7CC8" w:rsidRDefault="002B5250">
            <w:pPr>
              <w:pStyle w:val="affff7"/>
              <w:rPr>
                <w:sz w:val="20"/>
                <w:lang w:bidi="zh-CN"/>
              </w:rPr>
            </w:pPr>
            <w:r>
              <w:rPr>
                <w:sz w:val="20"/>
                <w:lang w:bidi="zh-CN"/>
              </w:rPr>
              <w:t>污染物名称</w:t>
            </w:r>
          </w:p>
        </w:tc>
        <w:tc>
          <w:tcPr>
            <w:tcW w:w="1585" w:type="dxa"/>
            <w:shd w:val="clear" w:color="auto" w:fill="auto"/>
          </w:tcPr>
          <w:p w:rsidR="00DB7CC8" w:rsidRDefault="002B5250">
            <w:pPr>
              <w:pStyle w:val="affff7"/>
              <w:rPr>
                <w:sz w:val="20"/>
                <w:lang w:bidi="zh-CN"/>
              </w:rPr>
            </w:pPr>
            <w:r>
              <w:rPr>
                <w:sz w:val="20"/>
                <w:lang w:bidi="zh-CN"/>
              </w:rPr>
              <w:t>筛选值</w:t>
            </w:r>
          </w:p>
        </w:tc>
        <w:tc>
          <w:tcPr>
            <w:tcW w:w="1588" w:type="dxa"/>
            <w:shd w:val="clear" w:color="auto" w:fill="auto"/>
          </w:tcPr>
          <w:p w:rsidR="00DB7CC8" w:rsidRDefault="002B5250">
            <w:pPr>
              <w:pStyle w:val="affff7"/>
              <w:rPr>
                <w:sz w:val="20"/>
                <w:lang w:bidi="zh-CN"/>
              </w:rPr>
            </w:pPr>
            <w:r>
              <w:rPr>
                <w:sz w:val="20"/>
                <w:lang w:bidi="zh-CN"/>
              </w:rPr>
              <w:t>单位</w:t>
            </w:r>
          </w:p>
        </w:tc>
        <w:tc>
          <w:tcPr>
            <w:tcW w:w="1876" w:type="dxa"/>
            <w:shd w:val="clear" w:color="auto" w:fill="auto"/>
          </w:tcPr>
          <w:p w:rsidR="00DB7CC8" w:rsidRDefault="002B5250">
            <w:pPr>
              <w:pStyle w:val="affff7"/>
              <w:rPr>
                <w:sz w:val="20"/>
                <w:lang w:bidi="zh-CN"/>
              </w:rPr>
            </w:pPr>
            <w:r>
              <w:rPr>
                <w:sz w:val="20"/>
                <w:lang w:bidi="zh-CN"/>
              </w:rPr>
              <w:t>标准来源</w:t>
            </w:r>
          </w:p>
        </w:tc>
      </w:tr>
      <w:tr w:rsidR="00DB7CC8">
        <w:trPr>
          <w:trHeight w:val="61"/>
        </w:trPr>
        <w:tc>
          <w:tcPr>
            <w:tcW w:w="1539" w:type="dxa"/>
            <w:vMerge w:val="restart"/>
            <w:shd w:val="clear" w:color="auto" w:fill="auto"/>
            <w:vAlign w:val="center"/>
          </w:tcPr>
          <w:p w:rsidR="00DB7CC8" w:rsidRDefault="002B5250">
            <w:pPr>
              <w:pStyle w:val="affff7"/>
              <w:rPr>
                <w:sz w:val="20"/>
                <w:lang w:bidi="zh-CN"/>
              </w:rPr>
            </w:pPr>
            <w:r>
              <w:rPr>
                <w:sz w:val="20"/>
                <w:lang w:bidi="zh-CN"/>
              </w:rPr>
              <w:t>GB36600-2018</w:t>
            </w:r>
          </w:p>
        </w:tc>
        <w:tc>
          <w:tcPr>
            <w:tcW w:w="1940" w:type="dxa"/>
            <w:shd w:val="clear" w:color="auto" w:fill="auto"/>
            <w:vAlign w:val="center"/>
          </w:tcPr>
          <w:p w:rsidR="00DB7CC8" w:rsidRDefault="002B5250">
            <w:pPr>
              <w:pStyle w:val="affff7"/>
              <w:rPr>
                <w:sz w:val="20"/>
                <w:lang w:bidi="zh-CN"/>
              </w:rPr>
            </w:pPr>
            <w:r>
              <w:rPr>
                <w:rFonts w:hint="eastAsia"/>
                <w:sz w:val="20"/>
                <w:lang w:bidi="zh-CN"/>
              </w:rPr>
              <w:t>砷</w:t>
            </w:r>
          </w:p>
        </w:tc>
        <w:tc>
          <w:tcPr>
            <w:tcW w:w="1585" w:type="dxa"/>
            <w:shd w:val="clear" w:color="auto" w:fill="auto"/>
            <w:vAlign w:val="center"/>
          </w:tcPr>
          <w:p w:rsidR="00DB7CC8" w:rsidRDefault="002B5250">
            <w:pPr>
              <w:pStyle w:val="affff7"/>
              <w:rPr>
                <w:sz w:val="20"/>
                <w:lang w:bidi="zh-CN"/>
              </w:rPr>
            </w:pPr>
            <w:r>
              <w:rPr>
                <w:rFonts w:hint="eastAsia"/>
                <w:sz w:val="20"/>
                <w:lang w:bidi="zh-CN"/>
              </w:rPr>
              <w:t>6</w:t>
            </w:r>
            <w:r>
              <w:rPr>
                <w:sz w:val="20"/>
                <w:lang w:bidi="zh-CN"/>
              </w:rPr>
              <w:t>0</w:t>
            </w:r>
          </w:p>
        </w:tc>
        <w:tc>
          <w:tcPr>
            <w:tcW w:w="1588" w:type="dxa"/>
            <w:vMerge w:val="restart"/>
            <w:shd w:val="clear" w:color="auto" w:fill="auto"/>
            <w:vAlign w:val="center"/>
          </w:tcPr>
          <w:p w:rsidR="00DB7CC8" w:rsidRDefault="002B5250">
            <w:pPr>
              <w:pStyle w:val="affff7"/>
              <w:rPr>
                <w:sz w:val="20"/>
                <w:lang w:bidi="zh-CN"/>
              </w:rPr>
            </w:pPr>
            <w:r>
              <w:rPr>
                <w:sz w:val="20"/>
                <w:lang w:bidi="zh-CN"/>
              </w:rPr>
              <w:t>mg/kg</w:t>
            </w:r>
          </w:p>
        </w:tc>
        <w:tc>
          <w:tcPr>
            <w:tcW w:w="1876" w:type="dxa"/>
            <w:vMerge w:val="restart"/>
            <w:shd w:val="clear" w:color="auto" w:fill="auto"/>
            <w:vAlign w:val="center"/>
          </w:tcPr>
          <w:p w:rsidR="00DB7CC8" w:rsidRDefault="002B5250">
            <w:pPr>
              <w:pStyle w:val="affff7"/>
              <w:rPr>
                <w:sz w:val="20"/>
                <w:lang w:bidi="zh-CN"/>
              </w:rPr>
            </w:pPr>
            <w:r>
              <w:rPr>
                <w:sz w:val="20"/>
                <w:lang w:bidi="zh-CN"/>
              </w:rPr>
              <w:t>《土壤环境质量</w:t>
            </w:r>
            <w:r>
              <w:rPr>
                <w:rFonts w:hint="eastAsia"/>
                <w:sz w:val="20"/>
                <w:lang w:bidi="zh-CN"/>
              </w:rPr>
              <w:t xml:space="preserve"> </w:t>
            </w:r>
            <w:r>
              <w:rPr>
                <w:sz w:val="20"/>
                <w:lang w:bidi="zh-CN"/>
              </w:rPr>
              <w:t>建设用地土壤污染风险管控标准（试行）》</w:t>
            </w:r>
            <w:r>
              <w:rPr>
                <w:sz w:val="20"/>
                <w:lang w:bidi="zh-CN"/>
              </w:rPr>
              <w:t>(GB36600-2018)</w:t>
            </w:r>
            <w:r>
              <w:rPr>
                <w:sz w:val="20"/>
                <w:lang w:bidi="zh-CN"/>
              </w:rPr>
              <w:t>表</w:t>
            </w:r>
            <w:r>
              <w:rPr>
                <w:sz w:val="20"/>
                <w:lang w:bidi="zh-CN"/>
              </w:rPr>
              <w:t>1</w:t>
            </w:r>
            <w:r>
              <w:rPr>
                <w:sz w:val="20"/>
                <w:lang w:bidi="zh-CN"/>
              </w:rPr>
              <w:t>及第二类用地筛选值</w:t>
            </w: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rFonts w:hint="eastAsia"/>
                <w:sz w:val="20"/>
                <w:lang w:bidi="zh-CN"/>
              </w:rPr>
              <w:t>镉</w:t>
            </w:r>
          </w:p>
        </w:tc>
        <w:tc>
          <w:tcPr>
            <w:tcW w:w="1585" w:type="dxa"/>
            <w:shd w:val="clear" w:color="auto" w:fill="auto"/>
          </w:tcPr>
          <w:p w:rsidR="00DB7CC8" w:rsidRDefault="002B5250">
            <w:pPr>
              <w:pStyle w:val="affff7"/>
              <w:rPr>
                <w:sz w:val="20"/>
                <w:lang w:bidi="zh-CN"/>
              </w:rPr>
            </w:pPr>
            <w:r>
              <w:rPr>
                <w:rFonts w:hint="eastAsia"/>
                <w:sz w:val="20"/>
                <w:lang w:bidi="zh-CN"/>
              </w:rPr>
              <w:t>6</w:t>
            </w:r>
            <w:r>
              <w:rPr>
                <w:sz w:val="20"/>
                <w:lang w:bidi="zh-CN"/>
              </w:rPr>
              <w:t>5</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rPr>
          <w:trHeight w:val="61"/>
        </w:trPr>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rFonts w:hint="eastAsia"/>
                <w:sz w:val="20"/>
                <w:lang w:bidi="zh-CN"/>
              </w:rPr>
              <w:t>铬（六价）</w:t>
            </w:r>
          </w:p>
        </w:tc>
        <w:tc>
          <w:tcPr>
            <w:tcW w:w="1585" w:type="dxa"/>
            <w:shd w:val="clear" w:color="auto" w:fill="auto"/>
          </w:tcPr>
          <w:p w:rsidR="00DB7CC8" w:rsidRDefault="002B5250">
            <w:pPr>
              <w:pStyle w:val="affff7"/>
              <w:rPr>
                <w:sz w:val="20"/>
                <w:lang w:bidi="zh-CN"/>
              </w:rPr>
            </w:pPr>
            <w:r>
              <w:rPr>
                <w:rFonts w:hint="eastAsia"/>
                <w:sz w:val="20"/>
                <w:lang w:bidi="zh-CN"/>
              </w:rPr>
              <w:t>5</w:t>
            </w:r>
            <w:r>
              <w:rPr>
                <w:sz w:val="20"/>
                <w:lang w:bidi="zh-CN"/>
              </w:rPr>
              <w:t>.7</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vAlign w:val="center"/>
          </w:tcPr>
          <w:p w:rsidR="00DB7CC8" w:rsidRDefault="00DB7CC8">
            <w:pPr>
              <w:pStyle w:val="affff7"/>
              <w:rPr>
                <w:sz w:val="20"/>
                <w:lang w:bidi="zh-CN"/>
              </w:rPr>
            </w:pPr>
          </w:p>
        </w:tc>
        <w:tc>
          <w:tcPr>
            <w:tcW w:w="1940" w:type="dxa"/>
            <w:shd w:val="clear" w:color="auto" w:fill="auto"/>
            <w:vAlign w:val="center"/>
          </w:tcPr>
          <w:p w:rsidR="00DB7CC8" w:rsidRDefault="002B5250">
            <w:pPr>
              <w:pStyle w:val="affff7"/>
              <w:rPr>
                <w:sz w:val="20"/>
                <w:lang w:bidi="zh-CN"/>
              </w:rPr>
            </w:pPr>
            <w:r>
              <w:rPr>
                <w:sz w:val="20"/>
                <w:lang w:bidi="zh-CN"/>
              </w:rPr>
              <w:t>铜</w:t>
            </w:r>
          </w:p>
        </w:tc>
        <w:tc>
          <w:tcPr>
            <w:tcW w:w="1585" w:type="dxa"/>
            <w:shd w:val="clear" w:color="auto" w:fill="auto"/>
            <w:vAlign w:val="center"/>
          </w:tcPr>
          <w:p w:rsidR="00DB7CC8" w:rsidRDefault="002B5250">
            <w:pPr>
              <w:pStyle w:val="affff7"/>
              <w:rPr>
                <w:sz w:val="20"/>
                <w:lang w:bidi="zh-CN"/>
              </w:rPr>
            </w:pPr>
            <w:r>
              <w:rPr>
                <w:sz w:val="20"/>
                <w:lang w:bidi="zh-CN"/>
              </w:rPr>
              <w:t>18000</w:t>
            </w:r>
          </w:p>
        </w:tc>
        <w:tc>
          <w:tcPr>
            <w:tcW w:w="1588" w:type="dxa"/>
            <w:vMerge/>
            <w:shd w:val="clear" w:color="auto" w:fill="auto"/>
            <w:vAlign w:val="center"/>
          </w:tcPr>
          <w:p w:rsidR="00DB7CC8" w:rsidRDefault="00DB7CC8">
            <w:pPr>
              <w:pStyle w:val="affff7"/>
              <w:rPr>
                <w:sz w:val="20"/>
                <w:lang w:bidi="zh-CN"/>
              </w:rPr>
            </w:pPr>
          </w:p>
        </w:tc>
        <w:tc>
          <w:tcPr>
            <w:tcW w:w="1876" w:type="dxa"/>
            <w:vMerge/>
            <w:shd w:val="clear" w:color="auto" w:fill="auto"/>
            <w:vAlign w:val="center"/>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铅</w:t>
            </w:r>
          </w:p>
        </w:tc>
        <w:tc>
          <w:tcPr>
            <w:tcW w:w="1585" w:type="dxa"/>
            <w:shd w:val="clear" w:color="auto" w:fill="auto"/>
          </w:tcPr>
          <w:p w:rsidR="00DB7CC8" w:rsidRDefault="002B5250">
            <w:pPr>
              <w:pStyle w:val="affff7"/>
              <w:rPr>
                <w:sz w:val="20"/>
                <w:lang w:bidi="zh-CN"/>
              </w:rPr>
            </w:pPr>
            <w:r>
              <w:rPr>
                <w:sz w:val="20"/>
                <w:lang w:bidi="zh-CN"/>
              </w:rPr>
              <w:t>800</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汞</w:t>
            </w:r>
          </w:p>
        </w:tc>
        <w:tc>
          <w:tcPr>
            <w:tcW w:w="1585" w:type="dxa"/>
            <w:shd w:val="clear" w:color="auto" w:fill="auto"/>
          </w:tcPr>
          <w:p w:rsidR="00DB7CC8" w:rsidRDefault="002B5250">
            <w:pPr>
              <w:pStyle w:val="affff7"/>
              <w:rPr>
                <w:sz w:val="20"/>
                <w:lang w:bidi="zh-CN"/>
              </w:rPr>
            </w:pPr>
            <w:r>
              <w:rPr>
                <w:sz w:val="20"/>
                <w:lang w:bidi="zh-CN"/>
              </w:rPr>
              <w:t>38</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镍</w:t>
            </w:r>
          </w:p>
        </w:tc>
        <w:tc>
          <w:tcPr>
            <w:tcW w:w="1585" w:type="dxa"/>
            <w:shd w:val="clear" w:color="auto" w:fill="auto"/>
          </w:tcPr>
          <w:p w:rsidR="00DB7CC8" w:rsidRDefault="002B5250">
            <w:pPr>
              <w:pStyle w:val="affff7"/>
              <w:rPr>
                <w:sz w:val="20"/>
                <w:lang w:bidi="zh-CN"/>
              </w:rPr>
            </w:pPr>
            <w:r>
              <w:rPr>
                <w:sz w:val="20"/>
                <w:lang w:bidi="zh-CN"/>
              </w:rPr>
              <w:t>900</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四氯化碳</w:t>
            </w:r>
          </w:p>
        </w:tc>
        <w:tc>
          <w:tcPr>
            <w:tcW w:w="1585" w:type="dxa"/>
            <w:shd w:val="clear" w:color="auto" w:fill="auto"/>
          </w:tcPr>
          <w:p w:rsidR="00DB7CC8" w:rsidRDefault="002B5250">
            <w:pPr>
              <w:pStyle w:val="affff7"/>
              <w:rPr>
                <w:sz w:val="20"/>
                <w:lang w:bidi="zh-CN"/>
              </w:rPr>
            </w:pPr>
            <w:r>
              <w:rPr>
                <w:sz w:val="20"/>
                <w:lang w:bidi="zh-CN"/>
              </w:rPr>
              <w:t>2.8</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氯仿</w:t>
            </w:r>
          </w:p>
        </w:tc>
        <w:tc>
          <w:tcPr>
            <w:tcW w:w="1585" w:type="dxa"/>
            <w:shd w:val="clear" w:color="auto" w:fill="auto"/>
          </w:tcPr>
          <w:p w:rsidR="00DB7CC8" w:rsidRDefault="002B5250">
            <w:pPr>
              <w:pStyle w:val="affff7"/>
              <w:rPr>
                <w:sz w:val="20"/>
                <w:lang w:bidi="zh-CN"/>
              </w:rPr>
            </w:pPr>
            <w:r>
              <w:rPr>
                <w:sz w:val="20"/>
                <w:lang w:bidi="zh-CN"/>
              </w:rPr>
              <w:t>0.9</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氯甲烷</w:t>
            </w:r>
          </w:p>
        </w:tc>
        <w:tc>
          <w:tcPr>
            <w:tcW w:w="1585" w:type="dxa"/>
            <w:shd w:val="clear" w:color="auto" w:fill="auto"/>
          </w:tcPr>
          <w:p w:rsidR="00DB7CC8" w:rsidRDefault="002B5250">
            <w:pPr>
              <w:pStyle w:val="affff7"/>
              <w:rPr>
                <w:sz w:val="20"/>
                <w:lang w:bidi="zh-CN"/>
              </w:rPr>
            </w:pPr>
            <w:r>
              <w:rPr>
                <w:sz w:val="20"/>
                <w:lang w:bidi="zh-CN"/>
              </w:rPr>
              <w:t>37</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1,1-</w:t>
            </w:r>
            <w:r>
              <w:rPr>
                <w:sz w:val="20"/>
                <w:lang w:bidi="zh-CN"/>
              </w:rPr>
              <w:t>二氯乙烷</w:t>
            </w:r>
          </w:p>
        </w:tc>
        <w:tc>
          <w:tcPr>
            <w:tcW w:w="1585" w:type="dxa"/>
            <w:shd w:val="clear" w:color="auto" w:fill="auto"/>
          </w:tcPr>
          <w:p w:rsidR="00DB7CC8" w:rsidRDefault="002B5250">
            <w:pPr>
              <w:pStyle w:val="affff7"/>
              <w:rPr>
                <w:sz w:val="20"/>
                <w:lang w:bidi="zh-CN"/>
              </w:rPr>
            </w:pPr>
            <w:r>
              <w:rPr>
                <w:sz w:val="20"/>
                <w:lang w:bidi="zh-CN"/>
              </w:rPr>
              <w:t>9</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1,2-</w:t>
            </w:r>
            <w:r>
              <w:rPr>
                <w:sz w:val="20"/>
                <w:lang w:bidi="zh-CN"/>
              </w:rPr>
              <w:t>二氯乙烷</w:t>
            </w:r>
          </w:p>
        </w:tc>
        <w:tc>
          <w:tcPr>
            <w:tcW w:w="1585" w:type="dxa"/>
            <w:shd w:val="clear" w:color="auto" w:fill="auto"/>
          </w:tcPr>
          <w:p w:rsidR="00DB7CC8" w:rsidRDefault="002B5250">
            <w:pPr>
              <w:pStyle w:val="affff7"/>
              <w:rPr>
                <w:sz w:val="20"/>
                <w:lang w:bidi="zh-CN"/>
              </w:rPr>
            </w:pPr>
            <w:r>
              <w:rPr>
                <w:sz w:val="20"/>
                <w:lang w:bidi="zh-CN"/>
              </w:rPr>
              <w:t>5</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1,1-</w:t>
            </w:r>
            <w:r>
              <w:rPr>
                <w:sz w:val="20"/>
                <w:lang w:bidi="zh-CN"/>
              </w:rPr>
              <w:t>二氯乙烯</w:t>
            </w:r>
          </w:p>
        </w:tc>
        <w:tc>
          <w:tcPr>
            <w:tcW w:w="1585" w:type="dxa"/>
            <w:shd w:val="clear" w:color="auto" w:fill="auto"/>
          </w:tcPr>
          <w:p w:rsidR="00DB7CC8" w:rsidRDefault="002B5250">
            <w:pPr>
              <w:pStyle w:val="affff7"/>
              <w:rPr>
                <w:sz w:val="20"/>
                <w:lang w:bidi="zh-CN"/>
              </w:rPr>
            </w:pPr>
            <w:r>
              <w:rPr>
                <w:sz w:val="20"/>
                <w:lang w:bidi="zh-CN"/>
              </w:rPr>
              <w:t>66</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顺式</w:t>
            </w:r>
            <w:r>
              <w:rPr>
                <w:sz w:val="20"/>
                <w:lang w:bidi="zh-CN"/>
              </w:rPr>
              <w:t>-1,2-</w:t>
            </w:r>
            <w:r>
              <w:rPr>
                <w:sz w:val="20"/>
                <w:lang w:bidi="zh-CN"/>
              </w:rPr>
              <w:t>二氯乙烯</w:t>
            </w:r>
          </w:p>
        </w:tc>
        <w:tc>
          <w:tcPr>
            <w:tcW w:w="1585" w:type="dxa"/>
            <w:shd w:val="clear" w:color="auto" w:fill="auto"/>
          </w:tcPr>
          <w:p w:rsidR="00DB7CC8" w:rsidRDefault="002B5250">
            <w:pPr>
              <w:pStyle w:val="affff7"/>
              <w:rPr>
                <w:sz w:val="20"/>
                <w:lang w:bidi="zh-CN"/>
              </w:rPr>
            </w:pPr>
            <w:r>
              <w:rPr>
                <w:sz w:val="20"/>
                <w:lang w:bidi="zh-CN"/>
              </w:rPr>
              <w:t>596</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反式</w:t>
            </w:r>
            <w:r>
              <w:rPr>
                <w:sz w:val="20"/>
                <w:lang w:bidi="zh-CN"/>
              </w:rPr>
              <w:t>-1,2-</w:t>
            </w:r>
            <w:r>
              <w:rPr>
                <w:sz w:val="20"/>
                <w:lang w:bidi="zh-CN"/>
              </w:rPr>
              <w:t>二氯乙烯</w:t>
            </w:r>
          </w:p>
        </w:tc>
        <w:tc>
          <w:tcPr>
            <w:tcW w:w="1585" w:type="dxa"/>
            <w:shd w:val="clear" w:color="auto" w:fill="auto"/>
          </w:tcPr>
          <w:p w:rsidR="00DB7CC8" w:rsidRDefault="002B5250">
            <w:pPr>
              <w:pStyle w:val="affff7"/>
              <w:rPr>
                <w:sz w:val="20"/>
                <w:lang w:bidi="zh-CN"/>
              </w:rPr>
            </w:pPr>
            <w:r>
              <w:rPr>
                <w:sz w:val="20"/>
                <w:lang w:bidi="zh-CN"/>
              </w:rPr>
              <w:t>54</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二氯甲烷</w:t>
            </w:r>
          </w:p>
        </w:tc>
        <w:tc>
          <w:tcPr>
            <w:tcW w:w="1585" w:type="dxa"/>
            <w:shd w:val="clear" w:color="auto" w:fill="auto"/>
          </w:tcPr>
          <w:p w:rsidR="00DB7CC8" w:rsidRDefault="002B5250">
            <w:pPr>
              <w:pStyle w:val="affff7"/>
              <w:rPr>
                <w:sz w:val="20"/>
                <w:lang w:bidi="zh-CN"/>
              </w:rPr>
            </w:pPr>
            <w:r>
              <w:rPr>
                <w:sz w:val="20"/>
                <w:lang w:bidi="zh-CN"/>
              </w:rPr>
              <w:t>616</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1,2-</w:t>
            </w:r>
            <w:r>
              <w:rPr>
                <w:sz w:val="20"/>
                <w:lang w:bidi="zh-CN"/>
              </w:rPr>
              <w:t>二氯丙烷</w:t>
            </w:r>
          </w:p>
        </w:tc>
        <w:tc>
          <w:tcPr>
            <w:tcW w:w="1585" w:type="dxa"/>
            <w:shd w:val="clear" w:color="auto" w:fill="auto"/>
          </w:tcPr>
          <w:p w:rsidR="00DB7CC8" w:rsidRDefault="002B5250">
            <w:pPr>
              <w:pStyle w:val="affff7"/>
              <w:rPr>
                <w:sz w:val="20"/>
                <w:lang w:bidi="zh-CN"/>
              </w:rPr>
            </w:pPr>
            <w:r>
              <w:rPr>
                <w:sz w:val="20"/>
                <w:lang w:bidi="zh-CN"/>
              </w:rPr>
              <w:t>5</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1,1,1,2-</w:t>
            </w:r>
            <w:r>
              <w:rPr>
                <w:sz w:val="20"/>
                <w:lang w:bidi="zh-CN"/>
              </w:rPr>
              <w:t>四氯乙烷</w:t>
            </w:r>
          </w:p>
        </w:tc>
        <w:tc>
          <w:tcPr>
            <w:tcW w:w="1585" w:type="dxa"/>
            <w:shd w:val="clear" w:color="auto" w:fill="auto"/>
          </w:tcPr>
          <w:p w:rsidR="00DB7CC8" w:rsidRDefault="002B5250">
            <w:pPr>
              <w:pStyle w:val="affff7"/>
              <w:rPr>
                <w:sz w:val="20"/>
                <w:lang w:bidi="zh-CN"/>
              </w:rPr>
            </w:pPr>
            <w:r>
              <w:rPr>
                <w:sz w:val="20"/>
                <w:lang w:bidi="zh-CN"/>
              </w:rPr>
              <w:t>10</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1,1,2,2-</w:t>
            </w:r>
            <w:r>
              <w:rPr>
                <w:sz w:val="20"/>
                <w:lang w:bidi="zh-CN"/>
              </w:rPr>
              <w:t>四氯乙烷</w:t>
            </w:r>
          </w:p>
        </w:tc>
        <w:tc>
          <w:tcPr>
            <w:tcW w:w="1585" w:type="dxa"/>
            <w:shd w:val="clear" w:color="auto" w:fill="auto"/>
          </w:tcPr>
          <w:p w:rsidR="00DB7CC8" w:rsidRDefault="002B5250">
            <w:pPr>
              <w:pStyle w:val="affff7"/>
              <w:rPr>
                <w:sz w:val="20"/>
                <w:lang w:bidi="zh-CN"/>
              </w:rPr>
            </w:pPr>
            <w:r>
              <w:rPr>
                <w:sz w:val="20"/>
                <w:lang w:bidi="zh-CN"/>
              </w:rPr>
              <w:t>6.8</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四氯乙烯</w:t>
            </w:r>
          </w:p>
        </w:tc>
        <w:tc>
          <w:tcPr>
            <w:tcW w:w="1585" w:type="dxa"/>
            <w:shd w:val="clear" w:color="auto" w:fill="auto"/>
          </w:tcPr>
          <w:p w:rsidR="00DB7CC8" w:rsidRDefault="002B5250">
            <w:pPr>
              <w:pStyle w:val="affff7"/>
              <w:rPr>
                <w:sz w:val="20"/>
                <w:lang w:bidi="zh-CN"/>
              </w:rPr>
            </w:pPr>
            <w:r>
              <w:rPr>
                <w:sz w:val="20"/>
                <w:lang w:bidi="zh-CN"/>
              </w:rPr>
              <w:t>53</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1,1,1-</w:t>
            </w:r>
            <w:r>
              <w:rPr>
                <w:sz w:val="20"/>
                <w:lang w:bidi="zh-CN"/>
              </w:rPr>
              <w:t>三氯乙烷</w:t>
            </w:r>
          </w:p>
        </w:tc>
        <w:tc>
          <w:tcPr>
            <w:tcW w:w="1585" w:type="dxa"/>
            <w:shd w:val="clear" w:color="auto" w:fill="auto"/>
          </w:tcPr>
          <w:p w:rsidR="00DB7CC8" w:rsidRDefault="002B5250">
            <w:pPr>
              <w:pStyle w:val="affff7"/>
              <w:rPr>
                <w:sz w:val="20"/>
                <w:lang w:bidi="zh-CN"/>
              </w:rPr>
            </w:pPr>
            <w:r>
              <w:rPr>
                <w:sz w:val="20"/>
                <w:lang w:bidi="zh-CN"/>
              </w:rPr>
              <w:t>840</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1,1,2-</w:t>
            </w:r>
            <w:r>
              <w:rPr>
                <w:sz w:val="20"/>
                <w:lang w:bidi="zh-CN"/>
              </w:rPr>
              <w:t>三氯乙烷</w:t>
            </w:r>
          </w:p>
        </w:tc>
        <w:tc>
          <w:tcPr>
            <w:tcW w:w="1585" w:type="dxa"/>
            <w:shd w:val="clear" w:color="auto" w:fill="auto"/>
          </w:tcPr>
          <w:p w:rsidR="00DB7CC8" w:rsidRDefault="002B5250">
            <w:pPr>
              <w:pStyle w:val="affff7"/>
              <w:rPr>
                <w:sz w:val="20"/>
                <w:lang w:bidi="zh-CN"/>
              </w:rPr>
            </w:pPr>
            <w:r>
              <w:rPr>
                <w:sz w:val="20"/>
                <w:lang w:bidi="zh-CN"/>
              </w:rPr>
              <w:t>2.8</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lang w:bidi="zh-CN"/>
              </w:rPr>
            </w:pPr>
          </w:p>
        </w:tc>
        <w:tc>
          <w:tcPr>
            <w:tcW w:w="1940" w:type="dxa"/>
            <w:shd w:val="clear" w:color="auto" w:fill="auto"/>
          </w:tcPr>
          <w:p w:rsidR="00DB7CC8" w:rsidRDefault="002B5250">
            <w:pPr>
              <w:pStyle w:val="affff7"/>
              <w:rPr>
                <w:sz w:val="20"/>
                <w:lang w:bidi="zh-CN"/>
              </w:rPr>
            </w:pPr>
            <w:r>
              <w:rPr>
                <w:sz w:val="20"/>
                <w:lang w:bidi="zh-CN"/>
              </w:rPr>
              <w:t>三氯乙烯</w:t>
            </w:r>
          </w:p>
        </w:tc>
        <w:tc>
          <w:tcPr>
            <w:tcW w:w="1585" w:type="dxa"/>
            <w:shd w:val="clear" w:color="auto" w:fill="auto"/>
          </w:tcPr>
          <w:p w:rsidR="00DB7CC8" w:rsidRDefault="002B5250">
            <w:pPr>
              <w:pStyle w:val="affff7"/>
              <w:rPr>
                <w:sz w:val="20"/>
                <w:lang w:bidi="zh-CN"/>
              </w:rPr>
            </w:pPr>
            <w:r>
              <w:rPr>
                <w:sz w:val="20"/>
                <w:lang w:bidi="zh-CN"/>
              </w:rPr>
              <w:t>2.8</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1,2,3-</w:t>
            </w:r>
            <w:r>
              <w:rPr>
                <w:sz w:val="20"/>
                <w:lang w:bidi="zh-CN"/>
              </w:rPr>
              <w:t>三氯丙烷</w:t>
            </w:r>
          </w:p>
        </w:tc>
        <w:tc>
          <w:tcPr>
            <w:tcW w:w="1585" w:type="dxa"/>
            <w:shd w:val="clear" w:color="auto" w:fill="auto"/>
          </w:tcPr>
          <w:p w:rsidR="00DB7CC8" w:rsidRDefault="002B5250">
            <w:pPr>
              <w:pStyle w:val="affff7"/>
              <w:rPr>
                <w:sz w:val="20"/>
                <w:lang w:bidi="zh-CN"/>
              </w:rPr>
            </w:pPr>
            <w:r>
              <w:rPr>
                <w:sz w:val="20"/>
                <w:lang w:bidi="zh-CN"/>
              </w:rPr>
              <w:t>0.5</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氯乙烯</w:t>
            </w:r>
          </w:p>
        </w:tc>
        <w:tc>
          <w:tcPr>
            <w:tcW w:w="1585" w:type="dxa"/>
            <w:shd w:val="clear" w:color="auto" w:fill="auto"/>
          </w:tcPr>
          <w:p w:rsidR="00DB7CC8" w:rsidRDefault="002B5250">
            <w:pPr>
              <w:pStyle w:val="affff7"/>
              <w:rPr>
                <w:sz w:val="20"/>
                <w:lang w:bidi="zh-CN"/>
              </w:rPr>
            </w:pPr>
            <w:r>
              <w:rPr>
                <w:sz w:val="20"/>
                <w:lang w:bidi="zh-CN"/>
              </w:rPr>
              <w:t>0.43</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苯</w:t>
            </w:r>
          </w:p>
        </w:tc>
        <w:tc>
          <w:tcPr>
            <w:tcW w:w="1585" w:type="dxa"/>
            <w:shd w:val="clear" w:color="auto" w:fill="auto"/>
          </w:tcPr>
          <w:p w:rsidR="00DB7CC8" w:rsidRDefault="002B5250">
            <w:pPr>
              <w:pStyle w:val="affff7"/>
              <w:rPr>
                <w:sz w:val="20"/>
                <w:lang w:bidi="zh-CN"/>
              </w:rPr>
            </w:pPr>
            <w:r>
              <w:rPr>
                <w:sz w:val="20"/>
                <w:lang w:bidi="zh-CN"/>
              </w:rPr>
              <w:t>4</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氯苯</w:t>
            </w:r>
          </w:p>
        </w:tc>
        <w:tc>
          <w:tcPr>
            <w:tcW w:w="1585" w:type="dxa"/>
            <w:shd w:val="clear" w:color="auto" w:fill="auto"/>
          </w:tcPr>
          <w:p w:rsidR="00DB7CC8" w:rsidRDefault="002B5250">
            <w:pPr>
              <w:pStyle w:val="affff7"/>
              <w:rPr>
                <w:sz w:val="20"/>
                <w:lang w:bidi="zh-CN"/>
              </w:rPr>
            </w:pPr>
            <w:r>
              <w:rPr>
                <w:sz w:val="20"/>
                <w:lang w:bidi="zh-CN"/>
              </w:rPr>
              <w:t>270</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1,2-</w:t>
            </w:r>
            <w:r>
              <w:rPr>
                <w:sz w:val="20"/>
                <w:lang w:bidi="zh-CN"/>
              </w:rPr>
              <w:t>二氯苯</w:t>
            </w:r>
          </w:p>
        </w:tc>
        <w:tc>
          <w:tcPr>
            <w:tcW w:w="1585" w:type="dxa"/>
            <w:shd w:val="clear" w:color="auto" w:fill="auto"/>
          </w:tcPr>
          <w:p w:rsidR="00DB7CC8" w:rsidRDefault="002B5250">
            <w:pPr>
              <w:pStyle w:val="affff7"/>
              <w:rPr>
                <w:sz w:val="20"/>
                <w:lang w:bidi="zh-CN"/>
              </w:rPr>
            </w:pPr>
            <w:r>
              <w:rPr>
                <w:sz w:val="20"/>
                <w:lang w:bidi="zh-CN"/>
              </w:rPr>
              <w:t>560</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1,4-</w:t>
            </w:r>
            <w:r>
              <w:rPr>
                <w:sz w:val="20"/>
                <w:lang w:bidi="zh-CN"/>
              </w:rPr>
              <w:t>二氯苯</w:t>
            </w:r>
          </w:p>
        </w:tc>
        <w:tc>
          <w:tcPr>
            <w:tcW w:w="1585" w:type="dxa"/>
            <w:shd w:val="clear" w:color="auto" w:fill="auto"/>
          </w:tcPr>
          <w:p w:rsidR="00DB7CC8" w:rsidRDefault="002B5250">
            <w:pPr>
              <w:pStyle w:val="affff7"/>
              <w:rPr>
                <w:sz w:val="20"/>
                <w:lang w:bidi="zh-CN"/>
              </w:rPr>
            </w:pPr>
            <w:r>
              <w:rPr>
                <w:sz w:val="20"/>
                <w:lang w:bidi="zh-CN"/>
              </w:rPr>
              <w:t>20</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乙苯</w:t>
            </w:r>
          </w:p>
        </w:tc>
        <w:tc>
          <w:tcPr>
            <w:tcW w:w="1585" w:type="dxa"/>
            <w:shd w:val="clear" w:color="auto" w:fill="auto"/>
          </w:tcPr>
          <w:p w:rsidR="00DB7CC8" w:rsidRDefault="002B5250">
            <w:pPr>
              <w:pStyle w:val="affff7"/>
              <w:rPr>
                <w:sz w:val="20"/>
                <w:lang w:bidi="zh-CN"/>
              </w:rPr>
            </w:pPr>
            <w:r>
              <w:rPr>
                <w:sz w:val="20"/>
                <w:lang w:bidi="zh-CN"/>
              </w:rPr>
              <w:t>28</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苯乙烯</w:t>
            </w:r>
          </w:p>
        </w:tc>
        <w:tc>
          <w:tcPr>
            <w:tcW w:w="1585" w:type="dxa"/>
            <w:shd w:val="clear" w:color="auto" w:fill="auto"/>
          </w:tcPr>
          <w:p w:rsidR="00DB7CC8" w:rsidRDefault="002B5250">
            <w:pPr>
              <w:pStyle w:val="affff7"/>
              <w:rPr>
                <w:sz w:val="20"/>
                <w:lang w:bidi="zh-CN"/>
              </w:rPr>
            </w:pPr>
            <w:r>
              <w:rPr>
                <w:sz w:val="20"/>
                <w:lang w:bidi="zh-CN"/>
              </w:rPr>
              <w:t>1290</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甲苯</w:t>
            </w:r>
          </w:p>
        </w:tc>
        <w:tc>
          <w:tcPr>
            <w:tcW w:w="1585" w:type="dxa"/>
            <w:shd w:val="clear" w:color="auto" w:fill="auto"/>
          </w:tcPr>
          <w:p w:rsidR="00DB7CC8" w:rsidRDefault="002B5250">
            <w:pPr>
              <w:pStyle w:val="affff7"/>
              <w:rPr>
                <w:sz w:val="20"/>
                <w:lang w:bidi="zh-CN"/>
              </w:rPr>
            </w:pPr>
            <w:r>
              <w:rPr>
                <w:sz w:val="20"/>
                <w:lang w:bidi="zh-CN"/>
              </w:rPr>
              <w:t>1200</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间</w:t>
            </w:r>
            <w:r>
              <w:rPr>
                <w:sz w:val="20"/>
                <w:lang w:bidi="zh-CN"/>
              </w:rPr>
              <w:t>,</w:t>
            </w:r>
            <w:r>
              <w:rPr>
                <w:sz w:val="20"/>
                <w:lang w:bidi="zh-CN"/>
              </w:rPr>
              <w:t>对</w:t>
            </w:r>
            <w:r>
              <w:rPr>
                <w:sz w:val="20"/>
                <w:lang w:bidi="zh-CN"/>
              </w:rPr>
              <w:t>-</w:t>
            </w:r>
            <w:r>
              <w:rPr>
                <w:sz w:val="20"/>
                <w:lang w:bidi="zh-CN"/>
              </w:rPr>
              <w:t>二甲苯</w:t>
            </w:r>
          </w:p>
        </w:tc>
        <w:tc>
          <w:tcPr>
            <w:tcW w:w="1585" w:type="dxa"/>
            <w:shd w:val="clear" w:color="auto" w:fill="auto"/>
          </w:tcPr>
          <w:p w:rsidR="00DB7CC8" w:rsidRDefault="002B5250">
            <w:pPr>
              <w:pStyle w:val="affff7"/>
              <w:rPr>
                <w:sz w:val="20"/>
                <w:lang w:bidi="zh-CN"/>
              </w:rPr>
            </w:pPr>
            <w:r>
              <w:rPr>
                <w:sz w:val="20"/>
                <w:lang w:bidi="zh-CN"/>
              </w:rPr>
              <w:t>570</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邻</w:t>
            </w:r>
            <w:r>
              <w:rPr>
                <w:sz w:val="20"/>
                <w:lang w:bidi="zh-CN"/>
              </w:rPr>
              <w:t>-</w:t>
            </w:r>
            <w:r>
              <w:rPr>
                <w:sz w:val="20"/>
                <w:lang w:bidi="zh-CN"/>
              </w:rPr>
              <w:t>二甲苯</w:t>
            </w:r>
          </w:p>
        </w:tc>
        <w:tc>
          <w:tcPr>
            <w:tcW w:w="1585" w:type="dxa"/>
            <w:shd w:val="clear" w:color="auto" w:fill="auto"/>
          </w:tcPr>
          <w:p w:rsidR="00DB7CC8" w:rsidRDefault="002B5250">
            <w:pPr>
              <w:pStyle w:val="affff7"/>
              <w:rPr>
                <w:sz w:val="20"/>
                <w:lang w:bidi="zh-CN"/>
              </w:rPr>
            </w:pPr>
            <w:r>
              <w:rPr>
                <w:sz w:val="20"/>
                <w:lang w:bidi="zh-CN"/>
              </w:rPr>
              <w:t>640</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硝基苯</w:t>
            </w:r>
          </w:p>
        </w:tc>
        <w:tc>
          <w:tcPr>
            <w:tcW w:w="1585" w:type="dxa"/>
            <w:shd w:val="clear" w:color="auto" w:fill="auto"/>
          </w:tcPr>
          <w:p w:rsidR="00DB7CC8" w:rsidRDefault="002B5250">
            <w:pPr>
              <w:pStyle w:val="affff7"/>
              <w:rPr>
                <w:sz w:val="20"/>
                <w:lang w:bidi="zh-CN"/>
              </w:rPr>
            </w:pPr>
            <w:r>
              <w:rPr>
                <w:sz w:val="20"/>
                <w:lang w:bidi="zh-CN"/>
              </w:rPr>
              <w:t>76</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苯胺</w:t>
            </w:r>
          </w:p>
        </w:tc>
        <w:tc>
          <w:tcPr>
            <w:tcW w:w="1585" w:type="dxa"/>
            <w:shd w:val="clear" w:color="auto" w:fill="auto"/>
          </w:tcPr>
          <w:p w:rsidR="00DB7CC8" w:rsidRDefault="002B5250">
            <w:pPr>
              <w:pStyle w:val="affff7"/>
              <w:rPr>
                <w:sz w:val="20"/>
                <w:lang w:bidi="zh-CN"/>
              </w:rPr>
            </w:pPr>
            <w:r>
              <w:rPr>
                <w:sz w:val="20"/>
                <w:lang w:bidi="zh-CN"/>
              </w:rPr>
              <w:t>260</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2-</w:t>
            </w:r>
            <w:r>
              <w:rPr>
                <w:sz w:val="20"/>
                <w:lang w:bidi="zh-CN"/>
              </w:rPr>
              <w:t>氯酚</w:t>
            </w:r>
          </w:p>
        </w:tc>
        <w:tc>
          <w:tcPr>
            <w:tcW w:w="1585" w:type="dxa"/>
            <w:shd w:val="clear" w:color="auto" w:fill="auto"/>
          </w:tcPr>
          <w:p w:rsidR="00DB7CC8" w:rsidRDefault="002B5250">
            <w:pPr>
              <w:pStyle w:val="affff7"/>
              <w:rPr>
                <w:sz w:val="20"/>
                <w:lang w:bidi="zh-CN"/>
              </w:rPr>
            </w:pPr>
            <w:r>
              <w:rPr>
                <w:sz w:val="20"/>
                <w:lang w:bidi="zh-CN"/>
              </w:rPr>
              <w:t>2256</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苯并</w:t>
            </w:r>
            <w:r>
              <w:rPr>
                <w:sz w:val="20"/>
                <w:lang w:bidi="zh-CN"/>
              </w:rPr>
              <w:t>[a]</w:t>
            </w:r>
            <w:r>
              <w:rPr>
                <w:sz w:val="20"/>
                <w:lang w:bidi="zh-CN"/>
              </w:rPr>
              <w:t>蒽</w:t>
            </w:r>
          </w:p>
        </w:tc>
        <w:tc>
          <w:tcPr>
            <w:tcW w:w="1585" w:type="dxa"/>
            <w:shd w:val="clear" w:color="auto" w:fill="auto"/>
          </w:tcPr>
          <w:p w:rsidR="00DB7CC8" w:rsidRDefault="002B5250">
            <w:pPr>
              <w:pStyle w:val="affff7"/>
              <w:rPr>
                <w:sz w:val="20"/>
                <w:lang w:bidi="zh-CN"/>
              </w:rPr>
            </w:pPr>
            <w:r>
              <w:rPr>
                <w:sz w:val="20"/>
                <w:lang w:bidi="zh-CN"/>
              </w:rPr>
              <w:t>15</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苯并</w:t>
            </w:r>
            <w:r>
              <w:rPr>
                <w:sz w:val="20"/>
                <w:lang w:bidi="zh-CN"/>
              </w:rPr>
              <w:t>[a]</w:t>
            </w:r>
            <w:r>
              <w:rPr>
                <w:sz w:val="20"/>
                <w:lang w:bidi="zh-CN"/>
              </w:rPr>
              <w:t>芘</w:t>
            </w:r>
          </w:p>
        </w:tc>
        <w:tc>
          <w:tcPr>
            <w:tcW w:w="1585" w:type="dxa"/>
            <w:shd w:val="clear" w:color="auto" w:fill="auto"/>
          </w:tcPr>
          <w:p w:rsidR="00DB7CC8" w:rsidRDefault="002B5250">
            <w:pPr>
              <w:pStyle w:val="affff7"/>
              <w:rPr>
                <w:sz w:val="20"/>
                <w:lang w:bidi="zh-CN"/>
              </w:rPr>
            </w:pPr>
            <w:r>
              <w:rPr>
                <w:sz w:val="20"/>
                <w:lang w:bidi="zh-CN"/>
              </w:rPr>
              <w:t>1.5</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苯并</w:t>
            </w:r>
            <w:r>
              <w:rPr>
                <w:sz w:val="20"/>
                <w:lang w:bidi="zh-CN"/>
              </w:rPr>
              <w:t>[b]</w:t>
            </w:r>
            <w:r>
              <w:rPr>
                <w:sz w:val="20"/>
                <w:lang w:bidi="zh-CN"/>
              </w:rPr>
              <w:t>荧蒽</w:t>
            </w:r>
          </w:p>
        </w:tc>
        <w:tc>
          <w:tcPr>
            <w:tcW w:w="1585" w:type="dxa"/>
            <w:shd w:val="clear" w:color="auto" w:fill="auto"/>
          </w:tcPr>
          <w:p w:rsidR="00DB7CC8" w:rsidRDefault="002B5250">
            <w:pPr>
              <w:pStyle w:val="affff7"/>
              <w:rPr>
                <w:sz w:val="20"/>
                <w:lang w:bidi="zh-CN"/>
              </w:rPr>
            </w:pPr>
            <w:r>
              <w:rPr>
                <w:sz w:val="20"/>
                <w:lang w:bidi="zh-CN"/>
              </w:rPr>
              <w:t>15</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苯并</w:t>
            </w:r>
            <w:r>
              <w:rPr>
                <w:sz w:val="20"/>
                <w:lang w:bidi="zh-CN"/>
              </w:rPr>
              <w:t>[k]</w:t>
            </w:r>
            <w:r>
              <w:rPr>
                <w:sz w:val="20"/>
                <w:lang w:bidi="zh-CN"/>
              </w:rPr>
              <w:t>荧蒽</w:t>
            </w:r>
          </w:p>
        </w:tc>
        <w:tc>
          <w:tcPr>
            <w:tcW w:w="1585" w:type="dxa"/>
            <w:shd w:val="clear" w:color="auto" w:fill="auto"/>
          </w:tcPr>
          <w:p w:rsidR="00DB7CC8" w:rsidRDefault="002B5250">
            <w:pPr>
              <w:pStyle w:val="affff7"/>
              <w:rPr>
                <w:sz w:val="20"/>
                <w:lang w:bidi="zh-CN"/>
              </w:rPr>
            </w:pPr>
            <w:r>
              <w:rPr>
                <w:sz w:val="20"/>
                <w:lang w:bidi="zh-CN"/>
              </w:rPr>
              <w:t>151</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䓛</w:t>
            </w:r>
          </w:p>
        </w:tc>
        <w:tc>
          <w:tcPr>
            <w:tcW w:w="1585" w:type="dxa"/>
            <w:shd w:val="clear" w:color="auto" w:fill="auto"/>
          </w:tcPr>
          <w:p w:rsidR="00DB7CC8" w:rsidRDefault="002B5250">
            <w:pPr>
              <w:pStyle w:val="affff7"/>
              <w:rPr>
                <w:sz w:val="20"/>
                <w:lang w:bidi="zh-CN"/>
              </w:rPr>
            </w:pPr>
            <w:r>
              <w:rPr>
                <w:sz w:val="20"/>
                <w:lang w:bidi="zh-CN"/>
              </w:rPr>
              <w:t>1293</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二苯并</w:t>
            </w:r>
            <w:r>
              <w:rPr>
                <w:sz w:val="20"/>
                <w:lang w:bidi="zh-CN"/>
              </w:rPr>
              <w:t>[a</w:t>
            </w:r>
            <w:r>
              <w:rPr>
                <w:sz w:val="20"/>
                <w:lang w:bidi="zh-CN"/>
              </w:rPr>
              <w:t>，</w:t>
            </w:r>
            <w:r>
              <w:rPr>
                <w:sz w:val="20"/>
                <w:lang w:bidi="zh-CN"/>
              </w:rPr>
              <w:t>h]</w:t>
            </w:r>
            <w:r>
              <w:rPr>
                <w:sz w:val="20"/>
                <w:lang w:bidi="zh-CN"/>
              </w:rPr>
              <w:t>蒽</w:t>
            </w:r>
          </w:p>
        </w:tc>
        <w:tc>
          <w:tcPr>
            <w:tcW w:w="1585" w:type="dxa"/>
            <w:shd w:val="clear" w:color="auto" w:fill="auto"/>
          </w:tcPr>
          <w:p w:rsidR="00DB7CC8" w:rsidRDefault="002B5250">
            <w:pPr>
              <w:pStyle w:val="affff7"/>
              <w:rPr>
                <w:sz w:val="20"/>
                <w:lang w:bidi="zh-CN"/>
              </w:rPr>
            </w:pPr>
            <w:r>
              <w:rPr>
                <w:sz w:val="20"/>
                <w:lang w:bidi="zh-CN"/>
              </w:rPr>
              <w:t>1.5</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c>
          <w:tcPr>
            <w:tcW w:w="1539" w:type="dxa"/>
            <w:vMerge/>
            <w:shd w:val="clear" w:color="auto" w:fill="auto"/>
          </w:tcPr>
          <w:p w:rsidR="00DB7CC8" w:rsidRDefault="00DB7CC8">
            <w:pPr>
              <w:pStyle w:val="affff7"/>
              <w:rPr>
                <w:sz w:val="20"/>
              </w:rPr>
            </w:pPr>
          </w:p>
        </w:tc>
        <w:tc>
          <w:tcPr>
            <w:tcW w:w="1940" w:type="dxa"/>
            <w:shd w:val="clear" w:color="auto" w:fill="auto"/>
          </w:tcPr>
          <w:p w:rsidR="00DB7CC8" w:rsidRDefault="002B5250">
            <w:pPr>
              <w:pStyle w:val="affff7"/>
              <w:rPr>
                <w:sz w:val="20"/>
                <w:lang w:bidi="zh-CN"/>
              </w:rPr>
            </w:pPr>
            <w:r>
              <w:rPr>
                <w:sz w:val="20"/>
                <w:lang w:bidi="zh-CN"/>
              </w:rPr>
              <w:t>茚并</w:t>
            </w:r>
            <w:r>
              <w:rPr>
                <w:sz w:val="20"/>
                <w:lang w:bidi="zh-CN"/>
              </w:rPr>
              <w:t>[1,2,3-cd]</w:t>
            </w:r>
            <w:r>
              <w:rPr>
                <w:sz w:val="20"/>
                <w:lang w:bidi="zh-CN"/>
              </w:rPr>
              <w:t>芘</w:t>
            </w:r>
          </w:p>
        </w:tc>
        <w:tc>
          <w:tcPr>
            <w:tcW w:w="1585" w:type="dxa"/>
            <w:shd w:val="clear" w:color="auto" w:fill="auto"/>
          </w:tcPr>
          <w:p w:rsidR="00DB7CC8" w:rsidRDefault="002B5250">
            <w:pPr>
              <w:pStyle w:val="affff7"/>
              <w:rPr>
                <w:sz w:val="20"/>
                <w:lang w:bidi="zh-CN"/>
              </w:rPr>
            </w:pPr>
            <w:r>
              <w:rPr>
                <w:sz w:val="20"/>
                <w:lang w:bidi="zh-CN"/>
              </w:rPr>
              <w:t>15</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r w:rsidR="00DB7CC8">
        <w:trPr>
          <w:trHeight w:val="61"/>
        </w:trPr>
        <w:tc>
          <w:tcPr>
            <w:tcW w:w="1539" w:type="dxa"/>
            <w:vMerge/>
            <w:shd w:val="clear" w:color="auto" w:fill="auto"/>
          </w:tcPr>
          <w:p w:rsidR="00DB7CC8" w:rsidRDefault="00DB7CC8">
            <w:pPr>
              <w:pStyle w:val="affff7"/>
              <w:rPr>
                <w:sz w:val="20"/>
              </w:rPr>
            </w:pPr>
          </w:p>
        </w:tc>
        <w:tc>
          <w:tcPr>
            <w:tcW w:w="1940" w:type="dxa"/>
            <w:shd w:val="clear" w:color="auto" w:fill="auto"/>
            <w:vAlign w:val="center"/>
          </w:tcPr>
          <w:p w:rsidR="00DB7CC8" w:rsidRDefault="002B5250">
            <w:pPr>
              <w:pStyle w:val="affff7"/>
              <w:rPr>
                <w:sz w:val="20"/>
                <w:lang w:bidi="zh-CN"/>
              </w:rPr>
            </w:pPr>
            <w:r>
              <w:rPr>
                <w:sz w:val="20"/>
                <w:lang w:bidi="zh-CN"/>
              </w:rPr>
              <w:t>萘</w:t>
            </w:r>
          </w:p>
        </w:tc>
        <w:tc>
          <w:tcPr>
            <w:tcW w:w="1585" w:type="dxa"/>
            <w:shd w:val="clear" w:color="auto" w:fill="auto"/>
            <w:vAlign w:val="center"/>
          </w:tcPr>
          <w:p w:rsidR="00DB7CC8" w:rsidRDefault="002B5250">
            <w:pPr>
              <w:pStyle w:val="affff7"/>
              <w:rPr>
                <w:sz w:val="20"/>
                <w:lang w:bidi="zh-CN"/>
              </w:rPr>
            </w:pPr>
            <w:r>
              <w:rPr>
                <w:sz w:val="20"/>
                <w:lang w:bidi="zh-CN"/>
              </w:rPr>
              <w:t>70</w:t>
            </w:r>
          </w:p>
        </w:tc>
        <w:tc>
          <w:tcPr>
            <w:tcW w:w="1588" w:type="dxa"/>
            <w:vMerge/>
            <w:shd w:val="clear" w:color="auto" w:fill="auto"/>
          </w:tcPr>
          <w:p w:rsidR="00DB7CC8" w:rsidRDefault="00DB7CC8">
            <w:pPr>
              <w:pStyle w:val="affff7"/>
              <w:rPr>
                <w:sz w:val="20"/>
                <w:lang w:bidi="zh-CN"/>
              </w:rPr>
            </w:pPr>
          </w:p>
        </w:tc>
        <w:tc>
          <w:tcPr>
            <w:tcW w:w="1876" w:type="dxa"/>
            <w:vMerge/>
            <w:shd w:val="clear" w:color="auto" w:fill="auto"/>
          </w:tcPr>
          <w:p w:rsidR="00DB7CC8" w:rsidRDefault="00DB7CC8">
            <w:pPr>
              <w:pStyle w:val="affff7"/>
              <w:rPr>
                <w:sz w:val="20"/>
                <w:lang w:bidi="zh-CN"/>
              </w:rPr>
            </w:pPr>
          </w:p>
        </w:tc>
      </w:tr>
    </w:tbl>
    <w:p w:rsidR="00DB7CC8" w:rsidRDefault="002B5250">
      <w:pPr>
        <w:spacing w:line="240" w:lineRule="auto"/>
        <w:ind w:firstLineChars="0"/>
        <w:jc w:val="center"/>
        <w:textAlignment w:val="auto"/>
        <w:rPr>
          <w:rFonts w:eastAsia="黑体"/>
          <w:kern w:val="2"/>
          <w:sz w:val="21"/>
          <w:szCs w:val="21"/>
        </w:rPr>
      </w:pPr>
      <w:r>
        <w:rPr>
          <w:rFonts w:eastAsia="黑体" w:hint="eastAsia"/>
          <w:kern w:val="2"/>
          <w:sz w:val="21"/>
          <w:szCs w:val="21"/>
        </w:rPr>
        <w:t>表</w:t>
      </w:r>
      <w:r>
        <w:rPr>
          <w:rFonts w:eastAsia="黑体" w:hint="eastAsia"/>
          <w:kern w:val="2"/>
          <w:sz w:val="21"/>
          <w:szCs w:val="21"/>
        </w:rPr>
        <w:t xml:space="preserve"> 2.7</w:t>
      </w:r>
      <w:r>
        <w:rPr>
          <w:rFonts w:eastAsia="黑体" w:hint="eastAsia"/>
          <w:kern w:val="2"/>
          <w:sz w:val="21"/>
          <w:szCs w:val="21"/>
        </w:rPr>
        <w:t>–</w:t>
      </w:r>
      <w:r>
        <w:rPr>
          <w:rFonts w:eastAsia="黑体" w:hint="eastAsia"/>
          <w:kern w:val="2"/>
          <w:sz w:val="21"/>
          <w:szCs w:val="21"/>
        </w:rPr>
        <w:t xml:space="preserve">6   </w:t>
      </w:r>
      <w:r>
        <w:rPr>
          <w:rFonts w:eastAsia="黑体" w:hint="eastAsia"/>
          <w:kern w:val="2"/>
          <w:sz w:val="21"/>
          <w:szCs w:val="21"/>
        </w:rPr>
        <w:t>农用地土壤污染风险筛选值（基本项目）</w:t>
      </w:r>
    </w:p>
    <w:tbl>
      <w:tblPr>
        <w:tblW w:w="8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775"/>
        <w:gridCol w:w="1211"/>
        <w:gridCol w:w="1468"/>
        <w:gridCol w:w="1480"/>
        <w:gridCol w:w="1480"/>
        <w:gridCol w:w="1274"/>
      </w:tblGrid>
      <w:tr w:rsidR="00DB7CC8">
        <w:trPr>
          <w:jc w:val="center"/>
        </w:trPr>
        <w:tc>
          <w:tcPr>
            <w:tcW w:w="840" w:type="dxa"/>
            <w:vMerge w:val="restart"/>
            <w:shd w:val="clear" w:color="auto" w:fill="auto"/>
            <w:vAlign w:val="center"/>
          </w:tcPr>
          <w:p w:rsidR="00DB7CC8" w:rsidRDefault="002B5250">
            <w:pPr>
              <w:pStyle w:val="afffffffc"/>
              <w:spacing w:line="240" w:lineRule="auto"/>
              <w:rPr>
                <w:lang w:bidi="zh-CN"/>
              </w:rPr>
            </w:pPr>
            <w:r>
              <w:rPr>
                <w:rFonts w:hint="eastAsia"/>
                <w:lang w:bidi="zh-CN"/>
              </w:rPr>
              <w:t>序号</w:t>
            </w:r>
          </w:p>
        </w:tc>
        <w:tc>
          <w:tcPr>
            <w:tcW w:w="1986" w:type="dxa"/>
            <w:gridSpan w:val="2"/>
            <w:vMerge w:val="restart"/>
            <w:shd w:val="clear" w:color="auto" w:fill="auto"/>
            <w:vAlign w:val="center"/>
          </w:tcPr>
          <w:p w:rsidR="00DB7CC8" w:rsidRDefault="002B5250">
            <w:pPr>
              <w:pStyle w:val="afffffffc"/>
              <w:spacing w:line="240" w:lineRule="auto"/>
              <w:rPr>
                <w:lang w:bidi="zh-CN"/>
              </w:rPr>
            </w:pPr>
            <w:r>
              <w:rPr>
                <w:rFonts w:hint="eastAsia"/>
                <w:lang w:bidi="zh-CN"/>
              </w:rPr>
              <w:t>污染物项目</w:t>
            </w:r>
          </w:p>
        </w:tc>
        <w:tc>
          <w:tcPr>
            <w:tcW w:w="5702" w:type="dxa"/>
            <w:gridSpan w:val="4"/>
            <w:shd w:val="clear" w:color="auto" w:fill="auto"/>
            <w:vAlign w:val="center"/>
          </w:tcPr>
          <w:p w:rsidR="00DB7CC8" w:rsidRDefault="002B5250">
            <w:pPr>
              <w:pStyle w:val="afffffffc"/>
              <w:spacing w:line="240" w:lineRule="auto"/>
              <w:rPr>
                <w:lang w:bidi="zh-CN"/>
              </w:rPr>
            </w:pPr>
            <w:r>
              <w:rPr>
                <w:rFonts w:hint="eastAsia"/>
                <w:lang w:bidi="zh-CN"/>
              </w:rPr>
              <w:t>风险筛选值</w:t>
            </w:r>
          </w:p>
        </w:tc>
      </w:tr>
      <w:tr w:rsidR="00DB7CC8">
        <w:trPr>
          <w:jc w:val="center"/>
        </w:trPr>
        <w:tc>
          <w:tcPr>
            <w:tcW w:w="840" w:type="dxa"/>
            <w:vMerge/>
            <w:shd w:val="clear" w:color="auto" w:fill="auto"/>
            <w:vAlign w:val="center"/>
          </w:tcPr>
          <w:p w:rsidR="00DB7CC8" w:rsidRDefault="00DB7CC8">
            <w:pPr>
              <w:pStyle w:val="afffffffc"/>
              <w:spacing w:line="240" w:lineRule="auto"/>
              <w:rPr>
                <w:lang w:bidi="zh-CN"/>
              </w:rPr>
            </w:pPr>
          </w:p>
        </w:tc>
        <w:tc>
          <w:tcPr>
            <w:tcW w:w="1986" w:type="dxa"/>
            <w:gridSpan w:val="2"/>
            <w:vMerge/>
            <w:shd w:val="clear" w:color="auto" w:fill="auto"/>
            <w:vAlign w:val="center"/>
          </w:tcPr>
          <w:p w:rsidR="00DB7CC8" w:rsidRDefault="00DB7CC8">
            <w:pPr>
              <w:pStyle w:val="afffffffc"/>
              <w:spacing w:line="240" w:lineRule="auto"/>
              <w:rPr>
                <w:lang w:bidi="zh-CN"/>
              </w:rPr>
            </w:pPr>
          </w:p>
        </w:tc>
        <w:tc>
          <w:tcPr>
            <w:tcW w:w="1468" w:type="dxa"/>
            <w:shd w:val="clear" w:color="auto" w:fill="auto"/>
            <w:vAlign w:val="center"/>
          </w:tcPr>
          <w:p w:rsidR="00DB7CC8" w:rsidRDefault="002B5250">
            <w:pPr>
              <w:pStyle w:val="afffffffc"/>
              <w:spacing w:line="240" w:lineRule="auto"/>
              <w:rPr>
                <w:lang w:bidi="zh-CN"/>
              </w:rPr>
            </w:pPr>
            <w:r>
              <w:rPr>
                <w:rFonts w:hint="eastAsia"/>
                <w:lang w:bidi="zh-CN"/>
              </w:rPr>
              <w:t>pH</w:t>
            </w:r>
            <w:r>
              <w:rPr>
                <w:rFonts w:hint="eastAsia"/>
                <w:lang w:bidi="zh-CN"/>
              </w:rPr>
              <w:t>≤</w:t>
            </w:r>
            <w:r>
              <w:rPr>
                <w:rFonts w:hint="eastAsia"/>
                <w:lang w:bidi="zh-CN"/>
              </w:rPr>
              <w:t>5.5</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5.5</w:t>
            </w:r>
            <w:r>
              <w:rPr>
                <w:rFonts w:hint="eastAsia"/>
                <w:lang w:bidi="zh-CN"/>
              </w:rPr>
              <w:t>≤</w:t>
            </w:r>
            <w:r>
              <w:rPr>
                <w:rFonts w:hint="eastAsia"/>
                <w:lang w:bidi="zh-CN"/>
              </w:rPr>
              <w:t>pH</w:t>
            </w:r>
            <w:r>
              <w:rPr>
                <w:rFonts w:hint="eastAsia"/>
                <w:lang w:bidi="zh-CN"/>
              </w:rPr>
              <w:t>≤</w:t>
            </w:r>
            <w:r>
              <w:rPr>
                <w:rFonts w:hint="eastAsia"/>
                <w:lang w:bidi="zh-CN"/>
              </w:rPr>
              <w:t>6.5</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6.5</w:t>
            </w:r>
            <w:r>
              <w:rPr>
                <w:rFonts w:hint="eastAsia"/>
                <w:lang w:bidi="zh-CN"/>
              </w:rPr>
              <w:t>≤</w:t>
            </w:r>
            <w:r>
              <w:rPr>
                <w:rFonts w:hint="eastAsia"/>
                <w:lang w:bidi="zh-CN"/>
              </w:rPr>
              <w:t>pH</w:t>
            </w:r>
            <w:r>
              <w:rPr>
                <w:rFonts w:hint="eastAsia"/>
                <w:lang w:bidi="zh-CN"/>
              </w:rPr>
              <w:t>≤</w:t>
            </w:r>
            <w:r>
              <w:rPr>
                <w:rFonts w:hint="eastAsia"/>
                <w:lang w:bidi="zh-CN"/>
              </w:rPr>
              <w:t>7.5</w:t>
            </w:r>
          </w:p>
        </w:tc>
        <w:tc>
          <w:tcPr>
            <w:tcW w:w="1274" w:type="dxa"/>
            <w:shd w:val="clear" w:color="auto" w:fill="auto"/>
            <w:vAlign w:val="center"/>
          </w:tcPr>
          <w:p w:rsidR="00DB7CC8" w:rsidRDefault="002B5250">
            <w:pPr>
              <w:pStyle w:val="afffffffc"/>
              <w:spacing w:line="240" w:lineRule="auto"/>
              <w:rPr>
                <w:lang w:bidi="zh-CN"/>
              </w:rPr>
            </w:pPr>
            <w:r>
              <w:rPr>
                <w:rFonts w:hint="eastAsia"/>
                <w:lang w:bidi="zh-CN"/>
              </w:rPr>
              <w:t>pH</w:t>
            </w:r>
            <w:r>
              <w:rPr>
                <w:rFonts w:hint="eastAsia"/>
                <w:lang w:bidi="zh-CN"/>
              </w:rPr>
              <w:t>＞</w:t>
            </w:r>
            <w:r>
              <w:rPr>
                <w:rFonts w:hint="eastAsia"/>
                <w:lang w:bidi="zh-CN"/>
              </w:rPr>
              <w:t>7.5</w:t>
            </w:r>
          </w:p>
        </w:tc>
      </w:tr>
      <w:tr w:rsidR="00DB7CC8">
        <w:trPr>
          <w:jc w:val="center"/>
        </w:trPr>
        <w:tc>
          <w:tcPr>
            <w:tcW w:w="840" w:type="dxa"/>
            <w:vMerge w:val="restart"/>
            <w:shd w:val="clear" w:color="auto" w:fill="auto"/>
            <w:vAlign w:val="center"/>
          </w:tcPr>
          <w:p w:rsidR="00DB7CC8" w:rsidRDefault="002B5250">
            <w:pPr>
              <w:pStyle w:val="afffffffc"/>
              <w:spacing w:line="240" w:lineRule="auto"/>
              <w:rPr>
                <w:lang w:bidi="zh-CN"/>
              </w:rPr>
            </w:pPr>
            <w:r>
              <w:rPr>
                <w:rFonts w:hint="eastAsia"/>
                <w:lang w:bidi="zh-CN"/>
              </w:rPr>
              <w:t>1</w:t>
            </w:r>
          </w:p>
        </w:tc>
        <w:tc>
          <w:tcPr>
            <w:tcW w:w="775" w:type="dxa"/>
            <w:vMerge w:val="restart"/>
            <w:shd w:val="clear" w:color="auto" w:fill="auto"/>
            <w:vAlign w:val="center"/>
          </w:tcPr>
          <w:p w:rsidR="00DB7CC8" w:rsidRDefault="002B5250">
            <w:pPr>
              <w:pStyle w:val="afffffffc"/>
              <w:spacing w:line="240" w:lineRule="auto"/>
              <w:rPr>
                <w:lang w:bidi="zh-CN"/>
              </w:rPr>
            </w:pPr>
            <w:r>
              <w:rPr>
                <w:rFonts w:hint="eastAsia"/>
                <w:lang w:bidi="zh-CN"/>
              </w:rPr>
              <w:t>镉</w:t>
            </w:r>
          </w:p>
        </w:tc>
        <w:tc>
          <w:tcPr>
            <w:tcW w:w="1211" w:type="dxa"/>
            <w:shd w:val="clear" w:color="auto" w:fill="auto"/>
            <w:vAlign w:val="center"/>
          </w:tcPr>
          <w:p w:rsidR="00DB7CC8" w:rsidRDefault="002B5250">
            <w:pPr>
              <w:pStyle w:val="afffffffc"/>
              <w:spacing w:line="240" w:lineRule="auto"/>
              <w:rPr>
                <w:lang w:bidi="zh-CN"/>
              </w:rPr>
            </w:pPr>
            <w:r>
              <w:rPr>
                <w:rFonts w:hint="eastAsia"/>
                <w:lang w:bidi="zh-CN"/>
              </w:rPr>
              <w:t>水田</w:t>
            </w:r>
          </w:p>
        </w:tc>
        <w:tc>
          <w:tcPr>
            <w:tcW w:w="1468" w:type="dxa"/>
            <w:shd w:val="clear" w:color="auto" w:fill="auto"/>
            <w:vAlign w:val="center"/>
          </w:tcPr>
          <w:p w:rsidR="00DB7CC8" w:rsidRDefault="002B5250">
            <w:pPr>
              <w:pStyle w:val="afffffffc"/>
              <w:spacing w:line="240" w:lineRule="auto"/>
              <w:rPr>
                <w:lang w:bidi="zh-CN"/>
              </w:rPr>
            </w:pPr>
            <w:r>
              <w:rPr>
                <w:rFonts w:hint="eastAsia"/>
                <w:lang w:bidi="zh-CN"/>
              </w:rPr>
              <w:t>0.3</w:t>
            </w:r>
          </w:p>
        </w:tc>
        <w:tc>
          <w:tcPr>
            <w:tcW w:w="1480" w:type="dxa"/>
            <w:shd w:val="clear" w:color="auto" w:fill="auto"/>
            <w:vAlign w:val="center"/>
          </w:tcPr>
          <w:p w:rsidR="00DB7CC8" w:rsidRDefault="002B5250">
            <w:pPr>
              <w:pStyle w:val="afffffffc"/>
              <w:spacing w:line="240" w:lineRule="auto"/>
              <w:jc w:val="left"/>
              <w:rPr>
                <w:lang w:bidi="zh-CN"/>
              </w:rPr>
            </w:pPr>
            <w:r>
              <w:rPr>
                <w:rFonts w:hint="eastAsia"/>
                <w:lang w:bidi="zh-CN"/>
              </w:rPr>
              <w:t>0.4</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0.6</w:t>
            </w:r>
          </w:p>
        </w:tc>
        <w:tc>
          <w:tcPr>
            <w:tcW w:w="1274" w:type="dxa"/>
            <w:shd w:val="clear" w:color="auto" w:fill="auto"/>
            <w:vAlign w:val="center"/>
          </w:tcPr>
          <w:p w:rsidR="00DB7CC8" w:rsidRDefault="002B5250">
            <w:pPr>
              <w:pStyle w:val="afffffffc"/>
              <w:spacing w:line="240" w:lineRule="auto"/>
              <w:rPr>
                <w:lang w:bidi="zh-CN"/>
              </w:rPr>
            </w:pPr>
            <w:r>
              <w:rPr>
                <w:rFonts w:hint="eastAsia"/>
                <w:lang w:bidi="zh-CN"/>
              </w:rPr>
              <w:t>0.8</w:t>
            </w:r>
          </w:p>
        </w:tc>
      </w:tr>
      <w:tr w:rsidR="00DB7CC8">
        <w:trPr>
          <w:jc w:val="center"/>
        </w:trPr>
        <w:tc>
          <w:tcPr>
            <w:tcW w:w="840" w:type="dxa"/>
            <w:vMerge/>
            <w:shd w:val="clear" w:color="auto" w:fill="auto"/>
            <w:vAlign w:val="center"/>
          </w:tcPr>
          <w:p w:rsidR="00DB7CC8" w:rsidRDefault="00DB7CC8">
            <w:pPr>
              <w:pStyle w:val="afffffffc"/>
              <w:spacing w:line="240" w:lineRule="auto"/>
              <w:rPr>
                <w:lang w:bidi="zh-CN"/>
              </w:rPr>
            </w:pPr>
          </w:p>
        </w:tc>
        <w:tc>
          <w:tcPr>
            <w:tcW w:w="775" w:type="dxa"/>
            <w:vMerge/>
            <w:shd w:val="clear" w:color="auto" w:fill="auto"/>
            <w:vAlign w:val="center"/>
          </w:tcPr>
          <w:p w:rsidR="00DB7CC8" w:rsidRDefault="00DB7CC8">
            <w:pPr>
              <w:pStyle w:val="afffffffc"/>
              <w:spacing w:line="240" w:lineRule="auto"/>
              <w:rPr>
                <w:lang w:bidi="zh-CN"/>
              </w:rPr>
            </w:pPr>
          </w:p>
        </w:tc>
        <w:tc>
          <w:tcPr>
            <w:tcW w:w="1211" w:type="dxa"/>
            <w:shd w:val="clear" w:color="auto" w:fill="auto"/>
            <w:vAlign w:val="center"/>
          </w:tcPr>
          <w:p w:rsidR="00DB7CC8" w:rsidRDefault="002B5250">
            <w:pPr>
              <w:pStyle w:val="afffffffc"/>
              <w:spacing w:line="240" w:lineRule="auto"/>
              <w:rPr>
                <w:lang w:bidi="zh-CN"/>
              </w:rPr>
            </w:pPr>
            <w:r>
              <w:rPr>
                <w:rFonts w:hint="eastAsia"/>
                <w:lang w:bidi="zh-CN"/>
              </w:rPr>
              <w:t>其他</w:t>
            </w:r>
          </w:p>
        </w:tc>
        <w:tc>
          <w:tcPr>
            <w:tcW w:w="1468" w:type="dxa"/>
            <w:shd w:val="clear" w:color="auto" w:fill="auto"/>
            <w:vAlign w:val="center"/>
          </w:tcPr>
          <w:p w:rsidR="00DB7CC8" w:rsidRDefault="002B5250">
            <w:pPr>
              <w:pStyle w:val="afffffffc"/>
              <w:spacing w:line="240" w:lineRule="auto"/>
              <w:rPr>
                <w:lang w:bidi="zh-CN"/>
              </w:rPr>
            </w:pPr>
            <w:r>
              <w:rPr>
                <w:rFonts w:hint="eastAsia"/>
                <w:lang w:bidi="zh-CN"/>
              </w:rPr>
              <w:t>0.3</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0.3</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0.3</w:t>
            </w:r>
          </w:p>
        </w:tc>
        <w:tc>
          <w:tcPr>
            <w:tcW w:w="1274" w:type="dxa"/>
            <w:shd w:val="clear" w:color="auto" w:fill="auto"/>
            <w:vAlign w:val="center"/>
          </w:tcPr>
          <w:p w:rsidR="00DB7CC8" w:rsidRDefault="002B5250">
            <w:pPr>
              <w:pStyle w:val="afffffffc"/>
              <w:spacing w:line="240" w:lineRule="auto"/>
              <w:rPr>
                <w:lang w:bidi="zh-CN"/>
              </w:rPr>
            </w:pPr>
            <w:r>
              <w:rPr>
                <w:rFonts w:hint="eastAsia"/>
                <w:lang w:bidi="zh-CN"/>
              </w:rPr>
              <w:t>0.6</w:t>
            </w:r>
          </w:p>
        </w:tc>
      </w:tr>
      <w:tr w:rsidR="00DB7CC8">
        <w:trPr>
          <w:jc w:val="center"/>
        </w:trPr>
        <w:tc>
          <w:tcPr>
            <w:tcW w:w="840" w:type="dxa"/>
            <w:vMerge w:val="restart"/>
            <w:shd w:val="clear" w:color="auto" w:fill="auto"/>
            <w:vAlign w:val="center"/>
          </w:tcPr>
          <w:p w:rsidR="00DB7CC8" w:rsidRDefault="002B5250">
            <w:pPr>
              <w:pStyle w:val="afffffffc"/>
              <w:spacing w:line="240" w:lineRule="auto"/>
              <w:rPr>
                <w:lang w:bidi="zh-CN"/>
              </w:rPr>
            </w:pPr>
            <w:r>
              <w:rPr>
                <w:rFonts w:hint="eastAsia"/>
                <w:lang w:bidi="zh-CN"/>
              </w:rPr>
              <w:t>2</w:t>
            </w:r>
          </w:p>
        </w:tc>
        <w:tc>
          <w:tcPr>
            <w:tcW w:w="775" w:type="dxa"/>
            <w:vMerge w:val="restart"/>
            <w:shd w:val="clear" w:color="auto" w:fill="auto"/>
            <w:vAlign w:val="center"/>
          </w:tcPr>
          <w:p w:rsidR="00DB7CC8" w:rsidRDefault="002B5250">
            <w:pPr>
              <w:pStyle w:val="afffffffc"/>
              <w:spacing w:line="240" w:lineRule="auto"/>
              <w:rPr>
                <w:lang w:bidi="zh-CN"/>
              </w:rPr>
            </w:pPr>
            <w:r>
              <w:rPr>
                <w:rFonts w:hint="eastAsia"/>
                <w:lang w:bidi="zh-CN"/>
              </w:rPr>
              <w:t>汞</w:t>
            </w:r>
          </w:p>
        </w:tc>
        <w:tc>
          <w:tcPr>
            <w:tcW w:w="1211" w:type="dxa"/>
            <w:shd w:val="clear" w:color="auto" w:fill="auto"/>
            <w:vAlign w:val="center"/>
          </w:tcPr>
          <w:p w:rsidR="00DB7CC8" w:rsidRDefault="002B5250">
            <w:pPr>
              <w:pStyle w:val="afffffffc"/>
              <w:spacing w:line="240" w:lineRule="auto"/>
              <w:rPr>
                <w:lang w:bidi="zh-CN"/>
              </w:rPr>
            </w:pPr>
            <w:r>
              <w:rPr>
                <w:rFonts w:hint="eastAsia"/>
                <w:lang w:bidi="zh-CN"/>
              </w:rPr>
              <w:t>水田</w:t>
            </w:r>
          </w:p>
        </w:tc>
        <w:tc>
          <w:tcPr>
            <w:tcW w:w="1468" w:type="dxa"/>
            <w:shd w:val="clear" w:color="auto" w:fill="auto"/>
            <w:vAlign w:val="center"/>
          </w:tcPr>
          <w:p w:rsidR="00DB7CC8" w:rsidRDefault="002B5250">
            <w:pPr>
              <w:pStyle w:val="afffffffc"/>
              <w:spacing w:line="240" w:lineRule="auto"/>
              <w:rPr>
                <w:lang w:bidi="zh-CN"/>
              </w:rPr>
            </w:pPr>
            <w:r>
              <w:rPr>
                <w:rFonts w:hint="eastAsia"/>
                <w:lang w:bidi="zh-CN"/>
              </w:rPr>
              <w:t>0.5</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0.5</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0.6</w:t>
            </w:r>
          </w:p>
        </w:tc>
        <w:tc>
          <w:tcPr>
            <w:tcW w:w="1274" w:type="dxa"/>
            <w:shd w:val="clear" w:color="auto" w:fill="auto"/>
            <w:vAlign w:val="center"/>
          </w:tcPr>
          <w:p w:rsidR="00DB7CC8" w:rsidRDefault="002B5250">
            <w:pPr>
              <w:pStyle w:val="afffffffc"/>
              <w:spacing w:line="240" w:lineRule="auto"/>
              <w:rPr>
                <w:lang w:bidi="zh-CN"/>
              </w:rPr>
            </w:pPr>
            <w:r>
              <w:rPr>
                <w:rFonts w:hint="eastAsia"/>
                <w:lang w:bidi="zh-CN"/>
              </w:rPr>
              <w:t>1.0</w:t>
            </w:r>
          </w:p>
        </w:tc>
      </w:tr>
      <w:tr w:rsidR="00DB7CC8">
        <w:trPr>
          <w:jc w:val="center"/>
        </w:trPr>
        <w:tc>
          <w:tcPr>
            <w:tcW w:w="840" w:type="dxa"/>
            <w:vMerge/>
            <w:shd w:val="clear" w:color="auto" w:fill="auto"/>
            <w:vAlign w:val="center"/>
          </w:tcPr>
          <w:p w:rsidR="00DB7CC8" w:rsidRDefault="00DB7CC8">
            <w:pPr>
              <w:pStyle w:val="afffffffc"/>
              <w:spacing w:line="240" w:lineRule="auto"/>
              <w:rPr>
                <w:lang w:bidi="zh-CN"/>
              </w:rPr>
            </w:pPr>
          </w:p>
        </w:tc>
        <w:tc>
          <w:tcPr>
            <w:tcW w:w="775" w:type="dxa"/>
            <w:vMerge/>
            <w:shd w:val="clear" w:color="auto" w:fill="auto"/>
            <w:vAlign w:val="center"/>
          </w:tcPr>
          <w:p w:rsidR="00DB7CC8" w:rsidRDefault="00DB7CC8">
            <w:pPr>
              <w:pStyle w:val="afffffffc"/>
              <w:spacing w:line="240" w:lineRule="auto"/>
              <w:rPr>
                <w:lang w:bidi="zh-CN"/>
              </w:rPr>
            </w:pPr>
          </w:p>
        </w:tc>
        <w:tc>
          <w:tcPr>
            <w:tcW w:w="1211" w:type="dxa"/>
            <w:shd w:val="clear" w:color="auto" w:fill="auto"/>
            <w:vAlign w:val="center"/>
          </w:tcPr>
          <w:p w:rsidR="00DB7CC8" w:rsidRDefault="002B5250">
            <w:pPr>
              <w:pStyle w:val="afffffffc"/>
              <w:spacing w:line="240" w:lineRule="auto"/>
              <w:rPr>
                <w:lang w:bidi="zh-CN"/>
              </w:rPr>
            </w:pPr>
            <w:r>
              <w:rPr>
                <w:rFonts w:hint="eastAsia"/>
                <w:lang w:bidi="zh-CN"/>
              </w:rPr>
              <w:t>其他</w:t>
            </w:r>
          </w:p>
        </w:tc>
        <w:tc>
          <w:tcPr>
            <w:tcW w:w="1468" w:type="dxa"/>
            <w:shd w:val="clear" w:color="auto" w:fill="auto"/>
            <w:vAlign w:val="center"/>
          </w:tcPr>
          <w:p w:rsidR="00DB7CC8" w:rsidRDefault="002B5250">
            <w:pPr>
              <w:pStyle w:val="afffffffc"/>
              <w:spacing w:line="240" w:lineRule="auto"/>
              <w:rPr>
                <w:lang w:bidi="zh-CN"/>
              </w:rPr>
            </w:pPr>
            <w:r>
              <w:rPr>
                <w:rFonts w:hint="eastAsia"/>
                <w:lang w:bidi="zh-CN"/>
              </w:rPr>
              <w:t>1.3</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1.8</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2.4</w:t>
            </w:r>
          </w:p>
        </w:tc>
        <w:tc>
          <w:tcPr>
            <w:tcW w:w="1274" w:type="dxa"/>
            <w:shd w:val="clear" w:color="auto" w:fill="auto"/>
            <w:vAlign w:val="center"/>
          </w:tcPr>
          <w:p w:rsidR="00DB7CC8" w:rsidRDefault="002B5250">
            <w:pPr>
              <w:pStyle w:val="afffffffc"/>
              <w:spacing w:line="240" w:lineRule="auto"/>
              <w:rPr>
                <w:lang w:bidi="zh-CN"/>
              </w:rPr>
            </w:pPr>
            <w:r>
              <w:rPr>
                <w:rFonts w:hint="eastAsia"/>
                <w:lang w:bidi="zh-CN"/>
              </w:rPr>
              <w:t>3.4</w:t>
            </w:r>
          </w:p>
        </w:tc>
      </w:tr>
      <w:tr w:rsidR="00DB7CC8">
        <w:trPr>
          <w:jc w:val="center"/>
        </w:trPr>
        <w:tc>
          <w:tcPr>
            <w:tcW w:w="840" w:type="dxa"/>
            <w:vMerge w:val="restart"/>
            <w:shd w:val="clear" w:color="auto" w:fill="auto"/>
            <w:vAlign w:val="center"/>
          </w:tcPr>
          <w:p w:rsidR="00DB7CC8" w:rsidRDefault="002B5250">
            <w:pPr>
              <w:pStyle w:val="afffffffc"/>
              <w:spacing w:line="240" w:lineRule="auto"/>
              <w:rPr>
                <w:lang w:bidi="zh-CN"/>
              </w:rPr>
            </w:pPr>
            <w:r>
              <w:rPr>
                <w:rFonts w:hint="eastAsia"/>
                <w:lang w:bidi="zh-CN"/>
              </w:rPr>
              <w:t>3</w:t>
            </w:r>
          </w:p>
        </w:tc>
        <w:tc>
          <w:tcPr>
            <w:tcW w:w="775" w:type="dxa"/>
            <w:vMerge w:val="restart"/>
            <w:shd w:val="clear" w:color="auto" w:fill="auto"/>
            <w:vAlign w:val="center"/>
          </w:tcPr>
          <w:p w:rsidR="00DB7CC8" w:rsidRDefault="002B5250">
            <w:pPr>
              <w:pStyle w:val="afffffffc"/>
              <w:spacing w:line="240" w:lineRule="auto"/>
              <w:rPr>
                <w:lang w:bidi="zh-CN"/>
              </w:rPr>
            </w:pPr>
            <w:r>
              <w:rPr>
                <w:rFonts w:hint="eastAsia"/>
                <w:lang w:bidi="zh-CN"/>
              </w:rPr>
              <w:t>砷</w:t>
            </w:r>
          </w:p>
        </w:tc>
        <w:tc>
          <w:tcPr>
            <w:tcW w:w="1211" w:type="dxa"/>
            <w:shd w:val="clear" w:color="auto" w:fill="auto"/>
            <w:vAlign w:val="center"/>
          </w:tcPr>
          <w:p w:rsidR="00DB7CC8" w:rsidRDefault="002B5250">
            <w:pPr>
              <w:pStyle w:val="afffffffc"/>
              <w:spacing w:line="240" w:lineRule="auto"/>
              <w:rPr>
                <w:lang w:bidi="zh-CN"/>
              </w:rPr>
            </w:pPr>
            <w:r>
              <w:rPr>
                <w:rFonts w:hint="eastAsia"/>
                <w:lang w:bidi="zh-CN"/>
              </w:rPr>
              <w:t>水田</w:t>
            </w:r>
          </w:p>
        </w:tc>
        <w:tc>
          <w:tcPr>
            <w:tcW w:w="1468" w:type="dxa"/>
            <w:shd w:val="clear" w:color="auto" w:fill="auto"/>
            <w:vAlign w:val="center"/>
          </w:tcPr>
          <w:p w:rsidR="00DB7CC8" w:rsidRDefault="002B5250">
            <w:pPr>
              <w:pStyle w:val="afffffffc"/>
              <w:spacing w:line="240" w:lineRule="auto"/>
              <w:rPr>
                <w:lang w:bidi="zh-CN"/>
              </w:rPr>
            </w:pPr>
            <w:r>
              <w:rPr>
                <w:rFonts w:hint="eastAsia"/>
                <w:lang w:bidi="zh-CN"/>
              </w:rPr>
              <w:t>30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30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25</w:t>
            </w:r>
          </w:p>
        </w:tc>
        <w:tc>
          <w:tcPr>
            <w:tcW w:w="1274" w:type="dxa"/>
            <w:shd w:val="clear" w:color="auto" w:fill="auto"/>
            <w:vAlign w:val="center"/>
          </w:tcPr>
          <w:p w:rsidR="00DB7CC8" w:rsidRDefault="002B5250">
            <w:pPr>
              <w:pStyle w:val="afffffffc"/>
              <w:spacing w:line="240" w:lineRule="auto"/>
              <w:rPr>
                <w:lang w:bidi="zh-CN"/>
              </w:rPr>
            </w:pPr>
            <w:r>
              <w:rPr>
                <w:rFonts w:hint="eastAsia"/>
                <w:lang w:bidi="zh-CN"/>
              </w:rPr>
              <w:t>20</w:t>
            </w:r>
          </w:p>
        </w:tc>
      </w:tr>
      <w:tr w:rsidR="00DB7CC8">
        <w:trPr>
          <w:jc w:val="center"/>
        </w:trPr>
        <w:tc>
          <w:tcPr>
            <w:tcW w:w="840" w:type="dxa"/>
            <w:vMerge/>
            <w:shd w:val="clear" w:color="auto" w:fill="auto"/>
            <w:vAlign w:val="center"/>
          </w:tcPr>
          <w:p w:rsidR="00DB7CC8" w:rsidRDefault="00DB7CC8">
            <w:pPr>
              <w:pStyle w:val="afffffffc"/>
              <w:spacing w:line="240" w:lineRule="auto"/>
              <w:rPr>
                <w:lang w:bidi="zh-CN"/>
              </w:rPr>
            </w:pPr>
          </w:p>
        </w:tc>
        <w:tc>
          <w:tcPr>
            <w:tcW w:w="775" w:type="dxa"/>
            <w:vMerge/>
            <w:shd w:val="clear" w:color="auto" w:fill="auto"/>
            <w:vAlign w:val="center"/>
          </w:tcPr>
          <w:p w:rsidR="00DB7CC8" w:rsidRDefault="00DB7CC8">
            <w:pPr>
              <w:pStyle w:val="afffffffc"/>
              <w:spacing w:line="240" w:lineRule="auto"/>
              <w:rPr>
                <w:lang w:bidi="zh-CN"/>
              </w:rPr>
            </w:pPr>
          </w:p>
        </w:tc>
        <w:tc>
          <w:tcPr>
            <w:tcW w:w="1211" w:type="dxa"/>
            <w:shd w:val="clear" w:color="auto" w:fill="auto"/>
            <w:vAlign w:val="center"/>
          </w:tcPr>
          <w:p w:rsidR="00DB7CC8" w:rsidRDefault="002B5250">
            <w:pPr>
              <w:pStyle w:val="afffffffc"/>
              <w:spacing w:line="240" w:lineRule="auto"/>
              <w:rPr>
                <w:lang w:bidi="zh-CN"/>
              </w:rPr>
            </w:pPr>
            <w:r>
              <w:rPr>
                <w:rFonts w:hint="eastAsia"/>
                <w:lang w:bidi="zh-CN"/>
              </w:rPr>
              <w:t>其他</w:t>
            </w:r>
          </w:p>
        </w:tc>
        <w:tc>
          <w:tcPr>
            <w:tcW w:w="1468" w:type="dxa"/>
            <w:shd w:val="clear" w:color="auto" w:fill="auto"/>
            <w:vAlign w:val="center"/>
          </w:tcPr>
          <w:p w:rsidR="00DB7CC8" w:rsidRDefault="002B5250">
            <w:pPr>
              <w:pStyle w:val="afffffffc"/>
              <w:spacing w:line="240" w:lineRule="auto"/>
              <w:rPr>
                <w:lang w:bidi="zh-CN"/>
              </w:rPr>
            </w:pPr>
            <w:r>
              <w:rPr>
                <w:rFonts w:hint="eastAsia"/>
                <w:lang w:bidi="zh-CN"/>
              </w:rPr>
              <w:t>40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40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30</w:t>
            </w:r>
          </w:p>
        </w:tc>
        <w:tc>
          <w:tcPr>
            <w:tcW w:w="1274" w:type="dxa"/>
            <w:shd w:val="clear" w:color="auto" w:fill="auto"/>
            <w:vAlign w:val="center"/>
          </w:tcPr>
          <w:p w:rsidR="00DB7CC8" w:rsidRDefault="002B5250">
            <w:pPr>
              <w:pStyle w:val="afffffffc"/>
              <w:spacing w:line="240" w:lineRule="auto"/>
              <w:rPr>
                <w:lang w:bidi="zh-CN"/>
              </w:rPr>
            </w:pPr>
            <w:r>
              <w:rPr>
                <w:rFonts w:hint="eastAsia"/>
                <w:lang w:bidi="zh-CN"/>
              </w:rPr>
              <w:t>25</w:t>
            </w:r>
          </w:p>
        </w:tc>
      </w:tr>
      <w:tr w:rsidR="00DB7CC8">
        <w:trPr>
          <w:jc w:val="center"/>
        </w:trPr>
        <w:tc>
          <w:tcPr>
            <w:tcW w:w="840" w:type="dxa"/>
            <w:vMerge w:val="restart"/>
            <w:shd w:val="clear" w:color="auto" w:fill="auto"/>
            <w:vAlign w:val="center"/>
          </w:tcPr>
          <w:p w:rsidR="00DB7CC8" w:rsidRDefault="002B5250">
            <w:pPr>
              <w:pStyle w:val="afffffffc"/>
              <w:spacing w:line="240" w:lineRule="auto"/>
              <w:rPr>
                <w:lang w:bidi="zh-CN"/>
              </w:rPr>
            </w:pPr>
            <w:r>
              <w:rPr>
                <w:rFonts w:hint="eastAsia"/>
                <w:lang w:bidi="zh-CN"/>
              </w:rPr>
              <w:t>4</w:t>
            </w:r>
          </w:p>
        </w:tc>
        <w:tc>
          <w:tcPr>
            <w:tcW w:w="775" w:type="dxa"/>
            <w:vMerge w:val="restart"/>
            <w:shd w:val="clear" w:color="auto" w:fill="auto"/>
            <w:vAlign w:val="center"/>
          </w:tcPr>
          <w:p w:rsidR="00DB7CC8" w:rsidRDefault="002B5250">
            <w:pPr>
              <w:pStyle w:val="afffffffc"/>
              <w:spacing w:line="240" w:lineRule="auto"/>
              <w:rPr>
                <w:lang w:bidi="zh-CN"/>
              </w:rPr>
            </w:pPr>
            <w:r>
              <w:rPr>
                <w:rFonts w:hint="eastAsia"/>
                <w:lang w:bidi="zh-CN"/>
              </w:rPr>
              <w:t>铅</w:t>
            </w:r>
          </w:p>
        </w:tc>
        <w:tc>
          <w:tcPr>
            <w:tcW w:w="1211" w:type="dxa"/>
            <w:shd w:val="clear" w:color="auto" w:fill="auto"/>
            <w:vAlign w:val="center"/>
          </w:tcPr>
          <w:p w:rsidR="00DB7CC8" w:rsidRDefault="002B5250">
            <w:pPr>
              <w:pStyle w:val="afffffffc"/>
              <w:spacing w:line="240" w:lineRule="auto"/>
              <w:rPr>
                <w:lang w:bidi="zh-CN"/>
              </w:rPr>
            </w:pPr>
            <w:r>
              <w:rPr>
                <w:rFonts w:hint="eastAsia"/>
                <w:lang w:bidi="zh-CN"/>
              </w:rPr>
              <w:t>水田</w:t>
            </w:r>
          </w:p>
        </w:tc>
        <w:tc>
          <w:tcPr>
            <w:tcW w:w="1468" w:type="dxa"/>
            <w:shd w:val="clear" w:color="auto" w:fill="auto"/>
            <w:vAlign w:val="center"/>
          </w:tcPr>
          <w:p w:rsidR="00DB7CC8" w:rsidRDefault="002B5250">
            <w:pPr>
              <w:pStyle w:val="afffffffc"/>
              <w:spacing w:line="240" w:lineRule="auto"/>
              <w:rPr>
                <w:lang w:bidi="zh-CN"/>
              </w:rPr>
            </w:pPr>
            <w:r>
              <w:rPr>
                <w:rFonts w:hint="eastAsia"/>
                <w:lang w:bidi="zh-CN"/>
              </w:rPr>
              <w:t>80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100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140</w:t>
            </w:r>
          </w:p>
        </w:tc>
        <w:tc>
          <w:tcPr>
            <w:tcW w:w="1274" w:type="dxa"/>
            <w:shd w:val="clear" w:color="auto" w:fill="auto"/>
            <w:vAlign w:val="center"/>
          </w:tcPr>
          <w:p w:rsidR="00DB7CC8" w:rsidRDefault="002B5250">
            <w:pPr>
              <w:pStyle w:val="afffffffc"/>
              <w:spacing w:line="240" w:lineRule="auto"/>
              <w:rPr>
                <w:lang w:bidi="zh-CN"/>
              </w:rPr>
            </w:pPr>
            <w:r>
              <w:rPr>
                <w:rFonts w:hint="eastAsia"/>
                <w:lang w:bidi="zh-CN"/>
              </w:rPr>
              <w:t>240</w:t>
            </w:r>
          </w:p>
        </w:tc>
      </w:tr>
      <w:tr w:rsidR="00DB7CC8">
        <w:trPr>
          <w:jc w:val="center"/>
        </w:trPr>
        <w:tc>
          <w:tcPr>
            <w:tcW w:w="840" w:type="dxa"/>
            <w:vMerge/>
            <w:shd w:val="clear" w:color="auto" w:fill="auto"/>
            <w:vAlign w:val="center"/>
          </w:tcPr>
          <w:p w:rsidR="00DB7CC8" w:rsidRDefault="00DB7CC8">
            <w:pPr>
              <w:pStyle w:val="afffffffc"/>
              <w:spacing w:line="240" w:lineRule="auto"/>
              <w:rPr>
                <w:lang w:bidi="zh-CN"/>
              </w:rPr>
            </w:pPr>
          </w:p>
        </w:tc>
        <w:tc>
          <w:tcPr>
            <w:tcW w:w="775" w:type="dxa"/>
            <w:vMerge/>
            <w:shd w:val="clear" w:color="auto" w:fill="auto"/>
            <w:vAlign w:val="center"/>
          </w:tcPr>
          <w:p w:rsidR="00DB7CC8" w:rsidRDefault="00DB7CC8">
            <w:pPr>
              <w:pStyle w:val="afffffffc"/>
              <w:spacing w:line="240" w:lineRule="auto"/>
              <w:rPr>
                <w:lang w:bidi="zh-CN"/>
              </w:rPr>
            </w:pPr>
          </w:p>
        </w:tc>
        <w:tc>
          <w:tcPr>
            <w:tcW w:w="1211" w:type="dxa"/>
            <w:shd w:val="clear" w:color="auto" w:fill="auto"/>
            <w:vAlign w:val="center"/>
          </w:tcPr>
          <w:p w:rsidR="00DB7CC8" w:rsidRDefault="002B5250">
            <w:pPr>
              <w:pStyle w:val="afffffffc"/>
              <w:spacing w:line="240" w:lineRule="auto"/>
              <w:rPr>
                <w:lang w:bidi="zh-CN"/>
              </w:rPr>
            </w:pPr>
            <w:r>
              <w:rPr>
                <w:rFonts w:hint="eastAsia"/>
                <w:lang w:bidi="zh-CN"/>
              </w:rPr>
              <w:t>其他</w:t>
            </w:r>
          </w:p>
        </w:tc>
        <w:tc>
          <w:tcPr>
            <w:tcW w:w="1468" w:type="dxa"/>
            <w:shd w:val="clear" w:color="auto" w:fill="auto"/>
            <w:vAlign w:val="center"/>
          </w:tcPr>
          <w:p w:rsidR="00DB7CC8" w:rsidRDefault="002B5250">
            <w:pPr>
              <w:pStyle w:val="afffffffc"/>
              <w:spacing w:line="240" w:lineRule="auto"/>
              <w:rPr>
                <w:lang w:bidi="zh-CN"/>
              </w:rPr>
            </w:pPr>
            <w:r>
              <w:rPr>
                <w:rFonts w:hint="eastAsia"/>
                <w:lang w:bidi="zh-CN"/>
              </w:rPr>
              <w:t>70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90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120</w:t>
            </w:r>
          </w:p>
        </w:tc>
        <w:tc>
          <w:tcPr>
            <w:tcW w:w="1274" w:type="dxa"/>
            <w:shd w:val="clear" w:color="auto" w:fill="auto"/>
            <w:vAlign w:val="center"/>
          </w:tcPr>
          <w:p w:rsidR="00DB7CC8" w:rsidRDefault="002B5250">
            <w:pPr>
              <w:pStyle w:val="afffffffc"/>
              <w:spacing w:line="240" w:lineRule="auto"/>
              <w:rPr>
                <w:lang w:bidi="zh-CN"/>
              </w:rPr>
            </w:pPr>
            <w:r>
              <w:rPr>
                <w:rFonts w:hint="eastAsia"/>
                <w:lang w:bidi="zh-CN"/>
              </w:rPr>
              <w:t>170</w:t>
            </w:r>
          </w:p>
        </w:tc>
      </w:tr>
      <w:tr w:rsidR="00DB7CC8">
        <w:trPr>
          <w:jc w:val="center"/>
        </w:trPr>
        <w:tc>
          <w:tcPr>
            <w:tcW w:w="840" w:type="dxa"/>
            <w:vMerge w:val="restart"/>
            <w:shd w:val="clear" w:color="auto" w:fill="auto"/>
            <w:vAlign w:val="center"/>
          </w:tcPr>
          <w:p w:rsidR="00DB7CC8" w:rsidRDefault="002B5250">
            <w:pPr>
              <w:pStyle w:val="afffffffc"/>
              <w:spacing w:line="240" w:lineRule="auto"/>
              <w:rPr>
                <w:lang w:bidi="zh-CN"/>
              </w:rPr>
            </w:pPr>
            <w:r>
              <w:rPr>
                <w:rFonts w:hint="eastAsia"/>
                <w:lang w:bidi="zh-CN"/>
              </w:rPr>
              <w:t>5</w:t>
            </w:r>
          </w:p>
        </w:tc>
        <w:tc>
          <w:tcPr>
            <w:tcW w:w="775" w:type="dxa"/>
            <w:vMerge w:val="restart"/>
            <w:shd w:val="clear" w:color="auto" w:fill="auto"/>
            <w:vAlign w:val="center"/>
          </w:tcPr>
          <w:p w:rsidR="00DB7CC8" w:rsidRDefault="002B5250">
            <w:pPr>
              <w:pStyle w:val="afffffffc"/>
              <w:spacing w:line="240" w:lineRule="auto"/>
              <w:rPr>
                <w:lang w:bidi="zh-CN"/>
              </w:rPr>
            </w:pPr>
            <w:r>
              <w:rPr>
                <w:rFonts w:hint="eastAsia"/>
                <w:lang w:bidi="zh-CN"/>
              </w:rPr>
              <w:t>铬</w:t>
            </w:r>
          </w:p>
        </w:tc>
        <w:tc>
          <w:tcPr>
            <w:tcW w:w="1211" w:type="dxa"/>
            <w:shd w:val="clear" w:color="auto" w:fill="auto"/>
            <w:vAlign w:val="center"/>
          </w:tcPr>
          <w:p w:rsidR="00DB7CC8" w:rsidRDefault="002B5250">
            <w:pPr>
              <w:pStyle w:val="afffffffc"/>
              <w:spacing w:line="240" w:lineRule="auto"/>
              <w:rPr>
                <w:lang w:bidi="zh-CN"/>
              </w:rPr>
            </w:pPr>
            <w:r>
              <w:rPr>
                <w:rFonts w:hint="eastAsia"/>
                <w:lang w:bidi="zh-CN"/>
              </w:rPr>
              <w:t>水田</w:t>
            </w:r>
          </w:p>
        </w:tc>
        <w:tc>
          <w:tcPr>
            <w:tcW w:w="1468" w:type="dxa"/>
            <w:shd w:val="clear" w:color="auto" w:fill="auto"/>
            <w:vAlign w:val="center"/>
          </w:tcPr>
          <w:p w:rsidR="00DB7CC8" w:rsidRDefault="002B5250">
            <w:pPr>
              <w:pStyle w:val="afffffffc"/>
              <w:spacing w:line="240" w:lineRule="auto"/>
              <w:rPr>
                <w:lang w:bidi="zh-CN"/>
              </w:rPr>
            </w:pPr>
            <w:r>
              <w:rPr>
                <w:rFonts w:hint="eastAsia"/>
                <w:lang w:bidi="zh-CN"/>
              </w:rPr>
              <w:t>250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250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300</w:t>
            </w:r>
          </w:p>
        </w:tc>
        <w:tc>
          <w:tcPr>
            <w:tcW w:w="1274" w:type="dxa"/>
            <w:shd w:val="clear" w:color="auto" w:fill="auto"/>
            <w:vAlign w:val="center"/>
          </w:tcPr>
          <w:p w:rsidR="00DB7CC8" w:rsidRDefault="002B5250">
            <w:pPr>
              <w:pStyle w:val="afffffffc"/>
              <w:spacing w:line="240" w:lineRule="auto"/>
              <w:rPr>
                <w:lang w:bidi="zh-CN"/>
              </w:rPr>
            </w:pPr>
            <w:r>
              <w:rPr>
                <w:rFonts w:hint="eastAsia"/>
                <w:lang w:bidi="zh-CN"/>
              </w:rPr>
              <w:t>350</w:t>
            </w:r>
          </w:p>
        </w:tc>
      </w:tr>
      <w:tr w:rsidR="00DB7CC8">
        <w:trPr>
          <w:jc w:val="center"/>
        </w:trPr>
        <w:tc>
          <w:tcPr>
            <w:tcW w:w="840" w:type="dxa"/>
            <w:vMerge/>
            <w:shd w:val="clear" w:color="auto" w:fill="auto"/>
            <w:vAlign w:val="center"/>
          </w:tcPr>
          <w:p w:rsidR="00DB7CC8" w:rsidRDefault="00DB7CC8">
            <w:pPr>
              <w:pStyle w:val="afffffffc"/>
              <w:spacing w:line="240" w:lineRule="auto"/>
              <w:rPr>
                <w:lang w:bidi="zh-CN"/>
              </w:rPr>
            </w:pPr>
          </w:p>
        </w:tc>
        <w:tc>
          <w:tcPr>
            <w:tcW w:w="775" w:type="dxa"/>
            <w:vMerge/>
            <w:shd w:val="clear" w:color="auto" w:fill="auto"/>
            <w:vAlign w:val="center"/>
          </w:tcPr>
          <w:p w:rsidR="00DB7CC8" w:rsidRDefault="00DB7CC8">
            <w:pPr>
              <w:pStyle w:val="afffffffc"/>
              <w:spacing w:line="240" w:lineRule="auto"/>
              <w:rPr>
                <w:lang w:bidi="zh-CN"/>
              </w:rPr>
            </w:pPr>
          </w:p>
        </w:tc>
        <w:tc>
          <w:tcPr>
            <w:tcW w:w="1211" w:type="dxa"/>
            <w:shd w:val="clear" w:color="auto" w:fill="auto"/>
            <w:vAlign w:val="center"/>
          </w:tcPr>
          <w:p w:rsidR="00DB7CC8" w:rsidRDefault="002B5250">
            <w:pPr>
              <w:pStyle w:val="afffffffc"/>
              <w:spacing w:line="240" w:lineRule="auto"/>
              <w:rPr>
                <w:lang w:bidi="zh-CN"/>
              </w:rPr>
            </w:pPr>
            <w:r>
              <w:rPr>
                <w:rFonts w:hint="eastAsia"/>
                <w:lang w:bidi="zh-CN"/>
              </w:rPr>
              <w:t>其他</w:t>
            </w:r>
          </w:p>
        </w:tc>
        <w:tc>
          <w:tcPr>
            <w:tcW w:w="1468" w:type="dxa"/>
            <w:shd w:val="clear" w:color="auto" w:fill="auto"/>
            <w:vAlign w:val="center"/>
          </w:tcPr>
          <w:p w:rsidR="00DB7CC8" w:rsidRDefault="002B5250">
            <w:pPr>
              <w:pStyle w:val="afffffffc"/>
              <w:spacing w:line="240" w:lineRule="auto"/>
              <w:rPr>
                <w:lang w:bidi="zh-CN"/>
              </w:rPr>
            </w:pPr>
            <w:r>
              <w:rPr>
                <w:rFonts w:hint="eastAsia"/>
                <w:lang w:bidi="zh-CN"/>
              </w:rPr>
              <w:t>150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150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200</w:t>
            </w:r>
          </w:p>
        </w:tc>
        <w:tc>
          <w:tcPr>
            <w:tcW w:w="1274" w:type="dxa"/>
            <w:shd w:val="clear" w:color="auto" w:fill="auto"/>
            <w:vAlign w:val="center"/>
          </w:tcPr>
          <w:p w:rsidR="00DB7CC8" w:rsidRDefault="002B5250">
            <w:pPr>
              <w:pStyle w:val="afffffffc"/>
              <w:spacing w:line="240" w:lineRule="auto"/>
              <w:rPr>
                <w:lang w:bidi="zh-CN"/>
              </w:rPr>
            </w:pPr>
            <w:r>
              <w:rPr>
                <w:rFonts w:hint="eastAsia"/>
                <w:lang w:bidi="zh-CN"/>
              </w:rPr>
              <w:t>250</w:t>
            </w:r>
          </w:p>
        </w:tc>
      </w:tr>
      <w:tr w:rsidR="00DB7CC8">
        <w:trPr>
          <w:jc w:val="center"/>
        </w:trPr>
        <w:tc>
          <w:tcPr>
            <w:tcW w:w="840" w:type="dxa"/>
            <w:vMerge w:val="restart"/>
            <w:shd w:val="clear" w:color="auto" w:fill="auto"/>
            <w:vAlign w:val="center"/>
          </w:tcPr>
          <w:p w:rsidR="00DB7CC8" w:rsidRDefault="002B5250">
            <w:pPr>
              <w:pStyle w:val="afffffffc"/>
              <w:spacing w:line="240" w:lineRule="auto"/>
              <w:rPr>
                <w:lang w:bidi="zh-CN"/>
              </w:rPr>
            </w:pPr>
            <w:r>
              <w:rPr>
                <w:rFonts w:hint="eastAsia"/>
                <w:lang w:bidi="zh-CN"/>
              </w:rPr>
              <w:t>6</w:t>
            </w:r>
          </w:p>
        </w:tc>
        <w:tc>
          <w:tcPr>
            <w:tcW w:w="775" w:type="dxa"/>
            <w:vMerge w:val="restart"/>
            <w:shd w:val="clear" w:color="auto" w:fill="auto"/>
            <w:vAlign w:val="center"/>
          </w:tcPr>
          <w:p w:rsidR="00DB7CC8" w:rsidRDefault="002B5250">
            <w:pPr>
              <w:pStyle w:val="afffffffc"/>
              <w:spacing w:line="240" w:lineRule="auto"/>
              <w:rPr>
                <w:lang w:bidi="zh-CN"/>
              </w:rPr>
            </w:pPr>
            <w:r>
              <w:rPr>
                <w:rFonts w:hint="eastAsia"/>
                <w:lang w:bidi="zh-CN"/>
              </w:rPr>
              <w:t>铜</w:t>
            </w:r>
          </w:p>
        </w:tc>
        <w:tc>
          <w:tcPr>
            <w:tcW w:w="1211" w:type="dxa"/>
            <w:shd w:val="clear" w:color="auto" w:fill="auto"/>
            <w:vAlign w:val="center"/>
          </w:tcPr>
          <w:p w:rsidR="00DB7CC8" w:rsidRDefault="002B5250">
            <w:pPr>
              <w:pStyle w:val="afffffffc"/>
              <w:spacing w:line="240" w:lineRule="auto"/>
              <w:rPr>
                <w:lang w:bidi="zh-CN"/>
              </w:rPr>
            </w:pPr>
            <w:r>
              <w:rPr>
                <w:rFonts w:hint="eastAsia"/>
                <w:lang w:bidi="zh-CN"/>
              </w:rPr>
              <w:t>果园</w:t>
            </w:r>
          </w:p>
        </w:tc>
        <w:tc>
          <w:tcPr>
            <w:tcW w:w="1468" w:type="dxa"/>
            <w:shd w:val="clear" w:color="auto" w:fill="auto"/>
            <w:vAlign w:val="center"/>
          </w:tcPr>
          <w:p w:rsidR="00DB7CC8" w:rsidRDefault="002B5250">
            <w:pPr>
              <w:pStyle w:val="afffffffc"/>
              <w:spacing w:line="240" w:lineRule="auto"/>
              <w:rPr>
                <w:lang w:bidi="zh-CN"/>
              </w:rPr>
            </w:pPr>
            <w:r>
              <w:rPr>
                <w:rFonts w:hint="eastAsia"/>
                <w:lang w:bidi="zh-CN"/>
              </w:rPr>
              <w:t>150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150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200</w:t>
            </w:r>
          </w:p>
        </w:tc>
        <w:tc>
          <w:tcPr>
            <w:tcW w:w="1274" w:type="dxa"/>
            <w:shd w:val="clear" w:color="auto" w:fill="auto"/>
            <w:vAlign w:val="center"/>
          </w:tcPr>
          <w:p w:rsidR="00DB7CC8" w:rsidRDefault="002B5250">
            <w:pPr>
              <w:pStyle w:val="afffffffc"/>
              <w:spacing w:line="240" w:lineRule="auto"/>
              <w:rPr>
                <w:lang w:bidi="zh-CN"/>
              </w:rPr>
            </w:pPr>
            <w:r>
              <w:rPr>
                <w:rFonts w:hint="eastAsia"/>
                <w:lang w:bidi="zh-CN"/>
              </w:rPr>
              <w:t>200</w:t>
            </w:r>
          </w:p>
        </w:tc>
      </w:tr>
      <w:tr w:rsidR="00DB7CC8">
        <w:trPr>
          <w:jc w:val="center"/>
        </w:trPr>
        <w:tc>
          <w:tcPr>
            <w:tcW w:w="840" w:type="dxa"/>
            <w:vMerge/>
            <w:shd w:val="clear" w:color="auto" w:fill="auto"/>
            <w:vAlign w:val="center"/>
          </w:tcPr>
          <w:p w:rsidR="00DB7CC8" w:rsidRDefault="00DB7CC8">
            <w:pPr>
              <w:pStyle w:val="afffffffc"/>
              <w:spacing w:line="240" w:lineRule="auto"/>
              <w:rPr>
                <w:lang w:bidi="zh-CN"/>
              </w:rPr>
            </w:pPr>
          </w:p>
        </w:tc>
        <w:tc>
          <w:tcPr>
            <w:tcW w:w="775" w:type="dxa"/>
            <w:vMerge/>
            <w:shd w:val="clear" w:color="auto" w:fill="auto"/>
            <w:vAlign w:val="center"/>
          </w:tcPr>
          <w:p w:rsidR="00DB7CC8" w:rsidRDefault="00DB7CC8">
            <w:pPr>
              <w:pStyle w:val="afffffffc"/>
              <w:spacing w:line="240" w:lineRule="auto"/>
              <w:rPr>
                <w:lang w:bidi="zh-CN"/>
              </w:rPr>
            </w:pPr>
          </w:p>
        </w:tc>
        <w:tc>
          <w:tcPr>
            <w:tcW w:w="1211" w:type="dxa"/>
            <w:shd w:val="clear" w:color="auto" w:fill="auto"/>
            <w:vAlign w:val="center"/>
          </w:tcPr>
          <w:p w:rsidR="00DB7CC8" w:rsidRDefault="002B5250">
            <w:pPr>
              <w:pStyle w:val="afffffffc"/>
              <w:spacing w:line="240" w:lineRule="auto"/>
              <w:rPr>
                <w:lang w:bidi="zh-CN"/>
              </w:rPr>
            </w:pPr>
            <w:r>
              <w:rPr>
                <w:rFonts w:hint="eastAsia"/>
                <w:lang w:bidi="zh-CN"/>
              </w:rPr>
              <w:t>其他</w:t>
            </w:r>
          </w:p>
        </w:tc>
        <w:tc>
          <w:tcPr>
            <w:tcW w:w="1468" w:type="dxa"/>
            <w:shd w:val="clear" w:color="auto" w:fill="auto"/>
            <w:vAlign w:val="center"/>
          </w:tcPr>
          <w:p w:rsidR="00DB7CC8" w:rsidRDefault="002B5250">
            <w:pPr>
              <w:pStyle w:val="afffffffc"/>
              <w:spacing w:line="240" w:lineRule="auto"/>
              <w:rPr>
                <w:lang w:bidi="zh-CN"/>
              </w:rPr>
            </w:pPr>
            <w:r>
              <w:rPr>
                <w:rFonts w:hint="eastAsia"/>
                <w:lang w:bidi="zh-CN"/>
              </w:rPr>
              <w:t>50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50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100</w:t>
            </w:r>
          </w:p>
        </w:tc>
        <w:tc>
          <w:tcPr>
            <w:tcW w:w="1274" w:type="dxa"/>
            <w:shd w:val="clear" w:color="auto" w:fill="auto"/>
            <w:vAlign w:val="center"/>
          </w:tcPr>
          <w:p w:rsidR="00DB7CC8" w:rsidRDefault="002B5250">
            <w:pPr>
              <w:pStyle w:val="afffffffc"/>
              <w:spacing w:line="240" w:lineRule="auto"/>
              <w:rPr>
                <w:lang w:bidi="zh-CN"/>
              </w:rPr>
            </w:pPr>
            <w:r>
              <w:rPr>
                <w:rFonts w:hint="eastAsia"/>
                <w:lang w:bidi="zh-CN"/>
              </w:rPr>
              <w:t>100</w:t>
            </w:r>
          </w:p>
        </w:tc>
      </w:tr>
      <w:tr w:rsidR="00DB7CC8">
        <w:trPr>
          <w:jc w:val="center"/>
        </w:trPr>
        <w:tc>
          <w:tcPr>
            <w:tcW w:w="840" w:type="dxa"/>
            <w:shd w:val="clear" w:color="auto" w:fill="auto"/>
            <w:vAlign w:val="center"/>
          </w:tcPr>
          <w:p w:rsidR="00DB7CC8" w:rsidRDefault="002B5250">
            <w:pPr>
              <w:pStyle w:val="afffffffc"/>
              <w:spacing w:line="240" w:lineRule="auto"/>
              <w:rPr>
                <w:lang w:bidi="zh-CN"/>
              </w:rPr>
            </w:pPr>
            <w:r>
              <w:rPr>
                <w:rFonts w:hint="eastAsia"/>
                <w:lang w:bidi="zh-CN"/>
              </w:rPr>
              <w:t>7</w:t>
            </w:r>
          </w:p>
        </w:tc>
        <w:tc>
          <w:tcPr>
            <w:tcW w:w="1986" w:type="dxa"/>
            <w:gridSpan w:val="2"/>
            <w:shd w:val="clear" w:color="auto" w:fill="auto"/>
            <w:vAlign w:val="center"/>
          </w:tcPr>
          <w:p w:rsidR="00DB7CC8" w:rsidRDefault="002B5250">
            <w:pPr>
              <w:pStyle w:val="afffffffc"/>
              <w:spacing w:line="240" w:lineRule="auto"/>
              <w:rPr>
                <w:lang w:bidi="zh-CN"/>
              </w:rPr>
            </w:pPr>
            <w:r>
              <w:rPr>
                <w:rFonts w:hint="eastAsia"/>
                <w:lang w:bidi="zh-CN"/>
              </w:rPr>
              <w:t>镍</w:t>
            </w:r>
          </w:p>
        </w:tc>
        <w:tc>
          <w:tcPr>
            <w:tcW w:w="1468" w:type="dxa"/>
            <w:shd w:val="clear" w:color="auto" w:fill="auto"/>
            <w:vAlign w:val="center"/>
          </w:tcPr>
          <w:p w:rsidR="00DB7CC8" w:rsidRDefault="002B5250">
            <w:pPr>
              <w:pStyle w:val="afffffffc"/>
              <w:spacing w:line="240" w:lineRule="auto"/>
              <w:rPr>
                <w:lang w:bidi="zh-CN"/>
              </w:rPr>
            </w:pPr>
            <w:r>
              <w:rPr>
                <w:rFonts w:hint="eastAsia"/>
                <w:lang w:bidi="zh-CN"/>
              </w:rPr>
              <w:t>60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70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100</w:t>
            </w:r>
          </w:p>
        </w:tc>
        <w:tc>
          <w:tcPr>
            <w:tcW w:w="1274" w:type="dxa"/>
            <w:shd w:val="clear" w:color="auto" w:fill="auto"/>
            <w:vAlign w:val="center"/>
          </w:tcPr>
          <w:p w:rsidR="00DB7CC8" w:rsidRDefault="002B5250">
            <w:pPr>
              <w:pStyle w:val="afffffffc"/>
              <w:spacing w:line="240" w:lineRule="auto"/>
              <w:rPr>
                <w:lang w:bidi="zh-CN"/>
              </w:rPr>
            </w:pPr>
            <w:r>
              <w:rPr>
                <w:rFonts w:hint="eastAsia"/>
                <w:lang w:bidi="zh-CN"/>
              </w:rPr>
              <w:t>190</w:t>
            </w:r>
          </w:p>
        </w:tc>
      </w:tr>
      <w:tr w:rsidR="00DB7CC8">
        <w:trPr>
          <w:jc w:val="center"/>
        </w:trPr>
        <w:tc>
          <w:tcPr>
            <w:tcW w:w="840" w:type="dxa"/>
            <w:shd w:val="clear" w:color="auto" w:fill="auto"/>
            <w:vAlign w:val="center"/>
          </w:tcPr>
          <w:p w:rsidR="00DB7CC8" w:rsidRDefault="002B5250">
            <w:pPr>
              <w:pStyle w:val="afffffffc"/>
              <w:spacing w:line="240" w:lineRule="auto"/>
              <w:rPr>
                <w:lang w:bidi="zh-CN"/>
              </w:rPr>
            </w:pPr>
            <w:r>
              <w:rPr>
                <w:rFonts w:hint="eastAsia"/>
                <w:lang w:bidi="zh-CN"/>
              </w:rPr>
              <w:t>8</w:t>
            </w:r>
          </w:p>
        </w:tc>
        <w:tc>
          <w:tcPr>
            <w:tcW w:w="1986" w:type="dxa"/>
            <w:gridSpan w:val="2"/>
            <w:shd w:val="clear" w:color="auto" w:fill="auto"/>
            <w:vAlign w:val="center"/>
          </w:tcPr>
          <w:p w:rsidR="00DB7CC8" w:rsidRDefault="002B5250">
            <w:pPr>
              <w:pStyle w:val="afffffffc"/>
              <w:spacing w:line="240" w:lineRule="auto"/>
              <w:rPr>
                <w:lang w:bidi="zh-CN"/>
              </w:rPr>
            </w:pPr>
            <w:r>
              <w:rPr>
                <w:rFonts w:hint="eastAsia"/>
                <w:lang w:bidi="zh-CN"/>
              </w:rPr>
              <w:t>锌</w:t>
            </w:r>
          </w:p>
        </w:tc>
        <w:tc>
          <w:tcPr>
            <w:tcW w:w="1468" w:type="dxa"/>
            <w:shd w:val="clear" w:color="auto" w:fill="auto"/>
            <w:vAlign w:val="center"/>
          </w:tcPr>
          <w:p w:rsidR="00DB7CC8" w:rsidRDefault="002B5250">
            <w:pPr>
              <w:pStyle w:val="afffffffc"/>
              <w:spacing w:line="240" w:lineRule="auto"/>
              <w:rPr>
                <w:lang w:bidi="zh-CN"/>
              </w:rPr>
            </w:pPr>
            <w:r>
              <w:rPr>
                <w:rFonts w:hint="eastAsia"/>
                <w:lang w:bidi="zh-CN"/>
              </w:rPr>
              <w:t>200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200</w:t>
            </w:r>
          </w:p>
        </w:tc>
        <w:tc>
          <w:tcPr>
            <w:tcW w:w="1480" w:type="dxa"/>
            <w:shd w:val="clear" w:color="auto" w:fill="auto"/>
            <w:vAlign w:val="center"/>
          </w:tcPr>
          <w:p w:rsidR="00DB7CC8" w:rsidRDefault="002B5250">
            <w:pPr>
              <w:pStyle w:val="afffffffc"/>
              <w:spacing w:line="240" w:lineRule="auto"/>
              <w:rPr>
                <w:lang w:bidi="zh-CN"/>
              </w:rPr>
            </w:pPr>
            <w:r>
              <w:rPr>
                <w:rFonts w:hint="eastAsia"/>
                <w:lang w:bidi="zh-CN"/>
              </w:rPr>
              <w:t>250</w:t>
            </w:r>
          </w:p>
        </w:tc>
        <w:tc>
          <w:tcPr>
            <w:tcW w:w="1274" w:type="dxa"/>
            <w:shd w:val="clear" w:color="auto" w:fill="auto"/>
            <w:vAlign w:val="center"/>
          </w:tcPr>
          <w:p w:rsidR="00DB7CC8" w:rsidRDefault="002B5250">
            <w:pPr>
              <w:pStyle w:val="afffffffc"/>
              <w:spacing w:line="240" w:lineRule="auto"/>
              <w:rPr>
                <w:lang w:bidi="zh-CN"/>
              </w:rPr>
            </w:pPr>
            <w:r>
              <w:rPr>
                <w:rFonts w:hint="eastAsia"/>
                <w:lang w:bidi="zh-CN"/>
              </w:rPr>
              <w:t>300</w:t>
            </w:r>
          </w:p>
        </w:tc>
      </w:tr>
    </w:tbl>
    <w:p w:rsidR="00DB7CC8" w:rsidRDefault="002B5250">
      <w:pPr>
        <w:pStyle w:val="3"/>
        <w:numPr>
          <w:ilvl w:val="2"/>
          <w:numId w:val="1"/>
        </w:numPr>
        <w:rPr>
          <w:szCs w:val="28"/>
        </w:rPr>
      </w:pPr>
      <w:r>
        <w:rPr>
          <w:szCs w:val="28"/>
        </w:rPr>
        <w:t>污染物排放标准</w:t>
      </w:r>
    </w:p>
    <w:p w:rsidR="00DB7CC8" w:rsidRDefault="002B5250">
      <w:pPr>
        <w:pStyle w:val="4"/>
        <w:numPr>
          <w:ilvl w:val="3"/>
          <w:numId w:val="1"/>
        </w:numPr>
        <w:ind w:left="709" w:hanging="709"/>
        <w:rPr>
          <w:rFonts w:eastAsia="宋体"/>
          <w:b/>
        </w:rPr>
      </w:pPr>
      <w:r>
        <w:rPr>
          <w:rFonts w:eastAsia="宋体"/>
          <w:b/>
        </w:rPr>
        <w:t>施工期</w:t>
      </w:r>
    </w:p>
    <w:p w:rsidR="00DB7CC8" w:rsidRDefault="002B5250">
      <w:pPr>
        <w:ind w:firstLine="480"/>
        <w:rPr>
          <w:sz w:val="24"/>
          <w:szCs w:val="24"/>
        </w:rPr>
      </w:pPr>
      <w:r>
        <w:rPr>
          <w:rFonts w:hint="eastAsia"/>
          <w:sz w:val="24"/>
          <w:szCs w:val="24"/>
        </w:rPr>
        <w:t>1</w:t>
      </w:r>
      <w:r>
        <w:rPr>
          <w:rFonts w:hint="eastAsia"/>
          <w:sz w:val="24"/>
          <w:szCs w:val="24"/>
        </w:rPr>
        <w:t>、</w:t>
      </w:r>
      <w:r>
        <w:rPr>
          <w:sz w:val="24"/>
          <w:szCs w:val="24"/>
        </w:rPr>
        <w:t>扬尘</w:t>
      </w:r>
    </w:p>
    <w:p w:rsidR="00DB7CC8" w:rsidRDefault="002B5250">
      <w:pPr>
        <w:ind w:firstLine="480"/>
        <w:rPr>
          <w:sz w:val="24"/>
          <w:szCs w:val="24"/>
        </w:rPr>
      </w:pPr>
      <w:r>
        <w:rPr>
          <w:sz w:val="24"/>
          <w:szCs w:val="24"/>
        </w:rPr>
        <w:t>施工期扬尘（颗粒物）执行《大气污染物综合排放标准》（</w:t>
      </w:r>
      <w:r>
        <w:rPr>
          <w:sz w:val="24"/>
          <w:szCs w:val="24"/>
        </w:rPr>
        <w:t>GB16297-1996</w:t>
      </w:r>
      <w:r>
        <w:rPr>
          <w:sz w:val="24"/>
          <w:szCs w:val="24"/>
        </w:rPr>
        <w:t>）表</w:t>
      </w:r>
      <w:r>
        <w:rPr>
          <w:sz w:val="24"/>
          <w:szCs w:val="24"/>
        </w:rPr>
        <w:t>2</w:t>
      </w:r>
      <w:r>
        <w:rPr>
          <w:sz w:val="24"/>
          <w:szCs w:val="24"/>
        </w:rPr>
        <w:t>中颗粒物无组织排放周界外浓度最高点，见下表</w:t>
      </w:r>
      <w:r>
        <w:rPr>
          <w:sz w:val="24"/>
          <w:szCs w:val="24"/>
        </w:rPr>
        <w:t>2.</w:t>
      </w:r>
      <w:r>
        <w:rPr>
          <w:rFonts w:hint="eastAsia"/>
          <w:sz w:val="24"/>
          <w:szCs w:val="24"/>
        </w:rPr>
        <w:t>7</w:t>
      </w:r>
      <w:r>
        <w:rPr>
          <w:sz w:val="24"/>
          <w:szCs w:val="24"/>
        </w:rPr>
        <w:t>-</w:t>
      </w:r>
      <w:r>
        <w:rPr>
          <w:rFonts w:hint="eastAsia"/>
          <w:sz w:val="24"/>
          <w:szCs w:val="24"/>
        </w:rPr>
        <w:t>7</w:t>
      </w:r>
      <w:r>
        <w:rPr>
          <w:sz w:val="24"/>
          <w:szCs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2.</w:t>
      </w:r>
      <w:r>
        <w:rPr>
          <w:rFonts w:eastAsia="黑体" w:hint="eastAsia"/>
          <w:kern w:val="2"/>
          <w:sz w:val="21"/>
          <w:szCs w:val="21"/>
        </w:rPr>
        <w:t>7</w:t>
      </w:r>
      <w:r>
        <w:rPr>
          <w:rFonts w:eastAsia="黑体"/>
          <w:kern w:val="2"/>
          <w:sz w:val="21"/>
          <w:szCs w:val="21"/>
        </w:rPr>
        <w:t>-</w:t>
      </w:r>
      <w:r>
        <w:rPr>
          <w:rFonts w:eastAsia="黑体" w:hint="eastAsia"/>
          <w:kern w:val="2"/>
          <w:sz w:val="21"/>
          <w:szCs w:val="21"/>
        </w:rPr>
        <w:t>7</w:t>
      </w:r>
      <w:r>
        <w:rPr>
          <w:rFonts w:eastAsia="黑体"/>
          <w:kern w:val="2"/>
          <w:sz w:val="21"/>
          <w:szCs w:val="21"/>
        </w:rPr>
        <w:t xml:space="preserve">    </w:t>
      </w:r>
      <w:r>
        <w:rPr>
          <w:rFonts w:eastAsia="黑体"/>
          <w:kern w:val="2"/>
          <w:sz w:val="21"/>
          <w:szCs w:val="21"/>
        </w:rPr>
        <w:t>大气污染物排放限值和控制要求</w:t>
      </w:r>
    </w:p>
    <w:tbl>
      <w:tblPr>
        <w:tblW w:w="8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3"/>
        <w:gridCol w:w="2607"/>
        <w:gridCol w:w="1247"/>
        <w:gridCol w:w="1805"/>
      </w:tblGrid>
      <w:tr w:rsidR="00DB7CC8">
        <w:trPr>
          <w:cantSplit/>
          <w:trHeight w:val="340"/>
        </w:trPr>
        <w:tc>
          <w:tcPr>
            <w:tcW w:w="2653" w:type="dxa"/>
            <w:vAlign w:val="center"/>
          </w:tcPr>
          <w:p w:rsidR="00DB7CC8" w:rsidRDefault="002B5250">
            <w:pPr>
              <w:pStyle w:val="afffffffc"/>
              <w:rPr>
                <w:lang w:val="zh-CN" w:bidi="zh-CN"/>
              </w:rPr>
            </w:pPr>
            <w:r>
              <w:rPr>
                <w:lang w:val="zh-CN" w:bidi="zh-CN"/>
              </w:rPr>
              <w:t>标准号</w:t>
            </w:r>
          </w:p>
        </w:tc>
        <w:tc>
          <w:tcPr>
            <w:tcW w:w="2607" w:type="dxa"/>
            <w:vAlign w:val="center"/>
          </w:tcPr>
          <w:p w:rsidR="00DB7CC8" w:rsidRDefault="002B5250">
            <w:pPr>
              <w:pStyle w:val="afffffffc"/>
              <w:rPr>
                <w:lang w:val="zh-CN" w:bidi="zh-CN"/>
              </w:rPr>
            </w:pPr>
            <w:r>
              <w:rPr>
                <w:lang w:val="zh-CN" w:bidi="zh-CN"/>
              </w:rPr>
              <w:t>标准名称</w:t>
            </w:r>
          </w:p>
        </w:tc>
        <w:tc>
          <w:tcPr>
            <w:tcW w:w="1247" w:type="dxa"/>
            <w:vAlign w:val="center"/>
          </w:tcPr>
          <w:p w:rsidR="00DB7CC8" w:rsidRDefault="002B5250">
            <w:pPr>
              <w:pStyle w:val="afffffffc"/>
              <w:rPr>
                <w:lang w:val="zh-CN" w:bidi="zh-CN"/>
              </w:rPr>
            </w:pPr>
            <w:r>
              <w:rPr>
                <w:lang w:val="zh-CN" w:bidi="zh-CN"/>
              </w:rPr>
              <w:t>污染物</w:t>
            </w:r>
          </w:p>
        </w:tc>
        <w:tc>
          <w:tcPr>
            <w:tcW w:w="1805" w:type="dxa"/>
            <w:vAlign w:val="center"/>
          </w:tcPr>
          <w:p w:rsidR="00DB7CC8" w:rsidRDefault="002B5250">
            <w:pPr>
              <w:pStyle w:val="afffffffc"/>
              <w:rPr>
                <w:lang w:val="zh-CN" w:bidi="zh-CN"/>
              </w:rPr>
            </w:pPr>
            <w:r>
              <w:rPr>
                <w:lang w:val="zh-CN" w:bidi="zh-CN"/>
              </w:rPr>
              <w:t>数值</w:t>
            </w:r>
          </w:p>
        </w:tc>
      </w:tr>
      <w:tr w:rsidR="00DB7CC8">
        <w:trPr>
          <w:cantSplit/>
          <w:trHeight w:val="340"/>
        </w:trPr>
        <w:tc>
          <w:tcPr>
            <w:tcW w:w="2653" w:type="dxa"/>
            <w:vAlign w:val="center"/>
          </w:tcPr>
          <w:p w:rsidR="00DB7CC8" w:rsidRDefault="002B5250">
            <w:pPr>
              <w:pStyle w:val="afffffffc"/>
              <w:rPr>
                <w:lang w:val="zh-CN" w:bidi="zh-CN"/>
              </w:rPr>
            </w:pPr>
            <w:r>
              <w:rPr>
                <w:lang w:val="zh-CN" w:bidi="zh-CN"/>
              </w:rPr>
              <w:t>DB 13/ 2934-2019</w:t>
            </w:r>
          </w:p>
        </w:tc>
        <w:tc>
          <w:tcPr>
            <w:tcW w:w="2607" w:type="dxa"/>
            <w:vAlign w:val="center"/>
          </w:tcPr>
          <w:p w:rsidR="00DB7CC8" w:rsidRDefault="002B5250">
            <w:pPr>
              <w:pStyle w:val="afffffffc"/>
              <w:rPr>
                <w:lang w:val="zh-CN" w:bidi="zh-CN"/>
              </w:rPr>
            </w:pPr>
            <w:r>
              <w:rPr>
                <w:lang w:val="zh-CN" w:bidi="zh-CN"/>
              </w:rPr>
              <w:t>施工场地扬尘排放标准</w:t>
            </w:r>
          </w:p>
        </w:tc>
        <w:tc>
          <w:tcPr>
            <w:tcW w:w="1247" w:type="dxa"/>
            <w:vAlign w:val="center"/>
          </w:tcPr>
          <w:p w:rsidR="00DB7CC8" w:rsidRDefault="002B5250">
            <w:pPr>
              <w:pStyle w:val="afffffffc"/>
              <w:rPr>
                <w:lang w:val="zh-CN" w:bidi="zh-CN"/>
              </w:rPr>
            </w:pPr>
            <w:r>
              <w:rPr>
                <w:lang w:val="zh-CN" w:bidi="zh-CN"/>
              </w:rPr>
              <w:t>PM</w:t>
            </w:r>
            <w:r>
              <w:rPr>
                <w:vertAlign w:val="subscript"/>
                <w:lang w:val="zh-CN" w:bidi="zh-CN"/>
              </w:rPr>
              <w:t>10</w:t>
            </w:r>
          </w:p>
        </w:tc>
        <w:tc>
          <w:tcPr>
            <w:tcW w:w="1805" w:type="dxa"/>
            <w:vAlign w:val="center"/>
          </w:tcPr>
          <w:p w:rsidR="00DB7CC8" w:rsidRDefault="002B5250">
            <w:pPr>
              <w:pStyle w:val="afffffffc"/>
              <w:rPr>
                <w:lang w:val="zh-CN" w:bidi="zh-CN"/>
              </w:rPr>
            </w:pPr>
            <w:r>
              <w:rPr>
                <w:lang w:val="zh-CN" w:bidi="zh-CN"/>
              </w:rPr>
              <w:t>*80μg/m³</w:t>
            </w:r>
          </w:p>
        </w:tc>
      </w:tr>
    </w:tbl>
    <w:p w:rsidR="00DB7CC8" w:rsidRDefault="002B5250">
      <w:pPr>
        <w:ind w:firstLineChars="0" w:firstLine="420"/>
        <w:textAlignment w:val="auto"/>
        <w:rPr>
          <w:rFonts w:eastAsia="黑体"/>
          <w:kern w:val="2"/>
          <w:sz w:val="21"/>
          <w:szCs w:val="21"/>
        </w:rPr>
      </w:pPr>
      <w:r>
        <w:rPr>
          <w:kern w:val="2"/>
          <w:sz w:val="21"/>
          <w:szCs w:val="21"/>
          <w:lang w:val="zh-CN"/>
        </w:rPr>
        <w:t>*</w:t>
      </w:r>
      <w:r>
        <w:rPr>
          <w:rFonts w:hint="eastAsia"/>
          <w:kern w:val="2"/>
          <w:sz w:val="21"/>
          <w:szCs w:val="21"/>
          <w:lang w:val="zh-CN"/>
        </w:rPr>
        <w:t>：</w:t>
      </w:r>
      <w:r>
        <w:rPr>
          <w:kern w:val="2"/>
          <w:sz w:val="21"/>
          <w:szCs w:val="21"/>
          <w:lang w:val="zh-CN"/>
        </w:rPr>
        <w:t>指监测点</w:t>
      </w:r>
      <w:r>
        <w:rPr>
          <w:kern w:val="2"/>
          <w:sz w:val="21"/>
          <w:szCs w:val="21"/>
          <w:lang w:val="zh-CN"/>
        </w:rPr>
        <w:t>PM</w:t>
      </w:r>
      <w:r>
        <w:rPr>
          <w:kern w:val="2"/>
          <w:sz w:val="21"/>
          <w:szCs w:val="21"/>
          <w:vertAlign w:val="subscript"/>
          <w:lang w:val="zh-CN"/>
        </w:rPr>
        <w:t>10</w:t>
      </w:r>
      <w:r>
        <w:rPr>
          <w:kern w:val="2"/>
          <w:sz w:val="21"/>
          <w:szCs w:val="21"/>
          <w:lang w:val="zh-CN"/>
        </w:rPr>
        <w:t>小时平均浓度实测值与同时段所属县（市、区）</w:t>
      </w:r>
      <w:r>
        <w:rPr>
          <w:kern w:val="2"/>
          <w:sz w:val="21"/>
          <w:szCs w:val="21"/>
          <w:lang w:val="zh-CN"/>
        </w:rPr>
        <w:t>PM</w:t>
      </w:r>
      <w:r>
        <w:rPr>
          <w:kern w:val="2"/>
          <w:sz w:val="21"/>
          <w:szCs w:val="21"/>
          <w:vertAlign w:val="subscript"/>
          <w:lang w:val="zh-CN"/>
        </w:rPr>
        <w:t>10</w:t>
      </w:r>
      <w:r>
        <w:rPr>
          <w:kern w:val="2"/>
          <w:sz w:val="21"/>
          <w:szCs w:val="21"/>
          <w:lang w:val="zh-CN"/>
        </w:rPr>
        <w:t>小时平均浓度的差值。当县（市、区）</w:t>
      </w:r>
      <w:r>
        <w:rPr>
          <w:kern w:val="2"/>
          <w:sz w:val="21"/>
          <w:szCs w:val="21"/>
          <w:lang w:val="zh-CN"/>
        </w:rPr>
        <w:t>PM</w:t>
      </w:r>
      <w:r>
        <w:rPr>
          <w:kern w:val="2"/>
          <w:sz w:val="21"/>
          <w:szCs w:val="21"/>
          <w:vertAlign w:val="subscript"/>
          <w:lang w:val="zh-CN"/>
        </w:rPr>
        <w:t>10</w:t>
      </w:r>
      <w:r>
        <w:rPr>
          <w:kern w:val="2"/>
          <w:sz w:val="21"/>
          <w:szCs w:val="21"/>
          <w:lang w:val="zh-CN"/>
        </w:rPr>
        <w:t>小时平均浓度值大于</w:t>
      </w:r>
      <w:r>
        <w:rPr>
          <w:kern w:val="2"/>
          <w:sz w:val="21"/>
          <w:szCs w:val="21"/>
          <w:lang w:val="zh-CN"/>
        </w:rPr>
        <w:t>150μg/m³</w:t>
      </w:r>
      <w:r>
        <w:rPr>
          <w:kern w:val="2"/>
          <w:sz w:val="21"/>
          <w:szCs w:val="21"/>
          <w:lang w:val="zh-CN"/>
        </w:rPr>
        <w:t>时，以</w:t>
      </w:r>
      <w:r>
        <w:rPr>
          <w:kern w:val="2"/>
          <w:sz w:val="21"/>
          <w:szCs w:val="21"/>
          <w:lang w:val="zh-CN"/>
        </w:rPr>
        <w:t>150μg/m³</w:t>
      </w:r>
      <w:r>
        <w:rPr>
          <w:kern w:val="2"/>
          <w:sz w:val="21"/>
          <w:szCs w:val="21"/>
          <w:lang w:val="zh-CN"/>
        </w:rPr>
        <w:t>计。</w:t>
      </w:r>
    </w:p>
    <w:p w:rsidR="00DB7CC8" w:rsidRDefault="002B5250">
      <w:pPr>
        <w:ind w:firstLine="480"/>
        <w:rPr>
          <w:sz w:val="24"/>
          <w:szCs w:val="24"/>
        </w:rPr>
      </w:pPr>
      <w:r>
        <w:rPr>
          <w:rFonts w:hint="eastAsia"/>
          <w:sz w:val="24"/>
          <w:szCs w:val="24"/>
        </w:rPr>
        <w:t>2</w:t>
      </w:r>
      <w:r>
        <w:rPr>
          <w:rFonts w:hint="eastAsia"/>
          <w:sz w:val="24"/>
          <w:szCs w:val="24"/>
        </w:rPr>
        <w:t>、</w:t>
      </w:r>
      <w:r>
        <w:rPr>
          <w:sz w:val="24"/>
          <w:szCs w:val="24"/>
        </w:rPr>
        <w:t>噪声</w:t>
      </w:r>
    </w:p>
    <w:p w:rsidR="00DB7CC8" w:rsidRDefault="002B5250">
      <w:pPr>
        <w:ind w:firstLine="480"/>
        <w:rPr>
          <w:sz w:val="24"/>
          <w:szCs w:val="24"/>
        </w:rPr>
      </w:pPr>
      <w:r>
        <w:rPr>
          <w:sz w:val="24"/>
          <w:szCs w:val="24"/>
        </w:rPr>
        <w:t>施工期噪声执行《建筑施工场界环境噪声排放标准》（</w:t>
      </w:r>
      <w:r>
        <w:rPr>
          <w:sz w:val="24"/>
          <w:szCs w:val="24"/>
        </w:rPr>
        <w:t>GB12523-2011</w:t>
      </w:r>
      <w:r>
        <w:rPr>
          <w:sz w:val="24"/>
          <w:szCs w:val="24"/>
        </w:rPr>
        <w:t>）中规定的建筑施工场界环境噪声排放限值，详见表</w:t>
      </w:r>
      <w:r>
        <w:rPr>
          <w:sz w:val="24"/>
          <w:szCs w:val="24"/>
        </w:rPr>
        <w:t>2.</w:t>
      </w:r>
      <w:r>
        <w:rPr>
          <w:rFonts w:hint="eastAsia"/>
          <w:sz w:val="24"/>
          <w:szCs w:val="24"/>
        </w:rPr>
        <w:t>7</w:t>
      </w:r>
      <w:r>
        <w:rPr>
          <w:sz w:val="24"/>
          <w:szCs w:val="24"/>
        </w:rPr>
        <w:t>-</w:t>
      </w:r>
      <w:r>
        <w:rPr>
          <w:rFonts w:hint="eastAsia"/>
          <w:sz w:val="24"/>
          <w:szCs w:val="24"/>
        </w:rPr>
        <w:t>8</w:t>
      </w:r>
      <w:r>
        <w:rPr>
          <w:sz w:val="24"/>
          <w:szCs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2.</w:t>
      </w:r>
      <w:r>
        <w:rPr>
          <w:rFonts w:eastAsia="黑体" w:hint="eastAsia"/>
          <w:kern w:val="2"/>
          <w:sz w:val="21"/>
          <w:szCs w:val="21"/>
        </w:rPr>
        <w:t>7</w:t>
      </w:r>
      <w:r>
        <w:rPr>
          <w:rFonts w:eastAsia="黑体"/>
          <w:kern w:val="2"/>
          <w:sz w:val="21"/>
          <w:szCs w:val="21"/>
        </w:rPr>
        <w:t>-</w:t>
      </w:r>
      <w:r>
        <w:rPr>
          <w:rFonts w:eastAsia="黑体" w:hint="eastAsia"/>
          <w:kern w:val="2"/>
          <w:sz w:val="21"/>
          <w:szCs w:val="21"/>
        </w:rPr>
        <w:t>8</w:t>
      </w:r>
      <w:r>
        <w:rPr>
          <w:rFonts w:eastAsia="黑体"/>
          <w:kern w:val="2"/>
          <w:sz w:val="21"/>
          <w:szCs w:val="21"/>
        </w:rPr>
        <w:t xml:space="preserve">    </w:t>
      </w:r>
      <w:r>
        <w:rPr>
          <w:rFonts w:eastAsia="黑体"/>
          <w:kern w:val="2"/>
          <w:sz w:val="21"/>
          <w:szCs w:val="21"/>
        </w:rPr>
        <w:t>建筑施工场界环境噪声排放标准单位：</w:t>
      </w:r>
      <w:r>
        <w:rPr>
          <w:rFonts w:eastAsia="黑体"/>
          <w:kern w:val="2"/>
          <w:sz w:val="21"/>
          <w:szCs w:val="21"/>
        </w:rPr>
        <w:t>dB(A)</w:t>
      </w:r>
    </w:p>
    <w:tbl>
      <w:tblPr>
        <w:tblW w:w="8522"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669"/>
        <w:gridCol w:w="1416"/>
        <w:gridCol w:w="5437"/>
      </w:tblGrid>
      <w:tr w:rsidR="00DB7CC8">
        <w:trPr>
          <w:cantSplit/>
          <w:trHeight w:val="364"/>
        </w:trPr>
        <w:tc>
          <w:tcPr>
            <w:tcW w:w="1669" w:type="dxa"/>
            <w:tcBorders>
              <w:left w:val="single" w:sz="4" w:space="0" w:color="auto"/>
            </w:tcBorders>
            <w:vAlign w:val="center"/>
          </w:tcPr>
          <w:p w:rsidR="00DB7CC8" w:rsidRDefault="002B5250">
            <w:pPr>
              <w:spacing w:line="300" w:lineRule="exact"/>
              <w:ind w:firstLineChars="0" w:firstLine="0"/>
              <w:jc w:val="center"/>
              <w:rPr>
                <w:sz w:val="21"/>
                <w:szCs w:val="21"/>
              </w:rPr>
            </w:pPr>
            <w:r>
              <w:rPr>
                <w:sz w:val="21"/>
                <w:szCs w:val="21"/>
              </w:rPr>
              <w:t>昼间</w:t>
            </w:r>
          </w:p>
        </w:tc>
        <w:tc>
          <w:tcPr>
            <w:tcW w:w="1416" w:type="dxa"/>
            <w:vAlign w:val="center"/>
          </w:tcPr>
          <w:p w:rsidR="00DB7CC8" w:rsidRDefault="002B5250">
            <w:pPr>
              <w:spacing w:line="300" w:lineRule="exact"/>
              <w:ind w:firstLineChars="0" w:firstLine="0"/>
              <w:jc w:val="center"/>
              <w:rPr>
                <w:sz w:val="21"/>
                <w:szCs w:val="21"/>
              </w:rPr>
            </w:pPr>
            <w:r>
              <w:rPr>
                <w:sz w:val="21"/>
                <w:szCs w:val="21"/>
              </w:rPr>
              <w:t>夜间</w:t>
            </w:r>
          </w:p>
        </w:tc>
        <w:tc>
          <w:tcPr>
            <w:tcW w:w="5437" w:type="dxa"/>
            <w:tcBorders>
              <w:right w:val="single" w:sz="4" w:space="0" w:color="auto"/>
            </w:tcBorders>
            <w:vAlign w:val="center"/>
          </w:tcPr>
          <w:p w:rsidR="00DB7CC8" w:rsidRDefault="002B5250">
            <w:pPr>
              <w:spacing w:line="300" w:lineRule="exact"/>
              <w:ind w:firstLineChars="0" w:firstLine="0"/>
              <w:jc w:val="center"/>
              <w:rPr>
                <w:sz w:val="21"/>
                <w:szCs w:val="21"/>
              </w:rPr>
            </w:pPr>
            <w:r>
              <w:rPr>
                <w:sz w:val="21"/>
                <w:szCs w:val="21"/>
              </w:rPr>
              <w:t>标准来源</w:t>
            </w:r>
          </w:p>
        </w:tc>
      </w:tr>
      <w:tr w:rsidR="00DB7CC8">
        <w:trPr>
          <w:cantSplit/>
          <w:trHeight w:val="252"/>
        </w:trPr>
        <w:tc>
          <w:tcPr>
            <w:tcW w:w="1669" w:type="dxa"/>
            <w:tcBorders>
              <w:left w:val="single" w:sz="4" w:space="0" w:color="auto"/>
            </w:tcBorders>
            <w:vAlign w:val="center"/>
          </w:tcPr>
          <w:p w:rsidR="00DB7CC8" w:rsidRDefault="002B5250">
            <w:pPr>
              <w:spacing w:line="300" w:lineRule="exact"/>
              <w:ind w:firstLineChars="0" w:firstLine="0"/>
              <w:jc w:val="center"/>
              <w:rPr>
                <w:sz w:val="21"/>
                <w:szCs w:val="21"/>
              </w:rPr>
            </w:pPr>
            <w:r>
              <w:rPr>
                <w:sz w:val="21"/>
                <w:szCs w:val="21"/>
              </w:rPr>
              <w:t>70</w:t>
            </w:r>
          </w:p>
        </w:tc>
        <w:tc>
          <w:tcPr>
            <w:tcW w:w="1416" w:type="dxa"/>
            <w:vAlign w:val="center"/>
          </w:tcPr>
          <w:p w:rsidR="00DB7CC8" w:rsidRDefault="002B5250">
            <w:pPr>
              <w:spacing w:line="300" w:lineRule="exact"/>
              <w:ind w:firstLineChars="0" w:firstLine="0"/>
              <w:jc w:val="center"/>
              <w:rPr>
                <w:sz w:val="21"/>
                <w:szCs w:val="21"/>
              </w:rPr>
            </w:pPr>
            <w:r>
              <w:rPr>
                <w:sz w:val="21"/>
                <w:szCs w:val="21"/>
              </w:rPr>
              <w:t>55</w:t>
            </w:r>
          </w:p>
        </w:tc>
        <w:tc>
          <w:tcPr>
            <w:tcW w:w="5437" w:type="dxa"/>
            <w:tcBorders>
              <w:right w:val="single" w:sz="4" w:space="0" w:color="auto"/>
            </w:tcBorders>
            <w:vAlign w:val="center"/>
          </w:tcPr>
          <w:p w:rsidR="00DB7CC8" w:rsidRDefault="002B5250">
            <w:pPr>
              <w:spacing w:line="300" w:lineRule="exact"/>
              <w:ind w:firstLineChars="0" w:firstLine="0"/>
              <w:jc w:val="center"/>
              <w:rPr>
                <w:sz w:val="21"/>
                <w:szCs w:val="21"/>
              </w:rPr>
            </w:pPr>
            <w:r>
              <w:rPr>
                <w:sz w:val="21"/>
                <w:szCs w:val="21"/>
              </w:rPr>
              <w:t>《建筑施工场界环境噪声排放标准》（</w:t>
            </w:r>
            <w:r>
              <w:rPr>
                <w:sz w:val="21"/>
                <w:szCs w:val="21"/>
              </w:rPr>
              <w:t>GB12523-2011</w:t>
            </w:r>
            <w:r>
              <w:rPr>
                <w:sz w:val="21"/>
                <w:szCs w:val="21"/>
              </w:rPr>
              <w:t>）</w:t>
            </w:r>
          </w:p>
        </w:tc>
      </w:tr>
    </w:tbl>
    <w:p w:rsidR="00DB7CC8" w:rsidRDefault="002B5250">
      <w:pPr>
        <w:pStyle w:val="4"/>
        <w:numPr>
          <w:ilvl w:val="3"/>
          <w:numId w:val="1"/>
        </w:numPr>
        <w:ind w:left="709" w:hanging="709"/>
        <w:rPr>
          <w:rFonts w:eastAsia="宋体"/>
          <w:b/>
        </w:rPr>
      </w:pPr>
      <w:r>
        <w:rPr>
          <w:rFonts w:eastAsia="宋体"/>
          <w:b/>
        </w:rPr>
        <w:t>运营期</w:t>
      </w:r>
    </w:p>
    <w:p w:rsidR="00DB7CC8" w:rsidRDefault="002B5250">
      <w:pPr>
        <w:widowControl/>
        <w:ind w:firstLine="480"/>
        <w:textAlignment w:val="auto"/>
        <w:rPr>
          <w:sz w:val="24"/>
          <w:szCs w:val="24"/>
        </w:rPr>
      </w:pPr>
      <w:r>
        <w:rPr>
          <w:rFonts w:hint="eastAsia"/>
          <w:sz w:val="24"/>
          <w:szCs w:val="24"/>
        </w:rPr>
        <w:t>1</w:t>
      </w:r>
      <w:r>
        <w:rPr>
          <w:rFonts w:hint="eastAsia"/>
          <w:sz w:val="24"/>
          <w:szCs w:val="24"/>
        </w:rPr>
        <w:t>、</w:t>
      </w:r>
      <w:r>
        <w:rPr>
          <w:sz w:val="24"/>
          <w:szCs w:val="24"/>
        </w:rPr>
        <w:t>废气</w:t>
      </w:r>
    </w:p>
    <w:p w:rsidR="00DB7CC8" w:rsidRDefault="002B5250">
      <w:pPr>
        <w:widowControl/>
        <w:ind w:firstLine="480"/>
        <w:jc w:val="both"/>
        <w:textAlignment w:val="auto"/>
        <w:rPr>
          <w:sz w:val="24"/>
          <w:szCs w:val="24"/>
        </w:rPr>
      </w:pPr>
      <w:r>
        <w:rPr>
          <w:rFonts w:hint="eastAsia"/>
          <w:sz w:val="24"/>
          <w:szCs w:val="24"/>
        </w:rPr>
        <w:t>项目运营期</w:t>
      </w:r>
      <w:r>
        <w:rPr>
          <w:sz w:val="24"/>
          <w:szCs w:val="24"/>
        </w:rPr>
        <w:t>有组织排放颗粒物执行《铁矿采选工业污染物排放标准》（</w:t>
      </w:r>
      <w:r>
        <w:rPr>
          <w:sz w:val="24"/>
          <w:szCs w:val="24"/>
        </w:rPr>
        <w:t>GB28661-2012</w:t>
      </w:r>
      <w:r>
        <w:rPr>
          <w:sz w:val="24"/>
          <w:szCs w:val="24"/>
        </w:rPr>
        <w:t>）中表</w:t>
      </w:r>
      <w:r>
        <w:rPr>
          <w:sz w:val="24"/>
          <w:szCs w:val="24"/>
        </w:rPr>
        <w:t>6</w:t>
      </w:r>
      <w:r>
        <w:rPr>
          <w:sz w:val="24"/>
          <w:szCs w:val="24"/>
        </w:rPr>
        <w:t>大气污染物特别排放限值，无组织排放颗粒物执行《铁</w:t>
      </w:r>
      <w:r>
        <w:rPr>
          <w:sz w:val="24"/>
          <w:szCs w:val="24"/>
        </w:rPr>
        <w:lastRenderedPageBreak/>
        <w:t>矿采选工业污染物排放标准》（</w:t>
      </w:r>
      <w:r>
        <w:rPr>
          <w:sz w:val="24"/>
          <w:szCs w:val="24"/>
        </w:rPr>
        <w:t>GB28661-2012</w:t>
      </w:r>
      <w:r>
        <w:rPr>
          <w:sz w:val="24"/>
          <w:szCs w:val="24"/>
        </w:rPr>
        <w:t>）中</w:t>
      </w:r>
      <w:r>
        <w:rPr>
          <w:sz w:val="24"/>
          <w:szCs w:val="24"/>
        </w:rPr>
        <w:t>“</w:t>
      </w:r>
      <w:r>
        <w:rPr>
          <w:sz w:val="24"/>
          <w:szCs w:val="24"/>
        </w:rPr>
        <w:t>表</w:t>
      </w:r>
      <w:r>
        <w:rPr>
          <w:sz w:val="24"/>
          <w:szCs w:val="24"/>
        </w:rPr>
        <w:t>7</w:t>
      </w:r>
      <w:r>
        <w:rPr>
          <w:sz w:val="24"/>
          <w:szCs w:val="24"/>
        </w:rPr>
        <w:t>现有和新建企业大气污染物无组织排放监控浓度限值</w:t>
      </w:r>
      <w:r>
        <w:rPr>
          <w:sz w:val="24"/>
          <w:szCs w:val="24"/>
        </w:rPr>
        <w:t>”</w:t>
      </w:r>
      <w:r>
        <w:rPr>
          <w:sz w:val="24"/>
          <w:szCs w:val="24"/>
        </w:rPr>
        <w:t>。具体见表</w:t>
      </w:r>
      <w:r>
        <w:rPr>
          <w:sz w:val="24"/>
          <w:szCs w:val="24"/>
        </w:rPr>
        <w:t>2.</w:t>
      </w:r>
      <w:r>
        <w:rPr>
          <w:rFonts w:hint="eastAsia"/>
          <w:sz w:val="24"/>
          <w:szCs w:val="24"/>
        </w:rPr>
        <w:t>7</w:t>
      </w:r>
      <w:r>
        <w:rPr>
          <w:sz w:val="24"/>
          <w:szCs w:val="24"/>
        </w:rPr>
        <w:t>-</w:t>
      </w:r>
      <w:r>
        <w:rPr>
          <w:rFonts w:hint="eastAsia"/>
          <w:sz w:val="24"/>
          <w:szCs w:val="24"/>
        </w:rPr>
        <w:t>9</w:t>
      </w:r>
      <w:r>
        <w:rPr>
          <w:sz w:val="24"/>
          <w:szCs w:val="24"/>
        </w:rPr>
        <w:t>。</w:t>
      </w:r>
    </w:p>
    <w:p w:rsidR="00DB7CC8" w:rsidRDefault="002B5250">
      <w:pPr>
        <w:spacing w:line="240" w:lineRule="auto"/>
        <w:ind w:firstLineChars="0"/>
        <w:jc w:val="center"/>
        <w:textAlignment w:val="auto"/>
        <w:rPr>
          <w:rFonts w:eastAsia="黑体"/>
          <w:kern w:val="2"/>
          <w:sz w:val="21"/>
          <w:szCs w:val="21"/>
        </w:rPr>
      </w:pPr>
      <w:r>
        <w:rPr>
          <w:rFonts w:eastAsia="黑体"/>
          <w:kern w:val="2"/>
          <w:sz w:val="21"/>
          <w:szCs w:val="21"/>
        </w:rPr>
        <w:t>表</w:t>
      </w:r>
      <w:r>
        <w:rPr>
          <w:rFonts w:eastAsia="黑体"/>
          <w:kern w:val="2"/>
          <w:sz w:val="21"/>
          <w:szCs w:val="21"/>
        </w:rPr>
        <w:t>2.</w:t>
      </w:r>
      <w:r>
        <w:rPr>
          <w:rFonts w:eastAsia="黑体" w:hint="eastAsia"/>
          <w:kern w:val="2"/>
          <w:sz w:val="21"/>
          <w:szCs w:val="21"/>
        </w:rPr>
        <w:t>7</w:t>
      </w:r>
      <w:r>
        <w:rPr>
          <w:rFonts w:eastAsia="黑体"/>
          <w:kern w:val="2"/>
          <w:sz w:val="21"/>
          <w:szCs w:val="21"/>
        </w:rPr>
        <w:t>-</w:t>
      </w:r>
      <w:r>
        <w:rPr>
          <w:rFonts w:eastAsia="黑体" w:hint="eastAsia"/>
          <w:kern w:val="2"/>
          <w:sz w:val="21"/>
          <w:szCs w:val="21"/>
        </w:rPr>
        <w:t xml:space="preserve">9  </w:t>
      </w:r>
      <w:r>
        <w:rPr>
          <w:rFonts w:eastAsia="黑体"/>
          <w:kern w:val="2"/>
          <w:sz w:val="21"/>
          <w:szCs w:val="21"/>
        </w:rPr>
        <w:t xml:space="preserve"> </w:t>
      </w:r>
      <w:r>
        <w:rPr>
          <w:rFonts w:eastAsia="黑体"/>
          <w:kern w:val="2"/>
          <w:sz w:val="21"/>
          <w:szCs w:val="21"/>
        </w:rPr>
        <w:t>污染物排放标准一览表</w:t>
      </w:r>
    </w:p>
    <w:tbl>
      <w:tblPr>
        <w:tblW w:w="8359" w:type="dxa"/>
        <w:jc w:val="center"/>
        <w:tblBorders>
          <w:top w:val="single" w:sz="4" w:space="0" w:color="auto"/>
          <w:bottom w:val="single" w:sz="4"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541"/>
        <w:gridCol w:w="1200"/>
        <w:gridCol w:w="1065"/>
        <w:gridCol w:w="1046"/>
        <w:gridCol w:w="1119"/>
        <w:gridCol w:w="696"/>
        <w:gridCol w:w="2692"/>
      </w:tblGrid>
      <w:tr w:rsidR="00DB7CC8">
        <w:trPr>
          <w:trHeight w:val="283"/>
          <w:jc w:val="center"/>
        </w:trPr>
        <w:tc>
          <w:tcPr>
            <w:tcW w:w="541" w:type="dxa"/>
            <w:tcBorders>
              <w:left w:val="single" w:sz="4" w:space="0" w:color="auto"/>
            </w:tcBorders>
            <w:vAlign w:val="center"/>
          </w:tcPr>
          <w:p w:rsidR="00DB7CC8" w:rsidRDefault="002B5250">
            <w:pPr>
              <w:spacing w:line="240" w:lineRule="auto"/>
              <w:ind w:firstLineChars="0" w:firstLine="0"/>
              <w:jc w:val="center"/>
              <w:rPr>
                <w:kern w:val="2"/>
                <w:sz w:val="21"/>
                <w:szCs w:val="21"/>
              </w:rPr>
            </w:pPr>
            <w:r>
              <w:rPr>
                <w:kern w:val="2"/>
                <w:sz w:val="21"/>
                <w:szCs w:val="21"/>
              </w:rPr>
              <w:t>类别</w:t>
            </w:r>
          </w:p>
        </w:tc>
        <w:tc>
          <w:tcPr>
            <w:tcW w:w="1200" w:type="dxa"/>
            <w:vAlign w:val="center"/>
          </w:tcPr>
          <w:p w:rsidR="00DB7CC8" w:rsidRDefault="002B5250">
            <w:pPr>
              <w:spacing w:line="240" w:lineRule="auto"/>
              <w:ind w:firstLineChars="0" w:firstLine="0"/>
              <w:jc w:val="center"/>
              <w:rPr>
                <w:kern w:val="2"/>
                <w:sz w:val="21"/>
                <w:szCs w:val="21"/>
              </w:rPr>
            </w:pPr>
            <w:r>
              <w:rPr>
                <w:kern w:val="2"/>
                <w:sz w:val="21"/>
                <w:szCs w:val="21"/>
              </w:rPr>
              <w:t>污染源</w:t>
            </w:r>
          </w:p>
        </w:tc>
        <w:tc>
          <w:tcPr>
            <w:tcW w:w="1065" w:type="dxa"/>
            <w:vAlign w:val="center"/>
          </w:tcPr>
          <w:p w:rsidR="00DB7CC8" w:rsidRDefault="002B5250">
            <w:pPr>
              <w:spacing w:line="240" w:lineRule="auto"/>
              <w:ind w:firstLineChars="0" w:firstLine="0"/>
              <w:jc w:val="center"/>
              <w:rPr>
                <w:kern w:val="2"/>
                <w:sz w:val="21"/>
                <w:szCs w:val="21"/>
              </w:rPr>
            </w:pPr>
            <w:r>
              <w:rPr>
                <w:kern w:val="2"/>
                <w:sz w:val="21"/>
                <w:szCs w:val="21"/>
              </w:rPr>
              <w:t>项目</w:t>
            </w:r>
          </w:p>
        </w:tc>
        <w:tc>
          <w:tcPr>
            <w:tcW w:w="1046" w:type="dxa"/>
            <w:vAlign w:val="center"/>
          </w:tcPr>
          <w:p w:rsidR="00DB7CC8" w:rsidRDefault="002B5250">
            <w:pPr>
              <w:spacing w:line="240" w:lineRule="auto"/>
              <w:ind w:firstLineChars="0" w:firstLine="0"/>
              <w:jc w:val="center"/>
              <w:rPr>
                <w:kern w:val="2"/>
                <w:sz w:val="21"/>
                <w:szCs w:val="21"/>
              </w:rPr>
            </w:pPr>
            <w:r>
              <w:rPr>
                <w:kern w:val="2"/>
                <w:sz w:val="21"/>
                <w:szCs w:val="21"/>
              </w:rPr>
              <w:t>排放方式</w:t>
            </w:r>
          </w:p>
        </w:tc>
        <w:tc>
          <w:tcPr>
            <w:tcW w:w="1119" w:type="dxa"/>
            <w:vAlign w:val="center"/>
          </w:tcPr>
          <w:p w:rsidR="00DB7CC8" w:rsidRDefault="002B5250">
            <w:pPr>
              <w:spacing w:line="240" w:lineRule="auto"/>
              <w:ind w:firstLineChars="0" w:firstLine="0"/>
              <w:jc w:val="center"/>
              <w:rPr>
                <w:kern w:val="2"/>
                <w:sz w:val="21"/>
                <w:szCs w:val="21"/>
              </w:rPr>
            </w:pPr>
            <w:r>
              <w:rPr>
                <w:kern w:val="2"/>
                <w:sz w:val="21"/>
                <w:szCs w:val="21"/>
              </w:rPr>
              <w:t>标准值</w:t>
            </w:r>
          </w:p>
        </w:tc>
        <w:tc>
          <w:tcPr>
            <w:tcW w:w="696" w:type="dxa"/>
            <w:vAlign w:val="center"/>
          </w:tcPr>
          <w:p w:rsidR="00DB7CC8" w:rsidRDefault="002B5250">
            <w:pPr>
              <w:spacing w:line="240" w:lineRule="auto"/>
              <w:ind w:firstLineChars="0" w:firstLine="0"/>
              <w:jc w:val="center"/>
              <w:rPr>
                <w:kern w:val="2"/>
                <w:sz w:val="21"/>
                <w:szCs w:val="21"/>
              </w:rPr>
            </w:pPr>
            <w:r>
              <w:rPr>
                <w:kern w:val="2"/>
                <w:sz w:val="21"/>
                <w:szCs w:val="21"/>
              </w:rPr>
              <w:t>单位</w:t>
            </w:r>
          </w:p>
        </w:tc>
        <w:tc>
          <w:tcPr>
            <w:tcW w:w="2692" w:type="dxa"/>
            <w:tcBorders>
              <w:right w:val="single" w:sz="4" w:space="0" w:color="auto"/>
            </w:tcBorders>
            <w:vAlign w:val="center"/>
          </w:tcPr>
          <w:p w:rsidR="00DB7CC8" w:rsidRDefault="002B5250">
            <w:pPr>
              <w:spacing w:line="240" w:lineRule="auto"/>
              <w:ind w:firstLineChars="0" w:firstLine="0"/>
              <w:jc w:val="center"/>
              <w:rPr>
                <w:kern w:val="2"/>
                <w:sz w:val="21"/>
                <w:szCs w:val="21"/>
              </w:rPr>
            </w:pPr>
            <w:r>
              <w:rPr>
                <w:kern w:val="2"/>
                <w:sz w:val="21"/>
                <w:szCs w:val="21"/>
              </w:rPr>
              <w:t>标准来源</w:t>
            </w:r>
          </w:p>
        </w:tc>
      </w:tr>
      <w:tr w:rsidR="00DB7CC8">
        <w:trPr>
          <w:trHeight w:val="283"/>
          <w:jc w:val="center"/>
        </w:trPr>
        <w:tc>
          <w:tcPr>
            <w:tcW w:w="541" w:type="dxa"/>
            <w:vMerge w:val="restart"/>
            <w:tcBorders>
              <w:left w:val="single" w:sz="4" w:space="0" w:color="auto"/>
            </w:tcBorders>
            <w:vAlign w:val="center"/>
          </w:tcPr>
          <w:p w:rsidR="00DB7CC8" w:rsidRDefault="002B5250">
            <w:pPr>
              <w:spacing w:line="240" w:lineRule="auto"/>
              <w:ind w:firstLineChars="0" w:firstLine="0"/>
              <w:jc w:val="center"/>
              <w:rPr>
                <w:kern w:val="2"/>
                <w:sz w:val="21"/>
                <w:szCs w:val="21"/>
              </w:rPr>
            </w:pPr>
            <w:r>
              <w:rPr>
                <w:kern w:val="2"/>
                <w:sz w:val="21"/>
                <w:szCs w:val="21"/>
              </w:rPr>
              <w:t>废气</w:t>
            </w:r>
          </w:p>
        </w:tc>
        <w:tc>
          <w:tcPr>
            <w:tcW w:w="1200" w:type="dxa"/>
            <w:vAlign w:val="center"/>
          </w:tcPr>
          <w:p w:rsidR="00DB7CC8" w:rsidRDefault="002B5250">
            <w:pPr>
              <w:spacing w:line="240" w:lineRule="auto"/>
              <w:ind w:firstLineChars="0" w:firstLine="0"/>
              <w:jc w:val="center"/>
              <w:rPr>
                <w:kern w:val="2"/>
                <w:sz w:val="21"/>
                <w:szCs w:val="21"/>
              </w:rPr>
            </w:pPr>
            <w:r>
              <w:rPr>
                <w:kern w:val="2"/>
                <w:sz w:val="21"/>
                <w:szCs w:val="21"/>
              </w:rPr>
              <w:t>选矿厂</w:t>
            </w:r>
          </w:p>
        </w:tc>
        <w:tc>
          <w:tcPr>
            <w:tcW w:w="1065" w:type="dxa"/>
            <w:vAlign w:val="center"/>
          </w:tcPr>
          <w:p w:rsidR="00DB7CC8" w:rsidRDefault="002B5250">
            <w:pPr>
              <w:spacing w:line="240" w:lineRule="auto"/>
              <w:ind w:firstLineChars="0" w:firstLine="0"/>
              <w:jc w:val="center"/>
              <w:rPr>
                <w:kern w:val="2"/>
                <w:sz w:val="21"/>
                <w:szCs w:val="21"/>
              </w:rPr>
            </w:pPr>
            <w:r>
              <w:rPr>
                <w:kern w:val="2"/>
                <w:sz w:val="21"/>
                <w:szCs w:val="21"/>
              </w:rPr>
              <w:t>颗粒物</w:t>
            </w:r>
          </w:p>
        </w:tc>
        <w:tc>
          <w:tcPr>
            <w:tcW w:w="1046" w:type="dxa"/>
            <w:vAlign w:val="center"/>
          </w:tcPr>
          <w:p w:rsidR="00DB7CC8" w:rsidRDefault="002B5250">
            <w:pPr>
              <w:spacing w:line="240" w:lineRule="auto"/>
              <w:ind w:firstLineChars="0" w:firstLine="0"/>
              <w:jc w:val="center"/>
              <w:rPr>
                <w:kern w:val="2"/>
                <w:sz w:val="21"/>
                <w:szCs w:val="21"/>
              </w:rPr>
            </w:pPr>
            <w:r>
              <w:rPr>
                <w:kern w:val="2"/>
                <w:sz w:val="21"/>
                <w:szCs w:val="21"/>
              </w:rPr>
              <w:t>无组织</w:t>
            </w:r>
          </w:p>
        </w:tc>
        <w:tc>
          <w:tcPr>
            <w:tcW w:w="1119" w:type="dxa"/>
            <w:vAlign w:val="center"/>
          </w:tcPr>
          <w:p w:rsidR="00DB7CC8" w:rsidRDefault="002B5250">
            <w:pPr>
              <w:spacing w:line="240" w:lineRule="auto"/>
              <w:ind w:firstLineChars="0" w:firstLine="0"/>
              <w:jc w:val="center"/>
              <w:rPr>
                <w:kern w:val="2"/>
                <w:sz w:val="21"/>
                <w:szCs w:val="21"/>
              </w:rPr>
            </w:pPr>
            <w:r>
              <w:rPr>
                <w:kern w:val="2"/>
                <w:sz w:val="21"/>
                <w:szCs w:val="21"/>
              </w:rPr>
              <w:t>1.0</w:t>
            </w:r>
          </w:p>
        </w:tc>
        <w:tc>
          <w:tcPr>
            <w:tcW w:w="696" w:type="dxa"/>
            <w:vAlign w:val="center"/>
          </w:tcPr>
          <w:p w:rsidR="00DB7CC8" w:rsidRDefault="002B5250">
            <w:pPr>
              <w:spacing w:line="240" w:lineRule="auto"/>
              <w:ind w:firstLineChars="0" w:firstLine="0"/>
              <w:jc w:val="center"/>
              <w:rPr>
                <w:kern w:val="2"/>
                <w:sz w:val="21"/>
                <w:szCs w:val="21"/>
              </w:rPr>
            </w:pPr>
            <w:r>
              <w:rPr>
                <w:kern w:val="2"/>
                <w:sz w:val="21"/>
                <w:szCs w:val="21"/>
              </w:rPr>
              <w:t>mg/m</w:t>
            </w:r>
            <w:r>
              <w:rPr>
                <w:kern w:val="2"/>
                <w:sz w:val="21"/>
                <w:szCs w:val="21"/>
                <w:vertAlign w:val="superscript"/>
              </w:rPr>
              <w:t>3</w:t>
            </w:r>
          </w:p>
        </w:tc>
        <w:tc>
          <w:tcPr>
            <w:tcW w:w="2692" w:type="dxa"/>
            <w:tcBorders>
              <w:right w:val="single" w:sz="4" w:space="0" w:color="auto"/>
            </w:tcBorders>
            <w:vAlign w:val="center"/>
          </w:tcPr>
          <w:p w:rsidR="00DB7CC8" w:rsidRDefault="002B5250">
            <w:pPr>
              <w:spacing w:line="240" w:lineRule="auto"/>
              <w:ind w:firstLineChars="0" w:firstLine="0"/>
              <w:jc w:val="center"/>
              <w:rPr>
                <w:kern w:val="2"/>
                <w:sz w:val="21"/>
                <w:szCs w:val="21"/>
              </w:rPr>
            </w:pPr>
            <w:r>
              <w:rPr>
                <w:kern w:val="2"/>
                <w:sz w:val="21"/>
                <w:szCs w:val="21"/>
              </w:rPr>
              <w:t>《铁矿采选工业污染物排放标准》</w:t>
            </w:r>
            <w:r>
              <w:rPr>
                <w:kern w:val="2"/>
                <w:sz w:val="21"/>
                <w:szCs w:val="21"/>
              </w:rPr>
              <w:t>(GB28661-2012)</w:t>
            </w:r>
            <w:r>
              <w:rPr>
                <w:kern w:val="2"/>
                <w:sz w:val="21"/>
                <w:szCs w:val="21"/>
              </w:rPr>
              <w:t>表</w:t>
            </w:r>
            <w:r>
              <w:rPr>
                <w:kern w:val="2"/>
                <w:sz w:val="21"/>
                <w:szCs w:val="21"/>
              </w:rPr>
              <w:t>7</w:t>
            </w:r>
            <w:r>
              <w:rPr>
                <w:kern w:val="2"/>
                <w:sz w:val="21"/>
                <w:szCs w:val="21"/>
              </w:rPr>
              <w:t>无组织排放监控浓度限值</w:t>
            </w:r>
          </w:p>
        </w:tc>
      </w:tr>
      <w:tr w:rsidR="00DB7CC8">
        <w:trPr>
          <w:trHeight w:val="283"/>
          <w:jc w:val="center"/>
        </w:trPr>
        <w:tc>
          <w:tcPr>
            <w:tcW w:w="541" w:type="dxa"/>
            <w:vMerge/>
            <w:tcBorders>
              <w:left w:val="single" w:sz="4" w:space="0" w:color="auto"/>
            </w:tcBorders>
            <w:vAlign w:val="center"/>
          </w:tcPr>
          <w:p w:rsidR="00DB7CC8" w:rsidRDefault="00DB7CC8">
            <w:pPr>
              <w:spacing w:line="240" w:lineRule="auto"/>
              <w:ind w:firstLineChars="0" w:firstLine="0"/>
              <w:rPr>
                <w:kern w:val="2"/>
                <w:sz w:val="21"/>
                <w:szCs w:val="21"/>
              </w:rPr>
            </w:pPr>
          </w:p>
        </w:tc>
        <w:tc>
          <w:tcPr>
            <w:tcW w:w="1200" w:type="dxa"/>
            <w:vAlign w:val="center"/>
          </w:tcPr>
          <w:p w:rsidR="00DB7CC8" w:rsidRDefault="002B5250">
            <w:pPr>
              <w:spacing w:line="240" w:lineRule="auto"/>
              <w:ind w:firstLineChars="0" w:firstLine="0"/>
              <w:jc w:val="center"/>
              <w:rPr>
                <w:kern w:val="2"/>
                <w:sz w:val="21"/>
                <w:szCs w:val="21"/>
              </w:rPr>
            </w:pPr>
            <w:r>
              <w:rPr>
                <w:kern w:val="2"/>
                <w:sz w:val="21"/>
                <w:szCs w:val="21"/>
              </w:rPr>
              <w:t>矿石破碎、筛分等过程</w:t>
            </w:r>
          </w:p>
        </w:tc>
        <w:tc>
          <w:tcPr>
            <w:tcW w:w="1065" w:type="dxa"/>
            <w:vAlign w:val="center"/>
          </w:tcPr>
          <w:p w:rsidR="00DB7CC8" w:rsidRDefault="002B5250">
            <w:pPr>
              <w:spacing w:line="240" w:lineRule="auto"/>
              <w:ind w:firstLineChars="0" w:firstLine="0"/>
              <w:jc w:val="center"/>
              <w:rPr>
                <w:kern w:val="2"/>
                <w:sz w:val="21"/>
                <w:szCs w:val="21"/>
              </w:rPr>
            </w:pPr>
            <w:r>
              <w:rPr>
                <w:kern w:val="2"/>
                <w:sz w:val="21"/>
                <w:szCs w:val="21"/>
              </w:rPr>
              <w:t>颗粒物</w:t>
            </w:r>
          </w:p>
        </w:tc>
        <w:tc>
          <w:tcPr>
            <w:tcW w:w="1046" w:type="dxa"/>
            <w:vAlign w:val="center"/>
          </w:tcPr>
          <w:p w:rsidR="00DB7CC8" w:rsidRDefault="002B5250">
            <w:pPr>
              <w:spacing w:line="240" w:lineRule="auto"/>
              <w:ind w:firstLineChars="0" w:firstLine="0"/>
              <w:jc w:val="center"/>
              <w:rPr>
                <w:kern w:val="2"/>
                <w:sz w:val="21"/>
                <w:szCs w:val="21"/>
              </w:rPr>
            </w:pPr>
            <w:r>
              <w:rPr>
                <w:kern w:val="2"/>
                <w:sz w:val="21"/>
                <w:szCs w:val="21"/>
              </w:rPr>
              <w:t>有组织</w:t>
            </w:r>
          </w:p>
        </w:tc>
        <w:tc>
          <w:tcPr>
            <w:tcW w:w="1119" w:type="dxa"/>
            <w:vAlign w:val="center"/>
          </w:tcPr>
          <w:p w:rsidR="00DB7CC8" w:rsidRDefault="002B5250">
            <w:pPr>
              <w:spacing w:line="240" w:lineRule="auto"/>
              <w:ind w:firstLineChars="0" w:firstLine="0"/>
              <w:jc w:val="center"/>
              <w:rPr>
                <w:kern w:val="2"/>
                <w:sz w:val="21"/>
                <w:szCs w:val="21"/>
              </w:rPr>
            </w:pPr>
            <w:r>
              <w:rPr>
                <w:kern w:val="2"/>
                <w:sz w:val="21"/>
                <w:szCs w:val="21"/>
              </w:rPr>
              <w:t>10</w:t>
            </w:r>
          </w:p>
        </w:tc>
        <w:tc>
          <w:tcPr>
            <w:tcW w:w="696" w:type="dxa"/>
            <w:vAlign w:val="center"/>
          </w:tcPr>
          <w:p w:rsidR="00DB7CC8" w:rsidRDefault="002B5250">
            <w:pPr>
              <w:spacing w:line="240" w:lineRule="auto"/>
              <w:ind w:firstLineChars="0" w:firstLine="0"/>
              <w:jc w:val="center"/>
              <w:rPr>
                <w:kern w:val="2"/>
                <w:sz w:val="21"/>
                <w:szCs w:val="21"/>
              </w:rPr>
            </w:pPr>
            <w:r>
              <w:rPr>
                <w:kern w:val="2"/>
                <w:sz w:val="21"/>
                <w:szCs w:val="21"/>
              </w:rPr>
              <w:t>mg/m</w:t>
            </w:r>
            <w:r>
              <w:rPr>
                <w:kern w:val="2"/>
                <w:sz w:val="21"/>
                <w:szCs w:val="21"/>
                <w:vertAlign w:val="superscript"/>
              </w:rPr>
              <w:t>3</w:t>
            </w:r>
          </w:p>
        </w:tc>
        <w:tc>
          <w:tcPr>
            <w:tcW w:w="2692" w:type="dxa"/>
            <w:tcBorders>
              <w:right w:val="single" w:sz="4" w:space="0" w:color="auto"/>
            </w:tcBorders>
            <w:vAlign w:val="center"/>
          </w:tcPr>
          <w:p w:rsidR="00DB7CC8" w:rsidRDefault="002B5250">
            <w:pPr>
              <w:spacing w:line="240" w:lineRule="auto"/>
              <w:ind w:firstLineChars="0" w:firstLine="0"/>
              <w:jc w:val="center"/>
              <w:rPr>
                <w:kern w:val="2"/>
                <w:sz w:val="21"/>
                <w:szCs w:val="21"/>
              </w:rPr>
            </w:pPr>
            <w:r>
              <w:rPr>
                <w:kern w:val="2"/>
                <w:sz w:val="21"/>
                <w:szCs w:val="21"/>
              </w:rPr>
              <w:t>《铁矿采选工业污染物排放标准》</w:t>
            </w:r>
            <w:r>
              <w:rPr>
                <w:kern w:val="2"/>
                <w:sz w:val="21"/>
                <w:szCs w:val="21"/>
              </w:rPr>
              <w:t>(GB28661-2012)</w:t>
            </w:r>
            <w:r>
              <w:rPr>
                <w:kern w:val="2"/>
                <w:sz w:val="21"/>
                <w:szCs w:val="21"/>
              </w:rPr>
              <w:t>表</w:t>
            </w:r>
            <w:r>
              <w:rPr>
                <w:kern w:val="2"/>
                <w:sz w:val="21"/>
                <w:szCs w:val="21"/>
              </w:rPr>
              <w:t>6</w:t>
            </w:r>
            <w:r>
              <w:rPr>
                <w:kern w:val="2"/>
                <w:sz w:val="21"/>
                <w:szCs w:val="21"/>
              </w:rPr>
              <w:t>生产设施排气筒</w:t>
            </w:r>
          </w:p>
        </w:tc>
      </w:tr>
    </w:tbl>
    <w:p w:rsidR="00DB7CC8" w:rsidRDefault="002B5250">
      <w:pPr>
        <w:ind w:firstLine="480"/>
        <w:rPr>
          <w:sz w:val="24"/>
          <w:szCs w:val="24"/>
        </w:rPr>
      </w:pPr>
      <w:r>
        <w:rPr>
          <w:rFonts w:hint="eastAsia"/>
          <w:sz w:val="24"/>
          <w:szCs w:val="24"/>
        </w:rPr>
        <w:t>2</w:t>
      </w:r>
      <w:r>
        <w:rPr>
          <w:rFonts w:hint="eastAsia"/>
          <w:sz w:val="24"/>
          <w:szCs w:val="24"/>
        </w:rPr>
        <w:t>、</w:t>
      </w:r>
      <w:r>
        <w:rPr>
          <w:sz w:val="24"/>
          <w:szCs w:val="24"/>
        </w:rPr>
        <w:t>废水</w:t>
      </w:r>
    </w:p>
    <w:p w:rsidR="00DB7CC8" w:rsidRDefault="002B5250">
      <w:pPr>
        <w:widowControl/>
        <w:ind w:firstLine="480"/>
        <w:textAlignment w:val="auto"/>
        <w:rPr>
          <w:sz w:val="24"/>
          <w:szCs w:val="24"/>
        </w:rPr>
      </w:pPr>
      <w:r>
        <w:rPr>
          <w:sz w:val="24"/>
          <w:szCs w:val="24"/>
        </w:rPr>
        <w:t>本项目选矿废水循环使用，不外排。洗车废水经沉淀池沉淀后回用于洗车</w:t>
      </w:r>
      <w:r>
        <w:rPr>
          <w:rFonts w:hint="eastAsia"/>
          <w:sz w:val="24"/>
          <w:szCs w:val="24"/>
        </w:rPr>
        <w:t>；车间地面冲洗水排入进浓密池处理后回用于生产，不外排。</w:t>
      </w:r>
    </w:p>
    <w:p w:rsidR="00DB7CC8" w:rsidRDefault="002B5250">
      <w:pPr>
        <w:widowControl/>
        <w:ind w:firstLine="480"/>
        <w:textAlignment w:val="auto"/>
        <w:rPr>
          <w:sz w:val="24"/>
          <w:szCs w:val="24"/>
        </w:rPr>
      </w:pPr>
      <w:r>
        <w:rPr>
          <w:rFonts w:hint="eastAsia"/>
          <w:sz w:val="24"/>
          <w:szCs w:val="24"/>
        </w:rPr>
        <w:t>3</w:t>
      </w:r>
      <w:r>
        <w:rPr>
          <w:rFonts w:hint="eastAsia"/>
          <w:sz w:val="24"/>
          <w:szCs w:val="24"/>
        </w:rPr>
        <w:t>、</w:t>
      </w:r>
      <w:r>
        <w:rPr>
          <w:sz w:val="24"/>
          <w:szCs w:val="24"/>
        </w:rPr>
        <w:t>噪声</w:t>
      </w:r>
    </w:p>
    <w:p w:rsidR="00DB7CC8" w:rsidRDefault="002B5250">
      <w:pPr>
        <w:widowControl/>
        <w:ind w:firstLine="480"/>
        <w:textAlignment w:val="auto"/>
        <w:rPr>
          <w:sz w:val="24"/>
          <w:szCs w:val="24"/>
        </w:rPr>
      </w:pPr>
      <w:r>
        <w:rPr>
          <w:sz w:val="24"/>
          <w:szCs w:val="24"/>
        </w:rPr>
        <w:t>运营期噪声执行《工业企业厂界环境噪声排放标准》（</w:t>
      </w:r>
      <w:r>
        <w:rPr>
          <w:sz w:val="24"/>
          <w:szCs w:val="24"/>
        </w:rPr>
        <w:t>GB12348-2008</w:t>
      </w:r>
      <w:r>
        <w:rPr>
          <w:sz w:val="24"/>
          <w:szCs w:val="24"/>
        </w:rPr>
        <w:t>）</w:t>
      </w:r>
      <w:r>
        <w:rPr>
          <w:sz w:val="24"/>
          <w:szCs w:val="24"/>
        </w:rPr>
        <w:t>2</w:t>
      </w:r>
      <w:r>
        <w:rPr>
          <w:sz w:val="24"/>
          <w:szCs w:val="24"/>
        </w:rPr>
        <w:t>类标准。标准见表</w:t>
      </w:r>
      <w:r>
        <w:rPr>
          <w:sz w:val="24"/>
          <w:szCs w:val="24"/>
        </w:rPr>
        <w:t>2.</w:t>
      </w:r>
      <w:r>
        <w:rPr>
          <w:rFonts w:hint="eastAsia"/>
          <w:sz w:val="24"/>
          <w:szCs w:val="24"/>
        </w:rPr>
        <w:t>7</w:t>
      </w:r>
      <w:r>
        <w:rPr>
          <w:sz w:val="24"/>
          <w:szCs w:val="24"/>
        </w:rPr>
        <w:t>-</w:t>
      </w:r>
      <w:r>
        <w:rPr>
          <w:rFonts w:hint="eastAsia"/>
          <w:sz w:val="24"/>
          <w:szCs w:val="24"/>
        </w:rPr>
        <w:t>10</w:t>
      </w:r>
      <w:r>
        <w:rPr>
          <w:sz w:val="24"/>
          <w:szCs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2.</w:t>
      </w:r>
      <w:r>
        <w:rPr>
          <w:rFonts w:eastAsia="黑体" w:hint="eastAsia"/>
          <w:kern w:val="2"/>
          <w:sz w:val="21"/>
          <w:szCs w:val="21"/>
        </w:rPr>
        <w:t>7</w:t>
      </w:r>
      <w:r>
        <w:rPr>
          <w:rFonts w:eastAsia="黑体"/>
          <w:kern w:val="2"/>
          <w:sz w:val="21"/>
          <w:szCs w:val="21"/>
        </w:rPr>
        <w:t>-</w:t>
      </w:r>
      <w:r>
        <w:rPr>
          <w:rFonts w:eastAsia="黑体" w:hint="eastAsia"/>
          <w:kern w:val="2"/>
          <w:sz w:val="21"/>
          <w:szCs w:val="21"/>
        </w:rPr>
        <w:t>10</w:t>
      </w:r>
      <w:r>
        <w:rPr>
          <w:rFonts w:eastAsia="黑体"/>
          <w:kern w:val="2"/>
          <w:sz w:val="21"/>
          <w:szCs w:val="21"/>
        </w:rPr>
        <w:t xml:space="preserve"> </w:t>
      </w:r>
      <w:r>
        <w:rPr>
          <w:rFonts w:eastAsia="黑体"/>
          <w:kern w:val="2"/>
          <w:sz w:val="21"/>
          <w:szCs w:val="21"/>
        </w:rPr>
        <w:t>运营期噪声排放标准单位：</w:t>
      </w:r>
      <w:r>
        <w:rPr>
          <w:rFonts w:eastAsia="黑体"/>
          <w:kern w:val="2"/>
          <w:sz w:val="21"/>
          <w:szCs w:val="21"/>
        </w:rPr>
        <w:t>dB</w:t>
      </w:r>
      <w:r>
        <w:rPr>
          <w:rFonts w:eastAsia="黑体"/>
          <w:kern w:val="2"/>
          <w:sz w:val="21"/>
          <w:szCs w:val="21"/>
        </w:rPr>
        <w:t>（</w:t>
      </w:r>
      <w:r>
        <w:rPr>
          <w:rFonts w:eastAsia="黑体"/>
          <w:kern w:val="2"/>
          <w:sz w:val="21"/>
          <w:szCs w:val="21"/>
        </w:rPr>
        <w:t>A</w:t>
      </w:r>
      <w:r>
        <w:rPr>
          <w:rFonts w:eastAsia="黑体"/>
          <w:kern w:val="2"/>
          <w:sz w:val="21"/>
          <w:szCs w:val="21"/>
        </w:rPr>
        <w:t>）</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057"/>
        <w:gridCol w:w="1058"/>
        <w:gridCol w:w="4881"/>
      </w:tblGrid>
      <w:tr w:rsidR="00DB7CC8">
        <w:trPr>
          <w:trHeight w:val="283"/>
        </w:trPr>
        <w:tc>
          <w:tcPr>
            <w:tcW w:w="1526" w:type="dxa"/>
            <w:vAlign w:val="center"/>
          </w:tcPr>
          <w:p w:rsidR="00DB7CC8" w:rsidRDefault="002B5250">
            <w:pPr>
              <w:spacing w:line="240" w:lineRule="auto"/>
              <w:ind w:firstLineChars="0" w:firstLine="0"/>
              <w:jc w:val="center"/>
              <w:rPr>
                <w:bCs/>
                <w:sz w:val="21"/>
                <w:szCs w:val="21"/>
              </w:rPr>
            </w:pPr>
            <w:r>
              <w:rPr>
                <w:bCs/>
                <w:sz w:val="21"/>
                <w:szCs w:val="21"/>
              </w:rPr>
              <w:t>厂界外声环境功能区类别</w:t>
            </w:r>
          </w:p>
        </w:tc>
        <w:tc>
          <w:tcPr>
            <w:tcW w:w="2115" w:type="dxa"/>
            <w:gridSpan w:val="2"/>
            <w:vAlign w:val="center"/>
          </w:tcPr>
          <w:p w:rsidR="00DB7CC8" w:rsidRDefault="002B5250">
            <w:pPr>
              <w:spacing w:line="240" w:lineRule="auto"/>
              <w:ind w:firstLineChars="0" w:firstLine="0"/>
              <w:jc w:val="center"/>
              <w:rPr>
                <w:bCs/>
                <w:sz w:val="21"/>
                <w:szCs w:val="21"/>
              </w:rPr>
            </w:pPr>
            <w:r>
              <w:rPr>
                <w:bCs/>
                <w:sz w:val="21"/>
                <w:szCs w:val="21"/>
              </w:rPr>
              <w:t>时段</w:t>
            </w:r>
          </w:p>
        </w:tc>
        <w:tc>
          <w:tcPr>
            <w:tcW w:w="4881" w:type="dxa"/>
            <w:vAlign w:val="center"/>
          </w:tcPr>
          <w:p w:rsidR="00DB7CC8" w:rsidRDefault="002B5250">
            <w:pPr>
              <w:spacing w:line="240" w:lineRule="auto"/>
              <w:ind w:firstLineChars="0" w:firstLine="0"/>
              <w:jc w:val="center"/>
              <w:rPr>
                <w:bCs/>
                <w:sz w:val="21"/>
                <w:szCs w:val="21"/>
              </w:rPr>
            </w:pPr>
            <w:r>
              <w:rPr>
                <w:bCs/>
                <w:sz w:val="21"/>
                <w:szCs w:val="21"/>
              </w:rPr>
              <w:t>标准来源</w:t>
            </w:r>
          </w:p>
        </w:tc>
      </w:tr>
      <w:tr w:rsidR="00DB7CC8">
        <w:trPr>
          <w:trHeight w:val="283"/>
        </w:trPr>
        <w:tc>
          <w:tcPr>
            <w:tcW w:w="1526" w:type="dxa"/>
            <w:vMerge w:val="restart"/>
            <w:vAlign w:val="center"/>
          </w:tcPr>
          <w:p w:rsidR="00DB7CC8" w:rsidRDefault="002B5250">
            <w:pPr>
              <w:spacing w:line="240" w:lineRule="auto"/>
              <w:ind w:firstLineChars="0" w:firstLine="0"/>
              <w:jc w:val="center"/>
              <w:rPr>
                <w:bCs/>
                <w:sz w:val="21"/>
                <w:szCs w:val="21"/>
              </w:rPr>
            </w:pPr>
            <w:r>
              <w:rPr>
                <w:bCs/>
                <w:sz w:val="21"/>
                <w:szCs w:val="21"/>
              </w:rPr>
              <w:t>2</w:t>
            </w:r>
            <w:r>
              <w:rPr>
                <w:bCs/>
                <w:sz w:val="21"/>
                <w:szCs w:val="21"/>
              </w:rPr>
              <w:t>类</w:t>
            </w:r>
          </w:p>
        </w:tc>
        <w:tc>
          <w:tcPr>
            <w:tcW w:w="1057" w:type="dxa"/>
            <w:vAlign w:val="center"/>
          </w:tcPr>
          <w:p w:rsidR="00DB7CC8" w:rsidRDefault="002B5250">
            <w:pPr>
              <w:spacing w:line="240" w:lineRule="auto"/>
              <w:ind w:firstLineChars="0" w:firstLine="0"/>
              <w:jc w:val="center"/>
              <w:rPr>
                <w:bCs/>
                <w:sz w:val="21"/>
                <w:szCs w:val="21"/>
              </w:rPr>
            </w:pPr>
            <w:r>
              <w:rPr>
                <w:bCs/>
                <w:sz w:val="21"/>
                <w:szCs w:val="21"/>
              </w:rPr>
              <w:t>昼间</w:t>
            </w:r>
          </w:p>
        </w:tc>
        <w:tc>
          <w:tcPr>
            <w:tcW w:w="1058" w:type="dxa"/>
            <w:vAlign w:val="center"/>
          </w:tcPr>
          <w:p w:rsidR="00DB7CC8" w:rsidRDefault="002B5250">
            <w:pPr>
              <w:spacing w:line="240" w:lineRule="auto"/>
              <w:ind w:firstLineChars="0" w:firstLine="0"/>
              <w:jc w:val="center"/>
              <w:rPr>
                <w:bCs/>
                <w:sz w:val="21"/>
                <w:szCs w:val="21"/>
              </w:rPr>
            </w:pPr>
            <w:r>
              <w:rPr>
                <w:bCs/>
                <w:sz w:val="21"/>
                <w:szCs w:val="21"/>
              </w:rPr>
              <w:t>夜间</w:t>
            </w:r>
          </w:p>
        </w:tc>
        <w:tc>
          <w:tcPr>
            <w:tcW w:w="4881" w:type="dxa"/>
            <w:vMerge w:val="restart"/>
            <w:vAlign w:val="center"/>
          </w:tcPr>
          <w:p w:rsidR="00DB7CC8" w:rsidRDefault="002B5250">
            <w:pPr>
              <w:spacing w:line="240" w:lineRule="auto"/>
              <w:ind w:firstLineChars="0" w:firstLine="0"/>
              <w:jc w:val="center"/>
              <w:rPr>
                <w:bCs/>
                <w:sz w:val="21"/>
                <w:szCs w:val="21"/>
              </w:rPr>
            </w:pPr>
            <w:r>
              <w:rPr>
                <w:sz w:val="21"/>
                <w:szCs w:val="21"/>
              </w:rPr>
              <w:t>《工业企业厂界环境噪声排放标准》（</w:t>
            </w:r>
            <w:r>
              <w:rPr>
                <w:sz w:val="21"/>
                <w:szCs w:val="21"/>
              </w:rPr>
              <w:t>GB12348-2008</w:t>
            </w:r>
            <w:r>
              <w:rPr>
                <w:sz w:val="21"/>
                <w:szCs w:val="21"/>
              </w:rPr>
              <w:t>）</w:t>
            </w:r>
          </w:p>
        </w:tc>
      </w:tr>
      <w:tr w:rsidR="00DB7CC8">
        <w:trPr>
          <w:trHeight w:val="283"/>
        </w:trPr>
        <w:tc>
          <w:tcPr>
            <w:tcW w:w="1526" w:type="dxa"/>
            <w:vMerge/>
            <w:vAlign w:val="center"/>
          </w:tcPr>
          <w:p w:rsidR="00DB7CC8" w:rsidRDefault="00DB7CC8">
            <w:pPr>
              <w:spacing w:line="240" w:lineRule="auto"/>
              <w:ind w:firstLineChars="0" w:firstLine="0"/>
              <w:jc w:val="center"/>
              <w:rPr>
                <w:bCs/>
                <w:sz w:val="21"/>
                <w:szCs w:val="21"/>
              </w:rPr>
            </w:pPr>
          </w:p>
        </w:tc>
        <w:tc>
          <w:tcPr>
            <w:tcW w:w="1057" w:type="dxa"/>
            <w:vAlign w:val="center"/>
          </w:tcPr>
          <w:p w:rsidR="00DB7CC8" w:rsidRDefault="002B5250">
            <w:pPr>
              <w:spacing w:line="240" w:lineRule="auto"/>
              <w:ind w:firstLineChars="0" w:firstLine="0"/>
              <w:jc w:val="center"/>
              <w:rPr>
                <w:bCs/>
                <w:sz w:val="21"/>
                <w:szCs w:val="21"/>
              </w:rPr>
            </w:pPr>
            <w:r>
              <w:rPr>
                <w:bCs/>
                <w:sz w:val="21"/>
                <w:szCs w:val="21"/>
              </w:rPr>
              <w:t>60</w:t>
            </w:r>
          </w:p>
        </w:tc>
        <w:tc>
          <w:tcPr>
            <w:tcW w:w="1058" w:type="dxa"/>
            <w:vAlign w:val="center"/>
          </w:tcPr>
          <w:p w:rsidR="00DB7CC8" w:rsidRDefault="002B5250">
            <w:pPr>
              <w:spacing w:line="240" w:lineRule="auto"/>
              <w:ind w:firstLineChars="0" w:firstLine="0"/>
              <w:jc w:val="center"/>
              <w:rPr>
                <w:bCs/>
                <w:sz w:val="21"/>
                <w:szCs w:val="21"/>
              </w:rPr>
            </w:pPr>
            <w:r>
              <w:rPr>
                <w:bCs/>
                <w:sz w:val="21"/>
                <w:szCs w:val="21"/>
              </w:rPr>
              <w:t>50</w:t>
            </w:r>
          </w:p>
        </w:tc>
        <w:tc>
          <w:tcPr>
            <w:tcW w:w="4881" w:type="dxa"/>
            <w:vMerge/>
            <w:vAlign w:val="center"/>
          </w:tcPr>
          <w:p w:rsidR="00DB7CC8" w:rsidRDefault="00DB7CC8">
            <w:pPr>
              <w:spacing w:line="240" w:lineRule="auto"/>
              <w:ind w:firstLineChars="0" w:firstLine="0"/>
              <w:jc w:val="center"/>
              <w:rPr>
                <w:bCs/>
                <w:sz w:val="21"/>
                <w:szCs w:val="21"/>
              </w:rPr>
            </w:pPr>
          </w:p>
        </w:tc>
      </w:tr>
    </w:tbl>
    <w:p w:rsidR="00DB7CC8" w:rsidRDefault="002B5250">
      <w:pPr>
        <w:widowControl/>
        <w:ind w:firstLine="480"/>
        <w:textAlignment w:val="auto"/>
        <w:rPr>
          <w:sz w:val="24"/>
          <w:szCs w:val="24"/>
        </w:rPr>
      </w:pPr>
      <w:r>
        <w:rPr>
          <w:rFonts w:hint="eastAsia"/>
          <w:sz w:val="24"/>
          <w:szCs w:val="24"/>
        </w:rPr>
        <w:t>4</w:t>
      </w:r>
      <w:r>
        <w:rPr>
          <w:rFonts w:hint="eastAsia"/>
          <w:sz w:val="24"/>
          <w:szCs w:val="24"/>
        </w:rPr>
        <w:t>、</w:t>
      </w:r>
      <w:r>
        <w:rPr>
          <w:sz w:val="24"/>
          <w:szCs w:val="24"/>
        </w:rPr>
        <w:t>固体废物</w:t>
      </w:r>
    </w:p>
    <w:p w:rsidR="00DB7CC8" w:rsidRDefault="002B5250">
      <w:pPr>
        <w:ind w:firstLine="480"/>
        <w:jc w:val="both"/>
        <w:rPr>
          <w:sz w:val="24"/>
          <w:szCs w:val="24"/>
        </w:rPr>
      </w:pPr>
      <w:r>
        <w:rPr>
          <w:rFonts w:hint="eastAsia"/>
          <w:sz w:val="24"/>
          <w:szCs w:val="24"/>
        </w:rPr>
        <w:t>（</w:t>
      </w:r>
      <w:r>
        <w:rPr>
          <w:rFonts w:hint="eastAsia"/>
          <w:sz w:val="24"/>
          <w:szCs w:val="24"/>
        </w:rPr>
        <w:t>1</w:t>
      </w:r>
      <w:r>
        <w:rPr>
          <w:rFonts w:hint="eastAsia"/>
          <w:sz w:val="24"/>
          <w:szCs w:val="24"/>
        </w:rPr>
        <w:t>）</w:t>
      </w:r>
      <w:r>
        <w:rPr>
          <w:sz w:val="24"/>
          <w:szCs w:val="24"/>
        </w:rPr>
        <w:t>一般固体废物执行《中华人民共和国固体废物污染环境防治法》（</w:t>
      </w:r>
      <w:r>
        <w:rPr>
          <w:sz w:val="24"/>
          <w:szCs w:val="24"/>
        </w:rPr>
        <w:t>2016</w:t>
      </w:r>
      <w:r>
        <w:rPr>
          <w:sz w:val="24"/>
          <w:szCs w:val="24"/>
        </w:rPr>
        <w:t>年</w:t>
      </w:r>
      <w:r>
        <w:rPr>
          <w:sz w:val="24"/>
          <w:szCs w:val="24"/>
        </w:rPr>
        <w:t>11</w:t>
      </w:r>
      <w:r>
        <w:rPr>
          <w:sz w:val="24"/>
          <w:szCs w:val="24"/>
        </w:rPr>
        <w:t>月</w:t>
      </w:r>
      <w:r>
        <w:rPr>
          <w:sz w:val="24"/>
          <w:szCs w:val="24"/>
        </w:rPr>
        <w:t>7</w:t>
      </w:r>
      <w:r>
        <w:rPr>
          <w:sz w:val="24"/>
          <w:szCs w:val="24"/>
        </w:rPr>
        <w:t>日修正版）、《一般工业固体废物贮存、处置场污染控制标准》（</w:t>
      </w:r>
      <w:r>
        <w:rPr>
          <w:sz w:val="24"/>
          <w:szCs w:val="24"/>
        </w:rPr>
        <w:t>GB18599-2001</w:t>
      </w:r>
      <w:r>
        <w:rPr>
          <w:sz w:val="24"/>
          <w:szCs w:val="24"/>
        </w:rPr>
        <w:t>）及修改单（</w:t>
      </w:r>
      <w:r>
        <w:rPr>
          <w:sz w:val="24"/>
          <w:szCs w:val="24"/>
        </w:rPr>
        <w:t>2013</w:t>
      </w:r>
      <w:r>
        <w:rPr>
          <w:sz w:val="24"/>
          <w:szCs w:val="24"/>
        </w:rPr>
        <w:t>年环保部第</w:t>
      </w:r>
      <w:r>
        <w:rPr>
          <w:sz w:val="24"/>
          <w:szCs w:val="24"/>
        </w:rPr>
        <w:t>36</w:t>
      </w:r>
      <w:r>
        <w:rPr>
          <w:sz w:val="24"/>
          <w:szCs w:val="24"/>
        </w:rPr>
        <w:t>号公告）。</w:t>
      </w:r>
    </w:p>
    <w:p w:rsidR="00DB7CC8" w:rsidRDefault="002B5250">
      <w:pPr>
        <w:ind w:firstLine="480"/>
        <w:jc w:val="both"/>
        <w:rPr>
          <w:sz w:val="24"/>
          <w:szCs w:val="24"/>
        </w:rPr>
      </w:pPr>
      <w:r>
        <w:rPr>
          <w:rFonts w:hint="eastAsia"/>
          <w:sz w:val="24"/>
          <w:szCs w:val="24"/>
        </w:rPr>
        <w:t>（</w:t>
      </w:r>
      <w:r>
        <w:rPr>
          <w:rFonts w:hint="eastAsia"/>
          <w:sz w:val="24"/>
          <w:szCs w:val="24"/>
        </w:rPr>
        <w:t>2</w:t>
      </w:r>
      <w:r>
        <w:rPr>
          <w:rFonts w:hint="eastAsia"/>
          <w:sz w:val="24"/>
          <w:szCs w:val="24"/>
        </w:rPr>
        <w:t>）</w:t>
      </w:r>
      <w:r>
        <w:rPr>
          <w:sz w:val="24"/>
          <w:szCs w:val="24"/>
        </w:rPr>
        <w:t>危险废物执行《危险废物贮存污染控制标准》（</w:t>
      </w:r>
      <w:r>
        <w:rPr>
          <w:sz w:val="24"/>
          <w:szCs w:val="24"/>
        </w:rPr>
        <w:t>GB18597-20</w:t>
      </w:r>
      <w:r>
        <w:rPr>
          <w:rFonts w:hint="eastAsia"/>
          <w:sz w:val="24"/>
          <w:szCs w:val="24"/>
        </w:rPr>
        <w:t>23</w:t>
      </w:r>
      <w:r>
        <w:rPr>
          <w:sz w:val="24"/>
          <w:szCs w:val="24"/>
        </w:rPr>
        <w:t>）、《危险废物收集贮存运输技术规范》</w:t>
      </w:r>
      <w:hyperlink r:id="rId26" w:history="1">
        <w:r>
          <w:rPr>
            <w:sz w:val="24"/>
            <w:szCs w:val="24"/>
          </w:rPr>
          <w:t>（</w:t>
        </w:r>
        <w:r>
          <w:rPr>
            <w:sz w:val="24"/>
            <w:szCs w:val="24"/>
          </w:rPr>
          <w:t>HJ 2025-2012</w:t>
        </w:r>
        <w:r>
          <w:rPr>
            <w:sz w:val="24"/>
            <w:szCs w:val="24"/>
          </w:rPr>
          <w:t>）</w:t>
        </w:r>
      </w:hyperlink>
      <w:r>
        <w:rPr>
          <w:sz w:val="24"/>
          <w:szCs w:val="24"/>
        </w:rPr>
        <w:t>、《危险废物污染防治技术政策》和《危险废物转移联单管理办法》中的有关规定。</w:t>
      </w:r>
    </w:p>
    <w:p w:rsidR="00DB7CC8" w:rsidRDefault="002B5250">
      <w:pPr>
        <w:ind w:firstLine="480"/>
        <w:jc w:val="both"/>
        <w:rPr>
          <w:sz w:val="24"/>
          <w:szCs w:val="24"/>
        </w:rPr>
      </w:pPr>
      <w:r>
        <w:rPr>
          <w:rFonts w:hint="eastAsia"/>
          <w:sz w:val="24"/>
          <w:szCs w:val="24"/>
        </w:rPr>
        <w:t>5</w:t>
      </w:r>
      <w:r>
        <w:rPr>
          <w:rFonts w:hint="eastAsia"/>
          <w:sz w:val="24"/>
          <w:szCs w:val="24"/>
        </w:rPr>
        <w:t>、</w:t>
      </w:r>
      <w:r>
        <w:rPr>
          <w:sz w:val="24"/>
          <w:szCs w:val="24"/>
        </w:rPr>
        <w:t>其他标准</w:t>
      </w:r>
    </w:p>
    <w:p w:rsidR="00DB7CC8" w:rsidRDefault="002B5250">
      <w:pPr>
        <w:ind w:firstLine="480"/>
        <w:jc w:val="both"/>
        <w:rPr>
          <w:sz w:val="24"/>
          <w:szCs w:val="24"/>
        </w:rPr>
      </w:pPr>
      <w:r>
        <w:rPr>
          <w:rFonts w:ascii="宋体" w:hAnsi="宋体" w:cs="宋体" w:hint="eastAsia"/>
          <w:sz w:val="24"/>
          <w:szCs w:val="24"/>
        </w:rPr>
        <w:t>①</w:t>
      </w:r>
      <w:r>
        <w:rPr>
          <w:sz w:val="24"/>
          <w:szCs w:val="24"/>
        </w:rPr>
        <w:t>《危险废物鉴别标准浸出毒性鉴别》（</w:t>
      </w:r>
      <w:r>
        <w:rPr>
          <w:sz w:val="24"/>
          <w:szCs w:val="24"/>
        </w:rPr>
        <w:t>GB5058.3-2007</w:t>
      </w:r>
      <w:r>
        <w:rPr>
          <w:sz w:val="24"/>
          <w:szCs w:val="24"/>
        </w:rPr>
        <w:t>）。</w:t>
      </w:r>
    </w:p>
    <w:p w:rsidR="00DB7CC8" w:rsidRDefault="002B5250">
      <w:pPr>
        <w:widowControl/>
        <w:numPr>
          <w:ilvl w:val="255"/>
          <w:numId w:val="0"/>
        </w:numPr>
        <w:ind w:firstLineChars="200" w:firstLine="480"/>
        <w:rPr>
          <w:snapToGrid w:val="0"/>
          <w:szCs w:val="28"/>
        </w:rPr>
      </w:pPr>
      <w:r>
        <w:rPr>
          <w:rFonts w:ascii="宋体" w:hAnsi="宋体" w:cs="宋体" w:hint="eastAsia"/>
          <w:sz w:val="24"/>
          <w:szCs w:val="24"/>
        </w:rPr>
        <w:t>②</w:t>
      </w:r>
      <w:r>
        <w:rPr>
          <w:sz w:val="24"/>
          <w:szCs w:val="24"/>
        </w:rPr>
        <w:t>《清洁生产标准铁矿采选业》（</w:t>
      </w:r>
      <w:r>
        <w:rPr>
          <w:sz w:val="24"/>
          <w:szCs w:val="24"/>
        </w:rPr>
        <w:t>HJ/T294</w:t>
      </w:r>
      <w:r>
        <w:rPr>
          <w:sz w:val="24"/>
          <w:szCs w:val="24"/>
        </w:rPr>
        <w:t>－</w:t>
      </w:r>
      <w:r>
        <w:rPr>
          <w:sz w:val="24"/>
          <w:szCs w:val="24"/>
        </w:rPr>
        <w:t>2006</w:t>
      </w:r>
      <w:r>
        <w:rPr>
          <w:sz w:val="24"/>
          <w:szCs w:val="24"/>
        </w:rPr>
        <w:t>）。</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150" w:name="_Toc20165"/>
      <w:r>
        <w:rPr>
          <w:rFonts w:ascii="Times New Roman" w:eastAsia="宋体" w:hAnsi="Times New Roman"/>
          <w:bCs w:val="0"/>
          <w:snapToGrid w:val="0"/>
          <w:kern w:val="0"/>
          <w:sz w:val="28"/>
          <w:szCs w:val="28"/>
        </w:rPr>
        <w:t>主要环境保护目标</w:t>
      </w:r>
      <w:bookmarkEnd w:id="141"/>
      <w:bookmarkEnd w:id="142"/>
      <w:bookmarkEnd w:id="143"/>
      <w:bookmarkEnd w:id="144"/>
      <w:bookmarkEnd w:id="145"/>
      <w:bookmarkEnd w:id="146"/>
      <w:bookmarkEnd w:id="147"/>
      <w:bookmarkEnd w:id="148"/>
      <w:bookmarkEnd w:id="150"/>
    </w:p>
    <w:p w:rsidR="00DB7CC8" w:rsidRDefault="002B5250">
      <w:pPr>
        <w:ind w:firstLine="480"/>
        <w:jc w:val="both"/>
        <w:rPr>
          <w:sz w:val="24"/>
          <w:szCs w:val="24"/>
        </w:rPr>
      </w:pPr>
      <w:r>
        <w:rPr>
          <w:sz w:val="24"/>
          <w:szCs w:val="24"/>
        </w:rPr>
        <w:t>本项目场区所在区域无自然保护区、风景名胜区等特殊环境敏感区。结合工程特点，确定本评价主要保护目标为：评价区环境空气、地表水、地下水及周围村庄居民。</w:t>
      </w:r>
    </w:p>
    <w:p w:rsidR="00DB7CC8" w:rsidRDefault="002B5250">
      <w:pPr>
        <w:ind w:firstLine="480"/>
        <w:jc w:val="both"/>
        <w:rPr>
          <w:sz w:val="24"/>
          <w:szCs w:val="24"/>
        </w:rPr>
      </w:pPr>
      <w:r>
        <w:rPr>
          <w:sz w:val="24"/>
          <w:szCs w:val="24"/>
        </w:rPr>
        <w:lastRenderedPageBreak/>
        <w:t>本工程环境保护目标详细内容见表</w:t>
      </w:r>
      <w:r>
        <w:rPr>
          <w:sz w:val="24"/>
          <w:szCs w:val="24"/>
        </w:rPr>
        <w:t>2.</w:t>
      </w:r>
      <w:r>
        <w:rPr>
          <w:rFonts w:hint="eastAsia"/>
          <w:sz w:val="24"/>
          <w:szCs w:val="24"/>
        </w:rPr>
        <w:t>8</w:t>
      </w:r>
      <w:r>
        <w:rPr>
          <w:sz w:val="24"/>
          <w:szCs w:val="24"/>
        </w:rPr>
        <w:t>-1</w:t>
      </w:r>
      <w:r>
        <w:rPr>
          <w:sz w:val="24"/>
          <w:szCs w:val="24"/>
        </w:rPr>
        <w:t>，环境保护目标图见附图</w:t>
      </w:r>
      <w:r>
        <w:rPr>
          <w:sz w:val="24"/>
          <w:szCs w:val="24"/>
        </w:rPr>
        <w:t>1</w:t>
      </w:r>
      <w:r>
        <w:rPr>
          <w:sz w:val="24"/>
          <w:szCs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2.</w:t>
      </w:r>
      <w:r>
        <w:rPr>
          <w:rFonts w:eastAsia="黑体" w:hint="eastAsia"/>
          <w:kern w:val="2"/>
          <w:sz w:val="21"/>
          <w:szCs w:val="21"/>
        </w:rPr>
        <w:t>8</w:t>
      </w:r>
      <w:r>
        <w:rPr>
          <w:rFonts w:eastAsia="黑体"/>
          <w:kern w:val="2"/>
          <w:sz w:val="21"/>
          <w:szCs w:val="21"/>
        </w:rPr>
        <w:t xml:space="preserve">-1    </w:t>
      </w:r>
      <w:r>
        <w:rPr>
          <w:rFonts w:eastAsia="黑体"/>
          <w:kern w:val="2"/>
          <w:sz w:val="21"/>
          <w:szCs w:val="21"/>
        </w:rPr>
        <w:t>项目周围环境保护目标一览表</w:t>
      </w:r>
    </w:p>
    <w:tbl>
      <w:tblPr>
        <w:tblW w:w="882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645"/>
        <w:gridCol w:w="994"/>
        <w:gridCol w:w="1065"/>
        <w:gridCol w:w="1273"/>
        <w:gridCol w:w="775"/>
        <w:gridCol w:w="851"/>
        <w:gridCol w:w="853"/>
        <w:gridCol w:w="1132"/>
        <w:gridCol w:w="1235"/>
      </w:tblGrid>
      <w:tr w:rsidR="00DB7CC8">
        <w:trPr>
          <w:trHeight w:val="326"/>
          <w:jc w:val="center"/>
        </w:trPr>
        <w:tc>
          <w:tcPr>
            <w:tcW w:w="645"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环境</w:t>
            </w:r>
          </w:p>
          <w:p w:rsidR="00DB7CC8" w:rsidRDefault="002B5250">
            <w:pPr>
              <w:snapToGrid w:val="0"/>
              <w:spacing w:line="240" w:lineRule="auto"/>
              <w:ind w:firstLineChars="0" w:firstLine="0"/>
              <w:jc w:val="center"/>
              <w:rPr>
                <w:sz w:val="21"/>
                <w:szCs w:val="21"/>
              </w:rPr>
            </w:pPr>
            <w:r>
              <w:rPr>
                <w:sz w:val="21"/>
                <w:szCs w:val="21"/>
              </w:rPr>
              <w:t>要素</w:t>
            </w:r>
          </w:p>
        </w:tc>
        <w:tc>
          <w:tcPr>
            <w:tcW w:w="2059" w:type="dxa"/>
            <w:gridSpan w:val="2"/>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坐标</w:t>
            </w:r>
          </w:p>
        </w:tc>
        <w:tc>
          <w:tcPr>
            <w:tcW w:w="1273"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保护对象</w:t>
            </w:r>
          </w:p>
        </w:tc>
        <w:tc>
          <w:tcPr>
            <w:tcW w:w="775"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保护</w:t>
            </w:r>
          </w:p>
          <w:p w:rsidR="00DB7CC8" w:rsidRDefault="002B5250">
            <w:pPr>
              <w:snapToGrid w:val="0"/>
              <w:spacing w:line="240" w:lineRule="auto"/>
              <w:ind w:firstLineChars="0" w:firstLine="0"/>
              <w:jc w:val="center"/>
              <w:rPr>
                <w:sz w:val="21"/>
                <w:szCs w:val="21"/>
              </w:rPr>
            </w:pPr>
            <w:r>
              <w:rPr>
                <w:sz w:val="21"/>
                <w:szCs w:val="21"/>
              </w:rPr>
              <w:t>内容</w:t>
            </w:r>
          </w:p>
        </w:tc>
        <w:tc>
          <w:tcPr>
            <w:tcW w:w="851"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环境功能区</w:t>
            </w:r>
          </w:p>
        </w:tc>
        <w:tc>
          <w:tcPr>
            <w:tcW w:w="853"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相对厂址方位</w:t>
            </w:r>
          </w:p>
        </w:tc>
        <w:tc>
          <w:tcPr>
            <w:tcW w:w="1132"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相对厂界距离（</w:t>
            </w:r>
            <w:r>
              <w:rPr>
                <w:sz w:val="21"/>
                <w:szCs w:val="21"/>
              </w:rPr>
              <w:t>m</w:t>
            </w:r>
            <w:r>
              <w:rPr>
                <w:sz w:val="21"/>
                <w:szCs w:val="21"/>
              </w:rPr>
              <w:t>）</w:t>
            </w:r>
          </w:p>
        </w:tc>
        <w:tc>
          <w:tcPr>
            <w:tcW w:w="1235"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保护级别</w:t>
            </w:r>
          </w:p>
        </w:tc>
      </w:tr>
      <w:tr w:rsidR="00DB7CC8">
        <w:trPr>
          <w:trHeight w:val="285"/>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X</w:t>
            </w:r>
          </w:p>
        </w:tc>
        <w:tc>
          <w:tcPr>
            <w:tcW w:w="106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Y</w:t>
            </w:r>
          </w:p>
        </w:tc>
        <w:tc>
          <w:tcPr>
            <w:tcW w:w="1273"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77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1132"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环境</w:t>
            </w:r>
          </w:p>
          <w:p w:rsidR="00DB7CC8" w:rsidRDefault="002B5250">
            <w:pPr>
              <w:snapToGrid w:val="0"/>
              <w:spacing w:line="240" w:lineRule="auto"/>
              <w:ind w:firstLineChars="0" w:firstLine="0"/>
              <w:jc w:val="center"/>
              <w:rPr>
                <w:sz w:val="21"/>
                <w:szCs w:val="21"/>
              </w:rPr>
            </w:pPr>
            <w:r>
              <w:rPr>
                <w:sz w:val="21"/>
                <w:szCs w:val="21"/>
              </w:rPr>
              <w:t>空气</w:t>
            </w: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118.1124</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40.1898</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rFonts w:hint="eastAsia"/>
                <w:sz w:val="21"/>
                <w:szCs w:val="21"/>
              </w:rPr>
              <w:t>靠山庄村</w:t>
            </w:r>
          </w:p>
        </w:tc>
        <w:tc>
          <w:tcPr>
            <w:tcW w:w="77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二类区</w:t>
            </w: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N</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330</w:t>
            </w:r>
          </w:p>
        </w:tc>
        <w:tc>
          <w:tcPr>
            <w:tcW w:w="1235"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《环境空气质量标准》（</w:t>
            </w:r>
            <w:r>
              <w:rPr>
                <w:sz w:val="21"/>
                <w:szCs w:val="21"/>
              </w:rPr>
              <w:t>GB3095-2012</w:t>
            </w:r>
            <w:r>
              <w:rPr>
                <w:sz w:val="21"/>
                <w:szCs w:val="21"/>
              </w:rPr>
              <w:t>）二级</w:t>
            </w: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118.1195</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40.1963</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下王市庄村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NW</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950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118.1069</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40.1990</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廖高庄村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NW</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2000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118.1037</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40.1908</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阎家屯村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W</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1400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118.1085</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40.1828</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小安乐庄村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SW</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1550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118.1113</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40.1789</w:t>
            </w:r>
          </w:p>
        </w:tc>
        <w:tc>
          <w:tcPr>
            <w:tcW w:w="127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大安乐庄村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SW</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1650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118.0964</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40.1911</w:t>
            </w:r>
          </w:p>
        </w:tc>
        <w:tc>
          <w:tcPr>
            <w:tcW w:w="127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赵家庄村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W</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2300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118.0950</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40.1912</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刁庄子村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W</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2800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118.1273</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40.1874</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庄户沟</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SW</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460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118.1437</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40.18953</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西铺村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E</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1200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118.1380</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40.19487</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大于家沟村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NE</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1000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118.16032</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40.18973</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白马峪村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E</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2550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1115"/>
          <w:jc w:val="center"/>
        </w:trPr>
        <w:tc>
          <w:tcPr>
            <w:tcW w:w="64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地表水</w:t>
            </w:r>
          </w:p>
        </w:tc>
        <w:tc>
          <w:tcPr>
            <w:tcW w:w="3332" w:type="dxa"/>
            <w:gridSpan w:val="3"/>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黎河</w:t>
            </w:r>
          </w:p>
        </w:tc>
        <w:tc>
          <w:tcPr>
            <w:tcW w:w="77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河流</w:t>
            </w:r>
          </w:p>
        </w:tc>
        <w:tc>
          <w:tcPr>
            <w:tcW w:w="851"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Ⅲ</w:t>
            </w:r>
            <w:r>
              <w:rPr>
                <w:sz w:val="21"/>
                <w:szCs w:val="21"/>
              </w:rPr>
              <w:t>类</w:t>
            </w: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 xml:space="preserve">S </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136</w:t>
            </w:r>
          </w:p>
        </w:tc>
        <w:tc>
          <w:tcPr>
            <w:tcW w:w="123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《地表水环境质量标准》（</w:t>
            </w:r>
            <w:r>
              <w:rPr>
                <w:sz w:val="21"/>
                <w:szCs w:val="21"/>
              </w:rPr>
              <w:t>GB3838-2002</w:t>
            </w:r>
            <w:r>
              <w:rPr>
                <w:sz w:val="21"/>
                <w:szCs w:val="21"/>
              </w:rPr>
              <w:t>）</w:t>
            </w:r>
            <w:r>
              <w:rPr>
                <w:sz w:val="21"/>
                <w:szCs w:val="21"/>
              </w:rPr>
              <w:t>Ⅲ</w:t>
            </w:r>
            <w:r>
              <w:rPr>
                <w:sz w:val="21"/>
                <w:szCs w:val="21"/>
              </w:rPr>
              <w:t>类标准</w:t>
            </w:r>
          </w:p>
        </w:tc>
      </w:tr>
      <w:tr w:rsidR="00DB7CC8">
        <w:trPr>
          <w:trHeight w:val="283"/>
          <w:jc w:val="center"/>
        </w:trPr>
        <w:tc>
          <w:tcPr>
            <w:tcW w:w="64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声环境</w:t>
            </w:r>
          </w:p>
        </w:tc>
        <w:tc>
          <w:tcPr>
            <w:tcW w:w="4107" w:type="dxa"/>
            <w:gridSpan w:val="4"/>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项目厂界外</w:t>
            </w:r>
            <w:r>
              <w:rPr>
                <w:rFonts w:hint="eastAsia"/>
                <w:sz w:val="21"/>
                <w:szCs w:val="21"/>
              </w:rPr>
              <w:t>1</w:t>
            </w:r>
            <w:r>
              <w:rPr>
                <w:sz w:val="21"/>
                <w:szCs w:val="21"/>
              </w:rPr>
              <w:t>m</w:t>
            </w:r>
          </w:p>
        </w:tc>
        <w:tc>
          <w:tcPr>
            <w:tcW w:w="851"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2</w:t>
            </w:r>
            <w:r>
              <w:rPr>
                <w:sz w:val="21"/>
                <w:szCs w:val="21"/>
              </w:rPr>
              <w:t>类</w:t>
            </w: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w:t>
            </w:r>
          </w:p>
        </w:tc>
        <w:tc>
          <w:tcPr>
            <w:tcW w:w="123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《声环境</w:t>
            </w:r>
          </w:p>
          <w:p w:rsidR="00DB7CC8" w:rsidRDefault="002B5250">
            <w:pPr>
              <w:snapToGrid w:val="0"/>
              <w:spacing w:line="240" w:lineRule="auto"/>
              <w:ind w:firstLineChars="0" w:firstLine="0"/>
              <w:jc w:val="center"/>
              <w:rPr>
                <w:sz w:val="21"/>
                <w:szCs w:val="21"/>
              </w:rPr>
            </w:pPr>
            <w:r>
              <w:rPr>
                <w:sz w:val="21"/>
                <w:szCs w:val="21"/>
              </w:rPr>
              <w:t>质量标准》</w:t>
            </w:r>
            <w:r>
              <w:rPr>
                <w:sz w:val="21"/>
                <w:szCs w:val="21"/>
              </w:rPr>
              <w:t>(GB3096-2008)</w:t>
            </w:r>
          </w:p>
          <w:p w:rsidR="00DB7CC8" w:rsidRDefault="002B5250">
            <w:pPr>
              <w:snapToGrid w:val="0"/>
              <w:spacing w:line="240" w:lineRule="auto"/>
              <w:ind w:firstLineChars="0" w:firstLine="0"/>
              <w:jc w:val="center"/>
              <w:rPr>
                <w:sz w:val="21"/>
                <w:szCs w:val="21"/>
              </w:rPr>
            </w:pPr>
            <w:r>
              <w:rPr>
                <w:sz w:val="21"/>
                <w:szCs w:val="21"/>
              </w:rPr>
              <w:t>2</w:t>
            </w:r>
            <w:r>
              <w:rPr>
                <w:sz w:val="21"/>
                <w:szCs w:val="21"/>
              </w:rPr>
              <w:t>类区标准</w:t>
            </w:r>
          </w:p>
        </w:tc>
      </w:tr>
      <w:tr w:rsidR="00DB7CC8">
        <w:trPr>
          <w:trHeight w:val="283"/>
          <w:jc w:val="center"/>
        </w:trPr>
        <w:tc>
          <w:tcPr>
            <w:tcW w:w="64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地下水</w:t>
            </w:r>
          </w:p>
        </w:tc>
        <w:tc>
          <w:tcPr>
            <w:tcW w:w="4107" w:type="dxa"/>
            <w:gridSpan w:val="4"/>
            <w:tcBorders>
              <w:tl2br w:val="nil"/>
              <w:tr2bl w:val="nil"/>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评价区范围内村庄备用饮用水井、建明镇集中供水厂水井（详见下表</w:t>
            </w:r>
            <w:r>
              <w:rPr>
                <w:sz w:val="21"/>
                <w:szCs w:val="21"/>
              </w:rPr>
              <w:t>2.6-2</w:t>
            </w:r>
            <w:r>
              <w:rPr>
                <w:rFonts w:hint="eastAsia"/>
                <w:sz w:val="21"/>
                <w:szCs w:val="21"/>
              </w:rPr>
              <w:t>）</w:t>
            </w:r>
          </w:p>
        </w:tc>
        <w:tc>
          <w:tcPr>
            <w:tcW w:w="851"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Ⅲ</w:t>
            </w:r>
            <w:r>
              <w:rPr>
                <w:sz w:val="21"/>
                <w:szCs w:val="21"/>
              </w:rPr>
              <w:t>类</w:t>
            </w: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w:t>
            </w:r>
          </w:p>
        </w:tc>
        <w:tc>
          <w:tcPr>
            <w:tcW w:w="123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《地下水质量标准》</w:t>
            </w:r>
          </w:p>
          <w:p w:rsidR="00DB7CC8" w:rsidRDefault="002B5250">
            <w:pPr>
              <w:snapToGrid w:val="0"/>
              <w:spacing w:line="240" w:lineRule="auto"/>
              <w:ind w:firstLineChars="0" w:firstLine="0"/>
              <w:jc w:val="center"/>
              <w:rPr>
                <w:sz w:val="21"/>
                <w:szCs w:val="21"/>
              </w:rPr>
            </w:pPr>
            <w:r>
              <w:rPr>
                <w:sz w:val="21"/>
                <w:szCs w:val="21"/>
              </w:rPr>
              <w:t>（</w:t>
            </w:r>
            <w:r>
              <w:rPr>
                <w:sz w:val="21"/>
                <w:szCs w:val="21"/>
              </w:rPr>
              <w:t>GB/T14848-2017</w:t>
            </w:r>
            <w:r>
              <w:rPr>
                <w:sz w:val="21"/>
                <w:szCs w:val="21"/>
              </w:rPr>
              <w:t>）</w:t>
            </w:r>
            <w:r>
              <w:rPr>
                <w:sz w:val="21"/>
                <w:szCs w:val="21"/>
              </w:rPr>
              <w:t>Ⅲ</w:t>
            </w:r>
            <w:r>
              <w:rPr>
                <w:sz w:val="21"/>
                <w:szCs w:val="21"/>
              </w:rPr>
              <w:t>类标准</w:t>
            </w:r>
          </w:p>
        </w:tc>
      </w:tr>
      <w:tr w:rsidR="00DB7CC8">
        <w:trPr>
          <w:trHeight w:val="283"/>
          <w:jc w:val="center"/>
        </w:trPr>
        <w:tc>
          <w:tcPr>
            <w:tcW w:w="645" w:type="dxa"/>
            <w:tcBorders>
              <w:tl2br w:val="nil"/>
              <w:tr2bl w:val="nil"/>
            </w:tcBorders>
            <w:vAlign w:val="center"/>
          </w:tcPr>
          <w:p w:rsidR="00DB7CC8" w:rsidRDefault="002B5250">
            <w:pPr>
              <w:pStyle w:val="afffffffc"/>
              <w:spacing w:line="240" w:lineRule="auto"/>
            </w:pPr>
            <w:r>
              <w:rPr>
                <w:rFonts w:hint="eastAsia"/>
              </w:rPr>
              <w:t>土壤</w:t>
            </w:r>
          </w:p>
        </w:tc>
        <w:tc>
          <w:tcPr>
            <w:tcW w:w="4107" w:type="dxa"/>
            <w:gridSpan w:val="4"/>
            <w:tcBorders>
              <w:tl2br w:val="nil"/>
              <w:tr2bl w:val="nil"/>
            </w:tcBorders>
            <w:vAlign w:val="center"/>
          </w:tcPr>
          <w:p w:rsidR="00DB7CC8" w:rsidRDefault="002B5250">
            <w:pPr>
              <w:pStyle w:val="afffffffc"/>
              <w:spacing w:line="240" w:lineRule="auto"/>
            </w:pPr>
            <w:r>
              <w:rPr>
                <w:rFonts w:hint="eastAsia"/>
              </w:rPr>
              <w:t>厂区</w:t>
            </w:r>
          </w:p>
        </w:tc>
        <w:tc>
          <w:tcPr>
            <w:tcW w:w="851" w:type="dxa"/>
            <w:tcBorders>
              <w:tl2br w:val="nil"/>
              <w:tr2bl w:val="nil"/>
            </w:tcBorders>
            <w:vAlign w:val="center"/>
          </w:tcPr>
          <w:p w:rsidR="00DB7CC8" w:rsidRDefault="002B5250">
            <w:pPr>
              <w:pStyle w:val="afffffffc"/>
              <w:spacing w:line="240" w:lineRule="auto"/>
            </w:pPr>
            <w:r>
              <w:rPr>
                <w:rFonts w:hint="eastAsia"/>
              </w:rPr>
              <w:t>建设用地第二类用地</w:t>
            </w:r>
          </w:p>
        </w:tc>
        <w:tc>
          <w:tcPr>
            <w:tcW w:w="853" w:type="dxa"/>
            <w:tcBorders>
              <w:tl2br w:val="nil"/>
              <w:tr2bl w:val="nil"/>
            </w:tcBorders>
            <w:vAlign w:val="center"/>
          </w:tcPr>
          <w:p w:rsidR="00DB7CC8" w:rsidRDefault="002B5250">
            <w:pPr>
              <w:pStyle w:val="afffffffc"/>
              <w:spacing w:line="240" w:lineRule="auto"/>
            </w:pPr>
            <w:r>
              <w:t>/</w:t>
            </w:r>
          </w:p>
        </w:tc>
        <w:tc>
          <w:tcPr>
            <w:tcW w:w="1132" w:type="dxa"/>
            <w:tcBorders>
              <w:tl2br w:val="nil"/>
              <w:tr2bl w:val="nil"/>
            </w:tcBorders>
            <w:vAlign w:val="center"/>
          </w:tcPr>
          <w:p w:rsidR="00DB7CC8" w:rsidRDefault="002B5250">
            <w:pPr>
              <w:pStyle w:val="afffffffc"/>
              <w:spacing w:line="240" w:lineRule="auto"/>
            </w:pPr>
            <w:r>
              <w:t>/</w:t>
            </w:r>
          </w:p>
        </w:tc>
        <w:tc>
          <w:tcPr>
            <w:tcW w:w="1235" w:type="dxa"/>
            <w:tcBorders>
              <w:tl2br w:val="nil"/>
              <w:tr2bl w:val="nil"/>
            </w:tcBorders>
            <w:vAlign w:val="center"/>
          </w:tcPr>
          <w:p w:rsidR="00DB7CC8" w:rsidRDefault="002B5250">
            <w:pPr>
              <w:pStyle w:val="afffffffc"/>
              <w:spacing w:line="240" w:lineRule="auto"/>
            </w:pPr>
            <w:r>
              <w:rPr>
                <w:rFonts w:hint="eastAsia"/>
              </w:rPr>
              <w:t>《土壤环境质量标准——建设用地土壤污染风险管控标准》（</w:t>
            </w:r>
            <w:r>
              <w:rPr>
                <w:rFonts w:hint="eastAsia"/>
              </w:rPr>
              <w:t>GB36600-2018</w:t>
            </w:r>
            <w:r>
              <w:rPr>
                <w:rFonts w:hint="eastAsia"/>
              </w:rPr>
              <w:t>）第二类用地筛选值</w:t>
            </w:r>
          </w:p>
        </w:tc>
      </w:tr>
      <w:tr w:rsidR="00DB7CC8">
        <w:trPr>
          <w:trHeight w:val="283"/>
          <w:jc w:val="center"/>
        </w:trPr>
        <w:tc>
          <w:tcPr>
            <w:tcW w:w="64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生态环境</w:t>
            </w:r>
          </w:p>
        </w:tc>
        <w:tc>
          <w:tcPr>
            <w:tcW w:w="4107" w:type="dxa"/>
            <w:gridSpan w:val="4"/>
            <w:tcBorders>
              <w:tl2br w:val="nil"/>
              <w:tr2bl w:val="nil"/>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工程占地范围</w:t>
            </w:r>
          </w:p>
        </w:tc>
        <w:tc>
          <w:tcPr>
            <w:tcW w:w="851" w:type="dxa"/>
            <w:tcBorders>
              <w:tl2br w:val="nil"/>
              <w:tr2bl w:val="nil"/>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办公区、选矿区</w:t>
            </w: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w:t>
            </w:r>
          </w:p>
        </w:tc>
        <w:tc>
          <w:tcPr>
            <w:tcW w:w="123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w:t>
            </w:r>
          </w:p>
        </w:tc>
      </w:tr>
    </w:tbl>
    <w:p w:rsidR="00DB7CC8" w:rsidRDefault="002B5250">
      <w:pPr>
        <w:ind w:firstLine="480"/>
        <w:rPr>
          <w:sz w:val="24"/>
        </w:rPr>
      </w:pPr>
      <w:r>
        <w:rPr>
          <w:rFonts w:hint="eastAsia"/>
          <w:sz w:val="24"/>
        </w:rPr>
        <w:t>据野外调查，评价区范围内的村庄均由建明镇水厂统一供水，该水厂集中供水井位于项目区</w:t>
      </w:r>
      <w:r>
        <w:rPr>
          <w:rFonts w:hint="eastAsia"/>
          <w:sz w:val="24"/>
          <w:szCs w:val="22"/>
        </w:rPr>
        <w:t>上游约</w:t>
      </w:r>
      <w:r>
        <w:rPr>
          <w:sz w:val="24"/>
          <w:szCs w:val="22"/>
        </w:rPr>
        <w:t>1600</w:t>
      </w:r>
      <w:r>
        <w:rPr>
          <w:rFonts w:hint="eastAsia"/>
          <w:sz w:val="24"/>
          <w:szCs w:val="22"/>
        </w:rPr>
        <w:t>米处的西铺</w:t>
      </w:r>
      <w:r>
        <w:rPr>
          <w:rFonts w:hint="eastAsia"/>
          <w:sz w:val="24"/>
        </w:rPr>
        <w:t>村南山，其供水人口大于</w:t>
      </w:r>
      <w:r>
        <w:rPr>
          <w:sz w:val="24"/>
        </w:rPr>
        <w:t>1000</w:t>
      </w:r>
      <w:r>
        <w:rPr>
          <w:rFonts w:hint="eastAsia"/>
          <w:sz w:val="24"/>
        </w:rPr>
        <w:t>人，为集</w:t>
      </w:r>
      <w:r>
        <w:rPr>
          <w:rFonts w:hint="eastAsia"/>
          <w:sz w:val="24"/>
        </w:rPr>
        <w:lastRenderedPageBreak/>
        <w:t>中式饮用水源，同时评价区中村庄各户也有供水井，偶尔也做为各户的饮用水供水水源，属于分散型水源，按《环境影响评价技术导则</w:t>
      </w:r>
      <w:r>
        <w:rPr>
          <w:sz w:val="24"/>
        </w:rPr>
        <w:t>--</w:t>
      </w:r>
      <w:r>
        <w:rPr>
          <w:rFonts w:hint="eastAsia"/>
          <w:sz w:val="24"/>
        </w:rPr>
        <w:t>地下水环境》</w:t>
      </w:r>
      <w:r>
        <w:rPr>
          <w:sz w:val="24"/>
        </w:rPr>
        <w:t>(HJ610-2016)</w:t>
      </w:r>
      <w:r>
        <w:rPr>
          <w:rFonts w:hint="eastAsia"/>
          <w:sz w:val="24"/>
        </w:rPr>
        <w:t>中</w:t>
      </w:r>
      <w:r>
        <w:rPr>
          <w:sz w:val="24"/>
        </w:rPr>
        <w:t xml:space="preserve">6.2.1.2 </w:t>
      </w:r>
      <w:r>
        <w:rPr>
          <w:rFonts w:hint="eastAsia"/>
          <w:sz w:val="24"/>
        </w:rPr>
        <w:t>建设项目的地下水环境敏感程度分级表满足“评价区有分散的饮用水水源”，因此，最终确定该项目敏感程度为“较敏感”。</w:t>
      </w:r>
    </w:p>
    <w:p w:rsidR="00DB7CC8" w:rsidRDefault="002B5250">
      <w:pPr>
        <w:ind w:firstLine="480"/>
        <w:rPr>
          <w:sz w:val="24"/>
        </w:rPr>
      </w:pPr>
      <w:r>
        <w:rPr>
          <w:rFonts w:hint="eastAsia"/>
          <w:sz w:val="24"/>
        </w:rPr>
        <w:t>此次根据评价区水文地质条件及项目区实施后地下水环境影响因素及可能的影响范围，确定地下水环境保护目标详见下表</w:t>
      </w:r>
      <w:r>
        <w:rPr>
          <w:sz w:val="24"/>
        </w:rPr>
        <w:t>2.</w:t>
      </w:r>
      <w:r>
        <w:rPr>
          <w:rFonts w:hint="eastAsia"/>
          <w:sz w:val="24"/>
        </w:rPr>
        <w:t>8</w:t>
      </w:r>
      <w:r>
        <w:rPr>
          <w:sz w:val="24"/>
        </w:rPr>
        <w:t>-2</w:t>
      </w:r>
      <w:r>
        <w:rPr>
          <w:rFonts w:hint="eastAsia"/>
          <w:sz w:val="24"/>
        </w:rPr>
        <w:t>。</w:t>
      </w:r>
    </w:p>
    <w:p w:rsidR="00DB7CC8" w:rsidRDefault="002B5250">
      <w:pPr>
        <w:autoSpaceDE w:val="0"/>
        <w:autoSpaceDN w:val="0"/>
        <w:snapToGrid w:val="0"/>
        <w:spacing w:line="240" w:lineRule="auto"/>
        <w:ind w:firstLineChars="0" w:firstLine="0"/>
        <w:jc w:val="center"/>
        <w:rPr>
          <w:rFonts w:eastAsia="黑体"/>
          <w:sz w:val="21"/>
          <w:szCs w:val="21"/>
        </w:rPr>
      </w:pPr>
      <w:r>
        <w:rPr>
          <w:rFonts w:eastAsia="黑体" w:hint="eastAsia"/>
          <w:sz w:val="21"/>
          <w:szCs w:val="21"/>
        </w:rPr>
        <w:t>表</w:t>
      </w:r>
      <w:r>
        <w:rPr>
          <w:rFonts w:eastAsia="黑体"/>
          <w:sz w:val="21"/>
          <w:szCs w:val="21"/>
        </w:rPr>
        <w:t>2.</w:t>
      </w:r>
      <w:r>
        <w:rPr>
          <w:rFonts w:eastAsia="黑体" w:hint="eastAsia"/>
          <w:sz w:val="21"/>
          <w:szCs w:val="21"/>
        </w:rPr>
        <w:t>8</w:t>
      </w:r>
      <w:r>
        <w:rPr>
          <w:rFonts w:eastAsia="黑体"/>
          <w:sz w:val="21"/>
          <w:szCs w:val="21"/>
        </w:rPr>
        <w:t xml:space="preserve">-2     </w:t>
      </w:r>
      <w:r>
        <w:rPr>
          <w:rFonts w:eastAsia="黑体" w:hint="eastAsia"/>
          <w:sz w:val="21"/>
          <w:szCs w:val="21"/>
        </w:rPr>
        <w:t>地下水评价环境保护目标表</w:t>
      </w:r>
    </w:p>
    <w:tbl>
      <w:tblPr>
        <w:tblW w:w="852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042"/>
        <w:gridCol w:w="1243"/>
        <w:gridCol w:w="1188"/>
        <w:gridCol w:w="895"/>
        <w:gridCol w:w="1447"/>
        <w:gridCol w:w="2705"/>
      </w:tblGrid>
      <w:tr w:rsidR="00DB7CC8">
        <w:trPr>
          <w:trHeight w:val="454"/>
        </w:trPr>
        <w:tc>
          <w:tcPr>
            <w:tcW w:w="1042" w:type="dxa"/>
            <w:tcBorders>
              <w:top w:val="single" w:sz="4" w:space="0" w:color="auto"/>
              <w:left w:val="single" w:sz="4" w:space="0" w:color="auto"/>
              <w:bottom w:val="single" w:sz="4" w:space="0" w:color="auto"/>
              <w:right w:val="single" w:sz="4" w:space="0" w:color="auto"/>
            </w:tcBorders>
            <w:vAlign w:val="center"/>
          </w:tcPr>
          <w:p w:rsidR="00DB7CC8" w:rsidRDefault="002B5250">
            <w:pPr>
              <w:widowControl/>
              <w:adjustRightInd w:val="0"/>
              <w:snapToGrid w:val="0"/>
              <w:spacing w:line="240" w:lineRule="auto"/>
              <w:ind w:firstLineChars="0" w:firstLine="0"/>
              <w:jc w:val="center"/>
              <w:rPr>
                <w:sz w:val="21"/>
                <w:szCs w:val="21"/>
              </w:rPr>
            </w:pPr>
            <w:r>
              <w:rPr>
                <w:rFonts w:hint="eastAsia"/>
                <w:sz w:val="21"/>
                <w:szCs w:val="21"/>
              </w:rPr>
              <w:t>保护目标</w:t>
            </w:r>
          </w:p>
        </w:tc>
        <w:tc>
          <w:tcPr>
            <w:tcW w:w="1243" w:type="dxa"/>
            <w:tcBorders>
              <w:top w:val="single" w:sz="4" w:space="0" w:color="auto"/>
              <w:left w:val="single" w:sz="4" w:space="0" w:color="auto"/>
              <w:bottom w:val="single" w:sz="4" w:space="0" w:color="auto"/>
              <w:right w:val="single" w:sz="4" w:space="0" w:color="auto"/>
            </w:tcBorders>
            <w:vAlign w:val="center"/>
          </w:tcPr>
          <w:p w:rsidR="00DB7CC8" w:rsidRDefault="002B5250">
            <w:pPr>
              <w:widowControl/>
              <w:adjustRightInd w:val="0"/>
              <w:snapToGrid w:val="0"/>
              <w:spacing w:line="240" w:lineRule="auto"/>
              <w:ind w:firstLineChars="0" w:firstLine="0"/>
              <w:jc w:val="center"/>
              <w:rPr>
                <w:sz w:val="21"/>
                <w:szCs w:val="21"/>
              </w:rPr>
            </w:pPr>
            <w:r>
              <w:rPr>
                <w:rFonts w:hint="eastAsia"/>
                <w:sz w:val="21"/>
                <w:szCs w:val="21"/>
              </w:rPr>
              <w:t>相对</w:t>
            </w:r>
          </w:p>
          <w:p w:rsidR="00DB7CC8" w:rsidRDefault="002B5250">
            <w:pPr>
              <w:widowControl/>
              <w:adjustRightInd w:val="0"/>
              <w:snapToGrid w:val="0"/>
              <w:spacing w:line="240" w:lineRule="auto"/>
              <w:ind w:firstLineChars="0" w:firstLine="0"/>
              <w:jc w:val="center"/>
              <w:rPr>
                <w:sz w:val="21"/>
                <w:szCs w:val="21"/>
              </w:rPr>
            </w:pPr>
            <w:r>
              <w:rPr>
                <w:rFonts w:hint="eastAsia"/>
                <w:sz w:val="21"/>
                <w:szCs w:val="21"/>
              </w:rPr>
              <w:t>位置</w:t>
            </w:r>
          </w:p>
        </w:tc>
        <w:tc>
          <w:tcPr>
            <w:tcW w:w="1188" w:type="dxa"/>
            <w:tcBorders>
              <w:top w:val="single" w:sz="4" w:space="0" w:color="auto"/>
              <w:left w:val="single" w:sz="4" w:space="0" w:color="auto"/>
              <w:bottom w:val="single" w:sz="4" w:space="0" w:color="auto"/>
              <w:right w:val="single" w:sz="4" w:space="0" w:color="auto"/>
            </w:tcBorders>
            <w:vAlign w:val="center"/>
          </w:tcPr>
          <w:p w:rsidR="00DB7CC8" w:rsidRDefault="002B5250">
            <w:pPr>
              <w:widowControl/>
              <w:adjustRightInd w:val="0"/>
              <w:snapToGrid w:val="0"/>
              <w:spacing w:line="240" w:lineRule="auto"/>
              <w:ind w:firstLineChars="0" w:firstLine="0"/>
              <w:jc w:val="center"/>
              <w:rPr>
                <w:sz w:val="21"/>
                <w:szCs w:val="21"/>
              </w:rPr>
            </w:pPr>
            <w:r>
              <w:rPr>
                <w:rFonts w:hint="eastAsia"/>
                <w:sz w:val="21"/>
                <w:szCs w:val="21"/>
              </w:rPr>
              <w:t>和项目区上下游关系</w:t>
            </w:r>
          </w:p>
        </w:tc>
        <w:tc>
          <w:tcPr>
            <w:tcW w:w="895" w:type="dxa"/>
            <w:tcBorders>
              <w:top w:val="single" w:sz="4" w:space="0" w:color="auto"/>
              <w:left w:val="single" w:sz="4" w:space="0" w:color="auto"/>
              <w:bottom w:val="single" w:sz="4" w:space="0" w:color="auto"/>
              <w:right w:val="single" w:sz="4" w:space="0" w:color="auto"/>
            </w:tcBorders>
            <w:vAlign w:val="center"/>
          </w:tcPr>
          <w:p w:rsidR="00DB7CC8" w:rsidRDefault="002B5250">
            <w:pPr>
              <w:widowControl/>
              <w:adjustRightInd w:val="0"/>
              <w:snapToGrid w:val="0"/>
              <w:spacing w:line="240" w:lineRule="auto"/>
              <w:ind w:firstLineChars="0" w:firstLine="0"/>
              <w:jc w:val="center"/>
              <w:rPr>
                <w:sz w:val="21"/>
                <w:szCs w:val="21"/>
              </w:rPr>
            </w:pPr>
            <w:r>
              <w:rPr>
                <w:rFonts w:hint="eastAsia"/>
                <w:sz w:val="21"/>
                <w:szCs w:val="21"/>
              </w:rPr>
              <w:t>供水人数</w:t>
            </w:r>
          </w:p>
        </w:tc>
        <w:tc>
          <w:tcPr>
            <w:tcW w:w="1447" w:type="dxa"/>
            <w:tcBorders>
              <w:top w:val="single" w:sz="4" w:space="0" w:color="auto"/>
              <w:left w:val="single" w:sz="4" w:space="0" w:color="auto"/>
              <w:bottom w:val="single" w:sz="4" w:space="0" w:color="auto"/>
              <w:right w:val="single" w:sz="4" w:space="0" w:color="auto"/>
            </w:tcBorders>
            <w:vAlign w:val="center"/>
          </w:tcPr>
          <w:p w:rsidR="00DB7CC8" w:rsidRDefault="002B5250">
            <w:pPr>
              <w:widowControl/>
              <w:adjustRightInd w:val="0"/>
              <w:snapToGrid w:val="0"/>
              <w:spacing w:line="240" w:lineRule="auto"/>
              <w:ind w:firstLineChars="0" w:firstLine="0"/>
              <w:jc w:val="center"/>
              <w:rPr>
                <w:sz w:val="21"/>
                <w:szCs w:val="21"/>
              </w:rPr>
            </w:pPr>
            <w:r>
              <w:rPr>
                <w:rFonts w:hint="eastAsia"/>
                <w:sz w:val="21"/>
                <w:szCs w:val="21"/>
              </w:rPr>
              <w:t>和项目区距离</w:t>
            </w:r>
          </w:p>
          <w:p w:rsidR="00DB7CC8" w:rsidRDefault="002B5250">
            <w:pPr>
              <w:widowControl/>
              <w:adjustRightInd w:val="0"/>
              <w:snapToGrid w:val="0"/>
              <w:spacing w:line="240" w:lineRule="auto"/>
              <w:ind w:firstLineChars="0" w:firstLine="0"/>
              <w:jc w:val="center"/>
              <w:rPr>
                <w:sz w:val="21"/>
                <w:szCs w:val="21"/>
              </w:rPr>
            </w:pPr>
            <w:r>
              <w:rPr>
                <w:rFonts w:hint="eastAsia"/>
                <w:sz w:val="21"/>
                <w:szCs w:val="21"/>
              </w:rPr>
              <w:t>（</w:t>
            </w:r>
            <w:r>
              <w:rPr>
                <w:sz w:val="21"/>
                <w:szCs w:val="21"/>
              </w:rPr>
              <w:t>m</w:t>
            </w:r>
            <w:r>
              <w:rPr>
                <w:rFonts w:hint="eastAsia"/>
                <w:sz w:val="21"/>
                <w:szCs w:val="21"/>
              </w:rPr>
              <w:t>）</w:t>
            </w:r>
          </w:p>
        </w:tc>
        <w:tc>
          <w:tcPr>
            <w:tcW w:w="2705" w:type="dxa"/>
            <w:tcBorders>
              <w:top w:val="single" w:sz="4" w:space="0" w:color="auto"/>
              <w:left w:val="single" w:sz="4" w:space="0" w:color="auto"/>
              <w:bottom w:val="single" w:sz="4" w:space="0" w:color="auto"/>
              <w:right w:val="single" w:sz="4" w:space="0" w:color="auto"/>
            </w:tcBorders>
            <w:vAlign w:val="center"/>
          </w:tcPr>
          <w:p w:rsidR="00DB7CC8" w:rsidRDefault="002B5250">
            <w:pPr>
              <w:widowControl/>
              <w:adjustRightInd w:val="0"/>
              <w:snapToGrid w:val="0"/>
              <w:spacing w:line="240" w:lineRule="auto"/>
              <w:ind w:firstLineChars="0" w:firstLine="0"/>
              <w:jc w:val="center"/>
              <w:rPr>
                <w:sz w:val="21"/>
                <w:szCs w:val="21"/>
              </w:rPr>
            </w:pPr>
            <w:r>
              <w:rPr>
                <w:rFonts w:hint="eastAsia"/>
                <w:sz w:val="21"/>
                <w:szCs w:val="21"/>
              </w:rPr>
              <w:t>保护要求</w:t>
            </w:r>
          </w:p>
        </w:tc>
      </w:tr>
      <w:tr w:rsidR="00DB7CC8">
        <w:trPr>
          <w:trHeight w:val="439"/>
        </w:trPr>
        <w:tc>
          <w:tcPr>
            <w:tcW w:w="1042"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2"/>
              <w:adjustRightInd w:val="0"/>
              <w:snapToGrid w:val="0"/>
              <w:spacing w:after="0" w:line="240" w:lineRule="auto"/>
              <w:ind w:firstLineChars="0" w:firstLine="0"/>
              <w:jc w:val="center"/>
              <w:rPr>
                <w:sz w:val="21"/>
                <w:szCs w:val="21"/>
              </w:rPr>
            </w:pPr>
            <w:r>
              <w:rPr>
                <w:rFonts w:hint="eastAsia"/>
                <w:sz w:val="21"/>
                <w:szCs w:val="21"/>
              </w:rPr>
              <w:t>建明镇集中供水厂水井</w:t>
            </w:r>
          </w:p>
        </w:tc>
        <w:tc>
          <w:tcPr>
            <w:tcW w:w="1243" w:type="dxa"/>
            <w:tcBorders>
              <w:top w:val="single" w:sz="4" w:space="0" w:color="auto"/>
              <w:left w:val="single" w:sz="4" w:space="0" w:color="auto"/>
              <w:bottom w:val="single" w:sz="4" w:space="0" w:color="auto"/>
              <w:right w:val="single" w:sz="4" w:space="0" w:color="auto"/>
            </w:tcBorders>
            <w:vAlign w:val="center"/>
          </w:tcPr>
          <w:p w:rsidR="00DB7CC8" w:rsidRDefault="002B5250">
            <w:pPr>
              <w:widowControl/>
              <w:adjustRightInd w:val="0"/>
              <w:snapToGrid w:val="0"/>
              <w:spacing w:line="240" w:lineRule="auto"/>
              <w:ind w:firstLineChars="0" w:firstLine="0"/>
              <w:jc w:val="center"/>
              <w:rPr>
                <w:sz w:val="21"/>
                <w:szCs w:val="21"/>
              </w:rPr>
            </w:pPr>
            <w:r>
              <w:rPr>
                <w:rFonts w:hint="eastAsia"/>
                <w:sz w:val="21"/>
                <w:szCs w:val="21"/>
              </w:rPr>
              <w:t>西铺村南山</w:t>
            </w:r>
          </w:p>
        </w:tc>
        <w:tc>
          <w:tcPr>
            <w:tcW w:w="1188" w:type="dxa"/>
            <w:tcBorders>
              <w:top w:val="single" w:sz="4" w:space="0" w:color="auto"/>
              <w:left w:val="single" w:sz="4" w:space="0" w:color="auto"/>
              <w:bottom w:val="single" w:sz="4" w:space="0" w:color="auto"/>
              <w:right w:val="single" w:sz="4" w:space="0" w:color="auto"/>
            </w:tcBorders>
            <w:vAlign w:val="center"/>
          </w:tcPr>
          <w:p w:rsidR="00DB7CC8" w:rsidRDefault="002B5250">
            <w:pPr>
              <w:widowControl/>
              <w:adjustRightInd w:val="0"/>
              <w:snapToGrid w:val="0"/>
              <w:spacing w:line="240" w:lineRule="auto"/>
              <w:ind w:firstLineChars="0" w:firstLine="0"/>
              <w:jc w:val="center"/>
              <w:rPr>
                <w:sz w:val="21"/>
                <w:szCs w:val="21"/>
              </w:rPr>
            </w:pPr>
            <w:r>
              <w:rPr>
                <w:rFonts w:hint="eastAsia"/>
                <w:sz w:val="21"/>
                <w:szCs w:val="21"/>
              </w:rPr>
              <w:t>上游</w:t>
            </w:r>
          </w:p>
        </w:tc>
        <w:tc>
          <w:tcPr>
            <w:tcW w:w="895" w:type="dxa"/>
            <w:tcBorders>
              <w:top w:val="single" w:sz="4" w:space="0" w:color="auto"/>
              <w:left w:val="single" w:sz="4" w:space="0" w:color="auto"/>
              <w:bottom w:val="single" w:sz="4" w:space="0" w:color="auto"/>
              <w:right w:val="single" w:sz="4" w:space="0" w:color="auto"/>
            </w:tcBorders>
            <w:vAlign w:val="center"/>
          </w:tcPr>
          <w:p w:rsidR="00DB7CC8" w:rsidRDefault="002B5250">
            <w:pPr>
              <w:widowControl/>
              <w:adjustRightInd w:val="0"/>
              <w:snapToGrid w:val="0"/>
              <w:spacing w:line="240" w:lineRule="auto"/>
              <w:ind w:firstLineChars="0" w:firstLine="0"/>
              <w:jc w:val="center"/>
              <w:rPr>
                <w:sz w:val="21"/>
                <w:szCs w:val="21"/>
              </w:rPr>
            </w:pPr>
            <w:r>
              <w:rPr>
                <w:rFonts w:hint="eastAsia"/>
                <w:sz w:val="21"/>
                <w:szCs w:val="21"/>
              </w:rPr>
              <w:t>大于</w:t>
            </w:r>
            <w:r>
              <w:rPr>
                <w:sz w:val="21"/>
                <w:szCs w:val="21"/>
              </w:rPr>
              <w:t>1000</w:t>
            </w:r>
            <w:r>
              <w:rPr>
                <w:rFonts w:hint="eastAsia"/>
                <w:sz w:val="21"/>
                <w:szCs w:val="21"/>
              </w:rPr>
              <w:t>人</w:t>
            </w:r>
          </w:p>
        </w:tc>
        <w:tc>
          <w:tcPr>
            <w:tcW w:w="1447" w:type="dxa"/>
            <w:tcBorders>
              <w:top w:val="single" w:sz="4" w:space="0" w:color="auto"/>
              <w:left w:val="single" w:sz="4" w:space="0" w:color="auto"/>
              <w:bottom w:val="single" w:sz="4" w:space="0" w:color="auto"/>
              <w:right w:val="single" w:sz="4" w:space="0" w:color="auto"/>
            </w:tcBorders>
            <w:vAlign w:val="center"/>
          </w:tcPr>
          <w:p w:rsidR="00DB7CC8" w:rsidRDefault="002B5250">
            <w:pPr>
              <w:widowControl/>
              <w:adjustRightInd w:val="0"/>
              <w:snapToGrid w:val="0"/>
              <w:spacing w:line="240" w:lineRule="auto"/>
              <w:ind w:firstLineChars="0" w:firstLine="0"/>
              <w:jc w:val="center"/>
              <w:rPr>
                <w:sz w:val="21"/>
                <w:szCs w:val="21"/>
              </w:rPr>
            </w:pPr>
            <w:r>
              <w:rPr>
                <w:sz w:val="21"/>
                <w:szCs w:val="21"/>
              </w:rPr>
              <w:t>1600</w:t>
            </w:r>
          </w:p>
        </w:tc>
        <w:tc>
          <w:tcPr>
            <w:tcW w:w="2705" w:type="dxa"/>
            <w:tcBorders>
              <w:top w:val="single" w:sz="4" w:space="0" w:color="auto"/>
              <w:left w:val="single" w:sz="4" w:space="0" w:color="auto"/>
              <w:bottom w:val="single" w:sz="4" w:space="0" w:color="auto"/>
              <w:right w:val="single" w:sz="4" w:space="0" w:color="auto"/>
            </w:tcBorders>
            <w:vAlign w:val="center"/>
          </w:tcPr>
          <w:p w:rsidR="00DB7CC8" w:rsidRDefault="002B5250">
            <w:pPr>
              <w:widowControl/>
              <w:adjustRightInd w:val="0"/>
              <w:snapToGrid w:val="0"/>
              <w:spacing w:line="240" w:lineRule="auto"/>
              <w:ind w:firstLineChars="0" w:firstLine="0"/>
              <w:jc w:val="center"/>
              <w:rPr>
                <w:sz w:val="21"/>
                <w:szCs w:val="21"/>
              </w:rPr>
            </w:pPr>
            <w:r>
              <w:rPr>
                <w:rFonts w:hint="eastAsia"/>
                <w:sz w:val="21"/>
                <w:szCs w:val="21"/>
              </w:rPr>
              <w:t>总体满足《地下水质量标准》（</w:t>
            </w:r>
            <w:r>
              <w:rPr>
                <w:sz w:val="21"/>
                <w:szCs w:val="21"/>
              </w:rPr>
              <w:t>GB/T14848</w:t>
            </w:r>
            <w:r>
              <w:rPr>
                <w:rFonts w:hint="eastAsia"/>
                <w:sz w:val="21"/>
                <w:szCs w:val="21"/>
              </w:rPr>
              <w:t>－</w:t>
            </w:r>
            <w:r>
              <w:rPr>
                <w:sz w:val="21"/>
                <w:szCs w:val="21"/>
              </w:rPr>
              <w:t>2017</w:t>
            </w:r>
            <w:r>
              <w:rPr>
                <w:rFonts w:hint="eastAsia"/>
                <w:sz w:val="21"/>
                <w:szCs w:val="21"/>
              </w:rPr>
              <w:t>）</w:t>
            </w:r>
            <w:r>
              <w:rPr>
                <w:sz w:val="21"/>
                <w:szCs w:val="21"/>
              </w:rPr>
              <w:t>III</w:t>
            </w:r>
            <w:r>
              <w:rPr>
                <w:rFonts w:hint="eastAsia"/>
                <w:sz w:val="21"/>
                <w:szCs w:val="21"/>
              </w:rPr>
              <w:t>类标准；不破坏现有地下水使用功能，地下水质量不低于现状</w:t>
            </w:r>
          </w:p>
        </w:tc>
      </w:tr>
    </w:tbl>
    <w:p w:rsidR="00DB7CC8" w:rsidRDefault="00DB7CC8">
      <w:pPr>
        <w:spacing w:line="460" w:lineRule="exact"/>
        <w:ind w:firstLineChars="0" w:firstLine="0"/>
        <w:rPr>
          <w:sz w:val="24"/>
        </w:rPr>
        <w:sectPr w:rsidR="00DB7CC8">
          <w:footerReference w:type="default" r:id="rId27"/>
          <w:pgSz w:w="11906" w:h="16838"/>
          <w:pgMar w:top="1440" w:right="1797" w:bottom="1134" w:left="1797" w:header="851" w:footer="992" w:gutter="0"/>
          <w:cols w:space="720"/>
          <w:docGrid w:linePitch="381"/>
        </w:sectPr>
      </w:pPr>
    </w:p>
    <w:p w:rsidR="00DB7CC8" w:rsidRDefault="002B5250">
      <w:pPr>
        <w:pStyle w:val="1"/>
        <w:numPr>
          <w:ilvl w:val="0"/>
          <w:numId w:val="1"/>
        </w:numPr>
        <w:rPr>
          <w:rFonts w:ascii="Times New Roman"/>
          <w:sz w:val="36"/>
        </w:rPr>
      </w:pPr>
      <w:bookmarkStart w:id="151" w:name="_Toc32219"/>
      <w:bookmarkStart w:id="152" w:name="_Toc783"/>
      <w:bookmarkStart w:id="153" w:name="_Toc14330"/>
      <w:bookmarkStart w:id="154" w:name="_Toc9152"/>
      <w:bookmarkStart w:id="155" w:name="_Toc521591752"/>
      <w:bookmarkStart w:id="156" w:name="_Toc524284664"/>
      <w:r>
        <w:rPr>
          <w:rFonts w:ascii="Times New Roman"/>
          <w:sz w:val="36"/>
        </w:rPr>
        <w:lastRenderedPageBreak/>
        <w:t>建设项目工程分析</w:t>
      </w:r>
      <w:bookmarkEnd w:id="151"/>
      <w:bookmarkEnd w:id="152"/>
      <w:bookmarkEnd w:id="153"/>
      <w:bookmarkEnd w:id="154"/>
      <w:bookmarkEnd w:id="155"/>
      <w:bookmarkEnd w:id="156"/>
    </w:p>
    <w:p w:rsidR="00DB7CC8" w:rsidRDefault="002B5250">
      <w:pPr>
        <w:snapToGrid w:val="0"/>
        <w:ind w:firstLine="480"/>
        <w:jc w:val="both"/>
        <w:rPr>
          <w:sz w:val="24"/>
          <w:szCs w:val="24"/>
        </w:rPr>
      </w:pPr>
      <w:r>
        <w:rPr>
          <w:rFonts w:hint="eastAsia"/>
          <w:bCs/>
          <w:sz w:val="24"/>
          <w:szCs w:val="24"/>
        </w:rPr>
        <w:t>目前，</w:t>
      </w:r>
      <w:r>
        <w:rPr>
          <w:bCs/>
          <w:sz w:val="24"/>
          <w:szCs w:val="24"/>
        </w:rPr>
        <w:t>遵化市鑫伟铁选厂</w:t>
      </w:r>
      <w:r>
        <w:rPr>
          <w:sz w:val="24"/>
          <w:szCs w:val="24"/>
        </w:rPr>
        <w:t>主要建</w:t>
      </w:r>
      <w:r>
        <w:rPr>
          <w:rFonts w:hint="eastAsia"/>
          <w:sz w:val="24"/>
          <w:szCs w:val="24"/>
        </w:rPr>
        <w:t>有</w:t>
      </w:r>
      <w:r>
        <w:rPr>
          <w:rFonts w:hint="eastAsia"/>
          <w:sz w:val="24"/>
          <w:szCs w:val="24"/>
        </w:rPr>
        <w:t>原矿堆场、</w:t>
      </w:r>
      <w:r>
        <w:rPr>
          <w:sz w:val="24"/>
          <w:szCs w:val="24"/>
        </w:rPr>
        <w:t>破碎车间、球磨车间、</w:t>
      </w:r>
      <w:r>
        <w:rPr>
          <w:rFonts w:hint="eastAsia"/>
          <w:sz w:val="24"/>
          <w:szCs w:val="24"/>
        </w:rPr>
        <w:t>皮带机通廊</w:t>
      </w:r>
      <w:r>
        <w:rPr>
          <w:sz w:val="24"/>
          <w:szCs w:val="24"/>
        </w:rPr>
        <w:t>、</w:t>
      </w:r>
      <w:r>
        <w:rPr>
          <w:rFonts w:hint="eastAsia"/>
          <w:sz w:val="24"/>
          <w:szCs w:val="24"/>
        </w:rPr>
        <w:t>原料库、</w:t>
      </w:r>
      <w:r>
        <w:rPr>
          <w:sz w:val="24"/>
          <w:szCs w:val="24"/>
        </w:rPr>
        <w:t>成品库、沉淀池、清水池及相关配套公辅设施建设</w:t>
      </w:r>
      <w:r>
        <w:rPr>
          <w:rFonts w:hint="eastAsia"/>
          <w:sz w:val="24"/>
          <w:szCs w:val="24"/>
        </w:rPr>
        <w:t>，</w:t>
      </w:r>
      <w:r>
        <w:rPr>
          <w:sz w:val="24"/>
          <w:szCs w:val="24"/>
        </w:rPr>
        <w:t>采用破碎</w:t>
      </w:r>
      <w:r>
        <w:rPr>
          <w:sz w:val="24"/>
          <w:szCs w:val="24"/>
        </w:rPr>
        <w:t>—</w:t>
      </w:r>
      <w:r>
        <w:rPr>
          <w:sz w:val="24"/>
          <w:szCs w:val="24"/>
        </w:rPr>
        <w:t>筛分</w:t>
      </w:r>
      <w:r>
        <w:rPr>
          <w:sz w:val="24"/>
          <w:szCs w:val="24"/>
        </w:rPr>
        <w:t>—</w:t>
      </w:r>
      <w:r>
        <w:rPr>
          <w:sz w:val="24"/>
          <w:szCs w:val="24"/>
        </w:rPr>
        <w:t>球磨</w:t>
      </w:r>
      <w:r>
        <w:rPr>
          <w:sz w:val="24"/>
          <w:szCs w:val="24"/>
        </w:rPr>
        <w:t>—</w:t>
      </w:r>
      <w:r>
        <w:rPr>
          <w:sz w:val="24"/>
          <w:szCs w:val="24"/>
        </w:rPr>
        <w:t>磁选</w:t>
      </w:r>
      <w:r>
        <w:rPr>
          <w:sz w:val="24"/>
          <w:szCs w:val="24"/>
        </w:rPr>
        <w:t>—</w:t>
      </w:r>
      <w:r>
        <w:rPr>
          <w:sz w:val="24"/>
          <w:szCs w:val="24"/>
        </w:rPr>
        <w:t>过滤工艺，</w:t>
      </w:r>
      <w:r>
        <w:rPr>
          <w:rFonts w:hint="eastAsia"/>
          <w:sz w:val="24"/>
          <w:szCs w:val="24"/>
        </w:rPr>
        <w:t>实现</w:t>
      </w:r>
      <w:r>
        <w:rPr>
          <w:sz w:val="24"/>
          <w:szCs w:val="24"/>
        </w:rPr>
        <w:t>年处理铁矿石能力为</w:t>
      </w:r>
      <w:r>
        <w:rPr>
          <w:sz w:val="24"/>
          <w:szCs w:val="24"/>
        </w:rPr>
        <w:t>70</w:t>
      </w:r>
      <w:r>
        <w:rPr>
          <w:sz w:val="24"/>
          <w:szCs w:val="24"/>
        </w:rPr>
        <w:t>万吨，年产品位</w:t>
      </w:r>
      <w:r>
        <w:rPr>
          <w:sz w:val="24"/>
          <w:szCs w:val="24"/>
        </w:rPr>
        <w:t>60%</w:t>
      </w:r>
      <w:r>
        <w:rPr>
          <w:sz w:val="24"/>
          <w:szCs w:val="24"/>
        </w:rPr>
        <w:t>铁精粉</w:t>
      </w:r>
      <w:r>
        <w:rPr>
          <w:sz w:val="24"/>
          <w:szCs w:val="24"/>
        </w:rPr>
        <w:t>30</w:t>
      </w:r>
      <w:r>
        <w:rPr>
          <w:sz w:val="24"/>
          <w:szCs w:val="24"/>
        </w:rPr>
        <w:t>万吨。</w:t>
      </w:r>
    </w:p>
    <w:p w:rsidR="00DB7CC8" w:rsidRDefault="002B5250">
      <w:pPr>
        <w:snapToGrid w:val="0"/>
        <w:ind w:firstLine="480"/>
        <w:jc w:val="both"/>
        <w:rPr>
          <w:sz w:val="24"/>
          <w:szCs w:val="24"/>
        </w:rPr>
      </w:pPr>
      <w:r>
        <w:rPr>
          <w:sz w:val="24"/>
          <w:szCs w:val="24"/>
        </w:rPr>
        <w:t>为充分发挥本地区矿产资源优势，</w:t>
      </w:r>
      <w:r>
        <w:rPr>
          <w:rFonts w:hint="eastAsia"/>
          <w:sz w:val="24"/>
          <w:szCs w:val="24"/>
        </w:rPr>
        <w:t>进一步延长优化自身生产线，提升</w:t>
      </w:r>
      <w:r>
        <w:rPr>
          <w:sz w:val="24"/>
          <w:szCs w:val="24"/>
        </w:rPr>
        <w:t>铁精粉</w:t>
      </w:r>
      <w:r>
        <w:rPr>
          <w:rFonts w:hint="eastAsia"/>
          <w:sz w:val="24"/>
          <w:szCs w:val="24"/>
        </w:rPr>
        <w:t>的品位，</w:t>
      </w:r>
      <w:r>
        <w:rPr>
          <w:sz w:val="24"/>
          <w:szCs w:val="24"/>
        </w:rPr>
        <w:t>遵化市鑫伟铁选厂决定投资</w:t>
      </w:r>
      <w:r>
        <w:rPr>
          <w:rFonts w:hint="eastAsia"/>
          <w:sz w:val="24"/>
          <w:szCs w:val="24"/>
        </w:rPr>
        <w:t>22</w:t>
      </w:r>
      <w:r>
        <w:rPr>
          <w:sz w:val="24"/>
          <w:szCs w:val="24"/>
        </w:rPr>
        <w:t>00</w:t>
      </w:r>
      <w:r>
        <w:rPr>
          <w:sz w:val="24"/>
          <w:szCs w:val="24"/>
        </w:rPr>
        <w:t>万元建设</w:t>
      </w:r>
      <w:r>
        <w:rPr>
          <w:rFonts w:hint="eastAsia"/>
          <w:sz w:val="24"/>
          <w:szCs w:val="24"/>
        </w:rPr>
        <w:t>“</w:t>
      </w:r>
      <w:r>
        <w:rPr>
          <w:sz w:val="24"/>
          <w:szCs w:val="24"/>
        </w:rPr>
        <w:t>遵化市鑫伟铁选厂年处理</w:t>
      </w:r>
      <w:r>
        <w:rPr>
          <w:rFonts w:hint="eastAsia"/>
          <w:sz w:val="24"/>
          <w:szCs w:val="24"/>
        </w:rPr>
        <w:t>11</w:t>
      </w:r>
      <w:r>
        <w:rPr>
          <w:sz w:val="24"/>
          <w:szCs w:val="24"/>
        </w:rPr>
        <w:t>0</w:t>
      </w:r>
      <w:r>
        <w:rPr>
          <w:sz w:val="24"/>
          <w:szCs w:val="24"/>
        </w:rPr>
        <w:t>万吨铁矿石</w:t>
      </w:r>
      <w:r>
        <w:rPr>
          <w:rFonts w:hint="eastAsia"/>
          <w:sz w:val="24"/>
          <w:szCs w:val="24"/>
        </w:rPr>
        <w:t>、</w:t>
      </w:r>
      <w:r>
        <w:rPr>
          <w:rFonts w:hint="eastAsia"/>
          <w:sz w:val="24"/>
          <w:szCs w:val="24"/>
        </w:rPr>
        <w:t>40</w:t>
      </w:r>
      <w:r>
        <w:rPr>
          <w:rFonts w:hint="eastAsia"/>
          <w:sz w:val="24"/>
          <w:szCs w:val="24"/>
        </w:rPr>
        <w:t>万吨粗精矿改扩建</w:t>
      </w:r>
      <w:r>
        <w:rPr>
          <w:sz w:val="24"/>
          <w:szCs w:val="24"/>
        </w:rPr>
        <w:t>项目</w:t>
      </w:r>
      <w:r>
        <w:rPr>
          <w:rFonts w:hint="eastAsia"/>
          <w:sz w:val="24"/>
          <w:szCs w:val="24"/>
        </w:rPr>
        <w:t>”</w:t>
      </w:r>
      <w:r>
        <w:rPr>
          <w:sz w:val="24"/>
          <w:szCs w:val="24"/>
        </w:rPr>
        <w:t>，河北省发展和改革委员会</w:t>
      </w:r>
      <w:r>
        <w:rPr>
          <w:sz w:val="24"/>
          <w:szCs w:val="24"/>
        </w:rPr>
        <w:t>20</w:t>
      </w:r>
      <w:r>
        <w:rPr>
          <w:rFonts w:hint="eastAsia"/>
          <w:sz w:val="24"/>
          <w:szCs w:val="24"/>
        </w:rPr>
        <w:t>23</w:t>
      </w:r>
      <w:r>
        <w:rPr>
          <w:sz w:val="24"/>
          <w:szCs w:val="24"/>
        </w:rPr>
        <w:t>年</w:t>
      </w:r>
      <w:r>
        <w:rPr>
          <w:sz w:val="24"/>
          <w:szCs w:val="24"/>
        </w:rPr>
        <w:t>2</w:t>
      </w:r>
      <w:r>
        <w:rPr>
          <w:sz w:val="24"/>
          <w:szCs w:val="24"/>
        </w:rPr>
        <w:t>月</w:t>
      </w:r>
      <w:r>
        <w:rPr>
          <w:rFonts w:hint="eastAsia"/>
          <w:sz w:val="24"/>
          <w:szCs w:val="24"/>
        </w:rPr>
        <w:t>2</w:t>
      </w:r>
      <w:r>
        <w:rPr>
          <w:sz w:val="24"/>
          <w:szCs w:val="24"/>
        </w:rPr>
        <w:t>4</w:t>
      </w:r>
      <w:r>
        <w:rPr>
          <w:sz w:val="24"/>
          <w:szCs w:val="24"/>
        </w:rPr>
        <w:t>日以冀发改</w:t>
      </w:r>
      <w:r>
        <w:rPr>
          <w:rFonts w:hint="eastAsia"/>
          <w:sz w:val="24"/>
          <w:szCs w:val="24"/>
        </w:rPr>
        <w:t>政务</w:t>
      </w:r>
      <w:r>
        <w:rPr>
          <w:sz w:val="24"/>
          <w:szCs w:val="24"/>
        </w:rPr>
        <w:t>备字</w:t>
      </w:r>
      <w:r>
        <w:rPr>
          <w:sz w:val="24"/>
          <w:szCs w:val="24"/>
        </w:rPr>
        <w:t>[20</w:t>
      </w:r>
      <w:r>
        <w:rPr>
          <w:rFonts w:hint="eastAsia"/>
          <w:sz w:val="24"/>
          <w:szCs w:val="24"/>
        </w:rPr>
        <w:t>23</w:t>
      </w:r>
      <w:r>
        <w:rPr>
          <w:sz w:val="24"/>
          <w:szCs w:val="24"/>
        </w:rPr>
        <w:t>]</w:t>
      </w:r>
      <w:r>
        <w:rPr>
          <w:rFonts w:hint="eastAsia"/>
          <w:sz w:val="24"/>
          <w:szCs w:val="24"/>
        </w:rPr>
        <w:t>28</w:t>
      </w:r>
      <w:r>
        <w:rPr>
          <w:sz w:val="24"/>
          <w:szCs w:val="24"/>
        </w:rPr>
        <w:t>号文予以备案。</w:t>
      </w:r>
    </w:p>
    <w:p w:rsidR="00DB7CC8" w:rsidRDefault="002B5250">
      <w:pPr>
        <w:snapToGrid w:val="0"/>
        <w:ind w:firstLine="480"/>
        <w:jc w:val="both"/>
        <w:rPr>
          <w:sz w:val="24"/>
          <w:szCs w:val="24"/>
        </w:rPr>
      </w:pPr>
      <w:r>
        <w:rPr>
          <w:sz w:val="24"/>
          <w:szCs w:val="24"/>
        </w:rPr>
        <w:t>本项目</w:t>
      </w:r>
      <w:r>
        <w:rPr>
          <w:rFonts w:hint="eastAsia"/>
          <w:sz w:val="24"/>
          <w:szCs w:val="24"/>
        </w:rPr>
        <w:t>在</w:t>
      </w:r>
      <w:r>
        <w:rPr>
          <w:bCs/>
          <w:sz w:val="24"/>
          <w:szCs w:val="24"/>
        </w:rPr>
        <w:t>遵化市鑫伟铁选厂</w:t>
      </w:r>
      <w:r>
        <w:rPr>
          <w:rFonts w:hint="eastAsia"/>
          <w:bCs/>
          <w:sz w:val="24"/>
          <w:szCs w:val="24"/>
        </w:rPr>
        <w:t>现有厂区内进行建设，不新增占地，主要</w:t>
      </w:r>
      <w:r>
        <w:rPr>
          <w:rFonts w:hint="eastAsia"/>
          <w:sz w:val="24"/>
          <w:szCs w:val="24"/>
        </w:rPr>
        <w:t>建设破碎粗选车间、精选车间，购置安装球磨、磁选等设备，配套建设辅助生产设施办公室、配电室、库房。项目建成后年处理</w:t>
      </w:r>
      <w:r>
        <w:rPr>
          <w:rFonts w:hint="eastAsia"/>
          <w:sz w:val="24"/>
          <w:szCs w:val="24"/>
        </w:rPr>
        <w:t>110</w:t>
      </w:r>
      <w:r>
        <w:rPr>
          <w:rFonts w:hint="eastAsia"/>
          <w:sz w:val="24"/>
          <w:szCs w:val="24"/>
        </w:rPr>
        <w:t>万吨铁矿石、</w:t>
      </w:r>
      <w:r>
        <w:rPr>
          <w:rFonts w:hint="eastAsia"/>
          <w:sz w:val="24"/>
          <w:szCs w:val="24"/>
        </w:rPr>
        <w:t>40</w:t>
      </w:r>
      <w:r>
        <w:rPr>
          <w:rFonts w:hint="eastAsia"/>
          <w:sz w:val="24"/>
          <w:szCs w:val="24"/>
        </w:rPr>
        <w:t>万吨粗精矿，年产</w:t>
      </w:r>
      <w:r>
        <w:rPr>
          <w:rFonts w:hint="eastAsia"/>
          <w:sz w:val="24"/>
          <w:szCs w:val="24"/>
        </w:rPr>
        <w:t>66%</w:t>
      </w:r>
      <w:r>
        <w:rPr>
          <w:rFonts w:hint="eastAsia"/>
          <w:sz w:val="24"/>
          <w:szCs w:val="24"/>
        </w:rPr>
        <w:t>铁精粉</w:t>
      </w:r>
      <w:r>
        <w:rPr>
          <w:rFonts w:hint="eastAsia"/>
          <w:sz w:val="24"/>
          <w:szCs w:val="24"/>
        </w:rPr>
        <w:t>35</w:t>
      </w:r>
      <w:r>
        <w:rPr>
          <w:rFonts w:hint="eastAsia"/>
          <w:sz w:val="24"/>
          <w:szCs w:val="24"/>
        </w:rPr>
        <w:t>万吨。</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157" w:name="_Toc28562"/>
      <w:bookmarkStart w:id="158" w:name="_Toc20122"/>
      <w:bookmarkStart w:id="159" w:name="_Toc18571"/>
      <w:bookmarkStart w:id="160" w:name="_Toc15405"/>
      <w:bookmarkStart w:id="161" w:name="_Toc503218102"/>
      <w:bookmarkStart w:id="162" w:name="_Toc524284665"/>
      <w:bookmarkStart w:id="163" w:name="_Toc521591753"/>
      <w:bookmarkStart w:id="164" w:name="_Toc499651403"/>
      <w:r>
        <w:rPr>
          <w:rFonts w:ascii="Times New Roman" w:eastAsia="宋体" w:hAnsi="Times New Roman" w:hint="eastAsia"/>
          <w:bCs w:val="0"/>
          <w:snapToGrid w:val="0"/>
          <w:kern w:val="0"/>
          <w:sz w:val="28"/>
          <w:szCs w:val="28"/>
        </w:rPr>
        <w:t>现有工程</w:t>
      </w:r>
      <w:r>
        <w:rPr>
          <w:rFonts w:ascii="Times New Roman" w:eastAsia="宋体" w:hAnsi="Times New Roman"/>
          <w:bCs w:val="0"/>
          <w:snapToGrid w:val="0"/>
          <w:kern w:val="0"/>
          <w:sz w:val="28"/>
          <w:szCs w:val="28"/>
        </w:rPr>
        <w:t>概况</w:t>
      </w:r>
      <w:bookmarkEnd w:id="157"/>
      <w:bookmarkEnd w:id="158"/>
      <w:bookmarkEnd w:id="159"/>
      <w:bookmarkEnd w:id="160"/>
      <w:bookmarkEnd w:id="161"/>
      <w:bookmarkEnd w:id="162"/>
      <w:bookmarkEnd w:id="163"/>
      <w:bookmarkEnd w:id="164"/>
    </w:p>
    <w:p w:rsidR="00DB7CC8" w:rsidRDefault="002B5250">
      <w:pPr>
        <w:pStyle w:val="3"/>
        <w:numPr>
          <w:ilvl w:val="2"/>
          <w:numId w:val="1"/>
        </w:numPr>
        <w:rPr>
          <w:szCs w:val="28"/>
        </w:rPr>
      </w:pPr>
      <w:r>
        <w:rPr>
          <w:rFonts w:hint="eastAsia"/>
          <w:szCs w:val="28"/>
        </w:rPr>
        <w:t>基本情况</w:t>
      </w:r>
    </w:p>
    <w:p w:rsidR="00DB7CC8" w:rsidRDefault="002B5250">
      <w:pPr>
        <w:ind w:firstLine="480"/>
        <w:jc w:val="both"/>
        <w:rPr>
          <w:sz w:val="24"/>
          <w:szCs w:val="24"/>
        </w:rPr>
      </w:pPr>
      <w:r>
        <w:rPr>
          <w:bCs/>
          <w:sz w:val="24"/>
          <w:szCs w:val="24"/>
        </w:rPr>
        <w:t>遵化市鑫伟铁选厂总占地面积为</w:t>
      </w:r>
      <w:r>
        <w:rPr>
          <w:rFonts w:hint="eastAsia"/>
          <w:bCs/>
          <w:sz w:val="24"/>
          <w:szCs w:val="24"/>
        </w:rPr>
        <w:t>6653m</w:t>
      </w:r>
      <w:r>
        <w:rPr>
          <w:rFonts w:hint="eastAsia"/>
          <w:bCs/>
          <w:sz w:val="24"/>
          <w:szCs w:val="24"/>
          <w:vertAlign w:val="superscript"/>
        </w:rPr>
        <w:t>2</w:t>
      </w:r>
      <w:r>
        <w:rPr>
          <w:rFonts w:hint="eastAsia"/>
          <w:bCs/>
          <w:sz w:val="24"/>
          <w:szCs w:val="24"/>
        </w:rPr>
        <w:t>，总建筑面积为</w:t>
      </w:r>
      <w:r>
        <w:rPr>
          <w:rFonts w:hint="eastAsia"/>
          <w:bCs/>
          <w:sz w:val="24"/>
          <w:szCs w:val="24"/>
        </w:rPr>
        <w:t>5245m</w:t>
      </w:r>
      <w:r>
        <w:rPr>
          <w:rFonts w:hint="eastAsia"/>
          <w:bCs/>
          <w:sz w:val="24"/>
          <w:szCs w:val="24"/>
          <w:vertAlign w:val="superscript"/>
        </w:rPr>
        <w:t>2</w:t>
      </w:r>
      <w:r>
        <w:rPr>
          <w:rFonts w:hint="eastAsia"/>
          <w:bCs/>
          <w:sz w:val="24"/>
          <w:szCs w:val="24"/>
        </w:rPr>
        <w:t>，</w:t>
      </w:r>
      <w:r>
        <w:rPr>
          <w:sz w:val="24"/>
          <w:szCs w:val="24"/>
        </w:rPr>
        <w:t>主要</w:t>
      </w:r>
      <w:r>
        <w:rPr>
          <w:bCs/>
          <w:sz w:val="24"/>
          <w:szCs w:val="24"/>
        </w:rPr>
        <w:t>建</w:t>
      </w:r>
      <w:r>
        <w:rPr>
          <w:rFonts w:hint="eastAsia"/>
          <w:bCs/>
          <w:sz w:val="24"/>
          <w:szCs w:val="24"/>
        </w:rPr>
        <w:t>有</w:t>
      </w:r>
      <w:r>
        <w:rPr>
          <w:bCs/>
          <w:sz w:val="24"/>
          <w:szCs w:val="24"/>
        </w:rPr>
        <w:t>2</w:t>
      </w:r>
      <w:r>
        <w:rPr>
          <w:bCs/>
          <w:sz w:val="24"/>
          <w:szCs w:val="24"/>
        </w:rPr>
        <w:t>条破碎筛分生产线、</w:t>
      </w:r>
      <w:r>
        <w:rPr>
          <w:bCs/>
          <w:sz w:val="24"/>
          <w:szCs w:val="24"/>
        </w:rPr>
        <w:t>2</w:t>
      </w:r>
      <w:r>
        <w:rPr>
          <w:bCs/>
          <w:sz w:val="24"/>
          <w:szCs w:val="24"/>
        </w:rPr>
        <w:t>条球磨生产线、原料</w:t>
      </w:r>
      <w:r>
        <w:rPr>
          <w:rFonts w:hint="eastAsia"/>
          <w:bCs/>
          <w:sz w:val="24"/>
          <w:szCs w:val="24"/>
        </w:rPr>
        <w:t>棚</w:t>
      </w:r>
      <w:r>
        <w:rPr>
          <w:bCs/>
          <w:sz w:val="24"/>
          <w:szCs w:val="24"/>
        </w:rPr>
        <w:t>、成品库、</w:t>
      </w:r>
      <w:r>
        <w:rPr>
          <w:rFonts w:hint="eastAsia"/>
          <w:bCs/>
          <w:sz w:val="24"/>
          <w:szCs w:val="24"/>
        </w:rPr>
        <w:t>砂石库、尾砂库、</w:t>
      </w:r>
      <w:r>
        <w:rPr>
          <w:bCs/>
          <w:sz w:val="24"/>
          <w:szCs w:val="24"/>
        </w:rPr>
        <w:t>沉淀池、清水池等及相关配套设施</w:t>
      </w:r>
      <w:r>
        <w:rPr>
          <w:sz w:val="24"/>
          <w:szCs w:val="24"/>
        </w:rPr>
        <w:t>，</w:t>
      </w:r>
      <w:r>
        <w:rPr>
          <w:rFonts w:hint="eastAsia"/>
          <w:sz w:val="24"/>
          <w:szCs w:val="24"/>
        </w:rPr>
        <w:t>设有</w:t>
      </w:r>
      <w:r>
        <w:rPr>
          <w:rFonts w:hint="eastAsia"/>
          <w:sz w:val="24"/>
          <w:szCs w:val="24"/>
        </w:rPr>
        <w:t>破碎机、振动筛、</w:t>
      </w:r>
      <w:r>
        <w:rPr>
          <w:sz w:val="24"/>
          <w:szCs w:val="24"/>
        </w:rPr>
        <w:t>球磨机、磁选机、过滤机等</w:t>
      </w:r>
      <w:r>
        <w:rPr>
          <w:rFonts w:hint="eastAsia"/>
          <w:sz w:val="24"/>
          <w:szCs w:val="24"/>
        </w:rPr>
        <w:t>主要</w:t>
      </w:r>
      <w:r>
        <w:rPr>
          <w:sz w:val="24"/>
          <w:szCs w:val="24"/>
        </w:rPr>
        <w:t>设备</w:t>
      </w:r>
      <w:r>
        <w:rPr>
          <w:rFonts w:hint="eastAsia"/>
          <w:sz w:val="24"/>
          <w:szCs w:val="24"/>
        </w:rPr>
        <w:t>，</w:t>
      </w:r>
      <w:r>
        <w:rPr>
          <w:sz w:val="24"/>
          <w:szCs w:val="24"/>
        </w:rPr>
        <w:t>年处理铁矿石</w:t>
      </w:r>
      <w:r>
        <w:rPr>
          <w:sz w:val="24"/>
          <w:szCs w:val="24"/>
        </w:rPr>
        <w:t>70</w:t>
      </w:r>
      <w:r>
        <w:rPr>
          <w:sz w:val="24"/>
          <w:szCs w:val="24"/>
        </w:rPr>
        <w:t>万吨，年产</w:t>
      </w:r>
      <w:r>
        <w:rPr>
          <w:sz w:val="24"/>
          <w:szCs w:val="24"/>
        </w:rPr>
        <w:t>60%</w:t>
      </w:r>
      <w:r>
        <w:rPr>
          <w:sz w:val="24"/>
          <w:szCs w:val="24"/>
        </w:rPr>
        <w:t>铁精粉</w:t>
      </w:r>
      <w:r>
        <w:rPr>
          <w:sz w:val="24"/>
          <w:szCs w:val="24"/>
        </w:rPr>
        <w:t>30</w:t>
      </w:r>
      <w:r>
        <w:rPr>
          <w:sz w:val="24"/>
          <w:szCs w:val="24"/>
        </w:rPr>
        <w:t>万吨。</w:t>
      </w:r>
    </w:p>
    <w:p w:rsidR="00DB7CC8" w:rsidRDefault="002B5250">
      <w:pPr>
        <w:ind w:firstLine="480"/>
        <w:jc w:val="both"/>
        <w:rPr>
          <w:bCs/>
          <w:sz w:val="24"/>
          <w:szCs w:val="24"/>
        </w:rPr>
      </w:pPr>
      <w:r>
        <w:rPr>
          <w:rFonts w:hint="eastAsia"/>
          <w:sz w:val="24"/>
          <w:szCs w:val="24"/>
        </w:rPr>
        <w:t>2</w:t>
      </w:r>
      <w:r>
        <w:rPr>
          <w:rFonts w:hint="eastAsia"/>
          <w:sz w:val="24"/>
          <w:szCs w:val="24"/>
        </w:rPr>
        <w:t>条破碎生产线工艺相同，采用两段破碎一闭路工艺，同时设置磁滑轮、圆锥破碎机对废石进行选别、破碎分级；球磨车间设置</w:t>
      </w:r>
      <w:r>
        <w:rPr>
          <w:sz w:val="24"/>
          <w:szCs w:val="24"/>
        </w:rPr>
        <w:t>2</w:t>
      </w:r>
      <w:r>
        <w:rPr>
          <w:rFonts w:hint="eastAsia"/>
          <w:sz w:val="24"/>
          <w:szCs w:val="24"/>
        </w:rPr>
        <w:t>台球磨机，并联设置，同时配备高频筛和磁选机进行一段筛分和二段磁选。</w:t>
      </w:r>
    </w:p>
    <w:p w:rsidR="00DB7CC8" w:rsidRDefault="002B5250">
      <w:pPr>
        <w:pStyle w:val="3"/>
        <w:numPr>
          <w:ilvl w:val="2"/>
          <w:numId w:val="1"/>
        </w:numPr>
        <w:rPr>
          <w:szCs w:val="28"/>
        </w:rPr>
      </w:pPr>
      <w:bookmarkStart w:id="165" w:name="_Toc521591755"/>
      <w:bookmarkStart w:id="166" w:name="_Toc20980"/>
      <w:r>
        <w:rPr>
          <w:szCs w:val="28"/>
        </w:rPr>
        <w:t>产品方案</w:t>
      </w:r>
      <w:bookmarkEnd w:id="165"/>
      <w:bookmarkEnd w:id="166"/>
    </w:p>
    <w:p w:rsidR="00DB7CC8" w:rsidRDefault="002B5250">
      <w:pPr>
        <w:ind w:firstLine="480"/>
        <w:jc w:val="both"/>
        <w:rPr>
          <w:sz w:val="24"/>
          <w:szCs w:val="24"/>
        </w:rPr>
      </w:pPr>
      <w:r>
        <w:rPr>
          <w:rFonts w:hint="eastAsia"/>
          <w:sz w:val="24"/>
          <w:szCs w:val="24"/>
        </w:rPr>
        <w:t>现有工程</w:t>
      </w:r>
      <w:r>
        <w:rPr>
          <w:sz w:val="24"/>
          <w:szCs w:val="24"/>
        </w:rPr>
        <w:t>产品方案详见表</w:t>
      </w:r>
      <w:r>
        <w:rPr>
          <w:sz w:val="24"/>
          <w:szCs w:val="24"/>
        </w:rPr>
        <w:t>3.1-1</w:t>
      </w:r>
      <w:r>
        <w:rPr>
          <w:sz w:val="24"/>
          <w:szCs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 xml:space="preserve">3.1-1    </w:t>
      </w:r>
      <w:r>
        <w:rPr>
          <w:rFonts w:eastAsia="黑体" w:hint="eastAsia"/>
          <w:kern w:val="2"/>
          <w:sz w:val="21"/>
          <w:szCs w:val="21"/>
        </w:rPr>
        <w:t>现有工程</w:t>
      </w:r>
      <w:r>
        <w:rPr>
          <w:rFonts w:eastAsia="黑体"/>
          <w:kern w:val="2"/>
          <w:sz w:val="21"/>
          <w:szCs w:val="21"/>
        </w:rPr>
        <w:t>产品方案</w:t>
      </w:r>
    </w:p>
    <w:tbl>
      <w:tblPr>
        <w:tblW w:w="8522" w:type="dxa"/>
        <w:jc w:val="center"/>
        <w:tblBorders>
          <w:top w:val="single" w:sz="4" w:space="0" w:color="auto"/>
          <w:bottom w:val="single" w:sz="4" w:space="0" w:color="auto"/>
          <w:insideH w:val="single" w:sz="6" w:space="0" w:color="auto"/>
          <w:insideV w:val="single" w:sz="6" w:space="0" w:color="auto"/>
        </w:tblBorders>
        <w:tblLayout w:type="fixed"/>
        <w:tblLook w:val="04A0" w:firstRow="1" w:lastRow="0" w:firstColumn="1" w:lastColumn="0" w:noHBand="0" w:noVBand="1"/>
      </w:tblPr>
      <w:tblGrid>
        <w:gridCol w:w="2441"/>
        <w:gridCol w:w="2081"/>
        <w:gridCol w:w="4000"/>
      </w:tblGrid>
      <w:tr w:rsidR="00DB7CC8">
        <w:trPr>
          <w:cantSplit/>
          <w:trHeight w:val="340"/>
          <w:jc w:val="center"/>
        </w:trPr>
        <w:tc>
          <w:tcPr>
            <w:tcW w:w="2441"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产品名称</w:t>
            </w:r>
          </w:p>
        </w:tc>
        <w:tc>
          <w:tcPr>
            <w:tcW w:w="2081" w:type="dxa"/>
            <w:vAlign w:val="center"/>
          </w:tcPr>
          <w:p w:rsidR="00DB7CC8" w:rsidRDefault="002B5250">
            <w:pPr>
              <w:spacing w:line="240" w:lineRule="auto"/>
              <w:ind w:firstLineChars="0" w:firstLine="0"/>
              <w:jc w:val="center"/>
              <w:rPr>
                <w:sz w:val="21"/>
                <w:szCs w:val="21"/>
              </w:rPr>
            </w:pPr>
            <w:r>
              <w:rPr>
                <w:sz w:val="21"/>
                <w:szCs w:val="21"/>
              </w:rPr>
              <w:t>产量（</w:t>
            </w:r>
            <w:r>
              <w:rPr>
                <w:sz w:val="21"/>
                <w:szCs w:val="21"/>
              </w:rPr>
              <w:t>t/a</w:t>
            </w:r>
            <w:r>
              <w:rPr>
                <w:sz w:val="21"/>
                <w:szCs w:val="21"/>
              </w:rPr>
              <w:t>）</w:t>
            </w:r>
          </w:p>
        </w:tc>
        <w:tc>
          <w:tcPr>
            <w:tcW w:w="4000" w:type="dxa"/>
            <w:tcBorders>
              <w:right w:val="single" w:sz="4" w:space="0" w:color="auto"/>
            </w:tcBorders>
            <w:vAlign w:val="center"/>
          </w:tcPr>
          <w:p w:rsidR="00DB7CC8" w:rsidRDefault="002B5250">
            <w:pPr>
              <w:spacing w:line="240" w:lineRule="auto"/>
              <w:ind w:firstLineChars="71" w:firstLine="149"/>
              <w:jc w:val="center"/>
              <w:rPr>
                <w:sz w:val="21"/>
                <w:szCs w:val="21"/>
              </w:rPr>
            </w:pPr>
            <w:r>
              <w:rPr>
                <w:sz w:val="21"/>
                <w:szCs w:val="21"/>
              </w:rPr>
              <w:t>备注</w:t>
            </w:r>
          </w:p>
        </w:tc>
      </w:tr>
      <w:tr w:rsidR="00DB7CC8">
        <w:trPr>
          <w:cantSplit/>
          <w:trHeight w:val="340"/>
          <w:jc w:val="center"/>
        </w:trPr>
        <w:tc>
          <w:tcPr>
            <w:tcW w:w="2441"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铁精粉</w:t>
            </w:r>
          </w:p>
        </w:tc>
        <w:tc>
          <w:tcPr>
            <w:tcW w:w="2081" w:type="dxa"/>
            <w:vAlign w:val="center"/>
          </w:tcPr>
          <w:p w:rsidR="00DB7CC8" w:rsidRDefault="002B5250">
            <w:pPr>
              <w:spacing w:line="240" w:lineRule="auto"/>
              <w:ind w:firstLineChars="0" w:firstLine="0"/>
              <w:jc w:val="center"/>
              <w:rPr>
                <w:sz w:val="21"/>
                <w:szCs w:val="21"/>
              </w:rPr>
            </w:pPr>
            <w:r>
              <w:rPr>
                <w:sz w:val="21"/>
                <w:szCs w:val="21"/>
              </w:rPr>
              <w:t>30</w:t>
            </w:r>
            <w:r>
              <w:rPr>
                <w:rFonts w:hint="eastAsia"/>
                <w:sz w:val="21"/>
                <w:szCs w:val="21"/>
              </w:rPr>
              <w:t>万</w:t>
            </w:r>
          </w:p>
        </w:tc>
        <w:tc>
          <w:tcPr>
            <w:tcW w:w="4000"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平均品位为</w:t>
            </w:r>
            <w:r>
              <w:rPr>
                <w:sz w:val="21"/>
                <w:szCs w:val="21"/>
              </w:rPr>
              <w:t>60%</w:t>
            </w:r>
            <w:r>
              <w:rPr>
                <w:rFonts w:hint="eastAsia"/>
                <w:sz w:val="21"/>
                <w:szCs w:val="21"/>
              </w:rPr>
              <w:t>，含水率</w:t>
            </w:r>
            <w:r>
              <w:rPr>
                <w:rFonts w:hint="eastAsia"/>
                <w:sz w:val="21"/>
                <w:szCs w:val="21"/>
              </w:rPr>
              <w:t>1</w:t>
            </w:r>
            <w:r>
              <w:rPr>
                <w:sz w:val="21"/>
                <w:szCs w:val="21"/>
              </w:rPr>
              <w:t>0</w:t>
            </w:r>
            <w:r>
              <w:rPr>
                <w:rFonts w:hint="eastAsia"/>
                <w:sz w:val="21"/>
                <w:szCs w:val="21"/>
              </w:rPr>
              <w:t>%</w:t>
            </w:r>
          </w:p>
        </w:tc>
      </w:tr>
    </w:tbl>
    <w:p w:rsidR="00DB7CC8" w:rsidRDefault="002B5250">
      <w:pPr>
        <w:pStyle w:val="3"/>
        <w:numPr>
          <w:ilvl w:val="2"/>
          <w:numId w:val="1"/>
        </w:numPr>
        <w:rPr>
          <w:szCs w:val="28"/>
        </w:rPr>
      </w:pPr>
      <w:bookmarkStart w:id="167" w:name="_Toc2094"/>
      <w:bookmarkStart w:id="168" w:name="_Toc521591756"/>
      <w:bookmarkStart w:id="169" w:name="_Hlk18930370"/>
      <w:r>
        <w:rPr>
          <w:szCs w:val="28"/>
        </w:rPr>
        <w:t>建设内容</w:t>
      </w:r>
      <w:bookmarkEnd w:id="167"/>
      <w:bookmarkEnd w:id="168"/>
      <w:r>
        <w:rPr>
          <w:rFonts w:hint="eastAsia"/>
          <w:szCs w:val="28"/>
        </w:rPr>
        <w:t>及规模</w:t>
      </w:r>
    </w:p>
    <w:p w:rsidR="00DB7CC8" w:rsidRDefault="002B5250">
      <w:pPr>
        <w:ind w:firstLine="480"/>
        <w:jc w:val="both"/>
        <w:rPr>
          <w:sz w:val="24"/>
          <w:szCs w:val="24"/>
        </w:rPr>
      </w:pPr>
      <w:r>
        <w:rPr>
          <w:rFonts w:hint="eastAsia"/>
          <w:sz w:val="24"/>
          <w:szCs w:val="24"/>
        </w:rPr>
        <w:t>现有工程</w:t>
      </w:r>
      <w:r>
        <w:rPr>
          <w:sz w:val="24"/>
          <w:szCs w:val="24"/>
        </w:rPr>
        <w:t>项目组成及工程内容见表</w:t>
      </w:r>
      <w:r>
        <w:rPr>
          <w:sz w:val="24"/>
          <w:szCs w:val="24"/>
        </w:rPr>
        <w:t>3.1-2</w:t>
      </w:r>
      <w:r>
        <w:rPr>
          <w:sz w:val="24"/>
          <w:szCs w:val="24"/>
        </w:rPr>
        <w:t>，主要建构筑物见表</w:t>
      </w:r>
      <w:r>
        <w:rPr>
          <w:sz w:val="24"/>
          <w:szCs w:val="24"/>
        </w:rPr>
        <w:t>3.1-3</w:t>
      </w:r>
      <w:r>
        <w:rPr>
          <w:sz w:val="24"/>
          <w:szCs w:val="24"/>
        </w:rPr>
        <w:t>。</w:t>
      </w:r>
    </w:p>
    <w:p w:rsidR="00DB7CC8" w:rsidRDefault="002B5250">
      <w:pPr>
        <w:widowControl/>
        <w:spacing w:line="240" w:lineRule="auto"/>
        <w:ind w:firstLineChars="0" w:firstLine="0"/>
        <w:jc w:val="center"/>
        <w:textAlignment w:val="auto"/>
        <w:rPr>
          <w:rFonts w:eastAsia="黑体"/>
          <w:kern w:val="2"/>
          <w:sz w:val="21"/>
          <w:szCs w:val="21"/>
        </w:rPr>
      </w:pPr>
      <w:r>
        <w:rPr>
          <w:rFonts w:eastAsia="黑体"/>
          <w:kern w:val="2"/>
          <w:sz w:val="21"/>
          <w:szCs w:val="21"/>
        </w:rPr>
        <w:lastRenderedPageBreak/>
        <w:t>表</w:t>
      </w:r>
      <w:r>
        <w:rPr>
          <w:rFonts w:eastAsia="黑体"/>
          <w:kern w:val="2"/>
          <w:sz w:val="21"/>
          <w:szCs w:val="21"/>
        </w:rPr>
        <w:t xml:space="preserve">3.1-2  </w:t>
      </w:r>
      <w:r>
        <w:rPr>
          <w:rFonts w:eastAsia="黑体" w:hint="eastAsia"/>
          <w:kern w:val="2"/>
          <w:sz w:val="21"/>
          <w:szCs w:val="21"/>
        </w:rPr>
        <w:t>现有工程</w:t>
      </w:r>
      <w:r>
        <w:rPr>
          <w:rFonts w:eastAsia="黑体"/>
          <w:sz w:val="21"/>
          <w:szCs w:val="21"/>
        </w:rPr>
        <w:t>项目组成及工程内容</w:t>
      </w:r>
    </w:p>
    <w:tbl>
      <w:tblPr>
        <w:tblW w:w="5010" w:type="pct"/>
        <w:jc w:val="center"/>
        <w:tblBorders>
          <w:top w:val="single" w:sz="4" w:space="0" w:color="auto"/>
          <w:bottom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52"/>
        <w:gridCol w:w="1885"/>
        <w:gridCol w:w="5696"/>
      </w:tblGrid>
      <w:tr w:rsidR="00DB7CC8">
        <w:trPr>
          <w:trHeight w:val="283"/>
          <w:tblHeader/>
          <w:jc w:val="center"/>
        </w:trPr>
        <w:tc>
          <w:tcPr>
            <w:tcW w:w="1582" w:type="pct"/>
            <w:gridSpan w:val="2"/>
            <w:tcBorders>
              <w:left w:val="single" w:sz="4" w:space="0" w:color="auto"/>
              <w:right w:val="single" w:sz="4" w:space="0" w:color="auto"/>
            </w:tcBorders>
            <w:vAlign w:val="center"/>
          </w:tcPr>
          <w:bookmarkEnd w:id="169"/>
          <w:p w:rsidR="00DB7CC8" w:rsidRDefault="002B5250">
            <w:pPr>
              <w:pStyle w:val="affffff3"/>
              <w:spacing w:line="240" w:lineRule="auto"/>
              <w:rPr>
                <w:rFonts w:ascii="Times New Roman" w:eastAsia="宋体" w:cs="Times New Roman"/>
              </w:rPr>
            </w:pPr>
            <w:r>
              <w:rPr>
                <w:rFonts w:ascii="Times New Roman" w:eastAsia="宋体" w:cs="Times New Roman"/>
              </w:rPr>
              <w:t>工程项目</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建设内容</w:t>
            </w:r>
          </w:p>
        </w:tc>
      </w:tr>
      <w:tr w:rsidR="00DB7CC8">
        <w:trPr>
          <w:trHeight w:val="283"/>
          <w:jc w:val="center"/>
        </w:trPr>
        <w:tc>
          <w:tcPr>
            <w:tcW w:w="451" w:type="pct"/>
            <w:vMerge w:val="restar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主体</w:t>
            </w:r>
          </w:p>
          <w:p w:rsidR="00DB7CC8" w:rsidRDefault="002B5250">
            <w:pPr>
              <w:pStyle w:val="affffff3"/>
              <w:spacing w:line="240" w:lineRule="auto"/>
              <w:rPr>
                <w:rFonts w:ascii="Times New Roman" w:eastAsia="宋体" w:cs="Times New Roman"/>
              </w:rPr>
            </w:pPr>
            <w:r>
              <w:rPr>
                <w:rFonts w:ascii="Times New Roman" w:eastAsia="宋体" w:cs="Times New Roman"/>
              </w:rPr>
              <w:t>工程</w:t>
            </w: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1#</w:t>
            </w:r>
            <w:r>
              <w:rPr>
                <w:rFonts w:ascii="Times New Roman" w:eastAsia="宋体" w:cs="Times New Roman"/>
              </w:rPr>
              <w:t>破碎车间</w:t>
            </w:r>
          </w:p>
        </w:tc>
        <w:tc>
          <w:tcPr>
            <w:tcW w:w="3417" w:type="pct"/>
            <w:tcBorders>
              <w:left w:val="single" w:sz="4" w:space="0" w:color="auto"/>
              <w:right w:val="single" w:sz="4" w:space="0" w:color="auto"/>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全封闭，面积</w:t>
            </w:r>
            <w:r>
              <w:rPr>
                <w:rFonts w:eastAsiaTheme="minorEastAsia" w:hint="eastAsia"/>
                <w:sz w:val="21"/>
                <w:szCs w:val="21"/>
              </w:rPr>
              <w:t>100</w:t>
            </w:r>
            <w:r>
              <w:rPr>
                <w:rFonts w:eastAsiaTheme="minorEastAsia"/>
                <w:sz w:val="21"/>
                <w:szCs w:val="21"/>
              </w:rPr>
              <w:t>0m</w:t>
            </w:r>
            <w:r>
              <w:rPr>
                <w:rFonts w:eastAsiaTheme="minorEastAsia"/>
                <w:sz w:val="21"/>
                <w:szCs w:val="21"/>
                <w:vertAlign w:val="superscript"/>
              </w:rPr>
              <w:t>2</w:t>
            </w:r>
            <w:r>
              <w:rPr>
                <w:rFonts w:eastAsiaTheme="minorEastAsia"/>
                <w:sz w:val="21"/>
                <w:szCs w:val="21"/>
              </w:rPr>
              <w:t>，尺寸</w:t>
            </w:r>
            <w:r>
              <w:rPr>
                <w:rFonts w:eastAsiaTheme="minorEastAsia" w:hint="eastAsia"/>
                <w:sz w:val="21"/>
                <w:szCs w:val="21"/>
              </w:rPr>
              <w:t>40</w:t>
            </w:r>
            <w:r>
              <w:rPr>
                <w:rFonts w:eastAsiaTheme="minorEastAsia"/>
                <w:sz w:val="21"/>
                <w:szCs w:val="21"/>
              </w:rPr>
              <w:t>m×</w:t>
            </w:r>
            <w:r>
              <w:rPr>
                <w:rFonts w:eastAsiaTheme="minorEastAsia" w:hint="eastAsia"/>
                <w:sz w:val="21"/>
                <w:szCs w:val="21"/>
              </w:rPr>
              <w:t>25</w:t>
            </w:r>
            <w:r>
              <w:rPr>
                <w:rFonts w:eastAsiaTheme="minorEastAsia"/>
                <w:sz w:val="21"/>
                <w:szCs w:val="21"/>
              </w:rPr>
              <w:t>m</w:t>
            </w:r>
            <w:r>
              <w:rPr>
                <w:rFonts w:eastAsiaTheme="minorEastAsia"/>
                <w:sz w:val="21"/>
                <w:szCs w:val="21"/>
              </w:rPr>
              <w:t>，内置</w:t>
            </w:r>
            <w:r>
              <w:rPr>
                <w:rFonts w:eastAsiaTheme="minorEastAsia"/>
                <w:sz w:val="21"/>
                <w:szCs w:val="21"/>
              </w:rPr>
              <w:t>1</w:t>
            </w:r>
            <w:r>
              <w:rPr>
                <w:rFonts w:eastAsiaTheme="minorEastAsia"/>
                <w:sz w:val="21"/>
                <w:szCs w:val="21"/>
              </w:rPr>
              <w:t>台颚破机、</w:t>
            </w:r>
            <w:r>
              <w:rPr>
                <w:rFonts w:eastAsiaTheme="minorEastAsia"/>
                <w:sz w:val="21"/>
                <w:szCs w:val="21"/>
              </w:rPr>
              <w:t>1</w:t>
            </w:r>
            <w:r>
              <w:rPr>
                <w:rFonts w:eastAsiaTheme="minorEastAsia"/>
                <w:sz w:val="21"/>
                <w:szCs w:val="21"/>
              </w:rPr>
              <w:t>台磁滑轮、</w:t>
            </w:r>
            <w:r>
              <w:rPr>
                <w:rFonts w:eastAsiaTheme="minorEastAsia"/>
                <w:sz w:val="21"/>
                <w:szCs w:val="21"/>
              </w:rPr>
              <w:t>1</w:t>
            </w:r>
            <w:r>
              <w:rPr>
                <w:rFonts w:eastAsiaTheme="minorEastAsia"/>
                <w:sz w:val="21"/>
                <w:szCs w:val="21"/>
              </w:rPr>
              <w:t>台锤式破碎机、</w:t>
            </w:r>
            <w:r>
              <w:rPr>
                <w:rFonts w:eastAsiaTheme="minorEastAsia"/>
                <w:sz w:val="21"/>
                <w:szCs w:val="21"/>
              </w:rPr>
              <w:t>1</w:t>
            </w:r>
            <w:r>
              <w:rPr>
                <w:rFonts w:eastAsiaTheme="minorEastAsia"/>
                <w:sz w:val="21"/>
                <w:szCs w:val="21"/>
              </w:rPr>
              <w:t>台圆锥破碎机、</w:t>
            </w:r>
            <w:r>
              <w:rPr>
                <w:rFonts w:eastAsiaTheme="minorEastAsia"/>
                <w:sz w:val="21"/>
                <w:szCs w:val="21"/>
              </w:rPr>
              <w:t>2</w:t>
            </w:r>
            <w:r>
              <w:rPr>
                <w:rFonts w:eastAsiaTheme="minorEastAsia"/>
                <w:sz w:val="21"/>
                <w:szCs w:val="21"/>
              </w:rPr>
              <w:t>台振动筛。</w:t>
            </w:r>
          </w:p>
        </w:tc>
      </w:tr>
      <w:tr w:rsidR="00DB7CC8">
        <w:trPr>
          <w:trHeight w:val="283"/>
          <w:jc w:val="center"/>
        </w:trPr>
        <w:tc>
          <w:tcPr>
            <w:tcW w:w="451"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2#</w:t>
            </w:r>
            <w:r>
              <w:rPr>
                <w:rFonts w:ascii="Times New Roman" w:eastAsia="宋体" w:cs="Times New Roman"/>
              </w:rPr>
              <w:t>破碎车间</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Theme="minorEastAsia" w:cs="Times New Roman"/>
              </w:rPr>
            </w:pPr>
            <w:r>
              <w:rPr>
                <w:rFonts w:ascii="Times New Roman" w:eastAsiaTheme="minorEastAsia" w:cs="Times New Roman"/>
              </w:rPr>
              <w:t>全封闭，面积</w:t>
            </w:r>
            <w:r>
              <w:rPr>
                <w:rFonts w:ascii="Times New Roman" w:eastAsiaTheme="minorEastAsia" w:cs="Times New Roman" w:hint="eastAsia"/>
              </w:rPr>
              <w:t>120</w:t>
            </w:r>
            <w:r>
              <w:rPr>
                <w:rFonts w:ascii="Times New Roman" w:eastAsiaTheme="minorEastAsia" w:cs="Times New Roman"/>
              </w:rPr>
              <w:t>0m</w:t>
            </w:r>
            <w:r>
              <w:rPr>
                <w:rFonts w:ascii="Times New Roman" w:eastAsiaTheme="minorEastAsia" w:cs="Times New Roman"/>
                <w:vertAlign w:val="superscript"/>
              </w:rPr>
              <w:t>2</w:t>
            </w:r>
            <w:r>
              <w:rPr>
                <w:rFonts w:ascii="Times New Roman" w:eastAsiaTheme="minorEastAsia" w:cs="Times New Roman"/>
              </w:rPr>
              <w:t>，尺寸</w:t>
            </w:r>
            <w:r>
              <w:rPr>
                <w:rFonts w:ascii="Times New Roman" w:eastAsiaTheme="minorEastAsia" w:cs="Times New Roman"/>
              </w:rPr>
              <w:t>40m×</w:t>
            </w:r>
            <w:r>
              <w:rPr>
                <w:rFonts w:ascii="Times New Roman" w:eastAsiaTheme="minorEastAsia" w:cs="Times New Roman" w:hint="eastAsia"/>
              </w:rPr>
              <w:t>30</w:t>
            </w:r>
            <w:r>
              <w:rPr>
                <w:rFonts w:ascii="Times New Roman" w:eastAsiaTheme="minorEastAsia" w:cs="Times New Roman"/>
              </w:rPr>
              <w:t>m</w:t>
            </w:r>
            <w:r>
              <w:rPr>
                <w:rFonts w:ascii="Times New Roman" w:eastAsiaTheme="minorEastAsia" w:cs="Times New Roman"/>
              </w:rPr>
              <w:t>，内置</w:t>
            </w:r>
            <w:r>
              <w:rPr>
                <w:rFonts w:ascii="Times New Roman" w:eastAsiaTheme="minorEastAsia" w:cs="Times New Roman"/>
              </w:rPr>
              <w:t>1</w:t>
            </w:r>
            <w:r>
              <w:rPr>
                <w:rFonts w:ascii="Times New Roman" w:eastAsiaTheme="minorEastAsia" w:cs="Times New Roman"/>
              </w:rPr>
              <w:t>台颚破机、</w:t>
            </w:r>
            <w:r>
              <w:rPr>
                <w:rFonts w:ascii="Times New Roman" w:eastAsiaTheme="minorEastAsia" w:cs="Times New Roman"/>
              </w:rPr>
              <w:t>1</w:t>
            </w:r>
            <w:r>
              <w:rPr>
                <w:rFonts w:ascii="Times New Roman" w:eastAsiaTheme="minorEastAsia" w:cs="Times New Roman"/>
              </w:rPr>
              <w:t>台磁滑轮、</w:t>
            </w:r>
            <w:r>
              <w:rPr>
                <w:rFonts w:ascii="Times New Roman" w:eastAsiaTheme="minorEastAsia" w:cs="Times New Roman" w:hint="eastAsia"/>
              </w:rPr>
              <w:t>1</w:t>
            </w:r>
            <w:r>
              <w:rPr>
                <w:rFonts w:ascii="Times New Roman" w:eastAsiaTheme="minorEastAsia" w:cs="Times New Roman"/>
              </w:rPr>
              <w:t>台</w:t>
            </w:r>
            <w:r>
              <w:rPr>
                <w:rFonts w:eastAsiaTheme="minorEastAsia"/>
              </w:rPr>
              <w:t>锤式破碎机</w:t>
            </w:r>
            <w:r>
              <w:rPr>
                <w:rFonts w:ascii="Times New Roman" w:eastAsiaTheme="minorEastAsia" w:cs="Times New Roman"/>
              </w:rPr>
              <w:t>、</w:t>
            </w:r>
            <w:r>
              <w:rPr>
                <w:rFonts w:ascii="Times New Roman" w:eastAsiaTheme="minorEastAsia" w:cs="Times New Roman"/>
              </w:rPr>
              <w:t>2</w:t>
            </w:r>
            <w:r>
              <w:rPr>
                <w:rFonts w:ascii="Times New Roman" w:eastAsiaTheme="minorEastAsia" w:cs="Times New Roman"/>
              </w:rPr>
              <w:t>台振动筛。</w:t>
            </w:r>
          </w:p>
        </w:tc>
      </w:tr>
      <w:tr w:rsidR="00DB7CC8">
        <w:trPr>
          <w:trHeight w:val="283"/>
          <w:jc w:val="center"/>
        </w:trPr>
        <w:tc>
          <w:tcPr>
            <w:tcW w:w="451"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1#</w:t>
            </w:r>
            <w:r>
              <w:rPr>
                <w:rFonts w:ascii="Times New Roman" w:eastAsia="宋体" w:cs="Times New Roman"/>
              </w:rPr>
              <w:t>球磨车间</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全封闭，面积</w:t>
            </w:r>
            <w:r>
              <w:rPr>
                <w:rFonts w:ascii="Times New Roman" w:eastAsia="宋体" w:cs="Times New Roman" w:hint="eastAsia"/>
              </w:rPr>
              <w:t>120</w:t>
            </w:r>
            <w:r>
              <w:rPr>
                <w:rFonts w:ascii="Times New Roman" w:eastAsia="宋体" w:cs="Times New Roman"/>
              </w:rPr>
              <w:t>0m</w:t>
            </w:r>
            <w:r>
              <w:rPr>
                <w:rFonts w:ascii="Times New Roman" w:eastAsia="宋体" w:cs="Times New Roman"/>
                <w:vertAlign w:val="superscript"/>
              </w:rPr>
              <w:t>2</w:t>
            </w:r>
            <w:r>
              <w:rPr>
                <w:rFonts w:ascii="Times New Roman" w:eastAsia="宋体" w:cs="Times New Roman"/>
              </w:rPr>
              <w:t>，尺寸</w:t>
            </w:r>
            <w:r>
              <w:rPr>
                <w:rFonts w:ascii="Times New Roman" w:eastAsia="宋体" w:cs="Times New Roman" w:hint="eastAsia"/>
              </w:rPr>
              <w:t>48</w:t>
            </w:r>
            <w:r>
              <w:rPr>
                <w:rFonts w:ascii="Times New Roman" w:eastAsia="宋体" w:cs="Times New Roman"/>
              </w:rPr>
              <w:t>m×2</w:t>
            </w:r>
            <w:r>
              <w:rPr>
                <w:rFonts w:ascii="Times New Roman" w:eastAsia="宋体" w:cs="Times New Roman" w:hint="eastAsia"/>
              </w:rPr>
              <w:t>5</w:t>
            </w:r>
            <w:r>
              <w:rPr>
                <w:rFonts w:ascii="Times New Roman" w:eastAsia="宋体" w:cs="Times New Roman"/>
              </w:rPr>
              <w:t>m</w:t>
            </w:r>
            <w:r>
              <w:rPr>
                <w:rFonts w:ascii="Times New Roman" w:eastAsia="宋体" w:cs="Times New Roman"/>
              </w:rPr>
              <w:t>，内置</w:t>
            </w:r>
            <w:r>
              <w:rPr>
                <w:rFonts w:ascii="Times New Roman" w:eastAsia="宋体" w:cs="Times New Roman" w:hint="eastAsia"/>
              </w:rPr>
              <w:t>1</w:t>
            </w:r>
            <w:r>
              <w:rPr>
                <w:rFonts w:ascii="Times New Roman" w:eastAsia="宋体" w:cs="Times New Roman" w:hint="eastAsia"/>
              </w:rPr>
              <w:t>台</w:t>
            </w:r>
            <w:r>
              <w:rPr>
                <w:rFonts w:ascii="Times New Roman" w:eastAsia="宋体" w:cs="Times New Roman"/>
              </w:rPr>
              <w:t>球磨</w:t>
            </w:r>
            <w:r>
              <w:rPr>
                <w:rFonts w:ascii="Times New Roman" w:eastAsia="宋体" w:cs="Times New Roman" w:hint="eastAsia"/>
              </w:rPr>
              <w:t>机及配套</w:t>
            </w:r>
            <w:r>
              <w:rPr>
                <w:rFonts w:ascii="Times New Roman" w:eastAsia="宋体" w:cs="Times New Roman"/>
              </w:rPr>
              <w:t>磁选</w:t>
            </w:r>
            <w:r>
              <w:rPr>
                <w:rFonts w:ascii="Times New Roman" w:eastAsia="宋体" w:cs="Times New Roman" w:hint="eastAsia"/>
              </w:rPr>
              <w:t>、筛分设备</w:t>
            </w:r>
            <w:r>
              <w:rPr>
                <w:rFonts w:ascii="Times New Roman" w:eastAsia="宋体" w:cs="Times New Roman"/>
              </w:rPr>
              <w:t>。</w:t>
            </w:r>
          </w:p>
        </w:tc>
      </w:tr>
      <w:tr w:rsidR="00DB7CC8">
        <w:trPr>
          <w:trHeight w:val="283"/>
          <w:jc w:val="center"/>
        </w:trPr>
        <w:tc>
          <w:tcPr>
            <w:tcW w:w="451"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2</w:t>
            </w:r>
            <w:r>
              <w:rPr>
                <w:rFonts w:ascii="Times New Roman" w:eastAsia="宋体" w:cs="Times New Roman"/>
              </w:rPr>
              <w:t>#</w:t>
            </w:r>
            <w:r>
              <w:rPr>
                <w:rFonts w:ascii="Times New Roman" w:eastAsia="宋体" w:cs="Times New Roman"/>
              </w:rPr>
              <w:t>球磨车间</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全封闭，面积</w:t>
            </w:r>
            <w:r>
              <w:rPr>
                <w:rFonts w:ascii="Times New Roman" w:eastAsia="宋体" w:cs="Times New Roman" w:hint="eastAsia"/>
              </w:rPr>
              <w:t>168</w:t>
            </w:r>
            <w:r>
              <w:rPr>
                <w:rFonts w:ascii="Times New Roman" w:eastAsia="宋体" w:cs="Times New Roman"/>
              </w:rPr>
              <w:t>0m</w:t>
            </w:r>
            <w:r>
              <w:rPr>
                <w:rFonts w:ascii="Times New Roman" w:eastAsia="宋体" w:cs="Times New Roman"/>
                <w:vertAlign w:val="superscript"/>
              </w:rPr>
              <w:t>2</w:t>
            </w:r>
            <w:r>
              <w:rPr>
                <w:rFonts w:ascii="Times New Roman" w:eastAsia="宋体" w:cs="Times New Roman"/>
              </w:rPr>
              <w:t>，尺寸</w:t>
            </w:r>
            <w:r>
              <w:rPr>
                <w:rFonts w:ascii="Times New Roman" w:eastAsia="宋体" w:cs="Times New Roman"/>
              </w:rPr>
              <w:t>4</w:t>
            </w:r>
            <w:r>
              <w:rPr>
                <w:rFonts w:ascii="Times New Roman" w:eastAsia="宋体" w:cs="Times New Roman" w:hint="eastAsia"/>
              </w:rPr>
              <w:t>8</w:t>
            </w:r>
            <w:r>
              <w:rPr>
                <w:rFonts w:ascii="Times New Roman" w:eastAsia="宋体" w:cs="Times New Roman"/>
              </w:rPr>
              <w:t>m×</w:t>
            </w:r>
            <w:r>
              <w:rPr>
                <w:rFonts w:ascii="Times New Roman" w:eastAsia="宋体" w:cs="Times New Roman" w:hint="eastAsia"/>
              </w:rPr>
              <w:t>35</w:t>
            </w:r>
            <w:r>
              <w:rPr>
                <w:rFonts w:ascii="Times New Roman" w:eastAsia="宋体" w:cs="Times New Roman"/>
              </w:rPr>
              <w:t>m</w:t>
            </w:r>
            <w:r>
              <w:rPr>
                <w:rFonts w:ascii="Times New Roman" w:eastAsia="宋体" w:cs="Times New Roman"/>
              </w:rPr>
              <w:t>，内置</w:t>
            </w:r>
            <w:r>
              <w:rPr>
                <w:rFonts w:ascii="Times New Roman" w:eastAsia="宋体" w:cs="Times New Roman" w:hint="eastAsia"/>
              </w:rPr>
              <w:t>1</w:t>
            </w:r>
            <w:r>
              <w:rPr>
                <w:rFonts w:ascii="Times New Roman" w:eastAsia="宋体" w:cs="Times New Roman" w:hint="eastAsia"/>
              </w:rPr>
              <w:t>台</w:t>
            </w:r>
            <w:r>
              <w:rPr>
                <w:rFonts w:ascii="Times New Roman" w:eastAsia="宋体" w:cs="Times New Roman"/>
              </w:rPr>
              <w:t>球磨</w:t>
            </w:r>
            <w:r>
              <w:rPr>
                <w:rFonts w:ascii="Times New Roman" w:eastAsia="宋体" w:cs="Times New Roman" w:hint="eastAsia"/>
              </w:rPr>
              <w:t>机及配套</w:t>
            </w:r>
            <w:r>
              <w:rPr>
                <w:rFonts w:ascii="Times New Roman" w:eastAsia="宋体" w:cs="Times New Roman"/>
              </w:rPr>
              <w:t>磁选</w:t>
            </w:r>
            <w:r>
              <w:rPr>
                <w:rFonts w:ascii="Times New Roman" w:eastAsia="宋体" w:cs="Times New Roman" w:hint="eastAsia"/>
              </w:rPr>
              <w:t>、筛分设备</w:t>
            </w:r>
            <w:r>
              <w:rPr>
                <w:rFonts w:ascii="Times New Roman" w:eastAsia="宋体" w:cs="Times New Roman"/>
              </w:rPr>
              <w:t>。</w:t>
            </w:r>
          </w:p>
        </w:tc>
      </w:tr>
      <w:tr w:rsidR="00DB7CC8">
        <w:trPr>
          <w:trHeight w:val="283"/>
          <w:jc w:val="center"/>
        </w:trPr>
        <w:tc>
          <w:tcPr>
            <w:tcW w:w="451" w:type="pct"/>
            <w:vMerge w:val="restar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储运</w:t>
            </w:r>
          </w:p>
          <w:p w:rsidR="00DB7CC8" w:rsidRDefault="002B5250">
            <w:pPr>
              <w:pStyle w:val="affffff3"/>
              <w:spacing w:line="240" w:lineRule="auto"/>
              <w:rPr>
                <w:rFonts w:ascii="Times New Roman" w:eastAsia="宋体" w:cs="Times New Roman"/>
              </w:rPr>
            </w:pPr>
            <w:r>
              <w:rPr>
                <w:rFonts w:ascii="Times New Roman" w:eastAsia="宋体" w:cs="Times New Roman"/>
              </w:rPr>
              <w:t>工程</w:t>
            </w: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原料</w:t>
            </w:r>
            <w:r>
              <w:rPr>
                <w:rFonts w:asciiTheme="minorEastAsia" w:eastAsiaTheme="minorEastAsia" w:hAnsiTheme="minorEastAsia" w:hint="eastAsia"/>
                <w:bCs/>
                <w:szCs w:val="24"/>
              </w:rPr>
              <w:t>棚</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原料</w:t>
            </w:r>
            <w:r>
              <w:rPr>
                <w:rFonts w:ascii="Times New Roman" w:eastAsia="宋体" w:cs="Times New Roman" w:hint="eastAsia"/>
              </w:rPr>
              <w:t>不露天堆存，运输车辆直接进入料棚卸料至受料仓，</w:t>
            </w:r>
            <w:r>
              <w:rPr>
                <w:rFonts w:ascii="Times New Roman" w:eastAsiaTheme="minorEastAsia" w:cs="Times New Roman"/>
              </w:rPr>
              <w:t>料棚进深尺度不小于</w:t>
            </w:r>
            <w:r>
              <w:rPr>
                <w:rFonts w:ascii="Times New Roman" w:eastAsiaTheme="minorEastAsia" w:cs="Times New Roman"/>
              </w:rPr>
              <w:t>8</w:t>
            </w:r>
            <w:r>
              <w:rPr>
                <w:rFonts w:ascii="Times New Roman" w:eastAsiaTheme="minorEastAsia" w:cs="Times New Roman"/>
              </w:rPr>
              <w:t>米</w:t>
            </w:r>
          </w:p>
        </w:tc>
      </w:tr>
      <w:tr w:rsidR="00DB7CC8">
        <w:trPr>
          <w:trHeight w:val="283"/>
          <w:jc w:val="center"/>
        </w:trPr>
        <w:tc>
          <w:tcPr>
            <w:tcW w:w="451" w:type="pct"/>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成品库</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全封闭彩钢结构，面积</w:t>
            </w:r>
            <w:r>
              <w:rPr>
                <w:rFonts w:ascii="Times New Roman" w:eastAsiaTheme="minorEastAsia" w:cs="Times New Roman" w:hint="eastAsia"/>
              </w:rPr>
              <w:t>450</w:t>
            </w:r>
            <w:r>
              <w:rPr>
                <w:rFonts w:ascii="Times New Roman" w:eastAsia="宋体" w:cs="Times New Roman"/>
              </w:rPr>
              <w:t>m</w:t>
            </w:r>
            <w:r>
              <w:rPr>
                <w:rFonts w:ascii="Times New Roman" w:eastAsia="宋体" w:cs="Times New Roman"/>
                <w:vertAlign w:val="superscript"/>
              </w:rPr>
              <w:t>2</w:t>
            </w:r>
            <w:r>
              <w:rPr>
                <w:rFonts w:ascii="Times New Roman" w:eastAsia="宋体" w:cs="Times New Roman"/>
              </w:rPr>
              <w:t>，尺寸</w:t>
            </w:r>
            <w:r>
              <w:rPr>
                <w:rFonts w:ascii="Times New Roman" w:eastAsia="宋体" w:cs="Times New Roman" w:hint="eastAsia"/>
              </w:rPr>
              <w:t>30</w:t>
            </w:r>
            <w:r>
              <w:rPr>
                <w:rFonts w:ascii="Times New Roman" w:eastAsia="宋体" w:cs="Times New Roman"/>
              </w:rPr>
              <w:t>m×</w:t>
            </w:r>
            <w:r>
              <w:rPr>
                <w:rFonts w:ascii="Times New Roman" w:eastAsia="宋体" w:cs="Times New Roman" w:hint="eastAsia"/>
              </w:rPr>
              <w:t>15</w:t>
            </w:r>
            <w:r>
              <w:rPr>
                <w:rFonts w:ascii="Times New Roman" w:eastAsia="宋体" w:cs="Times New Roman"/>
              </w:rPr>
              <w:t>m</w:t>
            </w:r>
          </w:p>
        </w:tc>
      </w:tr>
      <w:tr w:rsidR="00DB7CC8">
        <w:trPr>
          <w:trHeight w:val="283"/>
          <w:jc w:val="center"/>
        </w:trPr>
        <w:tc>
          <w:tcPr>
            <w:tcW w:w="451" w:type="pct"/>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砂石库</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全封闭彩钢结构，面积</w:t>
            </w:r>
            <w:r>
              <w:rPr>
                <w:rFonts w:ascii="Times New Roman" w:eastAsiaTheme="minorEastAsia" w:cs="Times New Roman" w:hint="eastAsia"/>
              </w:rPr>
              <w:t>2</w:t>
            </w:r>
            <w:r>
              <w:rPr>
                <w:rFonts w:ascii="Times New Roman" w:eastAsiaTheme="minorEastAsia" w:cs="Times New Roman"/>
              </w:rPr>
              <w:t>00</w:t>
            </w:r>
            <w:r>
              <w:rPr>
                <w:rFonts w:ascii="Times New Roman" w:eastAsia="宋体" w:cs="Times New Roman"/>
              </w:rPr>
              <w:t xml:space="preserve"> m</w:t>
            </w:r>
            <w:r>
              <w:rPr>
                <w:rFonts w:ascii="Times New Roman" w:eastAsia="宋体" w:cs="Times New Roman"/>
                <w:vertAlign w:val="superscript"/>
              </w:rPr>
              <w:t>2</w:t>
            </w:r>
          </w:p>
        </w:tc>
      </w:tr>
      <w:tr w:rsidR="00DB7CC8">
        <w:trPr>
          <w:trHeight w:val="283"/>
          <w:jc w:val="center"/>
        </w:trPr>
        <w:tc>
          <w:tcPr>
            <w:tcW w:w="451" w:type="pct"/>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尾砂库</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全封闭彩钢结构，面积</w:t>
            </w:r>
            <w:r>
              <w:rPr>
                <w:rFonts w:ascii="Times New Roman" w:eastAsiaTheme="minorEastAsia" w:cs="Times New Roman" w:hint="eastAsia"/>
              </w:rPr>
              <w:t>20</w:t>
            </w:r>
            <w:r>
              <w:rPr>
                <w:rFonts w:ascii="Times New Roman" w:eastAsiaTheme="minorEastAsia" w:cs="Times New Roman"/>
              </w:rPr>
              <w:t>00</w:t>
            </w:r>
            <w:r>
              <w:rPr>
                <w:rFonts w:ascii="Times New Roman" w:eastAsia="宋体" w:cs="Times New Roman"/>
              </w:rPr>
              <w:t xml:space="preserve"> m</w:t>
            </w:r>
            <w:r>
              <w:rPr>
                <w:rFonts w:ascii="Times New Roman" w:eastAsia="宋体" w:cs="Times New Roman"/>
                <w:vertAlign w:val="superscript"/>
              </w:rPr>
              <w:t>2</w:t>
            </w:r>
          </w:p>
        </w:tc>
      </w:tr>
      <w:tr w:rsidR="00DB7CC8">
        <w:trPr>
          <w:trHeight w:val="395"/>
          <w:jc w:val="center"/>
        </w:trPr>
        <w:tc>
          <w:tcPr>
            <w:tcW w:w="451" w:type="pct"/>
            <w:vMerge w:val="restar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辅助</w:t>
            </w:r>
          </w:p>
          <w:p w:rsidR="00DB7CC8" w:rsidRDefault="002B5250">
            <w:pPr>
              <w:pStyle w:val="affffff3"/>
              <w:spacing w:line="240" w:lineRule="auto"/>
              <w:rPr>
                <w:rFonts w:ascii="Times New Roman" w:eastAsia="宋体" w:cs="Times New Roman"/>
              </w:rPr>
            </w:pPr>
            <w:r>
              <w:rPr>
                <w:rFonts w:ascii="Times New Roman" w:eastAsia="宋体" w:cs="Times New Roman"/>
              </w:rPr>
              <w:t>工程</w:t>
            </w: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办公区</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建筑面积约</w:t>
            </w:r>
            <w:r>
              <w:rPr>
                <w:rFonts w:ascii="Times New Roman" w:eastAsia="宋体" w:cs="Times New Roman"/>
              </w:rPr>
              <w:t>80m</w:t>
            </w:r>
            <w:r>
              <w:rPr>
                <w:rFonts w:ascii="Times New Roman" w:eastAsia="宋体" w:cs="Times New Roman"/>
                <w:vertAlign w:val="superscript"/>
              </w:rPr>
              <w:t>2</w:t>
            </w:r>
            <w:r>
              <w:rPr>
                <w:rFonts w:ascii="Times New Roman" w:eastAsia="宋体" w:cs="Times New Roman"/>
              </w:rPr>
              <w:t>，</w:t>
            </w:r>
            <w:r>
              <w:rPr>
                <w:rFonts w:ascii="Times New Roman" w:eastAsia="宋体" w:cs="Times New Roman"/>
              </w:rPr>
              <w:t>20m×4m</w:t>
            </w:r>
            <w:r>
              <w:rPr>
                <w:rFonts w:ascii="Times New Roman" w:eastAsia="宋体" w:cs="Times New Roman"/>
              </w:rPr>
              <w:t>，一层砖混结构</w:t>
            </w:r>
          </w:p>
        </w:tc>
      </w:tr>
      <w:tr w:rsidR="00DB7CC8">
        <w:trPr>
          <w:trHeight w:val="560"/>
          <w:jc w:val="center"/>
        </w:trPr>
        <w:tc>
          <w:tcPr>
            <w:tcW w:w="451" w:type="pct"/>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eastAsiaTheme="minorEastAsia"/>
              </w:rPr>
              <w:t>尾矿</w:t>
            </w:r>
            <w:r>
              <w:rPr>
                <w:rFonts w:ascii="Times New Roman" w:eastAsia="宋体" w:cs="Times New Roman" w:hint="eastAsia"/>
              </w:rPr>
              <w:t>压滤间</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建筑面积约</w:t>
            </w:r>
            <w:r>
              <w:rPr>
                <w:rFonts w:ascii="Times New Roman" w:eastAsia="宋体" w:cs="Times New Roman" w:hint="eastAsia"/>
              </w:rPr>
              <w:t>60</w:t>
            </w:r>
            <w:r>
              <w:rPr>
                <w:rFonts w:ascii="Times New Roman" w:eastAsia="宋体" w:cs="Times New Roman"/>
              </w:rPr>
              <w:t>0m</w:t>
            </w:r>
            <w:r>
              <w:rPr>
                <w:rFonts w:ascii="Times New Roman" w:eastAsia="宋体" w:cs="Times New Roman"/>
                <w:vertAlign w:val="superscript"/>
              </w:rPr>
              <w:t>2</w:t>
            </w:r>
            <w:r>
              <w:rPr>
                <w:rFonts w:ascii="Times New Roman" w:eastAsia="宋体" w:cs="Times New Roman"/>
              </w:rPr>
              <w:t>，</w:t>
            </w:r>
            <w:r>
              <w:rPr>
                <w:rFonts w:ascii="Times New Roman" w:eastAsia="宋体" w:cs="Times New Roman" w:hint="eastAsia"/>
              </w:rPr>
              <w:t>3</w:t>
            </w:r>
            <w:r>
              <w:rPr>
                <w:rFonts w:ascii="Times New Roman" w:eastAsia="宋体" w:cs="Times New Roman"/>
              </w:rPr>
              <w:t>0m×</w:t>
            </w:r>
            <w:r>
              <w:rPr>
                <w:rFonts w:ascii="Times New Roman" w:eastAsia="宋体" w:cs="Times New Roman" w:hint="eastAsia"/>
              </w:rPr>
              <w:t>20</w:t>
            </w:r>
            <w:r>
              <w:rPr>
                <w:rFonts w:ascii="Times New Roman" w:eastAsia="宋体" w:cs="Times New Roman"/>
              </w:rPr>
              <w:t>m</w:t>
            </w:r>
            <w:r>
              <w:rPr>
                <w:rFonts w:ascii="Times New Roman" w:eastAsia="宋体" w:cs="Times New Roman"/>
              </w:rPr>
              <w:t>，一层砖混结构</w:t>
            </w:r>
          </w:p>
        </w:tc>
      </w:tr>
      <w:tr w:rsidR="00DB7CC8">
        <w:trPr>
          <w:trHeight w:val="283"/>
          <w:jc w:val="center"/>
        </w:trPr>
        <w:tc>
          <w:tcPr>
            <w:tcW w:w="451" w:type="pct"/>
            <w:vMerge w:val="restart"/>
            <w:tcBorders>
              <w:left w:val="single" w:sz="4" w:space="0" w:color="auto"/>
              <w:right w:val="single" w:sz="4" w:space="0" w:color="auto"/>
            </w:tcBorders>
            <w:vAlign w:val="center"/>
          </w:tcPr>
          <w:p w:rsidR="00DB7CC8" w:rsidRDefault="002B5250">
            <w:pPr>
              <w:spacing w:line="240" w:lineRule="auto"/>
              <w:ind w:firstLineChars="0" w:firstLine="0"/>
              <w:jc w:val="center"/>
              <w:rPr>
                <w:kern w:val="2"/>
                <w:sz w:val="21"/>
                <w:szCs w:val="21"/>
              </w:rPr>
            </w:pPr>
            <w:r>
              <w:rPr>
                <w:kern w:val="2"/>
                <w:sz w:val="21"/>
                <w:szCs w:val="21"/>
              </w:rPr>
              <w:t>公用</w:t>
            </w:r>
          </w:p>
          <w:p w:rsidR="00DB7CC8" w:rsidRDefault="002B5250">
            <w:pPr>
              <w:spacing w:line="240" w:lineRule="auto"/>
              <w:ind w:firstLineChars="0" w:firstLine="0"/>
              <w:jc w:val="center"/>
              <w:rPr>
                <w:kern w:val="2"/>
                <w:sz w:val="21"/>
                <w:szCs w:val="21"/>
              </w:rPr>
            </w:pPr>
            <w:r>
              <w:rPr>
                <w:kern w:val="2"/>
                <w:sz w:val="21"/>
                <w:szCs w:val="21"/>
              </w:rPr>
              <w:t>工程</w:t>
            </w: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供水工程</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由厂区内现有的自备井供给</w:t>
            </w:r>
          </w:p>
        </w:tc>
      </w:tr>
      <w:tr w:rsidR="00DB7CC8">
        <w:trPr>
          <w:trHeight w:val="283"/>
          <w:jc w:val="center"/>
        </w:trPr>
        <w:tc>
          <w:tcPr>
            <w:tcW w:w="451"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供电工程</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电源引自</w:t>
            </w:r>
            <w:r>
              <w:rPr>
                <w:rFonts w:ascii="Times New Roman" w:eastAsia="宋体" w:cs="Times New Roman"/>
                <w:lang w:val="en-GB"/>
              </w:rPr>
              <w:t>当地</w:t>
            </w:r>
            <w:r>
              <w:rPr>
                <w:rFonts w:ascii="Times New Roman" w:eastAsia="宋体" w:cs="Times New Roman"/>
              </w:rPr>
              <w:t>35kV</w:t>
            </w:r>
            <w:r>
              <w:rPr>
                <w:rFonts w:ascii="Times New Roman" w:eastAsia="宋体" w:cs="Times New Roman"/>
              </w:rPr>
              <w:t>变电站，厂区内设配电室</w:t>
            </w:r>
            <w:r>
              <w:rPr>
                <w:rFonts w:ascii="Times New Roman" w:eastAsia="宋体" w:cs="Times New Roman"/>
              </w:rPr>
              <w:t>1</w:t>
            </w:r>
            <w:r>
              <w:rPr>
                <w:rFonts w:ascii="Times New Roman" w:eastAsia="宋体" w:cs="Times New Roman"/>
              </w:rPr>
              <w:t>座。</w:t>
            </w:r>
          </w:p>
        </w:tc>
      </w:tr>
      <w:tr w:rsidR="00DB7CC8">
        <w:trPr>
          <w:trHeight w:val="283"/>
          <w:jc w:val="center"/>
        </w:trPr>
        <w:tc>
          <w:tcPr>
            <w:tcW w:w="451"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供热设施</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生产系统无供热设施，办公区采用空调或电暖气采暖。</w:t>
            </w:r>
          </w:p>
        </w:tc>
      </w:tr>
      <w:tr w:rsidR="00DB7CC8">
        <w:trPr>
          <w:trHeight w:val="283"/>
          <w:jc w:val="center"/>
        </w:trPr>
        <w:tc>
          <w:tcPr>
            <w:tcW w:w="451" w:type="pct"/>
            <w:vMerge w:val="restar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环保</w:t>
            </w:r>
          </w:p>
          <w:p w:rsidR="00DB7CC8" w:rsidRDefault="002B5250">
            <w:pPr>
              <w:pStyle w:val="affffff3"/>
              <w:spacing w:line="240" w:lineRule="auto"/>
              <w:rPr>
                <w:rFonts w:ascii="Times New Roman" w:eastAsia="宋体" w:cs="Times New Roman"/>
              </w:rPr>
            </w:pPr>
            <w:r>
              <w:rPr>
                <w:rFonts w:ascii="Times New Roman" w:eastAsia="宋体" w:cs="Times New Roman"/>
              </w:rPr>
              <w:t>工程</w:t>
            </w: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1#</w:t>
            </w:r>
            <w:r>
              <w:rPr>
                <w:rFonts w:ascii="Times New Roman" w:eastAsia="宋体" w:cs="Times New Roman" w:hint="eastAsia"/>
              </w:rPr>
              <w:t>、</w:t>
            </w:r>
            <w:r>
              <w:rPr>
                <w:rFonts w:ascii="Times New Roman" w:eastAsia="宋体" w:cs="Times New Roman" w:hint="eastAsia"/>
              </w:rPr>
              <w:t>2#</w:t>
            </w:r>
            <w:r>
              <w:rPr>
                <w:rFonts w:ascii="Times New Roman" w:eastAsia="宋体" w:cs="Times New Roman"/>
              </w:rPr>
              <w:t>破碎车间</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封闭车间，各产尘点由集气罩收集进入布袋除尘器处理，</w:t>
            </w:r>
            <w:r>
              <w:rPr>
                <w:rFonts w:ascii="Times New Roman" w:eastAsia="宋体" w:cs="Times New Roman" w:hint="eastAsia"/>
              </w:rPr>
              <w:t>经</w:t>
            </w:r>
            <w:r>
              <w:rPr>
                <w:rFonts w:ascii="Times New Roman" w:eastAsia="宋体" w:cs="Times New Roman" w:hint="eastAsia"/>
              </w:rPr>
              <w:t>2</w:t>
            </w:r>
            <w:r>
              <w:rPr>
                <w:rFonts w:ascii="Times New Roman" w:eastAsia="宋体" w:cs="Times New Roman" w:hint="eastAsia"/>
              </w:rPr>
              <w:t>根</w:t>
            </w:r>
            <w:r>
              <w:rPr>
                <w:rFonts w:ascii="Times New Roman" w:eastAsia="宋体" w:cs="Times New Roman"/>
              </w:rPr>
              <w:t>16m</w:t>
            </w:r>
            <w:r>
              <w:rPr>
                <w:rFonts w:ascii="Times New Roman" w:eastAsia="宋体" w:cs="Times New Roman"/>
              </w:rPr>
              <w:t>高排气筒</w:t>
            </w:r>
            <w:r>
              <w:rPr>
                <w:rFonts w:ascii="Times New Roman" w:eastAsia="宋体" w:cs="Times New Roman" w:hint="eastAsia"/>
              </w:rPr>
              <w:t>P1</w:t>
            </w:r>
            <w:r>
              <w:rPr>
                <w:rFonts w:ascii="Times New Roman" w:eastAsia="宋体" w:cs="Times New Roman" w:hint="eastAsia"/>
              </w:rPr>
              <w:t>、</w:t>
            </w:r>
            <w:r>
              <w:rPr>
                <w:rFonts w:ascii="Times New Roman" w:eastAsia="宋体" w:cs="Times New Roman" w:hint="eastAsia"/>
              </w:rPr>
              <w:t>P2</w:t>
            </w:r>
            <w:r>
              <w:rPr>
                <w:rFonts w:ascii="Times New Roman" w:eastAsia="宋体" w:cs="Times New Roman"/>
              </w:rPr>
              <w:t>排放。</w:t>
            </w:r>
          </w:p>
        </w:tc>
      </w:tr>
      <w:tr w:rsidR="00DB7CC8">
        <w:trPr>
          <w:trHeight w:val="283"/>
          <w:jc w:val="center"/>
        </w:trPr>
        <w:tc>
          <w:tcPr>
            <w:tcW w:w="451" w:type="pct"/>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原料及成品库</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原料</w:t>
            </w:r>
            <w:r>
              <w:rPr>
                <w:rFonts w:ascii="Times New Roman" w:eastAsia="宋体" w:cs="Times New Roman" w:hint="eastAsia"/>
              </w:rPr>
              <w:t>不露天堆存，设</w:t>
            </w:r>
            <w:r>
              <w:rPr>
                <w:rFonts w:ascii="Times New Roman" w:eastAsia="宋体" w:cs="Times New Roman"/>
              </w:rPr>
              <w:t>成品库</w:t>
            </w:r>
            <w:r>
              <w:rPr>
                <w:rFonts w:ascii="Times New Roman" w:eastAsia="宋体" w:cs="Times New Roman" w:hint="eastAsia"/>
              </w:rPr>
              <w:t>、砂石库、尾砂库等，</w:t>
            </w:r>
            <w:r>
              <w:rPr>
                <w:rFonts w:ascii="Times New Roman" w:eastAsia="宋体" w:cs="Times New Roman" w:hint="eastAsia"/>
              </w:rPr>
              <w:t>均为</w:t>
            </w:r>
            <w:r>
              <w:rPr>
                <w:rFonts w:ascii="Times New Roman" w:eastAsia="宋体" w:cs="Times New Roman"/>
              </w:rPr>
              <w:t>全封闭结构，并进行地面硬化，设置喷雾抑尘装置。</w:t>
            </w:r>
          </w:p>
        </w:tc>
      </w:tr>
      <w:tr w:rsidR="00DB7CC8">
        <w:trPr>
          <w:trHeight w:val="283"/>
          <w:jc w:val="center"/>
        </w:trPr>
        <w:tc>
          <w:tcPr>
            <w:tcW w:w="451"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生产废水</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设</w:t>
            </w:r>
            <w:r>
              <w:rPr>
                <w:rFonts w:ascii="Times New Roman" w:eastAsia="宋体" w:cs="Times New Roman"/>
              </w:rPr>
              <w:t>1</w:t>
            </w:r>
            <w:r>
              <w:rPr>
                <w:rFonts w:ascii="Times New Roman" w:eastAsia="宋体" w:cs="Times New Roman"/>
              </w:rPr>
              <w:t>个清水池，清水池容积约为</w:t>
            </w:r>
            <w:r>
              <w:rPr>
                <w:rFonts w:ascii="Times New Roman" w:eastAsia="宋体" w:cs="Times New Roman"/>
              </w:rPr>
              <w:t>80m</w:t>
            </w:r>
            <w:r>
              <w:rPr>
                <w:rFonts w:ascii="Times New Roman" w:eastAsia="宋体" w:cs="Times New Roman"/>
                <w:vertAlign w:val="superscript"/>
              </w:rPr>
              <w:t>3</w:t>
            </w:r>
            <w:r>
              <w:rPr>
                <w:rFonts w:ascii="Times New Roman" w:eastAsia="宋体" w:cs="Times New Roman"/>
              </w:rPr>
              <w:t>；</w:t>
            </w:r>
            <w:r>
              <w:rPr>
                <w:rFonts w:ascii="Times New Roman" w:eastAsia="宋体" w:cs="Times New Roman"/>
              </w:rPr>
              <w:t>2</w:t>
            </w:r>
            <w:r>
              <w:rPr>
                <w:rFonts w:ascii="Times New Roman" w:eastAsia="宋体" w:cs="Times New Roman"/>
              </w:rPr>
              <w:t>个浓密池</w:t>
            </w:r>
            <w:r>
              <w:rPr>
                <w:rFonts w:ascii="Times New Roman" w:eastAsia="宋体" w:cs="Times New Roman" w:hint="eastAsia"/>
              </w:rPr>
              <w:t>直径均</w:t>
            </w:r>
            <w:r>
              <w:rPr>
                <w:rFonts w:ascii="Times New Roman" w:eastAsia="宋体" w:cs="Times New Roman"/>
              </w:rPr>
              <w:t>为</w:t>
            </w:r>
            <w:r>
              <w:rPr>
                <w:rFonts w:ascii="Times New Roman" w:eastAsia="宋体" w:cs="Times New Roman" w:hint="eastAsia"/>
              </w:rPr>
              <w:t>Ф</w:t>
            </w:r>
            <w:r>
              <w:rPr>
                <w:rFonts w:ascii="Times New Roman" w:eastAsia="宋体" w:cs="Times New Roman"/>
              </w:rPr>
              <w:t>10m</w:t>
            </w:r>
            <w:r>
              <w:rPr>
                <w:rFonts w:ascii="Times New Roman" w:eastAsia="宋体" w:cs="Times New Roman"/>
              </w:rPr>
              <w:t>。尾矿浆经</w:t>
            </w:r>
            <w:r>
              <w:rPr>
                <w:rFonts w:ascii="Times New Roman" w:eastAsia="宋体" w:cs="Times New Roman" w:hint="eastAsia"/>
              </w:rPr>
              <w:t>选砂</w:t>
            </w:r>
            <w:r>
              <w:rPr>
                <w:rFonts w:ascii="Times New Roman" w:eastAsia="宋体" w:cs="Times New Roman"/>
              </w:rPr>
              <w:t>处理后，进入</w:t>
            </w:r>
            <w:r>
              <w:rPr>
                <w:rFonts w:ascii="Times New Roman" w:eastAsia="宋体" w:cs="Times New Roman" w:hint="eastAsia"/>
              </w:rPr>
              <w:t>浓密池</w:t>
            </w:r>
            <w:r>
              <w:rPr>
                <w:rFonts w:ascii="Times New Roman" w:eastAsia="宋体" w:cs="Times New Roman"/>
              </w:rPr>
              <w:t>浓缩，浓</w:t>
            </w:r>
            <w:r>
              <w:rPr>
                <w:rFonts w:ascii="Times New Roman" w:eastAsia="宋体" w:cs="Times New Roman" w:hint="eastAsia"/>
              </w:rPr>
              <w:t>密</w:t>
            </w:r>
            <w:r>
              <w:rPr>
                <w:rFonts w:ascii="Times New Roman" w:eastAsia="宋体" w:cs="Times New Roman"/>
              </w:rPr>
              <w:t>池上清液</w:t>
            </w:r>
            <w:r>
              <w:rPr>
                <w:rFonts w:ascii="Times New Roman" w:eastAsia="宋体" w:cs="Times New Roman" w:hint="eastAsia"/>
              </w:rPr>
              <w:t>进入清水池，</w:t>
            </w:r>
            <w:r>
              <w:rPr>
                <w:rFonts w:ascii="Times New Roman" w:eastAsia="宋体" w:cs="Times New Roman"/>
              </w:rPr>
              <w:t>回用于生产工序；洗车废水沉淀池容积约为</w:t>
            </w:r>
            <w:r>
              <w:rPr>
                <w:rFonts w:ascii="Times New Roman" w:eastAsia="宋体" w:cs="Times New Roman"/>
              </w:rPr>
              <w:t>6m</w:t>
            </w:r>
            <w:r>
              <w:rPr>
                <w:rFonts w:ascii="Times New Roman" w:eastAsia="宋体" w:cs="Times New Roman"/>
                <w:vertAlign w:val="superscript"/>
              </w:rPr>
              <w:t>3</w:t>
            </w:r>
            <w:r>
              <w:rPr>
                <w:rFonts w:ascii="Times New Roman" w:eastAsia="宋体" w:cs="Times New Roman"/>
              </w:rPr>
              <w:t>。</w:t>
            </w:r>
          </w:p>
        </w:tc>
      </w:tr>
      <w:tr w:rsidR="00DB7CC8">
        <w:trPr>
          <w:trHeight w:val="283"/>
          <w:jc w:val="center"/>
        </w:trPr>
        <w:tc>
          <w:tcPr>
            <w:tcW w:w="451"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噪声</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基础减振、隔声等措施</w:t>
            </w:r>
          </w:p>
        </w:tc>
      </w:tr>
      <w:tr w:rsidR="00DB7CC8">
        <w:trPr>
          <w:trHeight w:val="283"/>
          <w:jc w:val="center"/>
        </w:trPr>
        <w:tc>
          <w:tcPr>
            <w:tcW w:w="451"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固体废物</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石碴、</w:t>
            </w:r>
            <w:r>
              <w:rPr>
                <w:rFonts w:ascii="Times New Roman" w:eastAsia="宋体" w:cs="Times New Roman" w:hint="eastAsia"/>
              </w:rPr>
              <w:t>砂子</w:t>
            </w:r>
            <w:r>
              <w:rPr>
                <w:rFonts w:ascii="Times New Roman" w:eastAsia="宋体" w:cs="Times New Roman"/>
              </w:rPr>
              <w:t>作为建筑生产原料综合利用</w:t>
            </w:r>
            <w:r>
              <w:rPr>
                <w:rFonts w:ascii="Times New Roman" w:eastAsia="宋体" w:cs="Times New Roman" w:hint="eastAsia"/>
              </w:rPr>
              <w:t>，</w:t>
            </w:r>
            <w:r>
              <w:rPr>
                <w:rFonts w:ascii="Times New Roman" w:eastAsia="宋体" w:cs="Times New Roman"/>
              </w:rPr>
              <w:t>尾矿砂粗砂在尾砂库暂时堆存，作为建筑生产原料综合利用</w:t>
            </w:r>
            <w:r>
              <w:rPr>
                <w:rFonts w:ascii="Times New Roman" w:eastAsia="宋体" w:cs="Times New Roman" w:hint="eastAsia"/>
              </w:rPr>
              <w:t>，</w:t>
            </w:r>
            <w:r>
              <w:rPr>
                <w:rFonts w:ascii="Times New Roman" w:eastAsia="宋体" w:cs="Times New Roman"/>
              </w:rPr>
              <w:t>尾矿砂细砂</w:t>
            </w:r>
            <w:r>
              <w:rPr>
                <w:rFonts w:ascii="Times New Roman" w:eastAsia="宋体" w:cs="Times New Roman" w:hint="eastAsia"/>
              </w:rPr>
              <w:t>外运</w:t>
            </w:r>
            <w:r>
              <w:rPr>
                <w:rFonts w:ascii="Times New Roman" w:eastAsia="宋体" w:cs="Times New Roman"/>
              </w:rPr>
              <w:t>填坑造地</w:t>
            </w:r>
            <w:r>
              <w:rPr>
                <w:rFonts w:ascii="Times New Roman" w:eastAsia="宋体" w:cs="Times New Roman" w:hint="eastAsia"/>
              </w:rPr>
              <w:t>；废钢球厂家回收利用</w:t>
            </w:r>
            <w:r>
              <w:rPr>
                <w:rFonts w:ascii="Times New Roman" w:eastAsia="宋体" w:cs="Times New Roman"/>
              </w:rPr>
              <w:t>。</w:t>
            </w:r>
          </w:p>
        </w:tc>
      </w:tr>
      <w:tr w:rsidR="00DB7CC8">
        <w:trPr>
          <w:trHeight w:val="283"/>
          <w:jc w:val="center"/>
        </w:trPr>
        <w:tc>
          <w:tcPr>
            <w:tcW w:w="451"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危险废物</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设危险废物暂存间</w:t>
            </w:r>
            <w:r>
              <w:rPr>
                <w:rFonts w:ascii="Times New Roman" w:eastAsia="宋体" w:cs="Times New Roman"/>
              </w:rPr>
              <w:t>，建筑面积</w:t>
            </w:r>
            <w:r>
              <w:rPr>
                <w:rFonts w:ascii="Times New Roman" w:eastAsia="宋体" w:cs="Times New Roman"/>
              </w:rPr>
              <w:t>12m</w:t>
            </w:r>
            <w:r>
              <w:rPr>
                <w:rFonts w:ascii="Times New Roman" w:eastAsia="宋体" w:cs="Times New Roman"/>
                <w:vertAlign w:val="superscript"/>
              </w:rPr>
              <w:t>2</w:t>
            </w:r>
            <w:r>
              <w:rPr>
                <w:rFonts w:ascii="Times New Roman" w:eastAsia="宋体" w:cs="Times New Roman"/>
              </w:rPr>
              <w:t>，地面防渗</w:t>
            </w:r>
            <w:r>
              <w:rPr>
                <w:rFonts w:ascii="Times New Roman" w:eastAsia="宋体" w:cs="Times New Roman" w:hint="eastAsia"/>
              </w:rPr>
              <w:t>；危险废物最终委托有资质单位处置</w:t>
            </w:r>
            <w:r>
              <w:rPr>
                <w:rFonts w:ascii="Times New Roman" w:eastAsia="宋体" w:cs="Times New Roman"/>
              </w:rPr>
              <w:t>。</w:t>
            </w:r>
          </w:p>
        </w:tc>
      </w:tr>
      <w:tr w:rsidR="00DB7CC8">
        <w:trPr>
          <w:trHeight w:val="283"/>
          <w:jc w:val="center"/>
        </w:trPr>
        <w:tc>
          <w:tcPr>
            <w:tcW w:w="451"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1"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事故池</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球磨车间南侧设一个事故水池，容积为</w:t>
            </w:r>
            <w:r>
              <w:rPr>
                <w:rFonts w:ascii="Times New Roman" w:eastAsia="宋体" w:cs="Times New Roman" w:hint="eastAsia"/>
              </w:rPr>
              <w:t>25</w:t>
            </w:r>
            <w:r>
              <w:rPr>
                <w:rFonts w:ascii="Times New Roman" w:eastAsia="宋体" w:cs="Times New Roman"/>
              </w:rPr>
              <w:t>m</w:t>
            </w:r>
            <w:r>
              <w:rPr>
                <w:rFonts w:ascii="Times New Roman" w:eastAsia="宋体" w:cs="Times New Roman"/>
                <w:vertAlign w:val="superscript"/>
              </w:rPr>
              <w:t>3</w:t>
            </w:r>
            <w:r>
              <w:rPr>
                <w:rFonts w:ascii="Times New Roman" w:eastAsia="宋体" w:cs="Times New Roman"/>
              </w:rPr>
              <w:t>，用收集事故状态下的废水及浆液。</w:t>
            </w:r>
          </w:p>
        </w:tc>
      </w:tr>
      <w:tr w:rsidR="00DB7CC8">
        <w:trPr>
          <w:trHeight w:val="283"/>
          <w:jc w:val="center"/>
        </w:trPr>
        <w:tc>
          <w:tcPr>
            <w:tcW w:w="451"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4548" w:type="pct"/>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厂区门口</w:t>
            </w:r>
            <w:r>
              <w:rPr>
                <w:rFonts w:ascii="Times New Roman" w:eastAsia="宋体" w:cs="Times New Roman" w:hint="eastAsia"/>
              </w:rPr>
              <w:t>、</w:t>
            </w:r>
            <w:r>
              <w:rPr>
                <w:rFonts w:asciiTheme="minorEastAsia" w:eastAsiaTheme="minorEastAsia" w:hAnsiTheme="minorEastAsia" w:hint="eastAsia"/>
                <w:bCs/>
                <w:szCs w:val="24"/>
              </w:rPr>
              <w:t>成品库、砂石库、原料</w:t>
            </w:r>
            <w:r>
              <w:rPr>
                <w:rFonts w:asciiTheme="minorEastAsia" w:eastAsiaTheme="minorEastAsia" w:hAnsiTheme="minorEastAsia" w:hint="eastAsia"/>
                <w:bCs/>
                <w:szCs w:val="24"/>
              </w:rPr>
              <w:t>棚</w:t>
            </w:r>
            <w:r>
              <w:rPr>
                <w:rFonts w:ascii="Times New Roman" w:eastAsia="宋体" w:cs="Times New Roman"/>
              </w:rPr>
              <w:t>附近设置</w:t>
            </w:r>
            <w:r>
              <w:rPr>
                <w:rFonts w:ascii="Times New Roman" w:eastAsia="宋体" w:cs="Times New Roman" w:hint="eastAsia"/>
              </w:rPr>
              <w:t>4</w:t>
            </w:r>
            <w:r>
              <w:rPr>
                <w:rFonts w:ascii="Times New Roman" w:eastAsia="宋体" w:cs="Times New Roman" w:hint="eastAsia"/>
              </w:rPr>
              <w:t>个</w:t>
            </w:r>
            <w:r>
              <w:rPr>
                <w:rFonts w:ascii="Times New Roman" w:eastAsia="宋体" w:cs="Times New Roman"/>
              </w:rPr>
              <w:t>洗车平台（</w:t>
            </w:r>
            <w:r>
              <w:rPr>
                <w:rFonts w:ascii="Times New Roman" w:eastAsia="宋体" w:cs="Times New Roman"/>
              </w:rPr>
              <w:t>8m×3.5m</w:t>
            </w:r>
            <w:r>
              <w:rPr>
                <w:rFonts w:ascii="Times New Roman" w:eastAsia="宋体" w:cs="Times New Roman"/>
              </w:rPr>
              <w:t>）</w:t>
            </w:r>
            <w:r>
              <w:rPr>
                <w:rFonts w:ascii="Times New Roman" w:eastAsia="宋体" w:cs="Times New Roman" w:hint="eastAsia"/>
              </w:rPr>
              <w:t>，并各配套</w:t>
            </w:r>
            <w:r>
              <w:rPr>
                <w:rFonts w:ascii="Times New Roman" w:eastAsia="宋体" w:cs="Times New Roman" w:hint="eastAsia"/>
              </w:rPr>
              <w:t>1</w:t>
            </w:r>
            <w:r>
              <w:rPr>
                <w:rFonts w:ascii="Times New Roman" w:eastAsia="宋体" w:cs="Times New Roman" w:hint="eastAsia"/>
              </w:rPr>
              <w:t>个沉淀池</w:t>
            </w:r>
            <w:r>
              <w:rPr>
                <w:rFonts w:ascii="Times New Roman" w:eastAsia="宋体" w:cs="Times New Roman"/>
              </w:rPr>
              <w:t>，在洗车平台使用高压喷雾清洗轮胎及车身，洗车平台四周应设置防溢座，废水经导流渠流入沉淀池内（</w:t>
            </w:r>
            <w:r>
              <w:rPr>
                <w:rFonts w:ascii="Times New Roman" w:eastAsia="宋体" w:cs="Times New Roman"/>
              </w:rPr>
              <w:t>2m×3m×1m</w:t>
            </w:r>
            <w:r>
              <w:rPr>
                <w:rFonts w:ascii="Times New Roman" w:eastAsia="宋体" w:cs="Times New Roman"/>
              </w:rPr>
              <w:t>），回用于运输车辆清洗，在厂区西北侧门口设</w:t>
            </w:r>
            <w:r>
              <w:rPr>
                <w:rFonts w:ascii="Times New Roman" w:eastAsia="宋体" w:cs="Times New Roman" w:hint="eastAsia"/>
              </w:rPr>
              <w:t>车辆</w:t>
            </w:r>
            <w:r>
              <w:rPr>
                <w:rFonts w:ascii="Times New Roman" w:eastAsia="宋体" w:cs="Times New Roman"/>
              </w:rPr>
              <w:t>清洗装置。</w:t>
            </w:r>
          </w:p>
        </w:tc>
      </w:tr>
    </w:tbl>
    <w:p w:rsidR="00DB7CC8" w:rsidRDefault="00DB7CC8">
      <w:pPr>
        <w:autoSpaceDE w:val="0"/>
        <w:autoSpaceDN w:val="0"/>
        <w:spacing w:beforeLines="50" w:before="120" w:line="240" w:lineRule="auto"/>
        <w:ind w:firstLineChars="0" w:firstLine="420"/>
        <w:jc w:val="center"/>
        <w:textAlignment w:val="auto"/>
        <w:rPr>
          <w:rFonts w:eastAsia="黑体"/>
          <w:sz w:val="21"/>
          <w:szCs w:val="21"/>
        </w:rPr>
      </w:pPr>
      <w:bookmarkStart w:id="170" w:name="_Toc521591757"/>
    </w:p>
    <w:p w:rsidR="00DB7CC8" w:rsidRDefault="002B5250">
      <w:pPr>
        <w:widowControl/>
        <w:spacing w:line="240" w:lineRule="auto"/>
        <w:ind w:firstLineChars="0" w:firstLine="0"/>
        <w:jc w:val="center"/>
        <w:textAlignment w:val="auto"/>
        <w:rPr>
          <w:rFonts w:eastAsia="黑体"/>
          <w:sz w:val="21"/>
          <w:szCs w:val="21"/>
        </w:rPr>
      </w:pPr>
      <w:r>
        <w:rPr>
          <w:rFonts w:eastAsia="黑体"/>
          <w:sz w:val="21"/>
          <w:szCs w:val="21"/>
        </w:rPr>
        <w:br w:type="page"/>
      </w:r>
      <w:bookmarkStart w:id="171" w:name="_Hlk18930397"/>
      <w:r>
        <w:rPr>
          <w:rFonts w:eastAsia="黑体"/>
          <w:sz w:val="21"/>
          <w:szCs w:val="21"/>
        </w:rPr>
        <w:lastRenderedPageBreak/>
        <w:t>表</w:t>
      </w:r>
      <w:r>
        <w:rPr>
          <w:rFonts w:eastAsia="黑体"/>
          <w:sz w:val="21"/>
          <w:szCs w:val="21"/>
        </w:rPr>
        <w:t>3.1-3</w:t>
      </w:r>
      <w:r>
        <w:rPr>
          <w:rFonts w:eastAsia="黑体" w:hint="eastAsia"/>
          <w:sz w:val="21"/>
          <w:szCs w:val="21"/>
        </w:rPr>
        <w:t>现有工程</w:t>
      </w:r>
      <w:r>
        <w:rPr>
          <w:rFonts w:eastAsia="黑体"/>
          <w:sz w:val="21"/>
          <w:szCs w:val="21"/>
        </w:rPr>
        <w:t>主要建（构）筑物一览表</w:t>
      </w:r>
      <w:bookmarkEnd w:id="171"/>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709"/>
        <w:gridCol w:w="1422"/>
        <w:gridCol w:w="1152"/>
        <w:gridCol w:w="1537"/>
        <w:gridCol w:w="2885"/>
      </w:tblGrid>
      <w:tr w:rsidR="00DB7CC8">
        <w:trPr>
          <w:trHeight w:val="283"/>
        </w:trPr>
        <w:tc>
          <w:tcPr>
            <w:tcW w:w="81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建设内容</w:t>
            </w: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序号</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名称</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建筑面积</w:t>
            </w:r>
            <w:r>
              <w:rPr>
                <w:rFonts w:eastAsiaTheme="minorEastAsia"/>
                <w:sz w:val="21"/>
                <w:szCs w:val="21"/>
              </w:rPr>
              <w:t>m</w:t>
            </w:r>
            <w:r>
              <w:rPr>
                <w:rFonts w:eastAsiaTheme="minorEastAsia"/>
                <w:sz w:val="21"/>
                <w:szCs w:val="21"/>
                <w:vertAlign w:val="superscript"/>
              </w:rPr>
              <w:t>2</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规格（长</w:t>
            </w:r>
            <w:r>
              <w:rPr>
                <w:rFonts w:eastAsiaTheme="minorEastAsia"/>
                <w:sz w:val="21"/>
                <w:szCs w:val="21"/>
              </w:rPr>
              <w:t>×</w:t>
            </w:r>
            <w:r>
              <w:rPr>
                <w:rFonts w:eastAsiaTheme="minorEastAsia"/>
                <w:sz w:val="21"/>
                <w:szCs w:val="21"/>
              </w:rPr>
              <w:t>宽</w:t>
            </w:r>
            <w:r>
              <w:rPr>
                <w:rFonts w:eastAsiaTheme="minorEastAsia"/>
                <w:sz w:val="21"/>
                <w:szCs w:val="21"/>
              </w:rPr>
              <w:t>×</w:t>
            </w:r>
            <w:r>
              <w:rPr>
                <w:rFonts w:eastAsiaTheme="minorEastAsia"/>
                <w:sz w:val="21"/>
                <w:szCs w:val="21"/>
              </w:rPr>
              <w:t>高）</w:t>
            </w:r>
            <w:r>
              <w:rPr>
                <w:rFonts w:eastAsiaTheme="minorEastAsia"/>
                <w:sz w:val="21"/>
                <w:szCs w:val="21"/>
              </w:rPr>
              <w:t>m</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备注</w:t>
            </w:r>
          </w:p>
        </w:tc>
      </w:tr>
      <w:tr w:rsidR="00DB7CC8">
        <w:trPr>
          <w:trHeight w:val="283"/>
        </w:trPr>
        <w:tc>
          <w:tcPr>
            <w:tcW w:w="817" w:type="dxa"/>
            <w:vMerge w:val="restart"/>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主体工程</w:t>
            </w: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原料</w:t>
            </w:r>
            <w:r>
              <w:rPr>
                <w:rFonts w:eastAsiaTheme="minorEastAsia" w:hint="eastAsia"/>
                <w:sz w:val="21"/>
                <w:szCs w:val="21"/>
              </w:rPr>
              <w:t>棚</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50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10</w:t>
            </w:r>
            <w:r>
              <w:rPr>
                <w:sz w:val="21"/>
                <w:szCs w:val="21"/>
              </w:rPr>
              <w:t>×</w:t>
            </w:r>
            <w:r>
              <w:rPr>
                <w:rFonts w:eastAsiaTheme="minorEastAsia" w:hint="eastAsia"/>
                <w:sz w:val="21"/>
                <w:szCs w:val="21"/>
              </w:rPr>
              <w:t>5</w:t>
            </w:r>
            <w:r>
              <w:rPr>
                <w:sz w:val="21"/>
                <w:szCs w:val="21"/>
              </w:rPr>
              <w:t>×</w:t>
            </w:r>
            <w:r>
              <w:rPr>
                <w:rFonts w:eastAsiaTheme="minorEastAsia"/>
                <w:sz w:val="21"/>
                <w:szCs w:val="21"/>
              </w:rPr>
              <w:t>13</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料棚进深尺度</w:t>
            </w:r>
            <w:r>
              <w:rPr>
                <w:rFonts w:eastAsiaTheme="minorEastAsia" w:hint="eastAsia"/>
                <w:sz w:val="21"/>
                <w:szCs w:val="21"/>
              </w:rPr>
              <w:t>10</w:t>
            </w:r>
            <w:r>
              <w:rPr>
                <w:rFonts w:eastAsiaTheme="minorEastAsia"/>
                <w:sz w:val="21"/>
                <w:szCs w:val="21"/>
              </w:rPr>
              <w:t>米</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2</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w:t>
            </w:r>
            <w:r>
              <w:rPr>
                <w:rFonts w:eastAsiaTheme="minorEastAsia"/>
                <w:sz w:val="21"/>
                <w:szCs w:val="21"/>
              </w:rPr>
              <w:t>破碎车间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100</w:t>
            </w:r>
            <w:r>
              <w:rPr>
                <w:rFonts w:eastAsiaTheme="minor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40</w:t>
            </w:r>
            <w:r>
              <w:rPr>
                <w:sz w:val="21"/>
                <w:szCs w:val="21"/>
              </w:rPr>
              <w:t>×</w:t>
            </w:r>
            <w:r>
              <w:rPr>
                <w:rFonts w:eastAsiaTheme="minorEastAsia"/>
                <w:sz w:val="21"/>
                <w:szCs w:val="21"/>
              </w:rPr>
              <w:t>2</w:t>
            </w:r>
            <w:r>
              <w:rPr>
                <w:rFonts w:eastAsiaTheme="minorEastAsia" w:hint="eastAsia"/>
                <w:sz w:val="21"/>
                <w:szCs w:val="21"/>
              </w:rPr>
              <w:t>5</w:t>
            </w:r>
            <w:r>
              <w:rPr>
                <w:sz w:val="21"/>
                <w:szCs w:val="21"/>
              </w:rPr>
              <w:t>×</w:t>
            </w:r>
            <w:r>
              <w:rPr>
                <w:rFonts w:eastAsiaTheme="minorEastAsia"/>
                <w:sz w:val="21"/>
                <w:szCs w:val="21"/>
              </w:rPr>
              <w:t>1</w:t>
            </w:r>
            <w:r>
              <w:rPr>
                <w:rFonts w:eastAsiaTheme="minorEastAsia" w:hint="eastAsia"/>
                <w:sz w:val="21"/>
                <w:szCs w:val="21"/>
              </w:rPr>
              <w:t>0</w:t>
            </w:r>
          </w:p>
        </w:tc>
        <w:tc>
          <w:tcPr>
            <w:tcW w:w="2885" w:type="dxa"/>
            <w:vMerge w:val="restart"/>
            <w:tcBorders>
              <w:tl2br w:val="nil"/>
              <w:tr2bl w:val="nil"/>
            </w:tcBorders>
            <w:vAlign w:val="center"/>
          </w:tcPr>
          <w:p w:rsidR="00DB7CC8" w:rsidRDefault="002B5250">
            <w:pPr>
              <w:widowControl/>
              <w:spacing w:line="240" w:lineRule="auto"/>
              <w:ind w:firstLineChars="0" w:firstLine="0"/>
              <w:textAlignment w:val="auto"/>
              <w:rPr>
                <w:rFonts w:eastAsiaTheme="minorEastAsia"/>
                <w:sz w:val="21"/>
                <w:szCs w:val="21"/>
              </w:rPr>
            </w:pPr>
            <w:r>
              <w:rPr>
                <w:rFonts w:eastAsiaTheme="minorEastAsia"/>
                <w:sz w:val="21"/>
                <w:szCs w:val="21"/>
              </w:rPr>
              <w:t>1.5m</w:t>
            </w:r>
            <w:r>
              <w:rPr>
                <w:rFonts w:eastAsiaTheme="minorEastAsia"/>
                <w:sz w:val="21"/>
                <w:szCs w:val="21"/>
              </w:rPr>
              <w:t>混凝土基础</w:t>
            </w:r>
            <w:r>
              <w:rPr>
                <w:rFonts w:eastAsiaTheme="minorEastAsia"/>
                <w:sz w:val="21"/>
                <w:szCs w:val="21"/>
              </w:rPr>
              <w:t>+</w:t>
            </w:r>
            <w:r>
              <w:rPr>
                <w:rFonts w:eastAsiaTheme="minorEastAsia"/>
                <w:sz w:val="21"/>
                <w:szCs w:val="21"/>
              </w:rPr>
              <w:t>单层彩钢结构，彩钢板封闭，车间地面硬化</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3</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2#</w:t>
            </w:r>
            <w:r>
              <w:rPr>
                <w:rFonts w:eastAsiaTheme="minorEastAsia"/>
                <w:sz w:val="21"/>
                <w:szCs w:val="21"/>
              </w:rPr>
              <w:t>破碎车间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120</w:t>
            </w:r>
            <w:r>
              <w:rPr>
                <w:rFonts w:eastAsiaTheme="minor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40</w:t>
            </w:r>
            <w:r>
              <w:rPr>
                <w:sz w:val="21"/>
                <w:szCs w:val="21"/>
              </w:rPr>
              <w:t>×</w:t>
            </w:r>
            <w:r>
              <w:rPr>
                <w:rFonts w:eastAsiaTheme="minorEastAsia" w:hint="eastAsia"/>
                <w:sz w:val="21"/>
                <w:szCs w:val="21"/>
              </w:rPr>
              <w:t>30</w:t>
            </w:r>
            <w:r>
              <w:rPr>
                <w:sz w:val="21"/>
                <w:szCs w:val="21"/>
              </w:rPr>
              <w:t>×</w:t>
            </w:r>
            <w:r>
              <w:rPr>
                <w:rFonts w:eastAsiaTheme="minorEastAsia"/>
                <w:sz w:val="21"/>
                <w:szCs w:val="21"/>
              </w:rPr>
              <w:t>1</w:t>
            </w:r>
            <w:r>
              <w:rPr>
                <w:rFonts w:eastAsiaTheme="minorEastAsia" w:hint="eastAsia"/>
                <w:sz w:val="21"/>
                <w:szCs w:val="21"/>
              </w:rPr>
              <w:t>0</w:t>
            </w:r>
          </w:p>
        </w:tc>
        <w:tc>
          <w:tcPr>
            <w:tcW w:w="2885"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4</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w:t>
            </w:r>
            <w:r>
              <w:rPr>
                <w:rFonts w:eastAsiaTheme="minorEastAsia"/>
                <w:sz w:val="21"/>
                <w:szCs w:val="21"/>
              </w:rPr>
              <w:t>球磨车间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120</w:t>
            </w:r>
            <w:r>
              <w:rPr>
                <w:rFonts w:eastAsiaTheme="minor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48</w:t>
            </w:r>
            <w:r>
              <w:rPr>
                <w:sz w:val="21"/>
                <w:szCs w:val="21"/>
              </w:rPr>
              <w:t>×</w:t>
            </w:r>
            <w:r>
              <w:rPr>
                <w:rFonts w:eastAsiaTheme="minorEastAsia"/>
                <w:sz w:val="21"/>
                <w:szCs w:val="21"/>
              </w:rPr>
              <w:t>2</w:t>
            </w:r>
            <w:r>
              <w:rPr>
                <w:rFonts w:eastAsiaTheme="minorEastAsia" w:hint="eastAsia"/>
                <w:sz w:val="21"/>
                <w:szCs w:val="21"/>
              </w:rPr>
              <w:t>5</w:t>
            </w:r>
            <w:r>
              <w:rPr>
                <w:sz w:val="21"/>
                <w:szCs w:val="21"/>
              </w:rPr>
              <w:t>×</w:t>
            </w:r>
            <w:r>
              <w:rPr>
                <w:rFonts w:eastAsiaTheme="minorEastAsia"/>
                <w:sz w:val="21"/>
                <w:szCs w:val="21"/>
              </w:rPr>
              <w:t>1</w:t>
            </w:r>
            <w:r>
              <w:rPr>
                <w:rFonts w:eastAsiaTheme="minorEastAsia" w:hint="eastAsia"/>
                <w:sz w:val="21"/>
                <w:szCs w:val="21"/>
              </w:rPr>
              <w:t>2</w:t>
            </w:r>
          </w:p>
        </w:tc>
        <w:tc>
          <w:tcPr>
            <w:tcW w:w="2885"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5</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w:t>
            </w:r>
            <w:r>
              <w:rPr>
                <w:rFonts w:eastAsiaTheme="minorEastAsia"/>
                <w:sz w:val="21"/>
                <w:szCs w:val="21"/>
              </w:rPr>
              <w:t>#</w:t>
            </w:r>
            <w:r>
              <w:rPr>
                <w:rFonts w:eastAsiaTheme="minorEastAsia"/>
                <w:sz w:val="21"/>
                <w:szCs w:val="21"/>
              </w:rPr>
              <w:t>球磨车间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168</w:t>
            </w:r>
            <w:r>
              <w:rPr>
                <w:rFonts w:eastAsiaTheme="minor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48</w:t>
            </w:r>
            <w:r>
              <w:rPr>
                <w:sz w:val="21"/>
                <w:szCs w:val="21"/>
              </w:rPr>
              <w:t>×</w:t>
            </w:r>
            <w:r>
              <w:rPr>
                <w:rFonts w:eastAsiaTheme="minorEastAsia" w:hint="eastAsia"/>
                <w:sz w:val="21"/>
                <w:szCs w:val="21"/>
              </w:rPr>
              <w:t>35</w:t>
            </w:r>
            <w:r>
              <w:rPr>
                <w:sz w:val="21"/>
                <w:szCs w:val="21"/>
              </w:rPr>
              <w:t>×</w:t>
            </w:r>
            <w:r>
              <w:rPr>
                <w:rFonts w:eastAsiaTheme="minorEastAsia"/>
                <w:sz w:val="21"/>
                <w:szCs w:val="21"/>
              </w:rPr>
              <w:t>1</w:t>
            </w:r>
            <w:r>
              <w:rPr>
                <w:rFonts w:eastAsiaTheme="minorEastAsia" w:hint="eastAsia"/>
                <w:sz w:val="21"/>
                <w:szCs w:val="21"/>
              </w:rPr>
              <w:t>5</w:t>
            </w:r>
          </w:p>
        </w:tc>
        <w:tc>
          <w:tcPr>
            <w:tcW w:w="2885"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6</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成品库</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120</w:t>
            </w:r>
            <w:r>
              <w:rPr>
                <w:rFonts w:eastAsiaTheme="minorEastAsia" w:hint="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4</w:t>
            </w:r>
            <w:r>
              <w:rPr>
                <w:rFonts w:eastAsiaTheme="minorEastAsia" w:hint="eastAsia"/>
                <w:sz w:val="21"/>
                <w:szCs w:val="21"/>
              </w:rPr>
              <w:t>0</w:t>
            </w:r>
            <w:r>
              <w:rPr>
                <w:sz w:val="21"/>
                <w:szCs w:val="21"/>
              </w:rPr>
              <w:t>×</w:t>
            </w:r>
            <w:r>
              <w:rPr>
                <w:rFonts w:eastAsiaTheme="minorEastAsia" w:hint="eastAsia"/>
                <w:sz w:val="21"/>
                <w:szCs w:val="21"/>
              </w:rPr>
              <w:t>30</w:t>
            </w:r>
            <w:r>
              <w:rPr>
                <w:sz w:val="21"/>
                <w:szCs w:val="21"/>
              </w:rPr>
              <w:t>×</w:t>
            </w:r>
            <w:r>
              <w:rPr>
                <w:rFonts w:eastAsiaTheme="minorEastAsia"/>
                <w:sz w:val="21"/>
                <w:szCs w:val="21"/>
              </w:rPr>
              <w:t>1</w:t>
            </w:r>
            <w:r>
              <w:rPr>
                <w:rFonts w:eastAsiaTheme="minorEastAsia" w:hint="eastAsia"/>
                <w:sz w:val="21"/>
                <w:szCs w:val="21"/>
              </w:rPr>
              <w:t>2</w:t>
            </w:r>
          </w:p>
        </w:tc>
        <w:tc>
          <w:tcPr>
            <w:tcW w:w="2885"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7</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配电室</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24</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4</w:t>
            </w:r>
            <w:r>
              <w:rPr>
                <w:sz w:val="21"/>
                <w:szCs w:val="21"/>
              </w:rPr>
              <w:t>×</w:t>
            </w:r>
            <w:r>
              <w:rPr>
                <w:rFonts w:eastAsiaTheme="minorEastAsia"/>
                <w:sz w:val="21"/>
                <w:szCs w:val="21"/>
              </w:rPr>
              <w:t>6</w:t>
            </w:r>
          </w:p>
        </w:tc>
        <w:tc>
          <w:tcPr>
            <w:tcW w:w="288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单层砖混结构</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8</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办公室</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100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sz w:val="21"/>
                <w:szCs w:val="21"/>
              </w:rPr>
            </w:pPr>
            <w:r>
              <w:rPr>
                <w:rFonts w:eastAsiaTheme="minorEastAsia"/>
                <w:sz w:val="21"/>
                <w:szCs w:val="21"/>
              </w:rPr>
              <w:t>20</w:t>
            </w:r>
            <w:r>
              <w:rPr>
                <w:sz w:val="21"/>
                <w:szCs w:val="21"/>
              </w:rPr>
              <w:t>×</w:t>
            </w:r>
            <w:r>
              <w:rPr>
                <w:rFonts w:eastAsiaTheme="minorEastAsia" w:hint="eastAsia"/>
                <w:sz w:val="21"/>
                <w:szCs w:val="21"/>
              </w:rPr>
              <w:t>5</w:t>
            </w:r>
          </w:p>
        </w:tc>
        <w:tc>
          <w:tcPr>
            <w:tcW w:w="288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单层砖混结构</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9</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危废暂存间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6</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sz w:val="21"/>
                <w:szCs w:val="21"/>
              </w:rPr>
            </w:pPr>
            <w:r>
              <w:rPr>
                <w:rFonts w:eastAsiaTheme="minorEastAsia"/>
                <w:sz w:val="21"/>
                <w:szCs w:val="21"/>
              </w:rPr>
              <w:t>3</w:t>
            </w:r>
            <w:r>
              <w:rPr>
                <w:sz w:val="21"/>
                <w:szCs w:val="21"/>
              </w:rPr>
              <w:t>×</w:t>
            </w:r>
            <w:r>
              <w:rPr>
                <w:rFonts w:eastAsiaTheme="minorEastAsia" w:hint="eastAsia"/>
                <w:sz w:val="21"/>
                <w:szCs w:val="21"/>
              </w:rPr>
              <w:t>2</w:t>
            </w:r>
          </w:p>
        </w:tc>
        <w:tc>
          <w:tcPr>
            <w:tcW w:w="288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单层砖混结构，地面防渗</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10</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尾矿压滤间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60</w:t>
            </w:r>
            <w:r>
              <w:rPr>
                <w:rFonts w:eastAsiaTheme="minor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sz w:val="21"/>
                <w:szCs w:val="21"/>
              </w:rPr>
            </w:pPr>
            <w:r>
              <w:rPr>
                <w:rFonts w:eastAsiaTheme="minorEastAsia" w:hint="eastAsia"/>
                <w:sz w:val="21"/>
                <w:szCs w:val="21"/>
              </w:rPr>
              <w:t>3</w:t>
            </w:r>
            <w:r>
              <w:rPr>
                <w:rFonts w:eastAsiaTheme="minorEastAsia"/>
                <w:sz w:val="21"/>
                <w:szCs w:val="21"/>
              </w:rPr>
              <w:t>0</w:t>
            </w:r>
            <w:r>
              <w:rPr>
                <w:sz w:val="21"/>
                <w:szCs w:val="21"/>
              </w:rPr>
              <w:t>×</w:t>
            </w:r>
            <w:r>
              <w:rPr>
                <w:rFonts w:eastAsiaTheme="minorEastAsia" w:hint="eastAsia"/>
                <w:sz w:val="21"/>
                <w:szCs w:val="21"/>
              </w:rPr>
              <w:t>20</w:t>
            </w:r>
            <w:r>
              <w:rPr>
                <w:sz w:val="21"/>
                <w:szCs w:val="21"/>
              </w:rPr>
              <w:t>×</w:t>
            </w:r>
            <w:r>
              <w:rPr>
                <w:rFonts w:eastAsiaTheme="minorEastAsia" w:hint="eastAsia"/>
                <w:sz w:val="21"/>
                <w:szCs w:val="21"/>
              </w:rPr>
              <w:t>10</w:t>
            </w:r>
          </w:p>
        </w:tc>
        <w:tc>
          <w:tcPr>
            <w:tcW w:w="288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单层砖混结构，地面硬化</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11</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砂石库</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200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20</w:t>
            </w:r>
            <w:r>
              <w:rPr>
                <w:sz w:val="21"/>
                <w:szCs w:val="21"/>
              </w:rPr>
              <w:t>×</w:t>
            </w:r>
            <w:r>
              <w:rPr>
                <w:rFonts w:eastAsiaTheme="minorEastAsia"/>
                <w:sz w:val="21"/>
                <w:szCs w:val="21"/>
              </w:rPr>
              <w:t>1</w:t>
            </w:r>
            <w:r>
              <w:rPr>
                <w:rFonts w:eastAsiaTheme="minorEastAsia" w:hint="eastAsia"/>
                <w:sz w:val="21"/>
                <w:szCs w:val="21"/>
              </w:rPr>
              <w:t>0</w:t>
            </w:r>
            <w:r>
              <w:rPr>
                <w:sz w:val="21"/>
                <w:szCs w:val="21"/>
              </w:rPr>
              <w:t>×12</w:t>
            </w:r>
          </w:p>
        </w:tc>
        <w:tc>
          <w:tcPr>
            <w:tcW w:w="288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单层砖混结构，地面防渗</w:t>
            </w:r>
          </w:p>
        </w:tc>
      </w:tr>
      <w:tr w:rsidR="00DB7CC8">
        <w:trPr>
          <w:trHeight w:val="324"/>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12</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尾砂库</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20</w:t>
            </w:r>
            <w:r>
              <w:rPr>
                <w:rFonts w:eastAsiaTheme="minorEastAsia" w:hint="eastAsia"/>
                <w:sz w:val="21"/>
                <w:szCs w:val="21"/>
              </w:rPr>
              <w:t>00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10</w:t>
            </w:r>
            <w:r>
              <w:rPr>
                <w:rFonts w:eastAsiaTheme="minorEastAsia"/>
                <w:sz w:val="21"/>
                <w:szCs w:val="21"/>
              </w:rPr>
              <w:t>0</w:t>
            </w:r>
            <w:r>
              <w:rPr>
                <w:sz w:val="21"/>
                <w:szCs w:val="21"/>
              </w:rPr>
              <w:t>×</w:t>
            </w:r>
            <w:r>
              <w:rPr>
                <w:rFonts w:hint="eastAsia"/>
                <w:sz w:val="21"/>
                <w:szCs w:val="21"/>
              </w:rPr>
              <w:t>20</w:t>
            </w:r>
            <w:r>
              <w:rPr>
                <w:sz w:val="21"/>
                <w:szCs w:val="21"/>
              </w:rPr>
              <w:t>×</w:t>
            </w:r>
            <w:r>
              <w:rPr>
                <w:rFonts w:eastAsiaTheme="minorEastAsia"/>
                <w:sz w:val="21"/>
                <w:szCs w:val="21"/>
              </w:rPr>
              <w:t>1</w:t>
            </w:r>
            <w:r>
              <w:rPr>
                <w:rFonts w:eastAsiaTheme="minorEastAsia" w:hint="eastAsia"/>
                <w:sz w:val="21"/>
                <w:szCs w:val="21"/>
              </w:rPr>
              <w:t>0</w:t>
            </w:r>
          </w:p>
        </w:tc>
        <w:tc>
          <w:tcPr>
            <w:tcW w:w="288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单层砖混结构，地面防渗</w:t>
            </w:r>
          </w:p>
        </w:tc>
      </w:tr>
      <w:tr w:rsidR="00DB7CC8">
        <w:trPr>
          <w:trHeight w:val="283"/>
        </w:trPr>
        <w:tc>
          <w:tcPr>
            <w:tcW w:w="817" w:type="dxa"/>
            <w:vMerge w:val="restart"/>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环保工程</w:t>
            </w: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12</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清水回用池</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80m</w:t>
            </w:r>
            <w:r>
              <w:rPr>
                <w:rFonts w:eastAsiaTheme="minorEastAsia"/>
                <w:sz w:val="21"/>
                <w:szCs w:val="21"/>
                <w:vertAlign w:val="superscript"/>
              </w:rPr>
              <w:t>3</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地上</w:t>
            </w:r>
            <w:r>
              <w:rPr>
                <w:rFonts w:eastAsiaTheme="minorEastAsia" w:hint="eastAsia"/>
                <w:sz w:val="21"/>
                <w:szCs w:val="21"/>
              </w:rPr>
              <w:t>，</w:t>
            </w:r>
            <w:r>
              <w:rPr>
                <w:rFonts w:eastAsiaTheme="minorEastAsia" w:hint="eastAsia"/>
                <w:sz w:val="21"/>
                <w:szCs w:val="21"/>
              </w:rPr>
              <w:t>10</w:t>
            </w:r>
            <w:r>
              <w:rPr>
                <w:rFonts w:eastAsiaTheme="minorEastAsia"/>
                <w:sz w:val="21"/>
                <w:szCs w:val="21"/>
              </w:rPr>
              <w:t>×4×2m</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地上钢制，下设混凝土基础</w:t>
            </w:r>
          </w:p>
        </w:tc>
      </w:tr>
      <w:tr w:rsidR="00DB7CC8">
        <w:trPr>
          <w:trHeight w:val="283"/>
        </w:trPr>
        <w:tc>
          <w:tcPr>
            <w:tcW w:w="817" w:type="dxa"/>
            <w:vMerge/>
            <w:tcBorders>
              <w:tl2br w:val="nil"/>
              <w:tr2bl w:val="nil"/>
            </w:tcBorders>
            <w:shd w:val="clear" w:color="auto" w:fill="auto"/>
            <w:noWrap/>
            <w:vAlign w:val="center"/>
          </w:tcPr>
          <w:p w:rsidR="00DB7CC8" w:rsidRDefault="00DB7CC8">
            <w:pPr>
              <w:widowControl/>
              <w:spacing w:line="240" w:lineRule="auto"/>
              <w:ind w:firstLineChars="0" w:firstLine="0"/>
              <w:jc w:val="center"/>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13</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浓密池</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3600</w:t>
            </w:r>
            <w:r>
              <w:rPr>
                <w:rFonts w:eastAsiaTheme="minorEastAsia" w:hint="eastAsia"/>
                <w:sz w:val="21"/>
                <w:szCs w:val="21"/>
              </w:rPr>
              <w:t>m</w:t>
            </w:r>
            <w:r>
              <w:rPr>
                <w:rFonts w:eastAsiaTheme="minorEastAsia" w:hint="eastAsia"/>
                <w:sz w:val="21"/>
                <w:szCs w:val="21"/>
                <w:vertAlign w:val="superscript"/>
              </w:rPr>
              <w:t>3</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地上，</w:t>
            </w:r>
            <w:r>
              <w:rPr>
                <w:rFonts w:eastAsiaTheme="minorEastAsia"/>
                <w:sz w:val="21"/>
                <w:szCs w:val="21"/>
              </w:rPr>
              <w:t>Φ</w:t>
            </w:r>
            <w:r>
              <w:rPr>
                <w:rFonts w:eastAsiaTheme="minorEastAsia" w:hint="eastAsia"/>
                <w:sz w:val="21"/>
                <w:szCs w:val="21"/>
              </w:rPr>
              <w:t>3</w:t>
            </w:r>
            <w:r>
              <w:rPr>
                <w:rFonts w:eastAsiaTheme="minorEastAsia"/>
                <w:sz w:val="21"/>
                <w:szCs w:val="21"/>
              </w:rPr>
              <w:t>0m</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地上钢制</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14</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事故水池</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25m</w:t>
            </w:r>
            <w:r>
              <w:rPr>
                <w:rFonts w:eastAsiaTheme="minorEastAsia"/>
                <w:sz w:val="21"/>
                <w:szCs w:val="21"/>
                <w:vertAlign w:val="superscript"/>
              </w:rPr>
              <w:t>3</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5</w:t>
            </w:r>
            <w:r>
              <w:rPr>
                <w:sz w:val="21"/>
                <w:szCs w:val="21"/>
              </w:rPr>
              <w:t>×</w:t>
            </w:r>
            <w:r>
              <w:rPr>
                <w:rFonts w:eastAsiaTheme="minorEastAsia"/>
                <w:sz w:val="21"/>
                <w:szCs w:val="21"/>
              </w:rPr>
              <w:t>5</w:t>
            </w:r>
            <w:r>
              <w:rPr>
                <w:sz w:val="21"/>
                <w:szCs w:val="21"/>
              </w:rPr>
              <w:t>×</w:t>
            </w:r>
            <w:r>
              <w:rPr>
                <w:rFonts w:eastAsiaTheme="minorEastAsia"/>
                <w:sz w:val="21"/>
                <w:szCs w:val="21"/>
              </w:rPr>
              <w:t>1m</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混凝土结构</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w:t>
            </w:r>
            <w:r>
              <w:rPr>
                <w:rFonts w:eastAsiaTheme="minorEastAsia"/>
                <w:sz w:val="21"/>
                <w:szCs w:val="21"/>
              </w:rPr>
              <w:t>5</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洗车平台</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112</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sz w:val="21"/>
                <w:szCs w:val="21"/>
              </w:rPr>
              <w:t>8m×3.5m</w:t>
            </w:r>
          </w:p>
        </w:tc>
        <w:tc>
          <w:tcPr>
            <w:tcW w:w="2885" w:type="dxa"/>
            <w:tcBorders>
              <w:tl2br w:val="nil"/>
              <w:tr2bl w:val="nil"/>
            </w:tcBorders>
            <w:shd w:val="clear" w:color="auto" w:fill="auto"/>
            <w:noWrap/>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4</w:t>
            </w:r>
            <w:r>
              <w:rPr>
                <w:rFonts w:eastAsiaTheme="minorEastAsia" w:hint="eastAsia"/>
                <w:sz w:val="21"/>
                <w:szCs w:val="21"/>
              </w:rPr>
              <w:t>套，</w:t>
            </w:r>
            <w:r>
              <w:rPr>
                <w:rFonts w:eastAsiaTheme="minorEastAsia"/>
                <w:sz w:val="21"/>
                <w:szCs w:val="21"/>
              </w:rPr>
              <w:t>混凝土结构</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w:t>
            </w:r>
            <w:r>
              <w:rPr>
                <w:rFonts w:eastAsiaTheme="minorEastAsia"/>
                <w:sz w:val="21"/>
                <w:szCs w:val="21"/>
              </w:rPr>
              <w:t>6</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洗车沉淀池</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6 m</w:t>
            </w:r>
            <w:r>
              <w:rPr>
                <w:rFonts w:eastAsiaTheme="minorEastAsia"/>
                <w:sz w:val="21"/>
                <w:szCs w:val="21"/>
                <w:vertAlign w:val="superscript"/>
              </w:rPr>
              <w:t>3</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地下</w:t>
            </w:r>
            <w:r>
              <w:rPr>
                <w:rFonts w:eastAsiaTheme="minorEastAsia" w:hint="eastAsia"/>
                <w:sz w:val="21"/>
                <w:szCs w:val="21"/>
              </w:rPr>
              <w:t>，</w:t>
            </w:r>
            <w:r>
              <w:rPr>
                <w:rFonts w:eastAsiaTheme="minorEastAsia"/>
                <w:sz w:val="21"/>
                <w:szCs w:val="21"/>
              </w:rPr>
              <w:t>2×3×1m</w:t>
            </w:r>
          </w:p>
        </w:tc>
        <w:tc>
          <w:tcPr>
            <w:tcW w:w="288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4</w:t>
            </w:r>
            <w:r>
              <w:rPr>
                <w:rFonts w:eastAsiaTheme="minorEastAsia" w:hint="eastAsia"/>
                <w:sz w:val="21"/>
                <w:szCs w:val="21"/>
              </w:rPr>
              <w:t>套，</w:t>
            </w:r>
            <w:r>
              <w:rPr>
                <w:rFonts w:eastAsiaTheme="minorEastAsia"/>
                <w:sz w:val="21"/>
                <w:szCs w:val="21"/>
              </w:rPr>
              <w:t>混凝土结构，池底及四周防渗</w:t>
            </w:r>
          </w:p>
        </w:tc>
      </w:tr>
    </w:tbl>
    <w:p w:rsidR="00DB7CC8" w:rsidRDefault="002B5250">
      <w:pPr>
        <w:pStyle w:val="3"/>
        <w:numPr>
          <w:ilvl w:val="2"/>
          <w:numId w:val="1"/>
        </w:numPr>
        <w:rPr>
          <w:szCs w:val="28"/>
        </w:rPr>
      </w:pPr>
      <w:bookmarkStart w:id="172" w:name="_Toc32716"/>
      <w:r>
        <w:rPr>
          <w:szCs w:val="28"/>
        </w:rPr>
        <w:t>主要设备</w:t>
      </w:r>
      <w:bookmarkEnd w:id="170"/>
      <w:bookmarkEnd w:id="172"/>
    </w:p>
    <w:p w:rsidR="00DB7CC8" w:rsidRDefault="002B5250">
      <w:pPr>
        <w:ind w:firstLine="480"/>
        <w:rPr>
          <w:bCs/>
          <w:sz w:val="24"/>
          <w:szCs w:val="24"/>
        </w:rPr>
      </w:pPr>
      <w:r>
        <w:rPr>
          <w:rFonts w:hint="eastAsia"/>
          <w:bCs/>
          <w:sz w:val="24"/>
          <w:szCs w:val="24"/>
        </w:rPr>
        <w:t>现有工程</w:t>
      </w:r>
      <w:r>
        <w:rPr>
          <w:bCs/>
          <w:sz w:val="24"/>
          <w:szCs w:val="24"/>
        </w:rPr>
        <w:t>设备主要包括主体工程及辅助工程的设备，详见表</w:t>
      </w:r>
      <w:r>
        <w:rPr>
          <w:bCs/>
          <w:sz w:val="24"/>
          <w:szCs w:val="24"/>
        </w:rPr>
        <w:t>3.1-4</w:t>
      </w:r>
      <w:r>
        <w:rPr>
          <w:bCs/>
          <w:sz w:val="24"/>
          <w:szCs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 xml:space="preserve">3.1-4    </w:t>
      </w:r>
      <w:r>
        <w:rPr>
          <w:rFonts w:eastAsia="黑体" w:hint="eastAsia"/>
          <w:kern w:val="2"/>
          <w:sz w:val="21"/>
          <w:szCs w:val="21"/>
        </w:rPr>
        <w:t>现有工程</w:t>
      </w:r>
      <w:r>
        <w:rPr>
          <w:rFonts w:eastAsia="黑体"/>
          <w:kern w:val="2"/>
          <w:sz w:val="21"/>
          <w:szCs w:val="21"/>
        </w:rPr>
        <w:t>主要设备一览表</w:t>
      </w:r>
    </w:p>
    <w:tbl>
      <w:tblPr>
        <w:tblW w:w="845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675"/>
        <w:gridCol w:w="2099"/>
        <w:gridCol w:w="1897"/>
        <w:gridCol w:w="783"/>
        <w:gridCol w:w="705"/>
        <w:gridCol w:w="2291"/>
      </w:tblGrid>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bookmarkStart w:id="173" w:name="_Toc9853"/>
            <w:bookmarkStart w:id="174" w:name="_Toc521591758"/>
            <w:r>
              <w:rPr>
                <w:sz w:val="21"/>
                <w:szCs w:val="21"/>
              </w:rPr>
              <w:t>序号</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名称</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型号</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单位</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数量</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备注</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颚式破碎机（粗碎）</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75</w:t>
            </w:r>
            <w:r>
              <w:rPr>
                <w:sz w:val="21"/>
                <w:szCs w:val="21"/>
              </w:rPr>
              <w:t>0*</w:t>
            </w:r>
            <w:r>
              <w:rPr>
                <w:rFonts w:hint="eastAsia"/>
                <w:sz w:val="21"/>
                <w:szCs w:val="21"/>
              </w:rPr>
              <w:t>106</w:t>
            </w:r>
            <w:r>
              <w:rPr>
                <w:sz w:val="21"/>
                <w:szCs w:val="21"/>
              </w:rPr>
              <w:t>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颚式破碎机（粗碎）</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75</w:t>
            </w:r>
            <w:r>
              <w:rPr>
                <w:sz w:val="21"/>
                <w:szCs w:val="21"/>
              </w:rPr>
              <w:t>0*</w:t>
            </w:r>
            <w:r>
              <w:rPr>
                <w:rFonts w:hint="eastAsia"/>
                <w:sz w:val="21"/>
                <w:szCs w:val="21"/>
              </w:rPr>
              <w:t>106</w:t>
            </w:r>
            <w:r>
              <w:rPr>
                <w:sz w:val="21"/>
                <w:szCs w:val="21"/>
              </w:rPr>
              <w:t>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3</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圆锥破碎机（细碎）</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240</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4</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锤式破碎机</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20</w:t>
            </w:r>
            <w:r>
              <w:rPr>
                <w:sz w:val="21"/>
                <w:szCs w:val="21"/>
              </w:rPr>
              <w:t>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5</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锤式破碎机</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20</w:t>
            </w:r>
            <w:r>
              <w:rPr>
                <w:sz w:val="21"/>
                <w:szCs w:val="21"/>
              </w:rPr>
              <w:t>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w:t>
            </w:r>
            <w:r>
              <w:rPr>
                <w:sz w:val="21"/>
                <w:szCs w:val="21"/>
              </w:rPr>
              <w:t>#</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6</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振动筛</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rFonts w:hint="eastAsia"/>
                <w:sz w:val="21"/>
                <w:szCs w:val="21"/>
              </w:rPr>
              <w:t>7</w:t>
            </w:r>
            <w:r>
              <w:rPr>
                <w:sz w:val="21"/>
                <w:szCs w:val="21"/>
              </w:rPr>
              <w:t>00mm×</w:t>
            </w:r>
            <w:r>
              <w:rPr>
                <w:rFonts w:hint="eastAsia"/>
                <w:sz w:val="21"/>
                <w:szCs w:val="21"/>
              </w:rPr>
              <w:t>7</w:t>
            </w:r>
            <w:r>
              <w:rPr>
                <w:sz w:val="21"/>
                <w:szCs w:val="21"/>
              </w:rPr>
              <w:t>000mm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sz w:val="21"/>
                <w:szCs w:val="21"/>
              </w:rPr>
              <w:t>破碎车间，筛分矿石</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7</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振动筛</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rFonts w:hint="eastAsia"/>
                <w:sz w:val="21"/>
                <w:szCs w:val="21"/>
              </w:rPr>
              <w:t>7</w:t>
            </w:r>
            <w:r>
              <w:rPr>
                <w:sz w:val="21"/>
                <w:szCs w:val="21"/>
              </w:rPr>
              <w:t>00mm×7000mm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sz w:val="21"/>
                <w:szCs w:val="21"/>
              </w:rPr>
              <w:t>破碎车间，筛分毛石</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振动筛</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2400mm×7000mm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sz w:val="21"/>
                <w:szCs w:val="21"/>
              </w:rPr>
              <w:t>破碎车间，筛分矿石</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9</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振动筛</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2100mm×7000mm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sz w:val="21"/>
                <w:szCs w:val="21"/>
              </w:rPr>
              <w:t>破碎车间，筛分毛石</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10</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磁滑轮</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1800mm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11</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磁滑轮</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1800mm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12</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给料机</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1000mm×</w:t>
            </w:r>
            <w:r>
              <w:rPr>
                <w:rFonts w:hint="eastAsia"/>
                <w:sz w:val="21"/>
                <w:szCs w:val="21"/>
              </w:rPr>
              <w:t>45</w:t>
            </w:r>
            <w:r>
              <w:rPr>
                <w:sz w:val="21"/>
                <w:szCs w:val="21"/>
              </w:rPr>
              <w:t>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sz w:val="21"/>
                <w:szCs w:val="21"/>
              </w:rPr>
              <w:t>、</w:t>
            </w:r>
            <w:r>
              <w:rPr>
                <w:sz w:val="21"/>
                <w:szCs w:val="21"/>
              </w:rPr>
              <w:t>2#</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13</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皮带输送机</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10</w:t>
            </w:r>
            <w:r>
              <w:rPr>
                <w:sz w:val="21"/>
                <w:szCs w:val="21"/>
              </w:rPr>
              <w:t>00mm</w:t>
            </w:r>
            <w:r>
              <w:rPr>
                <w:sz w:val="21"/>
                <w:szCs w:val="21"/>
              </w:rPr>
              <w:t>宽</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8</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14</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皮带输送机</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80</w:t>
            </w:r>
            <w:r>
              <w:rPr>
                <w:sz w:val="21"/>
                <w:szCs w:val="21"/>
              </w:rPr>
              <w:t>0mm</w:t>
            </w:r>
            <w:r>
              <w:rPr>
                <w:sz w:val="21"/>
                <w:szCs w:val="21"/>
              </w:rPr>
              <w:t>宽</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3</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rFonts w:hint="eastAsia"/>
                <w:sz w:val="21"/>
                <w:szCs w:val="21"/>
              </w:rPr>
              <w:t>5</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球磨机</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24</w:t>
            </w:r>
            <w:r>
              <w:rPr>
                <w:sz w:val="21"/>
                <w:szCs w:val="21"/>
              </w:rPr>
              <w:t>00×</w:t>
            </w:r>
            <w:r>
              <w:rPr>
                <w:rFonts w:hint="eastAsia"/>
                <w:sz w:val="21"/>
                <w:szCs w:val="21"/>
              </w:rPr>
              <w:t>80</w:t>
            </w:r>
            <w:r>
              <w:rPr>
                <w:sz w:val="21"/>
                <w:szCs w:val="21"/>
              </w:rPr>
              <w:t>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53"/>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bCs/>
                <w:sz w:val="21"/>
                <w:szCs w:val="21"/>
              </w:rPr>
              <w:t>1</w:t>
            </w:r>
            <w:r>
              <w:rPr>
                <w:rFonts w:hint="eastAsia"/>
                <w:bCs/>
                <w:sz w:val="21"/>
                <w:szCs w:val="21"/>
              </w:rPr>
              <w:t>6</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磁选机</w:t>
            </w:r>
          </w:p>
        </w:tc>
        <w:tc>
          <w:tcPr>
            <w:tcW w:w="1897" w:type="dxa"/>
            <w:tcBorders>
              <w:tl2br w:val="nil"/>
              <w:tr2bl w:val="nil"/>
            </w:tcBorders>
            <w:vAlign w:val="bottom"/>
          </w:tcPr>
          <w:p w:rsidR="00DB7CC8" w:rsidRDefault="002B5250">
            <w:pPr>
              <w:spacing w:line="240" w:lineRule="auto"/>
              <w:ind w:firstLineChars="0" w:firstLine="0"/>
              <w:jc w:val="center"/>
              <w:rPr>
                <w:sz w:val="21"/>
                <w:szCs w:val="21"/>
              </w:rPr>
            </w:pPr>
            <w:r>
              <w:rPr>
                <w:rFonts w:eastAsia="等线"/>
                <w:sz w:val="21"/>
                <w:szCs w:val="21"/>
              </w:rPr>
              <w:t>1</w:t>
            </w:r>
            <w:r>
              <w:rPr>
                <w:rFonts w:eastAsia="等线" w:hint="eastAsia"/>
                <w:sz w:val="21"/>
                <w:szCs w:val="21"/>
              </w:rPr>
              <w:t>50</w:t>
            </w:r>
            <w:r>
              <w:rPr>
                <w:rFonts w:eastAsia="等线"/>
                <w:sz w:val="21"/>
                <w:szCs w:val="21"/>
              </w:rPr>
              <w:t>0*</w:t>
            </w:r>
            <w:r>
              <w:rPr>
                <w:rFonts w:eastAsia="等线" w:hint="eastAsia"/>
                <w:sz w:val="21"/>
                <w:szCs w:val="21"/>
              </w:rPr>
              <w:t>30</w:t>
            </w:r>
            <w:r>
              <w:rPr>
                <w:rFonts w:eastAsia="等线"/>
                <w:sz w:val="21"/>
                <w:szCs w:val="21"/>
              </w:rPr>
              <w:t>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bCs/>
                <w:sz w:val="21"/>
                <w:szCs w:val="21"/>
              </w:rPr>
              <w:t>17</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磁选机</w:t>
            </w:r>
          </w:p>
        </w:tc>
        <w:tc>
          <w:tcPr>
            <w:tcW w:w="1897" w:type="dxa"/>
            <w:tcBorders>
              <w:tl2br w:val="nil"/>
              <w:tr2bl w:val="nil"/>
            </w:tcBorders>
            <w:vAlign w:val="bottom"/>
          </w:tcPr>
          <w:p w:rsidR="00DB7CC8" w:rsidRDefault="002B5250">
            <w:pPr>
              <w:spacing w:line="240" w:lineRule="auto"/>
              <w:ind w:firstLineChars="0" w:firstLine="0"/>
              <w:jc w:val="center"/>
              <w:rPr>
                <w:sz w:val="21"/>
                <w:szCs w:val="21"/>
              </w:rPr>
            </w:pPr>
            <w:r>
              <w:rPr>
                <w:rFonts w:eastAsia="等线" w:hint="eastAsia"/>
                <w:sz w:val="21"/>
                <w:szCs w:val="21"/>
              </w:rPr>
              <w:t>120</w:t>
            </w:r>
            <w:r>
              <w:rPr>
                <w:rFonts w:eastAsia="等线"/>
                <w:sz w:val="21"/>
                <w:szCs w:val="21"/>
              </w:rPr>
              <w:t>0*</w:t>
            </w:r>
            <w:r>
              <w:rPr>
                <w:rFonts w:eastAsia="等线" w:hint="eastAsia"/>
                <w:sz w:val="21"/>
                <w:szCs w:val="21"/>
              </w:rPr>
              <w:t>24</w:t>
            </w:r>
            <w:r>
              <w:rPr>
                <w:rFonts w:eastAsia="等线"/>
                <w:sz w:val="21"/>
                <w:szCs w:val="21"/>
              </w:rPr>
              <w:t>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sz w:val="21"/>
                <w:szCs w:val="21"/>
              </w:rPr>
              <w:t>18</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磁选机</w:t>
            </w:r>
          </w:p>
        </w:tc>
        <w:tc>
          <w:tcPr>
            <w:tcW w:w="1897" w:type="dxa"/>
            <w:tcBorders>
              <w:tl2br w:val="nil"/>
              <w:tr2bl w:val="nil"/>
            </w:tcBorders>
            <w:vAlign w:val="bottom"/>
          </w:tcPr>
          <w:p w:rsidR="00DB7CC8" w:rsidRDefault="002B5250">
            <w:pPr>
              <w:spacing w:line="240" w:lineRule="auto"/>
              <w:ind w:firstLineChars="0" w:firstLine="0"/>
              <w:jc w:val="center"/>
              <w:rPr>
                <w:sz w:val="21"/>
                <w:szCs w:val="21"/>
              </w:rPr>
            </w:pPr>
            <w:r>
              <w:rPr>
                <w:rFonts w:eastAsia="等线" w:hint="eastAsia"/>
                <w:sz w:val="21"/>
                <w:szCs w:val="21"/>
              </w:rPr>
              <w:t>1000</w:t>
            </w:r>
            <w:r>
              <w:rPr>
                <w:rFonts w:eastAsia="等线"/>
                <w:sz w:val="21"/>
                <w:szCs w:val="21"/>
              </w:rPr>
              <w:t>*2400mm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w:t>
            </w:r>
            <w:r>
              <w:rPr>
                <w:rFonts w:hint="eastAsia"/>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sz w:val="21"/>
                <w:szCs w:val="21"/>
              </w:rPr>
              <w:t>19</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磁选机</w:t>
            </w:r>
          </w:p>
        </w:tc>
        <w:tc>
          <w:tcPr>
            <w:tcW w:w="1897" w:type="dxa"/>
            <w:tcBorders>
              <w:tl2br w:val="nil"/>
              <w:tr2bl w:val="nil"/>
            </w:tcBorders>
            <w:vAlign w:val="bottom"/>
          </w:tcPr>
          <w:p w:rsidR="00DB7CC8" w:rsidRDefault="002B5250">
            <w:pPr>
              <w:spacing w:line="240" w:lineRule="auto"/>
              <w:ind w:firstLineChars="0" w:firstLine="0"/>
              <w:jc w:val="center"/>
              <w:rPr>
                <w:rFonts w:eastAsia="等线"/>
                <w:sz w:val="21"/>
                <w:szCs w:val="21"/>
              </w:rPr>
            </w:pPr>
            <w:r>
              <w:rPr>
                <w:rFonts w:eastAsia="等线" w:hint="eastAsia"/>
                <w:sz w:val="21"/>
                <w:szCs w:val="21"/>
              </w:rPr>
              <w:t>1000</w:t>
            </w:r>
            <w:r>
              <w:rPr>
                <w:rFonts w:eastAsia="等线"/>
                <w:sz w:val="21"/>
                <w:szCs w:val="21"/>
              </w:rPr>
              <w:t>*2400mm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w:t>
            </w:r>
            <w:r>
              <w:rPr>
                <w:rFonts w:hint="eastAsia"/>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20</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高频筛</w:t>
            </w:r>
          </w:p>
        </w:tc>
        <w:tc>
          <w:tcPr>
            <w:tcW w:w="1897" w:type="dxa"/>
            <w:tcBorders>
              <w:tl2br w:val="nil"/>
              <w:tr2bl w:val="nil"/>
            </w:tcBorders>
            <w:vAlign w:val="center"/>
          </w:tcPr>
          <w:p w:rsidR="00DB7CC8" w:rsidRDefault="002B5250">
            <w:pPr>
              <w:spacing w:line="240" w:lineRule="auto"/>
              <w:ind w:firstLineChars="0" w:firstLine="0"/>
              <w:jc w:val="center"/>
              <w:rPr>
                <w:rFonts w:eastAsia="等线"/>
                <w:sz w:val="21"/>
                <w:szCs w:val="21"/>
              </w:rPr>
            </w:pPr>
            <w:r>
              <w:rPr>
                <w:sz w:val="21"/>
                <w:szCs w:val="21"/>
              </w:rPr>
              <w:t>4m</w:t>
            </w:r>
            <w:r>
              <w:rPr>
                <w:sz w:val="21"/>
                <w:szCs w:val="21"/>
                <w:vertAlign w:val="superscript"/>
              </w:rPr>
              <w:t>2</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7</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21</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高频筛</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6m</w:t>
            </w:r>
            <w:r>
              <w:rPr>
                <w:sz w:val="21"/>
                <w:szCs w:val="21"/>
                <w:vertAlign w:val="superscript"/>
              </w:rPr>
              <w:t>2</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8</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bCs/>
                <w:sz w:val="21"/>
                <w:szCs w:val="21"/>
              </w:rPr>
            </w:pPr>
            <w:r>
              <w:rPr>
                <w:sz w:val="21"/>
                <w:szCs w:val="21"/>
              </w:rPr>
              <w:lastRenderedPageBreak/>
              <w:t>2</w:t>
            </w:r>
            <w:r>
              <w:rPr>
                <w:rFonts w:hint="eastAsia"/>
                <w:sz w:val="21"/>
                <w:szCs w:val="21"/>
              </w:rPr>
              <w:t>2</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打捞机</w:t>
            </w:r>
          </w:p>
        </w:tc>
        <w:tc>
          <w:tcPr>
            <w:tcW w:w="1897" w:type="dxa"/>
            <w:tcBorders>
              <w:tl2br w:val="nil"/>
              <w:tr2bl w:val="nil"/>
            </w:tcBorders>
            <w:vAlign w:val="center"/>
          </w:tcPr>
          <w:p w:rsidR="00DB7CC8" w:rsidRDefault="00DB7CC8">
            <w:pPr>
              <w:spacing w:line="240" w:lineRule="auto"/>
              <w:ind w:firstLineChars="0" w:firstLine="0"/>
              <w:jc w:val="center"/>
              <w:rPr>
                <w:sz w:val="21"/>
                <w:szCs w:val="21"/>
              </w:rPr>
            </w:pP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rFonts w:hint="eastAsia"/>
                <w:sz w:val="21"/>
                <w:szCs w:val="21"/>
              </w:rPr>
              <w:t>3</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渣浆泵</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4m</w:t>
            </w:r>
            <w:r>
              <w:rPr>
                <w:sz w:val="21"/>
                <w:szCs w:val="21"/>
                <w:vertAlign w:val="superscript"/>
              </w:rPr>
              <w:t>3</w:t>
            </w:r>
            <w:r>
              <w:rPr>
                <w:sz w:val="21"/>
                <w:szCs w:val="21"/>
              </w:rPr>
              <w:t>/h</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4</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bCs/>
                <w:sz w:val="21"/>
                <w:szCs w:val="21"/>
              </w:rPr>
            </w:pPr>
            <w:r>
              <w:rPr>
                <w:sz w:val="21"/>
                <w:szCs w:val="21"/>
              </w:rPr>
              <w:t>2</w:t>
            </w:r>
            <w:r>
              <w:rPr>
                <w:rFonts w:hint="eastAsia"/>
                <w:sz w:val="21"/>
                <w:szCs w:val="21"/>
              </w:rPr>
              <w:t>4</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渣浆泵</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6m</w:t>
            </w:r>
            <w:r>
              <w:rPr>
                <w:sz w:val="21"/>
                <w:szCs w:val="21"/>
                <w:vertAlign w:val="superscript"/>
              </w:rPr>
              <w:t>3</w:t>
            </w:r>
            <w:r>
              <w:rPr>
                <w:sz w:val="21"/>
                <w:szCs w:val="21"/>
              </w:rPr>
              <w:t>/h</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rFonts w:hint="eastAsia"/>
                <w:sz w:val="21"/>
                <w:szCs w:val="21"/>
              </w:rPr>
              <w:t>5</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渣浆泵</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3m</w:t>
            </w:r>
            <w:r>
              <w:rPr>
                <w:sz w:val="21"/>
                <w:szCs w:val="21"/>
                <w:vertAlign w:val="superscript"/>
              </w:rPr>
              <w:t>3</w:t>
            </w:r>
            <w:r>
              <w:rPr>
                <w:sz w:val="21"/>
                <w:szCs w:val="21"/>
              </w:rPr>
              <w:t>/h</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rFonts w:hint="eastAsia"/>
                <w:sz w:val="21"/>
                <w:szCs w:val="21"/>
              </w:rPr>
              <w:t>6</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水泵</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150t/h</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5</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rFonts w:hint="eastAsia"/>
                <w:sz w:val="21"/>
                <w:szCs w:val="21"/>
              </w:rPr>
              <w:t>7</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脱水筛</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1800*3600mm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sz w:val="21"/>
                <w:szCs w:val="21"/>
              </w:rPr>
              <w:t>28</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旋流罐</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Φ5m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bCs/>
                <w:sz w:val="21"/>
                <w:szCs w:val="21"/>
              </w:rPr>
            </w:pPr>
            <w:r>
              <w:rPr>
                <w:sz w:val="21"/>
                <w:szCs w:val="21"/>
              </w:rPr>
              <w:t>2</w:t>
            </w:r>
            <w:r>
              <w:rPr>
                <w:rFonts w:hint="eastAsia"/>
                <w:sz w:val="21"/>
                <w:szCs w:val="21"/>
              </w:rPr>
              <w:t>9</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浓密池</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Φ10m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厂区</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30</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尾矿泥浆压滤机</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LW500kw</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6</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板框式，压滤机房</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31</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脉冲</w:t>
            </w:r>
            <w:r>
              <w:rPr>
                <w:sz w:val="21"/>
                <w:szCs w:val="21"/>
              </w:rPr>
              <w:t>布袋除尘器</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风量</w:t>
            </w:r>
            <w:r>
              <w:rPr>
                <w:bCs/>
                <w:sz w:val="21"/>
                <w:szCs w:val="21"/>
              </w:rPr>
              <w:t>36000m</w:t>
            </w:r>
            <w:r>
              <w:rPr>
                <w:bCs/>
                <w:sz w:val="21"/>
                <w:szCs w:val="21"/>
                <w:vertAlign w:val="superscript"/>
              </w:rPr>
              <w:t>3</w:t>
            </w:r>
            <w:r>
              <w:rPr>
                <w:bCs/>
                <w:sz w:val="21"/>
                <w:szCs w:val="21"/>
              </w:rPr>
              <w:t>/h</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套</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3</w:t>
            </w:r>
            <w:r>
              <w:rPr>
                <w:rFonts w:hint="eastAsia"/>
                <w:sz w:val="21"/>
                <w:szCs w:val="21"/>
              </w:rPr>
              <w:t>2</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脉冲布袋除尘器</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风量</w:t>
            </w:r>
            <w:r>
              <w:rPr>
                <w:bCs/>
                <w:sz w:val="21"/>
                <w:szCs w:val="21"/>
              </w:rPr>
              <w:t>36000m</w:t>
            </w:r>
            <w:r>
              <w:rPr>
                <w:bCs/>
                <w:sz w:val="21"/>
                <w:szCs w:val="21"/>
                <w:vertAlign w:val="superscript"/>
              </w:rPr>
              <w:t>3</w:t>
            </w:r>
            <w:r>
              <w:rPr>
                <w:bCs/>
                <w:sz w:val="21"/>
                <w:szCs w:val="21"/>
              </w:rPr>
              <w:t>/h</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套</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3</w:t>
            </w:r>
            <w:r>
              <w:rPr>
                <w:rFonts w:hint="eastAsia"/>
                <w:sz w:val="21"/>
                <w:szCs w:val="21"/>
              </w:rPr>
              <w:t>3</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铲车</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50t</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厂区</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34</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清扫车</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厂区</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3</w:t>
            </w:r>
            <w:r>
              <w:rPr>
                <w:rFonts w:hint="eastAsia"/>
                <w:sz w:val="21"/>
                <w:szCs w:val="21"/>
              </w:rPr>
              <w:t>5</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洒水车</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厂区</w:t>
            </w:r>
          </w:p>
        </w:tc>
      </w:tr>
    </w:tbl>
    <w:p w:rsidR="00DB7CC8" w:rsidRDefault="002B5250">
      <w:pPr>
        <w:pStyle w:val="3"/>
        <w:numPr>
          <w:ilvl w:val="2"/>
          <w:numId w:val="1"/>
        </w:numPr>
        <w:rPr>
          <w:szCs w:val="28"/>
        </w:rPr>
      </w:pPr>
      <w:r>
        <w:rPr>
          <w:szCs w:val="28"/>
        </w:rPr>
        <w:t>原辅材料及能源消耗情况</w:t>
      </w:r>
      <w:bookmarkEnd w:id="173"/>
    </w:p>
    <w:p w:rsidR="00DB7CC8" w:rsidRDefault="002B5250">
      <w:pPr>
        <w:snapToGrid w:val="0"/>
        <w:ind w:firstLine="480"/>
        <w:jc w:val="both"/>
        <w:rPr>
          <w:rFonts w:eastAsia="黑体"/>
          <w:kern w:val="2"/>
          <w:sz w:val="21"/>
          <w:szCs w:val="21"/>
        </w:rPr>
      </w:pPr>
      <w:r>
        <w:rPr>
          <w:rFonts w:hint="eastAsia"/>
          <w:sz w:val="24"/>
          <w:szCs w:val="24"/>
        </w:rPr>
        <w:t>现有工程</w:t>
      </w:r>
      <w:r>
        <w:rPr>
          <w:sz w:val="24"/>
          <w:szCs w:val="24"/>
        </w:rPr>
        <w:t>主要原辅材料及能源消耗情况见下表。</w:t>
      </w:r>
    </w:p>
    <w:p w:rsidR="00DB7CC8" w:rsidRDefault="002B5250">
      <w:pPr>
        <w:spacing w:line="240" w:lineRule="auto"/>
        <w:ind w:firstLineChars="0" w:firstLine="0"/>
        <w:jc w:val="center"/>
        <w:textAlignment w:val="auto"/>
        <w:rPr>
          <w:rFonts w:eastAsia="黑体"/>
          <w:sz w:val="21"/>
          <w:szCs w:val="21"/>
        </w:rPr>
      </w:pPr>
      <w:r>
        <w:rPr>
          <w:rFonts w:eastAsia="黑体"/>
          <w:kern w:val="2"/>
          <w:sz w:val="21"/>
          <w:szCs w:val="21"/>
        </w:rPr>
        <w:t>表</w:t>
      </w:r>
      <w:r>
        <w:rPr>
          <w:rFonts w:eastAsia="黑体"/>
          <w:kern w:val="2"/>
          <w:sz w:val="21"/>
          <w:szCs w:val="21"/>
        </w:rPr>
        <w:t>3.1-</w:t>
      </w:r>
      <w:r>
        <w:rPr>
          <w:rFonts w:eastAsia="黑体" w:hint="eastAsia"/>
          <w:kern w:val="2"/>
          <w:sz w:val="21"/>
          <w:szCs w:val="21"/>
        </w:rPr>
        <w:t>5</w:t>
      </w:r>
      <w:r>
        <w:rPr>
          <w:rFonts w:eastAsia="黑体"/>
          <w:kern w:val="2"/>
          <w:sz w:val="21"/>
          <w:szCs w:val="21"/>
        </w:rPr>
        <w:t xml:space="preserve"> </w:t>
      </w:r>
      <w:r>
        <w:rPr>
          <w:rFonts w:eastAsia="黑体" w:hint="eastAsia"/>
          <w:kern w:val="2"/>
          <w:sz w:val="21"/>
          <w:szCs w:val="21"/>
        </w:rPr>
        <w:t>现有工程</w:t>
      </w:r>
      <w:r>
        <w:rPr>
          <w:rFonts w:eastAsia="黑体"/>
          <w:kern w:val="2"/>
          <w:sz w:val="21"/>
          <w:szCs w:val="21"/>
        </w:rPr>
        <w:t>主要原辅材料与能源消耗一览表</w:t>
      </w:r>
    </w:p>
    <w:tbl>
      <w:tblPr>
        <w:tblW w:w="8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
        <w:gridCol w:w="1483"/>
        <w:gridCol w:w="914"/>
        <w:gridCol w:w="1133"/>
        <w:gridCol w:w="4359"/>
      </w:tblGrid>
      <w:tr w:rsidR="00DB7CC8">
        <w:trPr>
          <w:trHeight w:val="284"/>
          <w:jc w:val="center"/>
        </w:trPr>
        <w:tc>
          <w:tcPr>
            <w:tcW w:w="680"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序号</w:t>
            </w:r>
          </w:p>
        </w:tc>
        <w:tc>
          <w:tcPr>
            <w:tcW w:w="1483"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名称</w:t>
            </w:r>
          </w:p>
        </w:tc>
        <w:tc>
          <w:tcPr>
            <w:tcW w:w="914"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消耗量</w:t>
            </w:r>
          </w:p>
        </w:tc>
        <w:tc>
          <w:tcPr>
            <w:tcW w:w="1133"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单位</w:t>
            </w:r>
          </w:p>
        </w:tc>
        <w:tc>
          <w:tcPr>
            <w:tcW w:w="4359"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备注</w:t>
            </w:r>
          </w:p>
        </w:tc>
      </w:tr>
      <w:tr w:rsidR="00DB7CC8">
        <w:trPr>
          <w:trHeight w:val="284"/>
          <w:jc w:val="center"/>
        </w:trPr>
        <w:tc>
          <w:tcPr>
            <w:tcW w:w="680" w:type="dxa"/>
            <w:tcBorders>
              <w:tl2br w:val="nil"/>
              <w:tr2bl w:val="nil"/>
            </w:tcBorders>
            <w:vAlign w:val="center"/>
          </w:tcPr>
          <w:p w:rsidR="00DB7CC8" w:rsidRDefault="002B5250">
            <w:pPr>
              <w:pStyle w:val="63"/>
            </w:pPr>
            <w:r>
              <w:t>1</w:t>
            </w:r>
          </w:p>
        </w:tc>
        <w:tc>
          <w:tcPr>
            <w:tcW w:w="1483"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原矿</w:t>
            </w:r>
          </w:p>
        </w:tc>
        <w:tc>
          <w:tcPr>
            <w:tcW w:w="914"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70</w:t>
            </w:r>
          </w:p>
        </w:tc>
        <w:tc>
          <w:tcPr>
            <w:tcW w:w="1133"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万</w:t>
            </w:r>
            <w:r>
              <w:rPr>
                <w:sz w:val="21"/>
                <w:szCs w:val="21"/>
              </w:rPr>
              <w:t>t/a</w:t>
            </w:r>
          </w:p>
        </w:tc>
        <w:tc>
          <w:tcPr>
            <w:tcW w:w="4359" w:type="dxa"/>
            <w:tcBorders>
              <w:tl2br w:val="nil"/>
              <w:tr2bl w:val="nil"/>
            </w:tcBorders>
            <w:vAlign w:val="center"/>
          </w:tcPr>
          <w:p w:rsidR="00DB7CC8" w:rsidRDefault="002B5250">
            <w:pPr>
              <w:spacing w:line="320" w:lineRule="exact"/>
              <w:ind w:firstLineChars="0" w:firstLine="0"/>
              <w:jc w:val="center"/>
              <w:rPr>
                <w:sz w:val="21"/>
                <w:szCs w:val="21"/>
              </w:rPr>
            </w:pPr>
            <w:r>
              <w:rPr>
                <w:rFonts w:hint="eastAsia"/>
                <w:sz w:val="21"/>
                <w:szCs w:val="21"/>
              </w:rPr>
              <w:t>平均品位</w:t>
            </w:r>
            <w:r>
              <w:rPr>
                <w:sz w:val="21"/>
                <w:szCs w:val="21"/>
              </w:rPr>
              <w:t>2</w:t>
            </w:r>
            <w:r>
              <w:rPr>
                <w:rFonts w:hint="eastAsia"/>
                <w:sz w:val="21"/>
                <w:szCs w:val="21"/>
              </w:rPr>
              <w:t>2</w:t>
            </w:r>
            <w:r>
              <w:rPr>
                <w:sz w:val="21"/>
                <w:szCs w:val="21"/>
              </w:rPr>
              <w:t>.73%</w:t>
            </w:r>
            <w:r>
              <w:rPr>
                <w:sz w:val="21"/>
                <w:szCs w:val="21"/>
              </w:rPr>
              <w:t>，来自遵化市隆晟矿业有限公司</w:t>
            </w:r>
          </w:p>
        </w:tc>
      </w:tr>
      <w:tr w:rsidR="00DB7CC8">
        <w:trPr>
          <w:trHeight w:val="284"/>
          <w:jc w:val="center"/>
        </w:trPr>
        <w:tc>
          <w:tcPr>
            <w:tcW w:w="680"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2</w:t>
            </w:r>
          </w:p>
        </w:tc>
        <w:tc>
          <w:tcPr>
            <w:tcW w:w="1483"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水（新水）</w:t>
            </w:r>
          </w:p>
        </w:tc>
        <w:tc>
          <w:tcPr>
            <w:tcW w:w="914"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78922.5</w:t>
            </w:r>
          </w:p>
        </w:tc>
        <w:tc>
          <w:tcPr>
            <w:tcW w:w="1133"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m</w:t>
            </w:r>
            <w:r>
              <w:rPr>
                <w:sz w:val="21"/>
                <w:szCs w:val="21"/>
                <w:vertAlign w:val="superscript"/>
              </w:rPr>
              <w:t>3</w:t>
            </w:r>
            <w:r>
              <w:rPr>
                <w:sz w:val="21"/>
                <w:szCs w:val="21"/>
              </w:rPr>
              <w:t>/a</w:t>
            </w:r>
          </w:p>
        </w:tc>
        <w:tc>
          <w:tcPr>
            <w:tcW w:w="4359"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自备井提供</w:t>
            </w:r>
          </w:p>
        </w:tc>
      </w:tr>
      <w:tr w:rsidR="00DB7CC8">
        <w:trPr>
          <w:trHeight w:val="284"/>
          <w:jc w:val="center"/>
        </w:trPr>
        <w:tc>
          <w:tcPr>
            <w:tcW w:w="680"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3</w:t>
            </w:r>
          </w:p>
        </w:tc>
        <w:tc>
          <w:tcPr>
            <w:tcW w:w="1483"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电</w:t>
            </w:r>
          </w:p>
        </w:tc>
        <w:tc>
          <w:tcPr>
            <w:tcW w:w="914"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1920</w:t>
            </w:r>
          </w:p>
        </w:tc>
        <w:tc>
          <w:tcPr>
            <w:tcW w:w="1133"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万</w:t>
            </w:r>
            <w:r>
              <w:rPr>
                <w:sz w:val="21"/>
                <w:szCs w:val="21"/>
              </w:rPr>
              <w:t>kW·h/a</w:t>
            </w:r>
          </w:p>
        </w:tc>
        <w:tc>
          <w:tcPr>
            <w:tcW w:w="4359"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当地变电站供给</w:t>
            </w:r>
          </w:p>
        </w:tc>
      </w:tr>
      <w:tr w:rsidR="00DB7CC8">
        <w:trPr>
          <w:trHeight w:val="284"/>
          <w:jc w:val="center"/>
        </w:trPr>
        <w:tc>
          <w:tcPr>
            <w:tcW w:w="680"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4</w:t>
            </w:r>
          </w:p>
        </w:tc>
        <w:tc>
          <w:tcPr>
            <w:tcW w:w="1483"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球磨</w:t>
            </w:r>
            <w:r>
              <w:rPr>
                <w:sz w:val="21"/>
                <w:szCs w:val="21"/>
              </w:rPr>
              <w:t>(</w:t>
            </w:r>
            <w:r>
              <w:rPr>
                <w:sz w:val="21"/>
                <w:szCs w:val="21"/>
              </w:rPr>
              <w:t>钢球</w:t>
            </w:r>
            <w:r>
              <w:rPr>
                <w:sz w:val="21"/>
                <w:szCs w:val="21"/>
              </w:rPr>
              <w:t>)</w:t>
            </w:r>
          </w:p>
        </w:tc>
        <w:tc>
          <w:tcPr>
            <w:tcW w:w="914"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105</w:t>
            </w:r>
          </w:p>
        </w:tc>
        <w:tc>
          <w:tcPr>
            <w:tcW w:w="1133"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t/a</w:t>
            </w:r>
          </w:p>
        </w:tc>
        <w:tc>
          <w:tcPr>
            <w:tcW w:w="4359"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外购</w:t>
            </w:r>
          </w:p>
        </w:tc>
      </w:tr>
      <w:tr w:rsidR="00DB7CC8">
        <w:trPr>
          <w:trHeight w:val="284"/>
          <w:jc w:val="center"/>
        </w:trPr>
        <w:tc>
          <w:tcPr>
            <w:tcW w:w="680"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5</w:t>
            </w:r>
          </w:p>
        </w:tc>
        <w:tc>
          <w:tcPr>
            <w:tcW w:w="1483" w:type="dxa"/>
            <w:tcBorders>
              <w:tl2br w:val="nil"/>
              <w:tr2bl w:val="nil"/>
            </w:tcBorders>
            <w:vAlign w:val="center"/>
          </w:tcPr>
          <w:p w:rsidR="00DB7CC8" w:rsidRDefault="002B5250">
            <w:pPr>
              <w:spacing w:line="320" w:lineRule="exact"/>
              <w:ind w:firstLineChars="0" w:firstLine="0"/>
              <w:jc w:val="center"/>
              <w:rPr>
                <w:sz w:val="21"/>
                <w:szCs w:val="21"/>
              </w:rPr>
            </w:pPr>
            <w:r>
              <w:rPr>
                <w:rFonts w:hint="eastAsia"/>
                <w:sz w:val="21"/>
                <w:szCs w:val="21"/>
              </w:rPr>
              <w:t>矿物油</w:t>
            </w:r>
          </w:p>
        </w:tc>
        <w:tc>
          <w:tcPr>
            <w:tcW w:w="914" w:type="dxa"/>
            <w:tcBorders>
              <w:tl2br w:val="nil"/>
              <w:tr2bl w:val="nil"/>
            </w:tcBorders>
            <w:vAlign w:val="center"/>
          </w:tcPr>
          <w:p w:rsidR="00DB7CC8" w:rsidRDefault="002B5250">
            <w:pPr>
              <w:spacing w:line="320" w:lineRule="exact"/>
              <w:ind w:firstLineChars="0" w:firstLine="0"/>
              <w:jc w:val="center"/>
              <w:rPr>
                <w:sz w:val="21"/>
                <w:szCs w:val="21"/>
              </w:rPr>
            </w:pPr>
            <w:r>
              <w:rPr>
                <w:rFonts w:hint="eastAsia"/>
                <w:kern w:val="24"/>
                <w:sz w:val="21"/>
                <w:szCs w:val="21"/>
              </w:rPr>
              <w:t>0.4</w:t>
            </w:r>
          </w:p>
        </w:tc>
        <w:tc>
          <w:tcPr>
            <w:tcW w:w="1133" w:type="dxa"/>
            <w:tcBorders>
              <w:tl2br w:val="nil"/>
              <w:tr2bl w:val="nil"/>
            </w:tcBorders>
            <w:vAlign w:val="center"/>
          </w:tcPr>
          <w:p w:rsidR="00DB7CC8" w:rsidRDefault="002B5250">
            <w:pPr>
              <w:spacing w:line="320" w:lineRule="exact"/>
              <w:ind w:firstLineChars="0" w:firstLine="0"/>
              <w:jc w:val="center"/>
              <w:rPr>
                <w:sz w:val="21"/>
                <w:szCs w:val="21"/>
              </w:rPr>
            </w:pPr>
            <w:r>
              <w:rPr>
                <w:kern w:val="24"/>
                <w:sz w:val="21"/>
                <w:szCs w:val="21"/>
              </w:rPr>
              <w:t>t/a</w:t>
            </w:r>
          </w:p>
        </w:tc>
        <w:tc>
          <w:tcPr>
            <w:tcW w:w="4359" w:type="dxa"/>
            <w:tcBorders>
              <w:tl2br w:val="nil"/>
              <w:tr2bl w:val="nil"/>
            </w:tcBorders>
            <w:vAlign w:val="center"/>
          </w:tcPr>
          <w:p w:rsidR="00DB7CC8" w:rsidRDefault="002B5250">
            <w:pPr>
              <w:spacing w:line="320" w:lineRule="exact"/>
              <w:ind w:firstLineChars="0" w:firstLine="0"/>
              <w:jc w:val="center"/>
              <w:rPr>
                <w:sz w:val="21"/>
                <w:szCs w:val="21"/>
              </w:rPr>
            </w:pPr>
            <w:r>
              <w:rPr>
                <w:kern w:val="24"/>
                <w:sz w:val="21"/>
                <w:szCs w:val="21"/>
              </w:rPr>
              <w:t>外购</w:t>
            </w:r>
          </w:p>
        </w:tc>
      </w:tr>
    </w:tbl>
    <w:p w:rsidR="00DB7CC8" w:rsidRDefault="002B5250">
      <w:pPr>
        <w:pStyle w:val="3"/>
        <w:numPr>
          <w:ilvl w:val="2"/>
          <w:numId w:val="1"/>
        </w:numPr>
        <w:spacing w:beforeLines="50" w:before="120"/>
        <w:rPr>
          <w:szCs w:val="28"/>
        </w:rPr>
      </w:pPr>
      <w:bookmarkStart w:id="175" w:name="_Toc17475"/>
      <w:bookmarkStart w:id="176" w:name="_Toc521591759"/>
      <w:bookmarkEnd w:id="174"/>
      <w:r>
        <w:rPr>
          <w:szCs w:val="28"/>
        </w:rPr>
        <w:t>劳动定员及工作制度</w:t>
      </w:r>
      <w:bookmarkEnd w:id="175"/>
      <w:bookmarkEnd w:id="176"/>
    </w:p>
    <w:p w:rsidR="00DB7CC8" w:rsidRDefault="002B5250">
      <w:pPr>
        <w:ind w:firstLine="480"/>
        <w:rPr>
          <w:sz w:val="24"/>
          <w:szCs w:val="24"/>
        </w:rPr>
      </w:pPr>
      <w:r>
        <w:rPr>
          <w:rFonts w:hint="eastAsia"/>
          <w:sz w:val="24"/>
          <w:szCs w:val="24"/>
        </w:rPr>
        <w:t>公司现有</w:t>
      </w:r>
      <w:r>
        <w:rPr>
          <w:sz w:val="24"/>
          <w:szCs w:val="24"/>
        </w:rPr>
        <w:t>劳动定员</w:t>
      </w:r>
      <w:r>
        <w:rPr>
          <w:sz w:val="24"/>
          <w:szCs w:val="24"/>
        </w:rPr>
        <w:t>75</w:t>
      </w:r>
      <w:r>
        <w:rPr>
          <w:sz w:val="24"/>
          <w:szCs w:val="24"/>
        </w:rPr>
        <w:t>人，其中管理和技术人员</w:t>
      </w:r>
      <w:r>
        <w:rPr>
          <w:sz w:val="24"/>
          <w:szCs w:val="24"/>
        </w:rPr>
        <w:t>15</w:t>
      </w:r>
      <w:r>
        <w:rPr>
          <w:sz w:val="24"/>
          <w:szCs w:val="24"/>
        </w:rPr>
        <w:t>人，工人</w:t>
      </w:r>
      <w:r>
        <w:rPr>
          <w:sz w:val="24"/>
          <w:szCs w:val="24"/>
        </w:rPr>
        <w:t>60</w:t>
      </w:r>
      <w:r>
        <w:rPr>
          <w:sz w:val="24"/>
          <w:szCs w:val="24"/>
        </w:rPr>
        <w:t>人。年工作</w:t>
      </w:r>
      <w:r>
        <w:rPr>
          <w:sz w:val="24"/>
          <w:szCs w:val="24"/>
        </w:rPr>
        <w:t>300</w:t>
      </w:r>
      <w:r>
        <w:rPr>
          <w:sz w:val="24"/>
          <w:szCs w:val="24"/>
        </w:rPr>
        <w:t>天，每天</w:t>
      </w:r>
      <w:r>
        <w:rPr>
          <w:sz w:val="24"/>
          <w:szCs w:val="24"/>
        </w:rPr>
        <w:t>3</w:t>
      </w:r>
      <w:r>
        <w:rPr>
          <w:sz w:val="24"/>
          <w:szCs w:val="24"/>
        </w:rPr>
        <w:t>班，每班</w:t>
      </w:r>
      <w:r>
        <w:rPr>
          <w:sz w:val="24"/>
          <w:szCs w:val="24"/>
        </w:rPr>
        <w:t>8</w:t>
      </w:r>
      <w:r>
        <w:rPr>
          <w:sz w:val="24"/>
          <w:szCs w:val="24"/>
        </w:rPr>
        <w:t>小时，设备年工作小时数</w:t>
      </w:r>
      <w:r>
        <w:rPr>
          <w:sz w:val="24"/>
          <w:szCs w:val="24"/>
        </w:rPr>
        <w:t>7200</w:t>
      </w:r>
      <w:r>
        <w:rPr>
          <w:sz w:val="24"/>
          <w:szCs w:val="24"/>
        </w:rPr>
        <w:t>小时。</w:t>
      </w:r>
    </w:p>
    <w:p w:rsidR="00DB7CC8" w:rsidRDefault="002B5250">
      <w:pPr>
        <w:pStyle w:val="3"/>
        <w:numPr>
          <w:ilvl w:val="2"/>
          <w:numId w:val="1"/>
        </w:numPr>
        <w:rPr>
          <w:szCs w:val="28"/>
        </w:rPr>
      </w:pPr>
      <w:bookmarkStart w:id="177" w:name="_Toc23906"/>
      <w:bookmarkStart w:id="178" w:name="_Toc503218103"/>
      <w:bookmarkStart w:id="179" w:name="_Toc521591762"/>
      <w:bookmarkStart w:id="180" w:name="_Toc499651404"/>
      <w:r>
        <w:rPr>
          <w:szCs w:val="28"/>
        </w:rPr>
        <w:t>公用工程</w:t>
      </w:r>
      <w:bookmarkEnd w:id="177"/>
      <w:bookmarkEnd w:id="178"/>
      <w:bookmarkEnd w:id="179"/>
      <w:bookmarkEnd w:id="180"/>
    </w:p>
    <w:p w:rsidR="00DB7CC8" w:rsidRDefault="002B5250">
      <w:pPr>
        <w:pStyle w:val="4"/>
      </w:pPr>
      <w:bookmarkStart w:id="181" w:name="_Hlk18932551"/>
      <w:r>
        <w:t>3.1.</w:t>
      </w:r>
      <w:r>
        <w:rPr>
          <w:rFonts w:hint="eastAsia"/>
        </w:rPr>
        <w:t>7</w:t>
      </w:r>
      <w:r>
        <w:t>.1</w:t>
      </w:r>
      <w:r>
        <w:t>给排水</w:t>
      </w:r>
    </w:p>
    <w:p w:rsidR="00DB7CC8" w:rsidRDefault="002B5250">
      <w:pPr>
        <w:ind w:firstLine="480"/>
        <w:jc w:val="both"/>
        <w:rPr>
          <w:sz w:val="24"/>
          <w:szCs w:val="24"/>
        </w:rPr>
      </w:pPr>
      <w:r>
        <w:rPr>
          <w:sz w:val="24"/>
          <w:szCs w:val="24"/>
        </w:rPr>
        <w:t>（</w:t>
      </w:r>
      <w:r>
        <w:rPr>
          <w:sz w:val="24"/>
          <w:szCs w:val="24"/>
        </w:rPr>
        <w:t>1</w:t>
      </w:r>
      <w:r>
        <w:rPr>
          <w:sz w:val="24"/>
          <w:szCs w:val="24"/>
        </w:rPr>
        <w:t>）给水</w:t>
      </w:r>
    </w:p>
    <w:p w:rsidR="00DB7CC8" w:rsidRDefault="002B5250">
      <w:pPr>
        <w:ind w:firstLine="480"/>
        <w:jc w:val="both"/>
        <w:rPr>
          <w:sz w:val="24"/>
          <w:szCs w:val="24"/>
        </w:rPr>
      </w:pPr>
      <w:r>
        <w:rPr>
          <w:rFonts w:hint="eastAsia"/>
          <w:sz w:val="24"/>
          <w:szCs w:val="24"/>
        </w:rPr>
        <w:t>现有工程</w:t>
      </w:r>
      <w:r>
        <w:rPr>
          <w:sz w:val="24"/>
          <w:szCs w:val="24"/>
        </w:rPr>
        <w:t>用水来源于厂区自备井。</w:t>
      </w:r>
    </w:p>
    <w:p w:rsidR="00DB7CC8" w:rsidRDefault="002B5250">
      <w:pPr>
        <w:ind w:firstLine="480"/>
        <w:jc w:val="both"/>
        <w:rPr>
          <w:sz w:val="24"/>
          <w:szCs w:val="24"/>
        </w:rPr>
      </w:pPr>
      <w:r>
        <w:rPr>
          <w:rFonts w:hint="eastAsia"/>
          <w:sz w:val="24"/>
          <w:szCs w:val="24"/>
        </w:rPr>
        <w:t>现有工程</w:t>
      </w:r>
      <w:r>
        <w:rPr>
          <w:sz w:val="24"/>
          <w:szCs w:val="24"/>
        </w:rPr>
        <w:t>用水主要为生活用水、生产用水，总用水量约为</w:t>
      </w:r>
      <w:r>
        <w:rPr>
          <w:sz w:val="24"/>
          <w:szCs w:val="24"/>
        </w:rPr>
        <w:t>6072.97m</w:t>
      </w:r>
      <w:r>
        <w:rPr>
          <w:sz w:val="24"/>
          <w:szCs w:val="24"/>
          <w:vertAlign w:val="superscript"/>
        </w:rPr>
        <w:t>3</w:t>
      </w:r>
      <w:r>
        <w:rPr>
          <w:sz w:val="24"/>
          <w:szCs w:val="24"/>
        </w:rPr>
        <w:t>/d</w:t>
      </w:r>
      <w:r>
        <w:rPr>
          <w:rFonts w:hint="eastAsia"/>
          <w:sz w:val="24"/>
          <w:szCs w:val="24"/>
        </w:rPr>
        <w:t>，</w:t>
      </w:r>
      <w:r>
        <w:rPr>
          <w:sz w:val="24"/>
          <w:szCs w:val="24"/>
        </w:rPr>
        <w:t>其中新鲜水用量为</w:t>
      </w:r>
      <w:r>
        <w:rPr>
          <w:sz w:val="24"/>
          <w:szCs w:val="24"/>
        </w:rPr>
        <w:t>240.875m</w:t>
      </w:r>
      <w:r>
        <w:rPr>
          <w:sz w:val="24"/>
          <w:szCs w:val="24"/>
          <w:vertAlign w:val="superscript"/>
        </w:rPr>
        <w:t>3</w:t>
      </w:r>
      <w:r>
        <w:rPr>
          <w:sz w:val="24"/>
          <w:szCs w:val="24"/>
        </w:rPr>
        <w:t>/d</w:t>
      </w:r>
      <w:r>
        <w:rPr>
          <w:sz w:val="24"/>
          <w:szCs w:val="24"/>
        </w:rPr>
        <w:t>、循环水量为</w:t>
      </w:r>
      <w:r>
        <w:rPr>
          <w:sz w:val="24"/>
          <w:szCs w:val="24"/>
        </w:rPr>
        <w:t>5830.82m</w:t>
      </w:r>
      <w:r>
        <w:rPr>
          <w:sz w:val="24"/>
          <w:szCs w:val="24"/>
          <w:vertAlign w:val="superscript"/>
        </w:rPr>
        <w:t>3</w:t>
      </w:r>
      <w:r>
        <w:rPr>
          <w:sz w:val="24"/>
          <w:szCs w:val="24"/>
        </w:rPr>
        <w:t>/d</w:t>
      </w:r>
      <w:r>
        <w:rPr>
          <w:sz w:val="24"/>
          <w:szCs w:val="24"/>
        </w:rPr>
        <w:t>、</w:t>
      </w:r>
      <w:r>
        <w:rPr>
          <w:rFonts w:hint="eastAsia"/>
          <w:sz w:val="24"/>
          <w:szCs w:val="24"/>
        </w:rPr>
        <w:t>回用</w:t>
      </w:r>
      <w:r>
        <w:rPr>
          <w:sz w:val="24"/>
          <w:szCs w:val="24"/>
        </w:rPr>
        <w:t>水量为</w:t>
      </w:r>
      <w:r>
        <w:rPr>
          <w:sz w:val="24"/>
          <w:szCs w:val="24"/>
        </w:rPr>
        <w:t>5.525m</w:t>
      </w:r>
      <w:r>
        <w:rPr>
          <w:sz w:val="24"/>
          <w:szCs w:val="24"/>
          <w:vertAlign w:val="superscript"/>
        </w:rPr>
        <w:t>3</w:t>
      </w:r>
      <w:r>
        <w:rPr>
          <w:sz w:val="24"/>
          <w:szCs w:val="24"/>
        </w:rPr>
        <w:t>/d</w:t>
      </w:r>
      <w:r>
        <w:rPr>
          <w:sz w:val="24"/>
          <w:szCs w:val="24"/>
        </w:rPr>
        <w:t>，水循环利用率为</w:t>
      </w:r>
      <w:r>
        <w:rPr>
          <w:sz w:val="24"/>
          <w:szCs w:val="24"/>
        </w:rPr>
        <w:t>96.0%</w:t>
      </w:r>
      <w:r>
        <w:rPr>
          <w:sz w:val="24"/>
          <w:szCs w:val="24"/>
        </w:rPr>
        <w:t>。</w:t>
      </w:r>
    </w:p>
    <w:p w:rsidR="00DB7CC8" w:rsidRDefault="002B5250">
      <w:pPr>
        <w:ind w:firstLine="480"/>
        <w:jc w:val="both"/>
        <w:rPr>
          <w:sz w:val="24"/>
          <w:szCs w:val="24"/>
        </w:rPr>
      </w:pPr>
      <w:r>
        <w:rPr>
          <w:rFonts w:ascii="宋体" w:hAnsi="宋体" w:cs="宋体" w:hint="eastAsia"/>
          <w:sz w:val="24"/>
          <w:szCs w:val="24"/>
        </w:rPr>
        <w:t>①</w:t>
      </w:r>
      <w:r>
        <w:rPr>
          <w:sz w:val="24"/>
          <w:szCs w:val="24"/>
        </w:rPr>
        <w:t>生活用水</w:t>
      </w:r>
    </w:p>
    <w:p w:rsidR="00DB7CC8" w:rsidRDefault="002B5250">
      <w:pPr>
        <w:ind w:firstLine="480"/>
        <w:jc w:val="both"/>
        <w:rPr>
          <w:sz w:val="24"/>
          <w:szCs w:val="24"/>
        </w:rPr>
      </w:pPr>
      <w:r>
        <w:rPr>
          <w:sz w:val="24"/>
          <w:szCs w:val="24"/>
        </w:rPr>
        <w:t>厂区不设食堂、洗浴，厕所为旱厕，职工生活用水按</w:t>
      </w:r>
      <w:r>
        <w:rPr>
          <w:sz w:val="24"/>
          <w:szCs w:val="24"/>
        </w:rPr>
        <w:t>20L/</w:t>
      </w:r>
      <w:r>
        <w:rPr>
          <w:sz w:val="24"/>
          <w:szCs w:val="24"/>
        </w:rPr>
        <w:t>人</w:t>
      </w:r>
      <w:r>
        <w:rPr>
          <w:sz w:val="24"/>
          <w:szCs w:val="24"/>
        </w:rPr>
        <w:t>·d</w:t>
      </w:r>
      <w:r>
        <w:rPr>
          <w:sz w:val="24"/>
          <w:szCs w:val="24"/>
        </w:rPr>
        <w:t>计，总定员</w:t>
      </w:r>
      <w:r>
        <w:rPr>
          <w:sz w:val="24"/>
          <w:szCs w:val="24"/>
        </w:rPr>
        <w:t>75</w:t>
      </w:r>
      <w:r>
        <w:rPr>
          <w:sz w:val="24"/>
          <w:szCs w:val="24"/>
        </w:rPr>
        <w:t>人，生活用水量</w:t>
      </w:r>
      <w:r>
        <w:rPr>
          <w:sz w:val="24"/>
          <w:szCs w:val="24"/>
        </w:rPr>
        <w:t>1.5 m</w:t>
      </w:r>
      <w:r>
        <w:rPr>
          <w:sz w:val="24"/>
          <w:szCs w:val="24"/>
          <w:vertAlign w:val="superscript"/>
        </w:rPr>
        <w:t>3</w:t>
      </w:r>
      <w:r>
        <w:rPr>
          <w:sz w:val="24"/>
          <w:szCs w:val="24"/>
        </w:rPr>
        <w:t>/d</w:t>
      </w:r>
      <w:r>
        <w:rPr>
          <w:sz w:val="24"/>
          <w:szCs w:val="24"/>
        </w:rPr>
        <w:t>（</w:t>
      </w:r>
      <w:r>
        <w:rPr>
          <w:sz w:val="24"/>
          <w:szCs w:val="24"/>
        </w:rPr>
        <w:t>450m</w:t>
      </w:r>
      <w:r>
        <w:rPr>
          <w:sz w:val="24"/>
          <w:szCs w:val="24"/>
          <w:vertAlign w:val="superscript"/>
        </w:rPr>
        <w:t>3</w:t>
      </w:r>
      <w:r>
        <w:rPr>
          <w:sz w:val="24"/>
          <w:szCs w:val="24"/>
        </w:rPr>
        <w:t>/a</w:t>
      </w:r>
      <w:r>
        <w:rPr>
          <w:sz w:val="24"/>
          <w:szCs w:val="24"/>
        </w:rPr>
        <w:t>）。</w:t>
      </w:r>
    </w:p>
    <w:p w:rsidR="00DB7CC8" w:rsidRDefault="002B5250">
      <w:pPr>
        <w:ind w:firstLine="480"/>
        <w:jc w:val="both"/>
        <w:rPr>
          <w:sz w:val="24"/>
          <w:szCs w:val="24"/>
        </w:rPr>
      </w:pPr>
      <w:r>
        <w:rPr>
          <w:rFonts w:ascii="宋体" w:hAnsi="宋体" w:cs="宋体" w:hint="eastAsia"/>
          <w:sz w:val="24"/>
          <w:szCs w:val="24"/>
        </w:rPr>
        <w:lastRenderedPageBreak/>
        <w:t>②</w:t>
      </w:r>
      <w:r>
        <w:rPr>
          <w:sz w:val="24"/>
          <w:szCs w:val="24"/>
        </w:rPr>
        <w:t>生产用水</w:t>
      </w:r>
    </w:p>
    <w:p w:rsidR="00DB7CC8" w:rsidRDefault="002B5250">
      <w:pPr>
        <w:ind w:firstLine="480"/>
        <w:jc w:val="both"/>
        <w:rPr>
          <w:sz w:val="24"/>
          <w:szCs w:val="24"/>
        </w:rPr>
      </w:pPr>
      <w:r>
        <w:rPr>
          <w:sz w:val="24"/>
          <w:szCs w:val="24"/>
        </w:rPr>
        <w:t>生产用水包括上料抑尘用水、原料库抑尘用水，球磨、磁选工序用水</w:t>
      </w:r>
      <w:r>
        <w:rPr>
          <w:rFonts w:hint="eastAsia"/>
          <w:sz w:val="24"/>
          <w:szCs w:val="24"/>
        </w:rPr>
        <w:t>，毛石筛选用水，</w:t>
      </w:r>
      <w:r>
        <w:rPr>
          <w:sz w:val="24"/>
          <w:szCs w:val="24"/>
        </w:rPr>
        <w:t>生产用水总量</w:t>
      </w:r>
      <w:r>
        <w:rPr>
          <w:sz w:val="24"/>
          <w:szCs w:val="24"/>
        </w:rPr>
        <w:t>6046.47m</w:t>
      </w:r>
      <w:r>
        <w:rPr>
          <w:sz w:val="24"/>
          <w:szCs w:val="24"/>
          <w:vertAlign w:val="superscript"/>
        </w:rPr>
        <w:t>3</w:t>
      </w:r>
      <w:r>
        <w:rPr>
          <w:sz w:val="24"/>
          <w:szCs w:val="24"/>
        </w:rPr>
        <w:t>/d</w:t>
      </w:r>
      <w:r>
        <w:rPr>
          <w:sz w:val="24"/>
          <w:szCs w:val="24"/>
        </w:rPr>
        <w:t>，其中新鲜水用量为</w:t>
      </w:r>
      <w:r>
        <w:rPr>
          <w:sz w:val="24"/>
          <w:szCs w:val="24"/>
        </w:rPr>
        <w:t>225.25m</w:t>
      </w:r>
      <w:r>
        <w:rPr>
          <w:sz w:val="24"/>
          <w:szCs w:val="24"/>
          <w:vertAlign w:val="superscript"/>
        </w:rPr>
        <w:t>3</w:t>
      </w:r>
      <w:r>
        <w:rPr>
          <w:sz w:val="24"/>
          <w:szCs w:val="24"/>
        </w:rPr>
        <w:t>/d</w:t>
      </w:r>
      <w:r>
        <w:rPr>
          <w:sz w:val="24"/>
          <w:szCs w:val="24"/>
        </w:rPr>
        <w:t>，循环水量为</w:t>
      </w:r>
      <w:r>
        <w:rPr>
          <w:sz w:val="24"/>
          <w:szCs w:val="24"/>
        </w:rPr>
        <w:t>5821.22m</w:t>
      </w:r>
      <w:r>
        <w:rPr>
          <w:sz w:val="24"/>
          <w:szCs w:val="24"/>
          <w:vertAlign w:val="superscript"/>
        </w:rPr>
        <w:t>3</w:t>
      </w:r>
      <w:r>
        <w:rPr>
          <w:sz w:val="24"/>
          <w:szCs w:val="24"/>
        </w:rPr>
        <w:t>/d</w:t>
      </w:r>
      <w:r>
        <w:rPr>
          <w:sz w:val="24"/>
          <w:szCs w:val="24"/>
        </w:rPr>
        <w:t>，回用水量为</w:t>
      </w:r>
      <w:r>
        <w:rPr>
          <w:sz w:val="24"/>
          <w:szCs w:val="24"/>
        </w:rPr>
        <w:t>4.25m</w:t>
      </w:r>
      <w:r>
        <w:rPr>
          <w:sz w:val="24"/>
          <w:szCs w:val="24"/>
          <w:vertAlign w:val="superscript"/>
        </w:rPr>
        <w:t>3</w:t>
      </w:r>
      <w:r>
        <w:rPr>
          <w:sz w:val="24"/>
          <w:szCs w:val="24"/>
        </w:rPr>
        <w:t>/d</w:t>
      </w:r>
      <w:r>
        <w:rPr>
          <w:sz w:val="24"/>
          <w:szCs w:val="24"/>
        </w:rPr>
        <w:t>。</w:t>
      </w:r>
    </w:p>
    <w:p w:rsidR="00DB7CC8" w:rsidRDefault="002B5250">
      <w:pPr>
        <w:ind w:firstLine="480"/>
        <w:jc w:val="both"/>
        <w:rPr>
          <w:sz w:val="24"/>
          <w:szCs w:val="24"/>
        </w:rPr>
      </w:pPr>
      <w:r>
        <w:rPr>
          <w:rFonts w:ascii="宋体" w:hAnsi="宋体" w:cs="宋体" w:hint="eastAsia"/>
          <w:sz w:val="24"/>
          <w:szCs w:val="24"/>
        </w:rPr>
        <w:t>③</w:t>
      </w:r>
      <w:r>
        <w:rPr>
          <w:sz w:val="24"/>
          <w:szCs w:val="24"/>
        </w:rPr>
        <w:t>车间清洗用水</w:t>
      </w:r>
    </w:p>
    <w:p w:rsidR="00DB7CC8" w:rsidRDefault="002B5250">
      <w:pPr>
        <w:ind w:firstLine="480"/>
        <w:jc w:val="both"/>
        <w:rPr>
          <w:sz w:val="24"/>
          <w:szCs w:val="24"/>
        </w:rPr>
      </w:pPr>
      <w:r>
        <w:rPr>
          <w:sz w:val="24"/>
          <w:szCs w:val="24"/>
        </w:rPr>
        <w:t>车间地面冲洗用水量为</w:t>
      </w:r>
      <w:r>
        <w:rPr>
          <w:sz w:val="24"/>
          <w:szCs w:val="24"/>
        </w:rPr>
        <w:t>5.0 m</w:t>
      </w:r>
      <w:r>
        <w:rPr>
          <w:sz w:val="24"/>
          <w:szCs w:val="24"/>
          <w:vertAlign w:val="superscript"/>
        </w:rPr>
        <w:t>3</w:t>
      </w:r>
      <w:r>
        <w:rPr>
          <w:sz w:val="24"/>
          <w:szCs w:val="24"/>
        </w:rPr>
        <w:t>/d</w:t>
      </w:r>
      <w:r>
        <w:rPr>
          <w:sz w:val="24"/>
          <w:szCs w:val="24"/>
        </w:rPr>
        <w:t>。</w:t>
      </w:r>
    </w:p>
    <w:p w:rsidR="00DB7CC8" w:rsidRDefault="002B5250">
      <w:pPr>
        <w:ind w:firstLine="480"/>
        <w:jc w:val="both"/>
        <w:rPr>
          <w:sz w:val="24"/>
          <w:szCs w:val="24"/>
        </w:rPr>
      </w:pPr>
      <w:r>
        <w:rPr>
          <w:rFonts w:ascii="宋体" w:hAnsi="宋体" w:cs="宋体" w:hint="eastAsia"/>
          <w:sz w:val="24"/>
          <w:szCs w:val="24"/>
        </w:rPr>
        <w:t>④</w:t>
      </w:r>
      <w:r>
        <w:rPr>
          <w:sz w:val="24"/>
          <w:szCs w:val="24"/>
        </w:rPr>
        <w:t>厂区降尘用水</w:t>
      </w:r>
    </w:p>
    <w:p w:rsidR="00DB7CC8" w:rsidRDefault="002B5250">
      <w:pPr>
        <w:ind w:firstLine="480"/>
        <w:jc w:val="both"/>
      </w:pPr>
      <w:r>
        <w:rPr>
          <w:sz w:val="24"/>
          <w:szCs w:val="24"/>
        </w:rPr>
        <w:t>厂区洒水降尘用水量为</w:t>
      </w:r>
      <w:r>
        <w:rPr>
          <w:sz w:val="24"/>
          <w:szCs w:val="24"/>
        </w:rPr>
        <w:t>8m</w:t>
      </w:r>
      <w:r>
        <w:rPr>
          <w:sz w:val="24"/>
          <w:szCs w:val="24"/>
          <w:vertAlign w:val="superscript"/>
        </w:rPr>
        <w:t>3</w:t>
      </w:r>
      <w:r>
        <w:rPr>
          <w:sz w:val="24"/>
          <w:szCs w:val="24"/>
        </w:rPr>
        <w:t>/d</w:t>
      </w:r>
      <w:r>
        <w:rPr>
          <w:sz w:val="24"/>
          <w:szCs w:val="24"/>
        </w:rPr>
        <w:t>，其中新鲜水用量为</w:t>
      </w:r>
      <w:r>
        <w:rPr>
          <w:sz w:val="24"/>
          <w:szCs w:val="24"/>
        </w:rPr>
        <w:t>6.725m</w:t>
      </w:r>
      <w:r>
        <w:rPr>
          <w:sz w:val="24"/>
          <w:szCs w:val="24"/>
          <w:vertAlign w:val="superscript"/>
        </w:rPr>
        <w:t>3</w:t>
      </w:r>
      <w:r>
        <w:rPr>
          <w:sz w:val="24"/>
          <w:szCs w:val="24"/>
        </w:rPr>
        <w:t>/d</w:t>
      </w:r>
      <w:r>
        <w:rPr>
          <w:sz w:val="24"/>
          <w:szCs w:val="24"/>
        </w:rPr>
        <w:t>，生活污水回用量为</w:t>
      </w:r>
      <w:r>
        <w:rPr>
          <w:sz w:val="24"/>
          <w:szCs w:val="24"/>
        </w:rPr>
        <w:t>1.275 m</w:t>
      </w:r>
      <w:r>
        <w:rPr>
          <w:sz w:val="24"/>
          <w:szCs w:val="24"/>
          <w:vertAlign w:val="superscript"/>
        </w:rPr>
        <w:t>3</w:t>
      </w:r>
      <w:r>
        <w:rPr>
          <w:sz w:val="24"/>
          <w:szCs w:val="24"/>
        </w:rPr>
        <w:t>/d</w:t>
      </w:r>
      <w:r>
        <w:rPr>
          <w:sz w:val="24"/>
          <w:szCs w:val="24"/>
        </w:rPr>
        <w:t>；</w:t>
      </w:r>
    </w:p>
    <w:p w:rsidR="00DB7CC8" w:rsidRDefault="002B5250">
      <w:pPr>
        <w:ind w:firstLine="480"/>
        <w:jc w:val="both"/>
        <w:rPr>
          <w:sz w:val="24"/>
          <w:szCs w:val="24"/>
        </w:rPr>
      </w:pPr>
      <w:r>
        <w:rPr>
          <w:rFonts w:ascii="宋体" w:hAnsi="宋体" w:cs="宋体" w:hint="eastAsia"/>
          <w:sz w:val="24"/>
          <w:szCs w:val="24"/>
        </w:rPr>
        <w:t>⑤</w:t>
      </w:r>
      <w:r>
        <w:rPr>
          <w:sz w:val="24"/>
          <w:szCs w:val="24"/>
        </w:rPr>
        <w:t>洗车用水</w:t>
      </w:r>
    </w:p>
    <w:bookmarkEnd w:id="181"/>
    <w:p w:rsidR="00DB7CC8" w:rsidRDefault="002B5250">
      <w:pPr>
        <w:ind w:firstLine="480"/>
        <w:jc w:val="both"/>
        <w:rPr>
          <w:sz w:val="24"/>
          <w:szCs w:val="24"/>
        </w:rPr>
      </w:pPr>
      <w:r>
        <w:rPr>
          <w:sz w:val="24"/>
          <w:szCs w:val="24"/>
        </w:rPr>
        <w:t>洗车平台洗车用水量为</w:t>
      </w:r>
      <w:r>
        <w:rPr>
          <w:sz w:val="24"/>
          <w:szCs w:val="24"/>
        </w:rPr>
        <w:t>12m</w:t>
      </w:r>
      <w:r>
        <w:rPr>
          <w:sz w:val="24"/>
          <w:szCs w:val="24"/>
          <w:vertAlign w:val="superscript"/>
        </w:rPr>
        <w:t>3</w:t>
      </w:r>
      <w:r>
        <w:rPr>
          <w:sz w:val="24"/>
          <w:szCs w:val="24"/>
        </w:rPr>
        <w:t>/d</w:t>
      </w:r>
      <w:r>
        <w:rPr>
          <w:sz w:val="24"/>
          <w:szCs w:val="24"/>
        </w:rPr>
        <w:t>，原料</w:t>
      </w:r>
      <w:r>
        <w:rPr>
          <w:rFonts w:hint="eastAsia"/>
          <w:sz w:val="24"/>
          <w:szCs w:val="24"/>
        </w:rPr>
        <w:t>棚</w:t>
      </w:r>
      <w:r>
        <w:rPr>
          <w:sz w:val="24"/>
          <w:szCs w:val="24"/>
        </w:rPr>
        <w:t>、</w:t>
      </w:r>
      <w:r>
        <w:rPr>
          <w:rFonts w:hint="eastAsia"/>
          <w:sz w:val="24"/>
          <w:szCs w:val="24"/>
        </w:rPr>
        <w:t>砂石库、尾砂库、</w:t>
      </w:r>
      <w:r>
        <w:rPr>
          <w:sz w:val="24"/>
          <w:szCs w:val="24"/>
        </w:rPr>
        <w:t>成品库门口、厂区门口附近设置洗车平台（</w:t>
      </w:r>
      <w:r>
        <w:rPr>
          <w:sz w:val="24"/>
          <w:szCs w:val="24"/>
        </w:rPr>
        <w:t>16m×5m</w:t>
      </w:r>
      <w:r>
        <w:rPr>
          <w:sz w:val="24"/>
          <w:szCs w:val="24"/>
        </w:rPr>
        <w:t>），在洗车平台使用高压喷雾清洗轮胎及车身，洗车平台四周应设置防溢座，废水经导流渠流入沉淀池内（</w:t>
      </w:r>
      <w:r>
        <w:rPr>
          <w:sz w:val="24"/>
          <w:szCs w:val="24"/>
        </w:rPr>
        <w:t>2m×3m</w:t>
      </w:r>
      <w:r>
        <w:rPr>
          <w:sz w:val="24"/>
          <w:szCs w:val="24"/>
        </w:rPr>
        <w:t>×1m</w:t>
      </w:r>
      <w:r>
        <w:rPr>
          <w:sz w:val="24"/>
          <w:szCs w:val="24"/>
        </w:rPr>
        <w:t>），经沉淀后的洗车废水流入清水池内（</w:t>
      </w:r>
      <w:r>
        <w:rPr>
          <w:sz w:val="24"/>
          <w:szCs w:val="24"/>
        </w:rPr>
        <w:t>2m×3m×1m</w:t>
      </w:r>
      <w:r>
        <w:rPr>
          <w:sz w:val="24"/>
          <w:szCs w:val="24"/>
        </w:rPr>
        <w:t>），清洗及沉淀过程随车辆带走及蒸发损耗水量为</w:t>
      </w:r>
      <w:r>
        <w:rPr>
          <w:sz w:val="24"/>
          <w:szCs w:val="24"/>
        </w:rPr>
        <w:t>2.4m</w:t>
      </w:r>
      <w:r>
        <w:rPr>
          <w:sz w:val="24"/>
          <w:szCs w:val="24"/>
          <w:vertAlign w:val="superscript"/>
        </w:rPr>
        <w:t>3</w:t>
      </w:r>
      <w:r>
        <w:rPr>
          <w:sz w:val="24"/>
          <w:szCs w:val="24"/>
        </w:rPr>
        <w:t>/d</w:t>
      </w:r>
      <w:r>
        <w:rPr>
          <w:sz w:val="24"/>
          <w:szCs w:val="24"/>
        </w:rPr>
        <w:t>，补充新水量</w:t>
      </w:r>
      <w:r>
        <w:rPr>
          <w:sz w:val="24"/>
          <w:szCs w:val="24"/>
        </w:rPr>
        <w:t>2.4m</w:t>
      </w:r>
      <w:r>
        <w:rPr>
          <w:sz w:val="24"/>
          <w:szCs w:val="24"/>
          <w:vertAlign w:val="superscript"/>
        </w:rPr>
        <w:t>3</w:t>
      </w:r>
      <w:r>
        <w:rPr>
          <w:sz w:val="24"/>
          <w:szCs w:val="24"/>
        </w:rPr>
        <w:t>/d</w:t>
      </w:r>
      <w:r>
        <w:rPr>
          <w:sz w:val="24"/>
          <w:szCs w:val="24"/>
        </w:rPr>
        <w:t>，循环水量为</w:t>
      </w:r>
      <w:r>
        <w:rPr>
          <w:sz w:val="24"/>
          <w:szCs w:val="24"/>
        </w:rPr>
        <w:t>9.6m</w:t>
      </w:r>
      <w:r>
        <w:rPr>
          <w:sz w:val="24"/>
          <w:szCs w:val="24"/>
          <w:vertAlign w:val="superscript"/>
        </w:rPr>
        <w:t>3</w:t>
      </w:r>
      <w:r>
        <w:rPr>
          <w:sz w:val="24"/>
          <w:szCs w:val="24"/>
        </w:rPr>
        <w:t>/d</w:t>
      </w:r>
      <w:r>
        <w:rPr>
          <w:sz w:val="24"/>
          <w:szCs w:val="24"/>
        </w:rPr>
        <w:t>，回用于运输车辆清洗。</w:t>
      </w:r>
    </w:p>
    <w:p w:rsidR="00DB7CC8" w:rsidRDefault="002B5250">
      <w:pPr>
        <w:ind w:firstLine="480"/>
        <w:jc w:val="both"/>
        <w:rPr>
          <w:sz w:val="24"/>
          <w:szCs w:val="24"/>
        </w:rPr>
      </w:pPr>
      <w:r>
        <w:rPr>
          <w:sz w:val="24"/>
          <w:szCs w:val="24"/>
        </w:rPr>
        <w:t>（</w:t>
      </w:r>
      <w:r>
        <w:rPr>
          <w:sz w:val="24"/>
          <w:szCs w:val="24"/>
        </w:rPr>
        <w:t>2</w:t>
      </w:r>
      <w:r>
        <w:rPr>
          <w:sz w:val="24"/>
          <w:szCs w:val="24"/>
        </w:rPr>
        <w:t>）排水</w:t>
      </w:r>
    </w:p>
    <w:p w:rsidR="00DB7CC8" w:rsidRDefault="002B5250">
      <w:pPr>
        <w:ind w:firstLine="480"/>
        <w:rPr>
          <w:sz w:val="24"/>
          <w:szCs w:val="24"/>
        </w:rPr>
      </w:pPr>
      <w:r>
        <w:rPr>
          <w:sz w:val="24"/>
          <w:szCs w:val="24"/>
        </w:rPr>
        <w:t>生产废水主要为铁精粉压滤废水和尾矿中的废水。其中铁精粉压滤废水返回一段磁选循环使用；粗尾矿砂脱水后的滤液进入浓密池，经过沉淀澄清、压滤机压滤后返回清水池，全部回用于生产，压滤机出水进入清水池回用于生产，车间地面清洗水进入清水池回用于生产，洗车废水排入沉淀池处理后循环利用。</w:t>
      </w:r>
    </w:p>
    <w:p w:rsidR="00DB7CC8" w:rsidRDefault="002B5250">
      <w:pPr>
        <w:ind w:firstLine="480"/>
        <w:rPr>
          <w:sz w:val="24"/>
          <w:szCs w:val="24"/>
        </w:rPr>
      </w:pPr>
      <w:r>
        <w:rPr>
          <w:sz w:val="24"/>
          <w:szCs w:val="24"/>
        </w:rPr>
        <w:t>生活污水主要为职工盥洗废水，生活用</w:t>
      </w:r>
      <w:r>
        <w:rPr>
          <w:sz w:val="24"/>
          <w:szCs w:val="24"/>
        </w:rPr>
        <w:t>水量为</w:t>
      </w:r>
      <w:r>
        <w:rPr>
          <w:sz w:val="24"/>
          <w:szCs w:val="24"/>
        </w:rPr>
        <w:t>1.5m</w:t>
      </w:r>
      <w:r>
        <w:rPr>
          <w:sz w:val="24"/>
          <w:szCs w:val="24"/>
          <w:vertAlign w:val="superscript"/>
        </w:rPr>
        <w:t>3</w:t>
      </w:r>
      <w:r>
        <w:rPr>
          <w:sz w:val="24"/>
          <w:szCs w:val="24"/>
        </w:rPr>
        <w:t>/d</w:t>
      </w:r>
      <w:r>
        <w:rPr>
          <w:sz w:val="24"/>
          <w:szCs w:val="24"/>
        </w:rPr>
        <w:t>，排放量按用水量的</w:t>
      </w:r>
      <w:r>
        <w:rPr>
          <w:sz w:val="24"/>
          <w:szCs w:val="24"/>
        </w:rPr>
        <w:t>85%</w:t>
      </w:r>
      <w:r>
        <w:rPr>
          <w:sz w:val="24"/>
          <w:szCs w:val="24"/>
        </w:rPr>
        <w:t>计，生活污水产生量为</w:t>
      </w:r>
      <w:r>
        <w:rPr>
          <w:sz w:val="24"/>
          <w:szCs w:val="24"/>
        </w:rPr>
        <w:t>1.275m</w:t>
      </w:r>
      <w:r>
        <w:rPr>
          <w:sz w:val="24"/>
          <w:szCs w:val="24"/>
          <w:vertAlign w:val="superscript"/>
        </w:rPr>
        <w:t>3</w:t>
      </w:r>
      <w:r>
        <w:rPr>
          <w:sz w:val="24"/>
          <w:szCs w:val="24"/>
        </w:rPr>
        <w:t>/d</w:t>
      </w:r>
      <w:r>
        <w:rPr>
          <w:sz w:val="24"/>
          <w:szCs w:val="24"/>
        </w:rPr>
        <w:t>，全部用于泼洒地面抑尘；厂区设防渗旱厕，定期清掏用于肥田，无生活污水外排。</w:t>
      </w:r>
    </w:p>
    <w:p w:rsidR="00DB7CC8" w:rsidRDefault="002B5250">
      <w:pPr>
        <w:ind w:firstLine="480"/>
        <w:rPr>
          <w:sz w:val="24"/>
          <w:szCs w:val="24"/>
        </w:rPr>
      </w:pPr>
      <w:r>
        <w:rPr>
          <w:sz w:val="24"/>
          <w:szCs w:val="24"/>
        </w:rPr>
        <w:t>本项目用排水平衡情况见表</w:t>
      </w:r>
      <w:r>
        <w:rPr>
          <w:sz w:val="24"/>
          <w:szCs w:val="24"/>
        </w:rPr>
        <w:t>3.1-</w:t>
      </w:r>
      <w:r>
        <w:rPr>
          <w:rFonts w:hint="eastAsia"/>
          <w:sz w:val="24"/>
          <w:szCs w:val="24"/>
        </w:rPr>
        <w:t>6</w:t>
      </w:r>
      <w:r>
        <w:rPr>
          <w:sz w:val="24"/>
          <w:szCs w:val="24"/>
        </w:rPr>
        <w:t>，本项目水平衡见图</w:t>
      </w:r>
      <w:r>
        <w:rPr>
          <w:sz w:val="24"/>
          <w:szCs w:val="24"/>
        </w:rPr>
        <w:t>3.1-1</w:t>
      </w:r>
      <w:r>
        <w:rPr>
          <w:sz w:val="24"/>
          <w:szCs w:val="24"/>
        </w:rPr>
        <w:t>。</w:t>
      </w:r>
    </w:p>
    <w:p w:rsidR="00DB7CC8" w:rsidRDefault="002B5250">
      <w:pPr>
        <w:spacing w:line="240" w:lineRule="auto"/>
        <w:ind w:firstLineChars="0" w:firstLine="0"/>
        <w:jc w:val="center"/>
        <w:textAlignment w:val="auto"/>
        <w:rPr>
          <w:rFonts w:eastAsia="黑体"/>
          <w:sz w:val="21"/>
          <w:szCs w:val="21"/>
        </w:rPr>
      </w:pPr>
      <w:bookmarkStart w:id="182" w:name="OLE_LINK15"/>
      <w:bookmarkStart w:id="183" w:name="OLE_LINK12"/>
      <w:r>
        <w:rPr>
          <w:rFonts w:eastAsia="黑体"/>
          <w:kern w:val="2"/>
          <w:sz w:val="21"/>
          <w:szCs w:val="21"/>
        </w:rPr>
        <w:t>表</w:t>
      </w:r>
      <w:r>
        <w:rPr>
          <w:rFonts w:eastAsia="黑体"/>
          <w:kern w:val="2"/>
          <w:sz w:val="21"/>
          <w:szCs w:val="21"/>
        </w:rPr>
        <w:t>3.1-</w:t>
      </w:r>
      <w:r>
        <w:rPr>
          <w:rFonts w:eastAsia="黑体" w:hint="eastAsia"/>
          <w:kern w:val="2"/>
          <w:sz w:val="21"/>
          <w:szCs w:val="21"/>
        </w:rPr>
        <w:t>6</w:t>
      </w:r>
      <w:r>
        <w:rPr>
          <w:rFonts w:eastAsia="黑体" w:hint="eastAsia"/>
          <w:kern w:val="2"/>
          <w:sz w:val="21"/>
          <w:szCs w:val="21"/>
        </w:rPr>
        <w:t xml:space="preserve">   </w:t>
      </w:r>
      <w:r>
        <w:rPr>
          <w:rFonts w:eastAsia="黑体"/>
          <w:kern w:val="2"/>
          <w:sz w:val="21"/>
          <w:szCs w:val="21"/>
        </w:rPr>
        <w:t>用排水平衡表</w:t>
      </w:r>
      <w:r>
        <w:rPr>
          <w:rFonts w:eastAsia="黑体"/>
          <w:sz w:val="21"/>
          <w:szCs w:val="21"/>
        </w:rPr>
        <w:t>单位</w:t>
      </w:r>
      <w:r>
        <w:rPr>
          <w:rFonts w:eastAsia="黑体"/>
          <w:sz w:val="21"/>
          <w:szCs w:val="21"/>
        </w:rPr>
        <w:t>m</w:t>
      </w:r>
      <w:r>
        <w:rPr>
          <w:rFonts w:eastAsia="黑体"/>
          <w:sz w:val="21"/>
          <w:szCs w:val="21"/>
          <w:vertAlign w:val="superscript"/>
        </w:rPr>
        <w:t>3</w:t>
      </w:r>
      <w:r>
        <w:rPr>
          <w:rFonts w:eastAsia="黑体"/>
          <w:sz w:val="21"/>
          <w:szCs w:val="21"/>
        </w:rPr>
        <w:t>/d</w:t>
      </w:r>
    </w:p>
    <w:tbl>
      <w:tblPr>
        <w:tblW w:w="8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1"/>
        <w:gridCol w:w="899"/>
        <w:gridCol w:w="899"/>
        <w:gridCol w:w="1045"/>
        <w:gridCol w:w="713"/>
        <w:gridCol w:w="992"/>
        <w:gridCol w:w="851"/>
        <w:gridCol w:w="1670"/>
      </w:tblGrid>
      <w:tr w:rsidR="00DB7CC8">
        <w:trPr>
          <w:trHeight w:val="285"/>
        </w:trPr>
        <w:tc>
          <w:tcPr>
            <w:tcW w:w="183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用水环节</w:t>
            </w:r>
          </w:p>
        </w:tc>
        <w:tc>
          <w:tcPr>
            <w:tcW w:w="899"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总用水量</w:t>
            </w:r>
          </w:p>
        </w:tc>
        <w:tc>
          <w:tcPr>
            <w:tcW w:w="899"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新鲜水</w:t>
            </w:r>
          </w:p>
        </w:tc>
        <w:tc>
          <w:tcPr>
            <w:tcW w:w="1045"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循环水量</w:t>
            </w:r>
          </w:p>
        </w:tc>
        <w:tc>
          <w:tcPr>
            <w:tcW w:w="713"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回用水</w:t>
            </w:r>
          </w:p>
        </w:tc>
        <w:tc>
          <w:tcPr>
            <w:tcW w:w="992"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损失量</w:t>
            </w:r>
          </w:p>
        </w:tc>
        <w:tc>
          <w:tcPr>
            <w:tcW w:w="85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排水量</w:t>
            </w:r>
          </w:p>
        </w:tc>
        <w:tc>
          <w:tcPr>
            <w:tcW w:w="1670"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备注</w:t>
            </w:r>
          </w:p>
        </w:tc>
      </w:tr>
      <w:tr w:rsidR="00DB7CC8">
        <w:trPr>
          <w:trHeight w:val="525"/>
        </w:trPr>
        <w:tc>
          <w:tcPr>
            <w:tcW w:w="183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上料、原料库抑尘</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24</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24</w:t>
            </w:r>
          </w:p>
        </w:tc>
        <w:tc>
          <w:tcPr>
            <w:tcW w:w="1045"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713"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w:t>
            </w:r>
          </w:p>
        </w:tc>
        <w:tc>
          <w:tcPr>
            <w:tcW w:w="992"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24</w:t>
            </w:r>
          </w:p>
        </w:tc>
        <w:tc>
          <w:tcPr>
            <w:tcW w:w="851"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1670"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 xml:space="preserve">　</w:t>
            </w:r>
          </w:p>
        </w:tc>
      </w:tr>
      <w:tr w:rsidR="00DB7CC8">
        <w:trPr>
          <w:trHeight w:val="780"/>
        </w:trPr>
        <w:tc>
          <w:tcPr>
            <w:tcW w:w="183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球磨、磁选</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5945.17</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170.25</w:t>
            </w:r>
          </w:p>
        </w:tc>
        <w:tc>
          <w:tcPr>
            <w:tcW w:w="1045"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5774.92</w:t>
            </w:r>
          </w:p>
        </w:tc>
        <w:tc>
          <w:tcPr>
            <w:tcW w:w="713"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4.25</w:t>
            </w:r>
          </w:p>
        </w:tc>
        <w:tc>
          <w:tcPr>
            <w:tcW w:w="992"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174.5</w:t>
            </w:r>
          </w:p>
        </w:tc>
        <w:tc>
          <w:tcPr>
            <w:tcW w:w="851"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1670"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 xml:space="preserve">损失量为铁精粉、尾砂带走的水量　</w:t>
            </w:r>
          </w:p>
        </w:tc>
      </w:tr>
      <w:tr w:rsidR="00DB7CC8">
        <w:trPr>
          <w:trHeight w:val="525"/>
        </w:trPr>
        <w:tc>
          <w:tcPr>
            <w:tcW w:w="183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lastRenderedPageBreak/>
              <w:t>毛石破碎、筛分</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77.3</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31</w:t>
            </w:r>
          </w:p>
        </w:tc>
        <w:tc>
          <w:tcPr>
            <w:tcW w:w="1045"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46.3</w:t>
            </w:r>
          </w:p>
        </w:tc>
        <w:tc>
          <w:tcPr>
            <w:tcW w:w="713"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992"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31</w:t>
            </w:r>
          </w:p>
        </w:tc>
        <w:tc>
          <w:tcPr>
            <w:tcW w:w="851"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1670"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蒸发、石碴、砂子带走</w:t>
            </w:r>
          </w:p>
        </w:tc>
      </w:tr>
      <w:tr w:rsidR="00DB7CC8">
        <w:trPr>
          <w:trHeight w:val="795"/>
        </w:trPr>
        <w:tc>
          <w:tcPr>
            <w:tcW w:w="183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车间地面清洗用水</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5</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5</w:t>
            </w:r>
          </w:p>
        </w:tc>
        <w:tc>
          <w:tcPr>
            <w:tcW w:w="1045"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713"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992"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0.75</w:t>
            </w:r>
          </w:p>
        </w:tc>
        <w:tc>
          <w:tcPr>
            <w:tcW w:w="851"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1670"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4.25</w:t>
            </w:r>
            <w:r>
              <w:rPr>
                <w:rFonts w:ascii="宋体" w:hAnsi="宋体" w:hint="eastAsia"/>
                <w:sz w:val="21"/>
                <w:szCs w:val="21"/>
              </w:rPr>
              <w:t>排入浓密池，回用于生产</w:t>
            </w:r>
          </w:p>
        </w:tc>
      </w:tr>
      <w:tr w:rsidR="00DB7CC8">
        <w:trPr>
          <w:trHeight w:val="285"/>
        </w:trPr>
        <w:tc>
          <w:tcPr>
            <w:tcW w:w="183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厂区降尘</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8</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6.725</w:t>
            </w:r>
          </w:p>
        </w:tc>
        <w:tc>
          <w:tcPr>
            <w:tcW w:w="1045"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713"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1.275</w:t>
            </w:r>
          </w:p>
        </w:tc>
        <w:tc>
          <w:tcPr>
            <w:tcW w:w="992"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8</w:t>
            </w:r>
          </w:p>
        </w:tc>
        <w:tc>
          <w:tcPr>
            <w:tcW w:w="851"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1670" w:type="dxa"/>
            <w:shd w:val="clear" w:color="auto" w:fill="auto"/>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285"/>
        </w:trPr>
        <w:tc>
          <w:tcPr>
            <w:tcW w:w="183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洗车</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12</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2.4</w:t>
            </w:r>
          </w:p>
        </w:tc>
        <w:tc>
          <w:tcPr>
            <w:tcW w:w="1045"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9.6</w:t>
            </w:r>
          </w:p>
        </w:tc>
        <w:tc>
          <w:tcPr>
            <w:tcW w:w="713" w:type="dxa"/>
            <w:shd w:val="clear" w:color="auto" w:fill="auto"/>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992"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12</w:t>
            </w:r>
          </w:p>
        </w:tc>
        <w:tc>
          <w:tcPr>
            <w:tcW w:w="851"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1670" w:type="dxa"/>
            <w:shd w:val="clear" w:color="auto" w:fill="auto"/>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540"/>
        </w:trPr>
        <w:tc>
          <w:tcPr>
            <w:tcW w:w="183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员工生活</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1.5</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1.5</w:t>
            </w:r>
          </w:p>
        </w:tc>
        <w:tc>
          <w:tcPr>
            <w:tcW w:w="1045"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713" w:type="dxa"/>
            <w:shd w:val="clear" w:color="auto" w:fill="auto"/>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992"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0.225</w:t>
            </w:r>
          </w:p>
        </w:tc>
        <w:tc>
          <w:tcPr>
            <w:tcW w:w="851"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1670"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1.275</w:t>
            </w:r>
            <w:r>
              <w:rPr>
                <w:rFonts w:ascii="宋体" w:hAnsi="宋体" w:hint="eastAsia"/>
                <w:sz w:val="21"/>
                <w:szCs w:val="21"/>
              </w:rPr>
              <w:t>用于厂区降尘</w:t>
            </w:r>
          </w:p>
        </w:tc>
      </w:tr>
      <w:tr w:rsidR="00DB7CC8">
        <w:trPr>
          <w:trHeight w:val="285"/>
        </w:trPr>
        <w:tc>
          <w:tcPr>
            <w:tcW w:w="183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合计</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6072.97</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240.875</w:t>
            </w:r>
          </w:p>
        </w:tc>
        <w:tc>
          <w:tcPr>
            <w:tcW w:w="1045"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5830.82</w:t>
            </w:r>
          </w:p>
        </w:tc>
        <w:tc>
          <w:tcPr>
            <w:tcW w:w="713"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5.525</w:t>
            </w:r>
          </w:p>
        </w:tc>
        <w:tc>
          <w:tcPr>
            <w:tcW w:w="992"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2</w:t>
            </w:r>
            <w:r>
              <w:rPr>
                <w:rFonts w:hint="eastAsia"/>
                <w:sz w:val="21"/>
                <w:szCs w:val="21"/>
              </w:rPr>
              <w:t>50</w:t>
            </w:r>
            <w:r>
              <w:rPr>
                <w:sz w:val="21"/>
                <w:szCs w:val="21"/>
              </w:rPr>
              <w:t>.475</w:t>
            </w:r>
          </w:p>
        </w:tc>
        <w:tc>
          <w:tcPr>
            <w:tcW w:w="851"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1670" w:type="dxa"/>
            <w:shd w:val="clear" w:color="auto" w:fill="auto"/>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bl>
    <w:p w:rsidR="00DB7CC8" w:rsidRDefault="002B5250">
      <w:pPr>
        <w:spacing w:beforeLines="50" w:before="120"/>
        <w:ind w:firstLine="480"/>
        <w:jc w:val="both"/>
        <w:rPr>
          <w:sz w:val="24"/>
          <w:szCs w:val="24"/>
        </w:rPr>
      </w:pPr>
      <w:r>
        <w:rPr>
          <w:rFonts w:hint="eastAsia"/>
          <w:sz w:val="24"/>
          <w:szCs w:val="24"/>
        </w:rPr>
        <w:t>现有工程</w:t>
      </w:r>
      <w:r>
        <w:rPr>
          <w:sz w:val="24"/>
          <w:szCs w:val="24"/>
        </w:rPr>
        <w:t>工业水重复利用率为</w:t>
      </w:r>
      <w:r>
        <w:rPr>
          <w:rFonts w:hint="eastAsia"/>
          <w:sz w:val="24"/>
          <w:szCs w:val="24"/>
        </w:rPr>
        <w:t>96.0</w:t>
      </w:r>
      <w:r>
        <w:rPr>
          <w:sz w:val="24"/>
          <w:szCs w:val="24"/>
        </w:rPr>
        <w:t>%</w:t>
      </w:r>
      <w:r>
        <w:rPr>
          <w:sz w:val="24"/>
          <w:szCs w:val="24"/>
        </w:rPr>
        <w:t>，水耗为</w:t>
      </w:r>
      <w:r>
        <w:rPr>
          <w:rFonts w:hint="eastAsia"/>
          <w:sz w:val="24"/>
          <w:szCs w:val="24"/>
        </w:rPr>
        <w:t>0.1127</w:t>
      </w:r>
      <w:r>
        <w:rPr>
          <w:sz w:val="24"/>
          <w:szCs w:val="24"/>
        </w:rPr>
        <w:t>m³/t</w:t>
      </w:r>
      <w:r>
        <w:rPr>
          <w:sz w:val="24"/>
          <w:szCs w:val="24"/>
        </w:rPr>
        <w:t>，达到《清洁生产标准铁矿采选业》（</w:t>
      </w:r>
      <w:r>
        <w:rPr>
          <w:sz w:val="24"/>
          <w:szCs w:val="24"/>
        </w:rPr>
        <w:t>HJ/T294-2006</w:t>
      </w:r>
      <w:r>
        <w:rPr>
          <w:sz w:val="24"/>
          <w:szCs w:val="24"/>
        </w:rPr>
        <w:t>）二级水平（工业水重复利用率</w:t>
      </w:r>
      <w:r>
        <w:rPr>
          <w:sz w:val="24"/>
          <w:szCs w:val="24"/>
        </w:rPr>
        <w:t>≥90%</w:t>
      </w:r>
      <w:r>
        <w:rPr>
          <w:sz w:val="24"/>
          <w:szCs w:val="24"/>
        </w:rPr>
        <w:t>，水耗</w:t>
      </w:r>
      <w:r>
        <w:rPr>
          <w:sz w:val="24"/>
          <w:szCs w:val="24"/>
        </w:rPr>
        <w:t>≤7m³/t</w:t>
      </w:r>
      <w:r>
        <w:rPr>
          <w:sz w:val="24"/>
          <w:szCs w:val="24"/>
        </w:rPr>
        <w:t>）。</w:t>
      </w:r>
    </w:p>
    <w:bookmarkEnd w:id="182"/>
    <w:bookmarkEnd w:id="183"/>
    <w:p w:rsidR="00DB7CC8" w:rsidRDefault="002B5250">
      <w:pPr>
        <w:tabs>
          <w:tab w:val="left" w:pos="319"/>
        </w:tabs>
        <w:ind w:firstLine="560"/>
        <w:rPr>
          <w:sz w:val="24"/>
          <w:szCs w:val="24"/>
        </w:rPr>
      </w:pPr>
      <w:r>
        <w:rPr>
          <w:noProof/>
        </w:rPr>
        <w:drawing>
          <wp:inline distT="0" distB="0" distL="114300" distR="114300">
            <wp:extent cx="5256530" cy="5982335"/>
            <wp:effectExtent l="0" t="0" r="0" b="18415"/>
            <wp:docPr id="4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8"/>
                    <pic:cNvPicPr>
                      <a:picLocks noChangeAspect="1"/>
                    </pic:cNvPicPr>
                  </pic:nvPicPr>
                  <pic:blipFill>
                    <a:blip r:embed="rId28"/>
                    <a:stretch>
                      <a:fillRect/>
                    </a:stretch>
                  </pic:blipFill>
                  <pic:spPr>
                    <a:xfrm>
                      <a:off x="0" y="0"/>
                      <a:ext cx="5256530" cy="5982335"/>
                    </a:xfrm>
                    <a:prstGeom prst="rect">
                      <a:avLst/>
                    </a:prstGeom>
                    <a:noFill/>
                    <a:ln>
                      <a:noFill/>
                    </a:ln>
                  </pic:spPr>
                </pic:pic>
              </a:graphicData>
            </a:graphic>
          </wp:inline>
        </w:drawing>
      </w:r>
    </w:p>
    <w:p w:rsidR="00DB7CC8" w:rsidRDefault="002B5250">
      <w:pPr>
        <w:spacing w:beforeLines="50" w:before="120"/>
        <w:ind w:firstLineChars="0" w:firstLine="0"/>
        <w:jc w:val="center"/>
        <w:rPr>
          <w:rFonts w:eastAsia="黑体"/>
          <w:kern w:val="2"/>
          <w:sz w:val="21"/>
          <w:szCs w:val="21"/>
        </w:rPr>
      </w:pPr>
      <w:r>
        <w:rPr>
          <w:rFonts w:eastAsia="黑体"/>
          <w:kern w:val="2"/>
          <w:sz w:val="21"/>
          <w:szCs w:val="21"/>
        </w:rPr>
        <w:lastRenderedPageBreak/>
        <w:t>图</w:t>
      </w:r>
      <w:r>
        <w:rPr>
          <w:rFonts w:eastAsia="黑体"/>
          <w:kern w:val="2"/>
          <w:sz w:val="21"/>
          <w:szCs w:val="21"/>
        </w:rPr>
        <w:t xml:space="preserve">3.1-1    </w:t>
      </w:r>
      <w:r>
        <w:rPr>
          <w:rFonts w:eastAsia="黑体"/>
          <w:kern w:val="2"/>
          <w:sz w:val="21"/>
          <w:szCs w:val="21"/>
        </w:rPr>
        <w:t>水平衡图（单位：</w:t>
      </w:r>
      <w:r>
        <w:rPr>
          <w:rFonts w:eastAsia="黑体"/>
          <w:kern w:val="2"/>
          <w:sz w:val="21"/>
          <w:szCs w:val="21"/>
        </w:rPr>
        <w:t>m</w:t>
      </w:r>
      <w:r>
        <w:rPr>
          <w:rFonts w:eastAsia="黑体"/>
          <w:kern w:val="2"/>
          <w:sz w:val="21"/>
          <w:szCs w:val="21"/>
          <w:vertAlign w:val="superscript"/>
        </w:rPr>
        <w:t>3</w:t>
      </w:r>
      <w:r>
        <w:rPr>
          <w:rFonts w:eastAsia="黑体"/>
          <w:kern w:val="2"/>
          <w:sz w:val="21"/>
          <w:szCs w:val="21"/>
        </w:rPr>
        <w:t>/d</w:t>
      </w:r>
      <w:r>
        <w:rPr>
          <w:rFonts w:eastAsia="黑体"/>
          <w:kern w:val="2"/>
          <w:sz w:val="21"/>
          <w:szCs w:val="21"/>
        </w:rPr>
        <w:t>）</w:t>
      </w:r>
    </w:p>
    <w:p w:rsidR="00DB7CC8" w:rsidRDefault="002B5250">
      <w:pPr>
        <w:pStyle w:val="4"/>
      </w:pPr>
      <w:r>
        <w:t>3.1.</w:t>
      </w:r>
      <w:r>
        <w:rPr>
          <w:rFonts w:hint="eastAsia"/>
        </w:rPr>
        <w:t>7</w:t>
      </w:r>
      <w:r>
        <w:t>.2</w:t>
      </w:r>
      <w:r>
        <w:t>供配电情况</w:t>
      </w:r>
    </w:p>
    <w:p w:rsidR="00DB7CC8" w:rsidRDefault="002B5250">
      <w:pPr>
        <w:ind w:firstLine="480"/>
        <w:rPr>
          <w:sz w:val="24"/>
          <w:szCs w:val="24"/>
        </w:rPr>
      </w:pPr>
      <w:r>
        <w:rPr>
          <w:rFonts w:hint="eastAsia"/>
          <w:sz w:val="24"/>
          <w:szCs w:val="24"/>
        </w:rPr>
        <w:t>现有工程</w:t>
      </w:r>
      <w:r>
        <w:rPr>
          <w:sz w:val="24"/>
          <w:szCs w:val="24"/>
        </w:rPr>
        <w:t>采用单电源不分段供电方式，电源引自当地</w:t>
      </w:r>
      <w:r>
        <w:rPr>
          <w:sz w:val="24"/>
          <w:szCs w:val="24"/>
        </w:rPr>
        <w:t>35kV</w:t>
      </w:r>
      <w:r>
        <w:rPr>
          <w:sz w:val="24"/>
          <w:szCs w:val="24"/>
        </w:rPr>
        <w:t>变电站。</w:t>
      </w:r>
    </w:p>
    <w:p w:rsidR="00DB7CC8" w:rsidRDefault="002B5250">
      <w:pPr>
        <w:pStyle w:val="4"/>
      </w:pPr>
      <w:r>
        <w:t>3.1.</w:t>
      </w:r>
      <w:r>
        <w:rPr>
          <w:rFonts w:hint="eastAsia"/>
        </w:rPr>
        <w:t>7</w:t>
      </w:r>
      <w:r>
        <w:t>.3</w:t>
      </w:r>
      <w:r>
        <w:t>供热情况</w:t>
      </w:r>
    </w:p>
    <w:p w:rsidR="00DB7CC8" w:rsidRDefault="002B5250">
      <w:pPr>
        <w:ind w:firstLine="480"/>
        <w:jc w:val="both"/>
        <w:rPr>
          <w:sz w:val="24"/>
          <w:szCs w:val="24"/>
        </w:rPr>
      </w:pPr>
      <w:r>
        <w:rPr>
          <w:rFonts w:hint="eastAsia"/>
          <w:sz w:val="24"/>
          <w:szCs w:val="24"/>
        </w:rPr>
        <w:t>现有工程</w:t>
      </w:r>
      <w:r>
        <w:rPr>
          <w:sz w:val="24"/>
          <w:szCs w:val="24"/>
        </w:rPr>
        <w:t>生产系统无供热设施，办公生活区冬季采用空调或电暖气采暖。</w:t>
      </w:r>
    </w:p>
    <w:p w:rsidR="00DB7CC8" w:rsidRDefault="002B5250">
      <w:pPr>
        <w:pStyle w:val="3"/>
        <w:numPr>
          <w:ilvl w:val="2"/>
          <w:numId w:val="1"/>
        </w:numPr>
        <w:rPr>
          <w:szCs w:val="28"/>
        </w:rPr>
      </w:pPr>
      <w:r>
        <w:rPr>
          <w:rFonts w:hint="eastAsia"/>
          <w:szCs w:val="28"/>
        </w:rPr>
        <w:t>污染物排放情况及原有环境问题</w:t>
      </w:r>
    </w:p>
    <w:p w:rsidR="00DB7CC8" w:rsidRDefault="002B5250">
      <w:pPr>
        <w:ind w:firstLine="480"/>
        <w:jc w:val="both"/>
        <w:rPr>
          <w:bCs/>
          <w:sz w:val="24"/>
          <w:szCs w:val="24"/>
        </w:rPr>
      </w:pPr>
      <w:r>
        <w:rPr>
          <w:bCs/>
          <w:sz w:val="24"/>
          <w:szCs w:val="24"/>
        </w:rPr>
        <w:t>遵化市鑫伟铁选厂</w:t>
      </w:r>
      <w:r>
        <w:rPr>
          <w:rFonts w:hint="eastAsia"/>
          <w:sz w:val="24"/>
          <w:szCs w:val="24"/>
        </w:rPr>
        <w:t>于</w:t>
      </w:r>
      <w:r>
        <w:rPr>
          <w:rFonts w:hint="eastAsia"/>
          <w:sz w:val="24"/>
          <w:szCs w:val="24"/>
        </w:rPr>
        <w:t>2019</w:t>
      </w:r>
      <w:r>
        <w:rPr>
          <w:bCs/>
          <w:sz w:val="24"/>
          <w:szCs w:val="24"/>
        </w:rPr>
        <w:t>年</w:t>
      </w:r>
      <w:r>
        <w:rPr>
          <w:rFonts w:hint="eastAsia"/>
          <w:bCs/>
          <w:sz w:val="24"/>
          <w:szCs w:val="24"/>
        </w:rPr>
        <w:t>实施了“年</w:t>
      </w:r>
      <w:r>
        <w:rPr>
          <w:bCs/>
          <w:sz w:val="24"/>
          <w:szCs w:val="24"/>
        </w:rPr>
        <w:t>处理</w:t>
      </w:r>
      <w:r>
        <w:rPr>
          <w:bCs/>
          <w:sz w:val="24"/>
          <w:szCs w:val="24"/>
        </w:rPr>
        <w:t>70</w:t>
      </w:r>
      <w:r>
        <w:rPr>
          <w:bCs/>
          <w:sz w:val="24"/>
          <w:szCs w:val="24"/>
        </w:rPr>
        <w:t>万吨铁</w:t>
      </w:r>
      <w:r>
        <w:rPr>
          <w:rFonts w:hint="eastAsia"/>
          <w:bCs/>
          <w:sz w:val="24"/>
          <w:szCs w:val="24"/>
        </w:rPr>
        <w:t>矿</w:t>
      </w:r>
      <w:r>
        <w:rPr>
          <w:bCs/>
          <w:sz w:val="24"/>
          <w:szCs w:val="24"/>
        </w:rPr>
        <w:t>石项目</w:t>
      </w:r>
      <w:r>
        <w:rPr>
          <w:rFonts w:hint="eastAsia"/>
          <w:bCs/>
          <w:sz w:val="24"/>
          <w:szCs w:val="24"/>
        </w:rPr>
        <w:t>”，于</w:t>
      </w:r>
      <w:r>
        <w:rPr>
          <w:rFonts w:hint="eastAsia"/>
          <w:bCs/>
          <w:sz w:val="24"/>
          <w:szCs w:val="24"/>
        </w:rPr>
        <w:t>2020</w:t>
      </w:r>
      <w:r>
        <w:rPr>
          <w:rFonts w:hint="eastAsia"/>
          <w:bCs/>
          <w:sz w:val="24"/>
          <w:szCs w:val="24"/>
        </w:rPr>
        <w:t>年建设完成后进行了排污登记并通过了竣工环境保护验收，固体废物全部得到妥善处置，无废水外排，噪声排放</w:t>
      </w:r>
      <w:r>
        <w:rPr>
          <w:rFonts w:hint="eastAsia"/>
          <w:sz w:val="24"/>
          <w:szCs w:val="24"/>
        </w:rPr>
        <w:t>满足</w:t>
      </w:r>
      <w:r>
        <w:rPr>
          <w:sz w:val="24"/>
          <w:szCs w:val="24"/>
        </w:rPr>
        <w:t>《工业企业厂界环境噪声排放标准》（</w:t>
      </w:r>
      <w:r>
        <w:rPr>
          <w:sz w:val="24"/>
          <w:szCs w:val="24"/>
        </w:rPr>
        <w:t>GB12348-2008</w:t>
      </w:r>
      <w:r>
        <w:rPr>
          <w:sz w:val="24"/>
          <w:szCs w:val="24"/>
        </w:rPr>
        <w:t>）</w:t>
      </w:r>
      <w:r>
        <w:rPr>
          <w:sz w:val="24"/>
          <w:szCs w:val="24"/>
        </w:rPr>
        <w:t>2</w:t>
      </w:r>
      <w:r>
        <w:rPr>
          <w:sz w:val="24"/>
          <w:szCs w:val="24"/>
        </w:rPr>
        <w:t>类标准</w:t>
      </w:r>
      <w:r>
        <w:rPr>
          <w:rFonts w:hint="eastAsia"/>
          <w:bCs/>
          <w:sz w:val="24"/>
          <w:szCs w:val="24"/>
        </w:rPr>
        <w:t>，</w:t>
      </w:r>
      <w:r>
        <w:rPr>
          <w:sz w:val="24"/>
          <w:szCs w:val="24"/>
        </w:rPr>
        <w:t>有组织排放颗粒物</w:t>
      </w:r>
      <w:r>
        <w:rPr>
          <w:rFonts w:hint="eastAsia"/>
          <w:sz w:val="24"/>
          <w:szCs w:val="24"/>
        </w:rPr>
        <w:t>满足</w:t>
      </w:r>
      <w:r>
        <w:rPr>
          <w:sz w:val="24"/>
          <w:szCs w:val="24"/>
        </w:rPr>
        <w:t>《铁矿采选工业污染物排放标准》（</w:t>
      </w:r>
      <w:r>
        <w:rPr>
          <w:sz w:val="24"/>
          <w:szCs w:val="24"/>
        </w:rPr>
        <w:t>GB28661-2012</w:t>
      </w:r>
      <w:r>
        <w:rPr>
          <w:sz w:val="24"/>
          <w:szCs w:val="24"/>
        </w:rPr>
        <w:t>）中表</w:t>
      </w:r>
      <w:r>
        <w:rPr>
          <w:sz w:val="24"/>
          <w:szCs w:val="24"/>
        </w:rPr>
        <w:t>6</w:t>
      </w:r>
      <w:r>
        <w:rPr>
          <w:sz w:val="24"/>
          <w:szCs w:val="24"/>
        </w:rPr>
        <w:t>大气污染物特别排放限值，无组织排放颗粒物</w:t>
      </w:r>
      <w:r>
        <w:rPr>
          <w:rFonts w:hint="eastAsia"/>
          <w:sz w:val="24"/>
          <w:szCs w:val="24"/>
        </w:rPr>
        <w:t>满足</w:t>
      </w:r>
      <w:r>
        <w:rPr>
          <w:sz w:val="24"/>
          <w:szCs w:val="24"/>
        </w:rPr>
        <w:t>《铁矿采选工业污染物排放标准》（</w:t>
      </w:r>
      <w:r>
        <w:rPr>
          <w:sz w:val="24"/>
          <w:szCs w:val="24"/>
        </w:rPr>
        <w:t>GB28661-2012</w:t>
      </w:r>
      <w:r>
        <w:rPr>
          <w:sz w:val="24"/>
          <w:szCs w:val="24"/>
        </w:rPr>
        <w:t>）中</w:t>
      </w:r>
      <w:r>
        <w:rPr>
          <w:rFonts w:hint="eastAsia"/>
          <w:sz w:val="24"/>
          <w:szCs w:val="24"/>
        </w:rPr>
        <w:t>“</w:t>
      </w:r>
      <w:r>
        <w:rPr>
          <w:sz w:val="24"/>
          <w:szCs w:val="24"/>
        </w:rPr>
        <w:t>表</w:t>
      </w:r>
      <w:r>
        <w:rPr>
          <w:sz w:val="24"/>
          <w:szCs w:val="24"/>
        </w:rPr>
        <w:t>7</w:t>
      </w:r>
      <w:r>
        <w:rPr>
          <w:sz w:val="24"/>
          <w:szCs w:val="24"/>
        </w:rPr>
        <w:t>现有和新建企业大气污染物无组织排放监控浓度限值</w:t>
      </w:r>
      <w:r>
        <w:rPr>
          <w:rFonts w:hint="eastAsia"/>
          <w:sz w:val="24"/>
          <w:szCs w:val="24"/>
        </w:rPr>
        <w:t>”，</w:t>
      </w:r>
      <w:r>
        <w:rPr>
          <w:rFonts w:hint="eastAsia"/>
          <w:bCs/>
          <w:sz w:val="24"/>
          <w:szCs w:val="24"/>
        </w:rPr>
        <w:t>不存在原有环境问题。</w:t>
      </w:r>
    </w:p>
    <w:p w:rsidR="00DB7CC8" w:rsidRDefault="002B5250">
      <w:pPr>
        <w:pStyle w:val="3"/>
        <w:rPr>
          <w:szCs w:val="28"/>
        </w:rPr>
      </w:pPr>
      <w:r>
        <w:rPr>
          <w:rFonts w:hint="eastAsia"/>
          <w:szCs w:val="28"/>
        </w:rPr>
        <w:t>3.1.9</w:t>
      </w:r>
      <w:r>
        <w:rPr>
          <w:rFonts w:hint="eastAsia"/>
          <w:szCs w:val="28"/>
        </w:rPr>
        <w:t>现有工程总量控制指标</w:t>
      </w:r>
    </w:p>
    <w:p w:rsidR="00DB7CC8" w:rsidRDefault="002B5250">
      <w:pPr>
        <w:ind w:firstLine="480"/>
      </w:pPr>
      <w:r>
        <w:rPr>
          <w:rFonts w:hint="eastAsia"/>
          <w:bCs/>
          <w:sz w:val="24"/>
          <w:szCs w:val="24"/>
        </w:rPr>
        <w:t>根据原环评</w:t>
      </w:r>
      <w:r>
        <w:rPr>
          <w:rFonts w:hint="eastAsia"/>
          <w:bCs/>
          <w:sz w:val="24"/>
          <w:szCs w:val="24"/>
        </w:rPr>
        <w:t>及批复</w:t>
      </w:r>
      <w:r>
        <w:rPr>
          <w:rFonts w:hint="eastAsia"/>
          <w:bCs/>
          <w:sz w:val="24"/>
          <w:szCs w:val="24"/>
        </w:rPr>
        <w:t>文件可知，现</w:t>
      </w:r>
      <w:r>
        <w:rPr>
          <w:rFonts w:hint="eastAsia"/>
          <w:bCs/>
          <w:sz w:val="24"/>
          <w:szCs w:val="24"/>
        </w:rPr>
        <w:t>有工程总量控制指标情况见表</w:t>
      </w:r>
      <w:r>
        <w:rPr>
          <w:rFonts w:hint="eastAsia"/>
          <w:bCs/>
          <w:sz w:val="24"/>
          <w:szCs w:val="24"/>
        </w:rPr>
        <w:t>3.1-7</w:t>
      </w:r>
      <w:r>
        <w:rPr>
          <w:rFonts w:hint="eastAsia"/>
          <w:bCs/>
          <w:sz w:val="24"/>
          <w:szCs w:val="24"/>
        </w:rPr>
        <w:t>。</w:t>
      </w:r>
    </w:p>
    <w:p w:rsidR="00DB7CC8" w:rsidRDefault="002B5250">
      <w:pPr>
        <w:ind w:firstLine="420"/>
        <w:jc w:val="center"/>
        <w:rPr>
          <w:rFonts w:eastAsia="黑体"/>
          <w:kern w:val="2"/>
          <w:sz w:val="21"/>
          <w:szCs w:val="21"/>
        </w:rPr>
      </w:pPr>
      <w:r>
        <w:rPr>
          <w:rFonts w:eastAsia="黑体" w:hint="eastAsia"/>
          <w:kern w:val="2"/>
          <w:sz w:val="21"/>
          <w:szCs w:val="21"/>
        </w:rPr>
        <w:t>表</w:t>
      </w:r>
      <w:r>
        <w:rPr>
          <w:rFonts w:eastAsia="黑体"/>
          <w:kern w:val="2"/>
          <w:sz w:val="21"/>
          <w:szCs w:val="21"/>
        </w:rPr>
        <w:t xml:space="preserve"> 3.</w:t>
      </w:r>
      <w:r>
        <w:rPr>
          <w:rFonts w:eastAsia="黑体" w:hint="eastAsia"/>
          <w:kern w:val="2"/>
          <w:sz w:val="21"/>
          <w:szCs w:val="21"/>
        </w:rPr>
        <w:t>1</w:t>
      </w:r>
      <w:r>
        <w:rPr>
          <w:rFonts w:eastAsia="黑体"/>
          <w:kern w:val="2"/>
          <w:sz w:val="21"/>
          <w:szCs w:val="21"/>
        </w:rPr>
        <w:t>-</w:t>
      </w:r>
      <w:r>
        <w:rPr>
          <w:rFonts w:eastAsia="黑体" w:hint="eastAsia"/>
          <w:kern w:val="2"/>
          <w:sz w:val="21"/>
          <w:szCs w:val="21"/>
        </w:rPr>
        <w:t xml:space="preserve">7 </w:t>
      </w:r>
      <w:r>
        <w:rPr>
          <w:rFonts w:eastAsia="黑体"/>
          <w:kern w:val="2"/>
          <w:sz w:val="21"/>
          <w:szCs w:val="21"/>
        </w:rPr>
        <w:t xml:space="preserve">  </w:t>
      </w:r>
      <w:r>
        <w:rPr>
          <w:rFonts w:eastAsia="黑体" w:hint="eastAsia"/>
          <w:kern w:val="2"/>
          <w:sz w:val="21"/>
          <w:szCs w:val="21"/>
        </w:rPr>
        <w:t>现有工程</w:t>
      </w:r>
      <w:r>
        <w:rPr>
          <w:rFonts w:eastAsia="黑体" w:hint="eastAsia"/>
          <w:kern w:val="2"/>
          <w:sz w:val="21"/>
          <w:szCs w:val="21"/>
        </w:rPr>
        <w:t>总量控制指表</w:t>
      </w:r>
      <w:r>
        <w:rPr>
          <w:rFonts w:eastAsia="黑体"/>
          <w:kern w:val="2"/>
          <w:sz w:val="21"/>
          <w:szCs w:val="21"/>
        </w:rPr>
        <w:t xml:space="preserve"> </w:t>
      </w:r>
      <w:r>
        <w:rPr>
          <w:rFonts w:eastAsia="黑体" w:hint="eastAsia"/>
          <w:kern w:val="2"/>
          <w:sz w:val="21"/>
          <w:szCs w:val="21"/>
        </w:rPr>
        <w:t>单位</w:t>
      </w:r>
      <w:r>
        <w:rPr>
          <w:rFonts w:eastAsia="黑体"/>
          <w:kern w:val="2"/>
          <w:sz w:val="21"/>
          <w:szCs w:val="21"/>
        </w:rPr>
        <w:t xml:space="preserve"> t/a</w:t>
      </w: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695"/>
        <w:gridCol w:w="1704"/>
        <w:gridCol w:w="1695"/>
        <w:gridCol w:w="1366"/>
        <w:gridCol w:w="977"/>
        <w:gridCol w:w="1085"/>
      </w:tblGrid>
      <w:tr w:rsidR="00DB7CC8">
        <w:trPr>
          <w:jc w:val="center"/>
        </w:trPr>
        <w:tc>
          <w:tcPr>
            <w:tcW w:w="1744" w:type="dxa"/>
          </w:tcPr>
          <w:p w:rsidR="00DB7CC8" w:rsidRDefault="002B5250">
            <w:pPr>
              <w:spacing w:line="240" w:lineRule="auto"/>
              <w:ind w:firstLineChars="0" w:firstLine="0"/>
              <w:jc w:val="center"/>
              <w:rPr>
                <w:bCs/>
                <w:sz w:val="21"/>
                <w:szCs w:val="21"/>
              </w:rPr>
            </w:pPr>
            <w:r>
              <w:rPr>
                <w:rFonts w:hint="eastAsia"/>
                <w:bCs/>
                <w:sz w:val="21"/>
                <w:szCs w:val="21"/>
              </w:rPr>
              <w:t>项目</w:t>
            </w:r>
          </w:p>
        </w:tc>
        <w:tc>
          <w:tcPr>
            <w:tcW w:w="3488" w:type="dxa"/>
            <w:gridSpan w:val="2"/>
          </w:tcPr>
          <w:p w:rsidR="00DB7CC8" w:rsidRDefault="002B5250">
            <w:pPr>
              <w:spacing w:line="240" w:lineRule="auto"/>
              <w:ind w:firstLine="420"/>
              <w:jc w:val="both"/>
              <w:rPr>
                <w:bCs/>
                <w:sz w:val="21"/>
                <w:szCs w:val="21"/>
              </w:rPr>
            </w:pPr>
            <w:r>
              <w:rPr>
                <w:rFonts w:hint="eastAsia"/>
                <w:bCs/>
                <w:sz w:val="21"/>
                <w:szCs w:val="21"/>
              </w:rPr>
              <w:t>废水污染物</w:t>
            </w:r>
          </w:p>
        </w:tc>
        <w:tc>
          <w:tcPr>
            <w:tcW w:w="3489" w:type="dxa"/>
            <w:gridSpan w:val="3"/>
          </w:tcPr>
          <w:p w:rsidR="00DB7CC8" w:rsidRDefault="002B5250">
            <w:pPr>
              <w:spacing w:line="240" w:lineRule="auto"/>
              <w:ind w:firstLine="420"/>
              <w:jc w:val="both"/>
              <w:rPr>
                <w:bCs/>
                <w:sz w:val="21"/>
                <w:szCs w:val="21"/>
              </w:rPr>
            </w:pPr>
            <w:r>
              <w:rPr>
                <w:rFonts w:hint="eastAsia"/>
                <w:bCs/>
                <w:sz w:val="21"/>
                <w:szCs w:val="21"/>
              </w:rPr>
              <w:t>大气污染物</w:t>
            </w:r>
          </w:p>
        </w:tc>
      </w:tr>
      <w:tr w:rsidR="00DB7CC8">
        <w:trPr>
          <w:jc w:val="center"/>
        </w:trPr>
        <w:tc>
          <w:tcPr>
            <w:tcW w:w="1744" w:type="dxa"/>
            <w:vMerge w:val="restart"/>
            <w:vAlign w:val="center"/>
          </w:tcPr>
          <w:p w:rsidR="00DB7CC8" w:rsidRDefault="002B5250">
            <w:pPr>
              <w:spacing w:line="240" w:lineRule="auto"/>
              <w:ind w:firstLineChars="0" w:firstLine="0"/>
              <w:jc w:val="center"/>
              <w:rPr>
                <w:bCs/>
                <w:sz w:val="21"/>
                <w:szCs w:val="21"/>
              </w:rPr>
            </w:pPr>
            <w:r>
              <w:rPr>
                <w:rFonts w:hint="eastAsia"/>
                <w:bCs/>
                <w:sz w:val="21"/>
                <w:szCs w:val="21"/>
              </w:rPr>
              <w:t>总量控制指标</w:t>
            </w:r>
          </w:p>
        </w:tc>
        <w:tc>
          <w:tcPr>
            <w:tcW w:w="1744" w:type="dxa"/>
          </w:tcPr>
          <w:p w:rsidR="00DB7CC8" w:rsidRDefault="002B5250">
            <w:pPr>
              <w:spacing w:line="240" w:lineRule="auto"/>
              <w:ind w:firstLineChars="0" w:firstLine="0"/>
              <w:jc w:val="center"/>
              <w:rPr>
                <w:bCs/>
                <w:sz w:val="21"/>
                <w:szCs w:val="21"/>
              </w:rPr>
            </w:pPr>
            <w:r>
              <w:rPr>
                <w:bCs/>
                <w:sz w:val="21"/>
                <w:szCs w:val="21"/>
              </w:rPr>
              <w:t>COD</w:t>
            </w:r>
          </w:p>
        </w:tc>
        <w:tc>
          <w:tcPr>
            <w:tcW w:w="1744" w:type="dxa"/>
          </w:tcPr>
          <w:p w:rsidR="00DB7CC8" w:rsidRDefault="002B5250">
            <w:pPr>
              <w:spacing w:line="240" w:lineRule="auto"/>
              <w:ind w:firstLineChars="0" w:firstLine="0"/>
              <w:jc w:val="center"/>
              <w:rPr>
                <w:bCs/>
                <w:sz w:val="21"/>
                <w:szCs w:val="21"/>
              </w:rPr>
            </w:pPr>
            <w:r>
              <w:rPr>
                <w:rFonts w:hint="eastAsia"/>
                <w:bCs/>
                <w:sz w:val="21"/>
                <w:szCs w:val="21"/>
              </w:rPr>
              <w:t>氨氮</w:t>
            </w:r>
          </w:p>
        </w:tc>
        <w:tc>
          <w:tcPr>
            <w:tcW w:w="1397" w:type="dxa"/>
          </w:tcPr>
          <w:p w:rsidR="00DB7CC8" w:rsidRDefault="002B5250">
            <w:pPr>
              <w:spacing w:line="240" w:lineRule="auto"/>
              <w:ind w:firstLineChars="0" w:firstLine="0"/>
              <w:jc w:val="center"/>
              <w:rPr>
                <w:bCs/>
                <w:sz w:val="21"/>
                <w:szCs w:val="21"/>
              </w:rPr>
            </w:pPr>
            <w:r>
              <w:rPr>
                <w:bCs/>
                <w:sz w:val="21"/>
                <w:szCs w:val="21"/>
              </w:rPr>
              <w:t>SO</w:t>
            </w:r>
            <w:r>
              <w:rPr>
                <w:bCs/>
                <w:sz w:val="21"/>
                <w:szCs w:val="21"/>
                <w:vertAlign w:val="subscript"/>
              </w:rPr>
              <w:t>2</w:t>
            </w:r>
          </w:p>
        </w:tc>
        <w:tc>
          <w:tcPr>
            <w:tcW w:w="992" w:type="dxa"/>
          </w:tcPr>
          <w:p w:rsidR="00DB7CC8" w:rsidRDefault="002B5250">
            <w:pPr>
              <w:spacing w:line="240" w:lineRule="auto"/>
              <w:ind w:firstLineChars="0" w:firstLine="0"/>
              <w:jc w:val="center"/>
              <w:rPr>
                <w:bCs/>
                <w:sz w:val="21"/>
                <w:szCs w:val="21"/>
              </w:rPr>
            </w:pPr>
            <w:r>
              <w:rPr>
                <w:bCs/>
                <w:sz w:val="21"/>
                <w:szCs w:val="21"/>
              </w:rPr>
              <w:t>NO</w:t>
            </w:r>
            <w:r>
              <w:rPr>
                <w:bCs/>
                <w:sz w:val="21"/>
                <w:szCs w:val="21"/>
                <w:vertAlign w:val="subscript"/>
              </w:rPr>
              <w:t>x</w:t>
            </w:r>
          </w:p>
        </w:tc>
        <w:tc>
          <w:tcPr>
            <w:tcW w:w="1100" w:type="dxa"/>
          </w:tcPr>
          <w:p w:rsidR="00DB7CC8" w:rsidRDefault="002B5250">
            <w:pPr>
              <w:spacing w:line="240" w:lineRule="auto"/>
              <w:ind w:firstLineChars="0" w:firstLine="0"/>
              <w:jc w:val="center"/>
              <w:rPr>
                <w:bCs/>
                <w:sz w:val="21"/>
                <w:szCs w:val="21"/>
              </w:rPr>
            </w:pPr>
            <w:r>
              <w:rPr>
                <w:rFonts w:hint="eastAsia"/>
                <w:bCs/>
                <w:sz w:val="21"/>
                <w:szCs w:val="21"/>
              </w:rPr>
              <w:t>颗粒物</w:t>
            </w:r>
          </w:p>
        </w:tc>
      </w:tr>
      <w:tr w:rsidR="00DB7CC8">
        <w:trPr>
          <w:jc w:val="center"/>
        </w:trPr>
        <w:tc>
          <w:tcPr>
            <w:tcW w:w="0" w:type="auto"/>
            <w:vMerge/>
            <w:vAlign w:val="center"/>
          </w:tcPr>
          <w:p w:rsidR="00DB7CC8" w:rsidRDefault="00DB7CC8">
            <w:pPr>
              <w:spacing w:line="240" w:lineRule="auto"/>
              <w:ind w:firstLineChars="0" w:firstLine="0"/>
              <w:jc w:val="center"/>
              <w:rPr>
                <w:bCs/>
                <w:sz w:val="21"/>
                <w:szCs w:val="21"/>
              </w:rPr>
            </w:pPr>
          </w:p>
        </w:tc>
        <w:tc>
          <w:tcPr>
            <w:tcW w:w="1744" w:type="dxa"/>
          </w:tcPr>
          <w:p w:rsidR="00DB7CC8" w:rsidRDefault="002B5250">
            <w:pPr>
              <w:spacing w:line="240" w:lineRule="auto"/>
              <w:ind w:firstLineChars="0" w:firstLine="0"/>
              <w:jc w:val="center"/>
              <w:rPr>
                <w:bCs/>
                <w:sz w:val="21"/>
                <w:szCs w:val="21"/>
              </w:rPr>
            </w:pPr>
            <w:r>
              <w:rPr>
                <w:bCs/>
                <w:sz w:val="21"/>
                <w:szCs w:val="21"/>
              </w:rPr>
              <w:t>0</w:t>
            </w:r>
          </w:p>
        </w:tc>
        <w:tc>
          <w:tcPr>
            <w:tcW w:w="1744" w:type="dxa"/>
          </w:tcPr>
          <w:p w:rsidR="00DB7CC8" w:rsidRDefault="002B5250">
            <w:pPr>
              <w:spacing w:line="240" w:lineRule="auto"/>
              <w:ind w:firstLineChars="0" w:firstLine="0"/>
              <w:jc w:val="center"/>
              <w:rPr>
                <w:bCs/>
                <w:sz w:val="21"/>
                <w:szCs w:val="21"/>
              </w:rPr>
            </w:pPr>
            <w:r>
              <w:rPr>
                <w:bCs/>
                <w:sz w:val="21"/>
                <w:szCs w:val="21"/>
              </w:rPr>
              <w:t>0</w:t>
            </w:r>
          </w:p>
        </w:tc>
        <w:tc>
          <w:tcPr>
            <w:tcW w:w="1397" w:type="dxa"/>
          </w:tcPr>
          <w:p w:rsidR="00DB7CC8" w:rsidRDefault="002B5250">
            <w:pPr>
              <w:spacing w:line="240" w:lineRule="auto"/>
              <w:ind w:firstLineChars="0" w:firstLine="0"/>
              <w:jc w:val="center"/>
              <w:rPr>
                <w:bCs/>
                <w:sz w:val="21"/>
                <w:szCs w:val="21"/>
              </w:rPr>
            </w:pPr>
            <w:r>
              <w:rPr>
                <w:bCs/>
                <w:sz w:val="21"/>
                <w:szCs w:val="21"/>
              </w:rPr>
              <w:t>0</w:t>
            </w:r>
          </w:p>
        </w:tc>
        <w:tc>
          <w:tcPr>
            <w:tcW w:w="992" w:type="dxa"/>
          </w:tcPr>
          <w:p w:rsidR="00DB7CC8" w:rsidRDefault="002B5250">
            <w:pPr>
              <w:spacing w:line="240" w:lineRule="auto"/>
              <w:ind w:firstLineChars="0" w:firstLine="0"/>
              <w:jc w:val="center"/>
              <w:rPr>
                <w:bCs/>
                <w:sz w:val="21"/>
                <w:szCs w:val="21"/>
              </w:rPr>
            </w:pPr>
            <w:r>
              <w:rPr>
                <w:bCs/>
                <w:sz w:val="21"/>
                <w:szCs w:val="21"/>
              </w:rPr>
              <w:t>0</w:t>
            </w:r>
          </w:p>
        </w:tc>
        <w:tc>
          <w:tcPr>
            <w:tcW w:w="1100" w:type="dxa"/>
          </w:tcPr>
          <w:p w:rsidR="00DB7CC8" w:rsidRDefault="002B5250">
            <w:pPr>
              <w:spacing w:line="240" w:lineRule="auto"/>
              <w:ind w:firstLineChars="0" w:firstLine="0"/>
              <w:jc w:val="center"/>
              <w:rPr>
                <w:bCs/>
                <w:sz w:val="21"/>
                <w:szCs w:val="21"/>
              </w:rPr>
            </w:pPr>
            <w:r>
              <w:rPr>
                <w:rFonts w:hint="eastAsia"/>
                <w:bCs/>
                <w:sz w:val="21"/>
                <w:szCs w:val="21"/>
              </w:rPr>
              <w:t>5.184</w:t>
            </w:r>
          </w:p>
        </w:tc>
      </w:tr>
    </w:tbl>
    <w:p w:rsidR="00DB7CC8" w:rsidRDefault="002B5250">
      <w:pPr>
        <w:pStyle w:val="2"/>
        <w:keepLines w:val="0"/>
        <w:widowControl/>
        <w:numPr>
          <w:ilvl w:val="1"/>
          <w:numId w:val="1"/>
        </w:numPr>
        <w:tabs>
          <w:tab w:val="left" w:pos="482"/>
        </w:tabs>
        <w:spacing w:beforeLines="50" w:before="120" w:after="0" w:line="360" w:lineRule="auto"/>
        <w:rPr>
          <w:rFonts w:ascii="Times New Roman" w:eastAsia="宋体" w:hAnsi="Times New Roman"/>
          <w:bCs w:val="0"/>
          <w:snapToGrid w:val="0"/>
          <w:kern w:val="0"/>
          <w:sz w:val="28"/>
          <w:szCs w:val="28"/>
        </w:rPr>
      </w:pPr>
      <w:r>
        <w:rPr>
          <w:rFonts w:ascii="Times New Roman" w:eastAsia="宋体" w:hAnsi="Times New Roman" w:hint="eastAsia"/>
          <w:bCs w:val="0"/>
          <w:snapToGrid w:val="0"/>
          <w:kern w:val="0"/>
          <w:sz w:val="28"/>
          <w:szCs w:val="28"/>
        </w:rPr>
        <w:t>改扩建工程</w:t>
      </w:r>
      <w:r>
        <w:rPr>
          <w:rFonts w:ascii="Times New Roman" w:eastAsia="宋体" w:hAnsi="Times New Roman"/>
          <w:bCs w:val="0"/>
          <w:snapToGrid w:val="0"/>
          <w:kern w:val="0"/>
          <w:sz w:val="28"/>
          <w:szCs w:val="28"/>
        </w:rPr>
        <w:t>概况</w:t>
      </w:r>
    </w:p>
    <w:p w:rsidR="00DB7CC8" w:rsidRDefault="002B5250">
      <w:pPr>
        <w:pStyle w:val="3"/>
        <w:numPr>
          <w:ilvl w:val="2"/>
          <w:numId w:val="1"/>
        </w:numPr>
        <w:rPr>
          <w:szCs w:val="28"/>
        </w:rPr>
      </w:pPr>
      <w:bookmarkStart w:id="184" w:name="_Toc521591754"/>
      <w:bookmarkStart w:id="185" w:name="_Toc32693"/>
      <w:r>
        <w:rPr>
          <w:szCs w:val="28"/>
        </w:rPr>
        <w:t>项目</w:t>
      </w:r>
      <w:bookmarkEnd w:id="184"/>
      <w:bookmarkEnd w:id="185"/>
      <w:r>
        <w:rPr>
          <w:rFonts w:hint="eastAsia"/>
          <w:szCs w:val="28"/>
        </w:rPr>
        <w:t>基本情况</w:t>
      </w:r>
    </w:p>
    <w:p w:rsidR="00DB7CC8" w:rsidRDefault="002B5250">
      <w:pPr>
        <w:ind w:firstLine="480"/>
        <w:jc w:val="both"/>
        <w:rPr>
          <w:sz w:val="24"/>
          <w:szCs w:val="24"/>
        </w:rPr>
      </w:pPr>
      <w:r>
        <w:rPr>
          <w:bCs/>
          <w:sz w:val="24"/>
          <w:szCs w:val="24"/>
        </w:rPr>
        <w:t>（</w:t>
      </w:r>
      <w:r>
        <w:rPr>
          <w:bCs/>
          <w:sz w:val="24"/>
          <w:szCs w:val="24"/>
        </w:rPr>
        <w:t>1</w:t>
      </w:r>
      <w:r>
        <w:rPr>
          <w:bCs/>
          <w:sz w:val="24"/>
          <w:szCs w:val="24"/>
        </w:rPr>
        <w:t>）项目名称：遵化市鑫伟铁选厂年处理</w:t>
      </w:r>
      <w:r>
        <w:rPr>
          <w:rFonts w:hint="eastAsia"/>
          <w:bCs/>
          <w:sz w:val="24"/>
          <w:szCs w:val="24"/>
        </w:rPr>
        <w:t>110</w:t>
      </w:r>
      <w:r>
        <w:rPr>
          <w:bCs/>
          <w:sz w:val="24"/>
          <w:szCs w:val="24"/>
        </w:rPr>
        <w:t>万吨铁</w:t>
      </w:r>
      <w:r>
        <w:rPr>
          <w:rFonts w:hint="eastAsia"/>
          <w:bCs/>
          <w:sz w:val="24"/>
          <w:szCs w:val="24"/>
        </w:rPr>
        <w:t>矿</w:t>
      </w:r>
      <w:r>
        <w:rPr>
          <w:bCs/>
          <w:sz w:val="24"/>
          <w:szCs w:val="24"/>
        </w:rPr>
        <w:t>石</w:t>
      </w:r>
      <w:r>
        <w:rPr>
          <w:rFonts w:hint="eastAsia"/>
          <w:bCs/>
          <w:sz w:val="24"/>
          <w:szCs w:val="24"/>
        </w:rPr>
        <w:t>、</w:t>
      </w:r>
      <w:r>
        <w:rPr>
          <w:rFonts w:hint="eastAsia"/>
          <w:bCs/>
          <w:sz w:val="24"/>
          <w:szCs w:val="24"/>
        </w:rPr>
        <w:t>40</w:t>
      </w:r>
      <w:r>
        <w:rPr>
          <w:rFonts w:hint="eastAsia"/>
          <w:bCs/>
          <w:sz w:val="24"/>
          <w:szCs w:val="24"/>
        </w:rPr>
        <w:t>万吨粗精矿改扩建</w:t>
      </w:r>
      <w:r>
        <w:rPr>
          <w:bCs/>
          <w:sz w:val="24"/>
          <w:szCs w:val="24"/>
        </w:rPr>
        <w:t>项目</w:t>
      </w:r>
    </w:p>
    <w:p w:rsidR="00DB7CC8" w:rsidRDefault="002B5250">
      <w:pPr>
        <w:ind w:firstLine="480"/>
        <w:jc w:val="both"/>
        <w:rPr>
          <w:bCs/>
          <w:sz w:val="24"/>
          <w:szCs w:val="24"/>
        </w:rPr>
      </w:pPr>
      <w:r>
        <w:rPr>
          <w:bCs/>
          <w:sz w:val="24"/>
          <w:szCs w:val="24"/>
        </w:rPr>
        <w:t>（</w:t>
      </w:r>
      <w:r>
        <w:rPr>
          <w:bCs/>
          <w:sz w:val="24"/>
          <w:szCs w:val="24"/>
        </w:rPr>
        <w:t>2</w:t>
      </w:r>
      <w:r>
        <w:rPr>
          <w:bCs/>
          <w:sz w:val="24"/>
          <w:szCs w:val="24"/>
        </w:rPr>
        <w:t>）建设性质：</w:t>
      </w:r>
      <w:r>
        <w:rPr>
          <w:rFonts w:hint="eastAsia"/>
          <w:bCs/>
          <w:sz w:val="24"/>
          <w:szCs w:val="24"/>
        </w:rPr>
        <w:t>改扩</w:t>
      </w:r>
      <w:r>
        <w:rPr>
          <w:bCs/>
          <w:sz w:val="24"/>
          <w:szCs w:val="24"/>
        </w:rPr>
        <w:t>建</w:t>
      </w:r>
    </w:p>
    <w:p w:rsidR="00DB7CC8" w:rsidRDefault="002B5250">
      <w:pPr>
        <w:ind w:firstLine="480"/>
        <w:jc w:val="both"/>
        <w:rPr>
          <w:bCs/>
          <w:sz w:val="24"/>
          <w:szCs w:val="24"/>
        </w:rPr>
      </w:pPr>
      <w:r>
        <w:rPr>
          <w:bCs/>
          <w:sz w:val="24"/>
          <w:szCs w:val="24"/>
        </w:rPr>
        <w:t>（</w:t>
      </w:r>
      <w:r>
        <w:rPr>
          <w:bCs/>
          <w:sz w:val="24"/>
          <w:szCs w:val="24"/>
        </w:rPr>
        <w:t>3</w:t>
      </w:r>
      <w:r>
        <w:rPr>
          <w:bCs/>
          <w:sz w:val="24"/>
          <w:szCs w:val="24"/>
        </w:rPr>
        <w:t>）建设单位：遵化市鑫伟铁选厂</w:t>
      </w:r>
    </w:p>
    <w:p w:rsidR="00DB7CC8" w:rsidRDefault="002B5250">
      <w:pPr>
        <w:ind w:firstLine="480"/>
        <w:jc w:val="both"/>
        <w:rPr>
          <w:bCs/>
          <w:sz w:val="24"/>
          <w:szCs w:val="24"/>
        </w:rPr>
      </w:pPr>
      <w:r>
        <w:rPr>
          <w:bCs/>
          <w:sz w:val="24"/>
          <w:szCs w:val="24"/>
        </w:rPr>
        <w:t>（</w:t>
      </w:r>
      <w:r>
        <w:rPr>
          <w:bCs/>
          <w:sz w:val="24"/>
          <w:szCs w:val="24"/>
        </w:rPr>
        <w:t>4</w:t>
      </w:r>
      <w:r>
        <w:rPr>
          <w:bCs/>
          <w:sz w:val="24"/>
          <w:szCs w:val="24"/>
        </w:rPr>
        <w:t>）建设地点：</w:t>
      </w:r>
      <w:r>
        <w:rPr>
          <w:sz w:val="24"/>
          <w:szCs w:val="24"/>
        </w:rPr>
        <w:t>遵化市</w:t>
      </w:r>
      <w:bookmarkStart w:id="186" w:name="_Hlk532894687"/>
      <w:r>
        <w:rPr>
          <w:sz w:val="24"/>
          <w:szCs w:val="24"/>
        </w:rPr>
        <w:t>建明镇</w:t>
      </w:r>
      <w:bookmarkEnd w:id="186"/>
      <w:r>
        <w:rPr>
          <w:sz w:val="24"/>
          <w:szCs w:val="24"/>
        </w:rPr>
        <w:t>靠山庄村</w:t>
      </w:r>
      <w:r>
        <w:rPr>
          <w:bCs/>
          <w:sz w:val="24"/>
          <w:szCs w:val="24"/>
        </w:rPr>
        <w:t>遵化市鑫伟铁选厂</w:t>
      </w:r>
      <w:r>
        <w:rPr>
          <w:rFonts w:hint="eastAsia"/>
          <w:bCs/>
          <w:sz w:val="24"/>
          <w:szCs w:val="24"/>
        </w:rPr>
        <w:t>现有厂区内</w:t>
      </w:r>
      <w:r>
        <w:rPr>
          <w:bCs/>
          <w:sz w:val="24"/>
          <w:szCs w:val="24"/>
        </w:rPr>
        <w:t>，厂区中心地理位置坐标为：</w:t>
      </w:r>
      <w:r>
        <w:rPr>
          <w:rFonts w:hint="eastAsia"/>
          <w:bCs/>
          <w:sz w:val="24"/>
          <w:szCs w:val="24"/>
        </w:rPr>
        <w:t>东经：</w:t>
      </w:r>
      <w:r>
        <w:rPr>
          <w:bCs/>
          <w:sz w:val="24"/>
          <w:szCs w:val="24"/>
        </w:rPr>
        <w:t>118°7'</w:t>
      </w:r>
      <w:r>
        <w:rPr>
          <w:rFonts w:hint="eastAsia"/>
          <w:bCs/>
          <w:sz w:val="24"/>
          <w:szCs w:val="24"/>
        </w:rPr>
        <w:t>17.73</w:t>
      </w:r>
      <w:r>
        <w:rPr>
          <w:bCs/>
          <w:sz w:val="24"/>
          <w:szCs w:val="24"/>
        </w:rPr>
        <w:t>"</w:t>
      </w:r>
      <w:r>
        <w:rPr>
          <w:bCs/>
          <w:sz w:val="24"/>
          <w:szCs w:val="24"/>
        </w:rPr>
        <w:t>，北纬：</w:t>
      </w:r>
      <w:r>
        <w:rPr>
          <w:bCs/>
          <w:sz w:val="24"/>
          <w:szCs w:val="24"/>
        </w:rPr>
        <w:t>40°11'</w:t>
      </w:r>
      <w:r>
        <w:rPr>
          <w:rFonts w:hint="eastAsia"/>
          <w:bCs/>
          <w:sz w:val="24"/>
          <w:szCs w:val="24"/>
        </w:rPr>
        <w:t>12.13</w:t>
      </w:r>
      <w:r>
        <w:rPr>
          <w:bCs/>
          <w:sz w:val="24"/>
          <w:szCs w:val="24"/>
        </w:rPr>
        <w:t>"</w:t>
      </w:r>
      <w:r>
        <w:rPr>
          <w:bCs/>
          <w:sz w:val="24"/>
          <w:szCs w:val="24"/>
        </w:rPr>
        <w:t>。</w:t>
      </w:r>
    </w:p>
    <w:p w:rsidR="00DB7CC8" w:rsidRDefault="002B5250">
      <w:pPr>
        <w:ind w:firstLine="480"/>
        <w:jc w:val="both"/>
        <w:rPr>
          <w:sz w:val="24"/>
          <w:szCs w:val="24"/>
        </w:rPr>
      </w:pPr>
      <w:r>
        <w:rPr>
          <w:bCs/>
          <w:sz w:val="24"/>
          <w:szCs w:val="24"/>
        </w:rPr>
        <w:t>（</w:t>
      </w:r>
      <w:r>
        <w:rPr>
          <w:bCs/>
          <w:sz w:val="24"/>
          <w:szCs w:val="24"/>
        </w:rPr>
        <w:t>5</w:t>
      </w:r>
      <w:r>
        <w:rPr>
          <w:bCs/>
          <w:sz w:val="24"/>
          <w:szCs w:val="24"/>
        </w:rPr>
        <w:t>）周边关系：遵化市鑫伟铁选厂</w:t>
      </w:r>
      <w:r>
        <w:rPr>
          <w:sz w:val="24"/>
          <w:szCs w:val="24"/>
        </w:rPr>
        <w:t>东侧、西侧为农田，北侧为道路，南侧为</w:t>
      </w:r>
      <w:r>
        <w:rPr>
          <w:rFonts w:hint="eastAsia"/>
          <w:sz w:val="24"/>
          <w:szCs w:val="24"/>
        </w:rPr>
        <w:t>选矿厂</w:t>
      </w:r>
      <w:r>
        <w:rPr>
          <w:sz w:val="24"/>
          <w:szCs w:val="24"/>
        </w:rPr>
        <w:t>，项目最近的敏感点为北侧</w:t>
      </w:r>
      <w:r>
        <w:rPr>
          <w:rFonts w:hint="eastAsia"/>
          <w:sz w:val="24"/>
          <w:szCs w:val="24"/>
        </w:rPr>
        <w:t>330m</w:t>
      </w:r>
      <w:r>
        <w:rPr>
          <w:rFonts w:hint="eastAsia"/>
          <w:sz w:val="24"/>
          <w:szCs w:val="24"/>
        </w:rPr>
        <w:t>的靠山庄村。</w:t>
      </w:r>
    </w:p>
    <w:p w:rsidR="00DB7CC8" w:rsidRDefault="002B5250">
      <w:pPr>
        <w:snapToGrid w:val="0"/>
        <w:ind w:firstLine="480"/>
        <w:jc w:val="both"/>
        <w:rPr>
          <w:sz w:val="24"/>
          <w:szCs w:val="24"/>
        </w:rPr>
      </w:pPr>
      <w:r>
        <w:rPr>
          <w:bCs/>
          <w:sz w:val="24"/>
          <w:szCs w:val="24"/>
        </w:rPr>
        <w:t>（</w:t>
      </w:r>
      <w:r>
        <w:rPr>
          <w:rFonts w:hint="eastAsia"/>
          <w:bCs/>
          <w:sz w:val="24"/>
          <w:szCs w:val="24"/>
        </w:rPr>
        <w:t>6</w:t>
      </w:r>
      <w:r>
        <w:rPr>
          <w:bCs/>
          <w:sz w:val="24"/>
          <w:szCs w:val="24"/>
        </w:rPr>
        <w:t>）建设内容及规模：</w:t>
      </w:r>
      <w:r>
        <w:rPr>
          <w:rFonts w:hint="eastAsia"/>
          <w:bCs/>
          <w:sz w:val="24"/>
          <w:szCs w:val="24"/>
        </w:rPr>
        <w:t>主要</w:t>
      </w:r>
      <w:r>
        <w:rPr>
          <w:rFonts w:hint="eastAsia"/>
          <w:sz w:val="24"/>
          <w:szCs w:val="24"/>
        </w:rPr>
        <w:t>建设破碎粗选车间、精选车间，购置安装球磨、磁选等设备，配套建设辅助生产设施办公室、配电室、库房。项目建成后年处理</w:t>
      </w:r>
      <w:r>
        <w:rPr>
          <w:rFonts w:hint="eastAsia"/>
          <w:sz w:val="24"/>
          <w:szCs w:val="24"/>
        </w:rPr>
        <w:lastRenderedPageBreak/>
        <w:t>110</w:t>
      </w:r>
      <w:r>
        <w:rPr>
          <w:rFonts w:hint="eastAsia"/>
          <w:sz w:val="24"/>
          <w:szCs w:val="24"/>
        </w:rPr>
        <w:t>万吨铁矿石、</w:t>
      </w:r>
      <w:r>
        <w:rPr>
          <w:rFonts w:hint="eastAsia"/>
          <w:sz w:val="24"/>
          <w:szCs w:val="24"/>
        </w:rPr>
        <w:t>40</w:t>
      </w:r>
      <w:r>
        <w:rPr>
          <w:rFonts w:hint="eastAsia"/>
          <w:sz w:val="24"/>
          <w:szCs w:val="24"/>
        </w:rPr>
        <w:t>万吨粗精矿，年产</w:t>
      </w:r>
      <w:r>
        <w:rPr>
          <w:rFonts w:hint="eastAsia"/>
          <w:sz w:val="24"/>
          <w:szCs w:val="24"/>
        </w:rPr>
        <w:t>66%</w:t>
      </w:r>
      <w:r>
        <w:rPr>
          <w:rFonts w:hint="eastAsia"/>
          <w:sz w:val="24"/>
          <w:szCs w:val="24"/>
        </w:rPr>
        <w:t>铁精粉</w:t>
      </w:r>
      <w:r>
        <w:rPr>
          <w:rFonts w:hint="eastAsia"/>
          <w:sz w:val="24"/>
          <w:szCs w:val="24"/>
        </w:rPr>
        <w:t>35</w:t>
      </w:r>
      <w:r>
        <w:rPr>
          <w:rFonts w:hint="eastAsia"/>
          <w:sz w:val="24"/>
          <w:szCs w:val="24"/>
        </w:rPr>
        <w:t>万吨。</w:t>
      </w:r>
    </w:p>
    <w:p w:rsidR="00DB7CC8" w:rsidRDefault="002B5250">
      <w:pPr>
        <w:ind w:firstLine="480"/>
        <w:jc w:val="both"/>
        <w:rPr>
          <w:bCs/>
          <w:sz w:val="24"/>
          <w:szCs w:val="24"/>
        </w:rPr>
      </w:pPr>
      <w:r>
        <w:rPr>
          <w:bCs/>
          <w:sz w:val="24"/>
          <w:szCs w:val="24"/>
        </w:rPr>
        <w:t>（</w:t>
      </w:r>
      <w:r>
        <w:rPr>
          <w:rFonts w:hint="eastAsia"/>
          <w:bCs/>
          <w:sz w:val="24"/>
          <w:szCs w:val="24"/>
        </w:rPr>
        <w:t>7</w:t>
      </w:r>
      <w:r>
        <w:rPr>
          <w:bCs/>
          <w:sz w:val="24"/>
          <w:szCs w:val="24"/>
        </w:rPr>
        <w:t>）</w:t>
      </w:r>
      <w:r>
        <w:rPr>
          <w:sz w:val="24"/>
          <w:szCs w:val="24"/>
        </w:rPr>
        <w:t>项目投资：本项目总投资为</w:t>
      </w:r>
      <w:r>
        <w:rPr>
          <w:rFonts w:hint="eastAsia"/>
          <w:sz w:val="24"/>
          <w:szCs w:val="24"/>
        </w:rPr>
        <w:t>22</w:t>
      </w:r>
      <w:r>
        <w:rPr>
          <w:sz w:val="24"/>
          <w:szCs w:val="24"/>
        </w:rPr>
        <w:t>00</w:t>
      </w:r>
      <w:r>
        <w:rPr>
          <w:sz w:val="24"/>
          <w:szCs w:val="24"/>
        </w:rPr>
        <w:t>万元，其中环保投资估算</w:t>
      </w:r>
      <w:r>
        <w:rPr>
          <w:rFonts w:hint="eastAsia"/>
          <w:sz w:val="24"/>
          <w:szCs w:val="24"/>
        </w:rPr>
        <w:t>110</w:t>
      </w:r>
      <w:r>
        <w:rPr>
          <w:sz w:val="24"/>
          <w:szCs w:val="24"/>
        </w:rPr>
        <w:t>万元，占总投资的比例为</w:t>
      </w:r>
      <w:r>
        <w:rPr>
          <w:rFonts w:hint="eastAsia"/>
          <w:sz w:val="24"/>
          <w:szCs w:val="24"/>
        </w:rPr>
        <w:t>5</w:t>
      </w:r>
      <w:r>
        <w:rPr>
          <w:sz w:val="24"/>
          <w:szCs w:val="24"/>
        </w:rPr>
        <w:t>%</w:t>
      </w:r>
      <w:r>
        <w:rPr>
          <w:sz w:val="24"/>
          <w:szCs w:val="24"/>
        </w:rPr>
        <w:t>。</w:t>
      </w:r>
    </w:p>
    <w:p w:rsidR="00DB7CC8" w:rsidRDefault="002B5250">
      <w:pPr>
        <w:ind w:firstLine="480"/>
        <w:jc w:val="both"/>
        <w:rPr>
          <w:bCs/>
          <w:sz w:val="24"/>
          <w:szCs w:val="24"/>
        </w:rPr>
      </w:pPr>
      <w:r>
        <w:rPr>
          <w:bCs/>
          <w:sz w:val="24"/>
          <w:szCs w:val="24"/>
        </w:rPr>
        <w:t>（</w:t>
      </w:r>
      <w:r>
        <w:rPr>
          <w:rFonts w:hint="eastAsia"/>
          <w:bCs/>
          <w:sz w:val="24"/>
          <w:szCs w:val="24"/>
        </w:rPr>
        <w:t>8</w:t>
      </w:r>
      <w:r>
        <w:rPr>
          <w:bCs/>
          <w:sz w:val="24"/>
          <w:szCs w:val="24"/>
        </w:rPr>
        <w:t>）建设周期：</w:t>
      </w:r>
      <w:r>
        <w:rPr>
          <w:bCs/>
          <w:sz w:val="24"/>
          <w:szCs w:val="24"/>
        </w:rPr>
        <w:t>20</w:t>
      </w:r>
      <w:r>
        <w:rPr>
          <w:rFonts w:hint="eastAsia"/>
          <w:bCs/>
          <w:sz w:val="24"/>
          <w:szCs w:val="24"/>
        </w:rPr>
        <w:t>23</w:t>
      </w:r>
      <w:r>
        <w:rPr>
          <w:bCs/>
          <w:sz w:val="24"/>
          <w:szCs w:val="24"/>
        </w:rPr>
        <w:t>年</w:t>
      </w:r>
      <w:r>
        <w:rPr>
          <w:bCs/>
          <w:sz w:val="24"/>
          <w:szCs w:val="24"/>
        </w:rPr>
        <w:t>9</w:t>
      </w:r>
      <w:r>
        <w:rPr>
          <w:bCs/>
          <w:sz w:val="24"/>
          <w:szCs w:val="24"/>
        </w:rPr>
        <w:t>月</w:t>
      </w:r>
      <w:r>
        <w:rPr>
          <w:bCs/>
          <w:sz w:val="24"/>
          <w:szCs w:val="24"/>
        </w:rPr>
        <w:t>-202</w:t>
      </w:r>
      <w:r>
        <w:rPr>
          <w:rFonts w:hint="eastAsia"/>
          <w:bCs/>
          <w:sz w:val="24"/>
          <w:szCs w:val="24"/>
        </w:rPr>
        <w:t>4</w:t>
      </w:r>
      <w:r>
        <w:rPr>
          <w:bCs/>
          <w:sz w:val="24"/>
          <w:szCs w:val="24"/>
        </w:rPr>
        <w:t>年</w:t>
      </w:r>
      <w:r>
        <w:rPr>
          <w:bCs/>
          <w:sz w:val="24"/>
          <w:szCs w:val="24"/>
        </w:rPr>
        <w:t>3</w:t>
      </w:r>
      <w:r>
        <w:rPr>
          <w:bCs/>
          <w:sz w:val="24"/>
          <w:szCs w:val="24"/>
        </w:rPr>
        <w:t>月</w:t>
      </w:r>
    </w:p>
    <w:p w:rsidR="00DB7CC8" w:rsidRDefault="002B5250">
      <w:pPr>
        <w:pStyle w:val="3"/>
        <w:numPr>
          <w:ilvl w:val="2"/>
          <w:numId w:val="1"/>
        </w:numPr>
        <w:rPr>
          <w:szCs w:val="28"/>
        </w:rPr>
      </w:pPr>
      <w:r>
        <w:rPr>
          <w:szCs w:val="28"/>
        </w:rPr>
        <w:t>产品方案</w:t>
      </w:r>
    </w:p>
    <w:p w:rsidR="00DB7CC8" w:rsidRDefault="002B5250">
      <w:pPr>
        <w:ind w:firstLine="480"/>
        <w:jc w:val="both"/>
        <w:rPr>
          <w:sz w:val="24"/>
          <w:szCs w:val="24"/>
        </w:rPr>
      </w:pPr>
      <w:r>
        <w:rPr>
          <w:sz w:val="24"/>
          <w:szCs w:val="24"/>
        </w:rPr>
        <w:t>本项目设计生产规模为</w:t>
      </w:r>
      <w:r>
        <w:rPr>
          <w:bCs/>
          <w:sz w:val="24"/>
          <w:szCs w:val="24"/>
        </w:rPr>
        <w:t>年处理</w:t>
      </w:r>
      <w:r>
        <w:rPr>
          <w:rFonts w:hint="eastAsia"/>
          <w:bCs/>
          <w:sz w:val="24"/>
          <w:szCs w:val="24"/>
        </w:rPr>
        <w:t>110</w:t>
      </w:r>
      <w:r>
        <w:rPr>
          <w:bCs/>
          <w:sz w:val="24"/>
          <w:szCs w:val="24"/>
        </w:rPr>
        <w:t>万吨铁矿石</w:t>
      </w:r>
      <w:r>
        <w:rPr>
          <w:rFonts w:hint="eastAsia"/>
          <w:bCs/>
          <w:sz w:val="24"/>
          <w:szCs w:val="24"/>
        </w:rPr>
        <w:t>、</w:t>
      </w:r>
      <w:r>
        <w:rPr>
          <w:rFonts w:hint="eastAsia"/>
          <w:bCs/>
          <w:sz w:val="24"/>
          <w:szCs w:val="24"/>
        </w:rPr>
        <w:t>40</w:t>
      </w:r>
      <w:r>
        <w:rPr>
          <w:rFonts w:hint="eastAsia"/>
          <w:bCs/>
          <w:sz w:val="24"/>
          <w:szCs w:val="24"/>
        </w:rPr>
        <w:t>万吨粗精矿</w:t>
      </w:r>
      <w:r>
        <w:rPr>
          <w:sz w:val="24"/>
          <w:szCs w:val="24"/>
        </w:rPr>
        <w:t>，</w:t>
      </w:r>
      <w:r>
        <w:rPr>
          <w:rFonts w:hint="eastAsia"/>
          <w:sz w:val="24"/>
          <w:szCs w:val="24"/>
        </w:rPr>
        <w:t>年产</w:t>
      </w:r>
      <w:r>
        <w:rPr>
          <w:rFonts w:hint="eastAsia"/>
          <w:sz w:val="24"/>
          <w:szCs w:val="24"/>
        </w:rPr>
        <w:t>66%</w:t>
      </w:r>
      <w:r>
        <w:rPr>
          <w:rFonts w:hint="eastAsia"/>
          <w:sz w:val="24"/>
          <w:szCs w:val="24"/>
        </w:rPr>
        <w:t>铁精粉</w:t>
      </w:r>
      <w:r>
        <w:rPr>
          <w:rFonts w:hint="eastAsia"/>
          <w:sz w:val="24"/>
          <w:szCs w:val="24"/>
        </w:rPr>
        <w:t>35</w:t>
      </w:r>
      <w:r>
        <w:rPr>
          <w:rFonts w:hint="eastAsia"/>
          <w:sz w:val="24"/>
          <w:szCs w:val="24"/>
        </w:rPr>
        <w:t>万吨</w:t>
      </w:r>
      <w:r>
        <w:rPr>
          <w:rFonts w:hint="eastAsia"/>
          <w:sz w:val="24"/>
          <w:szCs w:val="24"/>
        </w:rPr>
        <w:t>，</w:t>
      </w:r>
      <w:r>
        <w:rPr>
          <w:sz w:val="24"/>
          <w:szCs w:val="24"/>
        </w:rPr>
        <w:t>产品方案详见表</w:t>
      </w:r>
      <w:r>
        <w:rPr>
          <w:sz w:val="24"/>
          <w:szCs w:val="24"/>
        </w:rPr>
        <w:t>3.</w:t>
      </w:r>
      <w:r>
        <w:rPr>
          <w:rFonts w:hint="eastAsia"/>
          <w:sz w:val="24"/>
          <w:szCs w:val="24"/>
        </w:rPr>
        <w:t>2</w:t>
      </w:r>
      <w:r>
        <w:rPr>
          <w:sz w:val="24"/>
          <w:szCs w:val="24"/>
        </w:rPr>
        <w:t>-1</w:t>
      </w:r>
      <w:r>
        <w:rPr>
          <w:sz w:val="24"/>
          <w:szCs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3.</w:t>
      </w:r>
      <w:r>
        <w:rPr>
          <w:rFonts w:eastAsia="黑体" w:hint="eastAsia"/>
          <w:kern w:val="2"/>
          <w:sz w:val="21"/>
          <w:szCs w:val="21"/>
        </w:rPr>
        <w:t>2</w:t>
      </w:r>
      <w:r>
        <w:rPr>
          <w:rFonts w:eastAsia="黑体"/>
          <w:kern w:val="2"/>
          <w:sz w:val="21"/>
          <w:szCs w:val="21"/>
        </w:rPr>
        <w:t xml:space="preserve">-1    </w:t>
      </w:r>
      <w:r>
        <w:rPr>
          <w:rFonts w:eastAsia="黑体" w:hint="eastAsia"/>
          <w:kern w:val="2"/>
          <w:sz w:val="21"/>
          <w:szCs w:val="21"/>
        </w:rPr>
        <w:t>改扩建工程</w:t>
      </w:r>
      <w:r>
        <w:rPr>
          <w:rFonts w:eastAsia="黑体"/>
          <w:kern w:val="2"/>
          <w:sz w:val="21"/>
          <w:szCs w:val="21"/>
        </w:rPr>
        <w:t>产品方案</w:t>
      </w:r>
    </w:p>
    <w:tbl>
      <w:tblPr>
        <w:tblW w:w="8522" w:type="dxa"/>
        <w:jc w:val="center"/>
        <w:tblBorders>
          <w:top w:val="single" w:sz="4" w:space="0" w:color="auto"/>
          <w:bottom w:val="single" w:sz="4" w:space="0" w:color="auto"/>
          <w:insideH w:val="single" w:sz="6" w:space="0" w:color="auto"/>
          <w:insideV w:val="single" w:sz="6" w:space="0" w:color="auto"/>
        </w:tblBorders>
        <w:tblLayout w:type="fixed"/>
        <w:tblLook w:val="04A0" w:firstRow="1" w:lastRow="0" w:firstColumn="1" w:lastColumn="0" w:noHBand="0" w:noVBand="1"/>
      </w:tblPr>
      <w:tblGrid>
        <w:gridCol w:w="2441"/>
        <w:gridCol w:w="2081"/>
        <w:gridCol w:w="4000"/>
      </w:tblGrid>
      <w:tr w:rsidR="00DB7CC8">
        <w:trPr>
          <w:cantSplit/>
          <w:trHeight w:val="340"/>
          <w:jc w:val="center"/>
        </w:trPr>
        <w:tc>
          <w:tcPr>
            <w:tcW w:w="2441"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产品名称</w:t>
            </w:r>
          </w:p>
        </w:tc>
        <w:tc>
          <w:tcPr>
            <w:tcW w:w="2081" w:type="dxa"/>
            <w:vAlign w:val="center"/>
          </w:tcPr>
          <w:p w:rsidR="00DB7CC8" w:rsidRDefault="002B5250">
            <w:pPr>
              <w:spacing w:line="240" w:lineRule="auto"/>
              <w:ind w:firstLineChars="0" w:firstLine="0"/>
              <w:jc w:val="center"/>
              <w:rPr>
                <w:sz w:val="21"/>
                <w:szCs w:val="21"/>
              </w:rPr>
            </w:pPr>
            <w:r>
              <w:rPr>
                <w:sz w:val="21"/>
                <w:szCs w:val="21"/>
              </w:rPr>
              <w:t>产量（</w:t>
            </w:r>
            <w:r>
              <w:rPr>
                <w:sz w:val="21"/>
                <w:szCs w:val="21"/>
              </w:rPr>
              <w:t>t/a</w:t>
            </w:r>
            <w:r>
              <w:rPr>
                <w:sz w:val="21"/>
                <w:szCs w:val="21"/>
              </w:rPr>
              <w:t>）</w:t>
            </w:r>
          </w:p>
        </w:tc>
        <w:tc>
          <w:tcPr>
            <w:tcW w:w="4000" w:type="dxa"/>
            <w:tcBorders>
              <w:right w:val="single" w:sz="4" w:space="0" w:color="auto"/>
            </w:tcBorders>
            <w:vAlign w:val="center"/>
          </w:tcPr>
          <w:p w:rsidR="00DB7CC8" w:rsidRDefault="002B5250">
            <w:pPr>
              <w:spacing w:line="240" w:lineRule="auto"/>
              <w:ind w:firstLineChars="71" w:firstLine="149"/>
              <w:jc w:val="center"/>
              <w:rPr>
                <w:sz w:val="21"/>
                <w:szCs w:val="21"/>
              </w:rPr>
            </w:pPr>
            <w:r>
              <w:rPr>
                <w:sz w:val="21"/>
                <w:szCs w:val="21"/>
              </w:rPr>
              <w:t>备注</w:t>
            </w:r>
          </w:p>
        </w:tc>
      </w:tr>
      <w:tr w:rsidR="00DB7CC8">
        <w:trPr>
          <w:cantSplit/>
          <w:trHeight w:val="340"/>
          <w:jc w:val="center"/>
        </w:trPr>
        <w:tc>
          <w:tcPr>
            <w:tcW w:w="2441"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铁精粉</w:t>
            </w:r>
          </w:p>
        </w:tc>
        <w:tc>
          <w:tcPr>
            <w:tcW w:w="2081" w:type="dxa"/>
            <w:vAlign w:val="center"/>
          </w:tcPr>
          <w:p w:rsidR="00DB7CC8" w:rsidRDefault="002B5250">
            <w:pPr>
              <w:spacing w:line="240" w:lineRule="auto"/>
              <w:ind w:firstLineChars="0" w:firstLine="0"/>
              <w:jc w:val="center"/>
              <w:rPr>
                <w:sz w:val="21"/>
                <w:szCs w:val="21"/>
              </w:rPr>
            </w:pPr>
            <w:r>
              <w:rPr>
                <w:rFonts w:hint="eastAsia"/>
                <w:sz w:val="21"/>
                <w:szCs w:val="21"/>
              </w:rPr>
              <w:t>35</w:t>
            </w:r>
            <w:r>
              <w:rPr>
                <w:rFonts w:hint="eastAsia"/>
                <w:sz w:val="21"/>
                <w:szCs w:val="21"/>
              </w:rPr>
              <w:t>万</w:t>
            </w:r>
          </w:p>
        </w:tc>
        <w:tc>
          <w:tcPr>
            <w:tcW w:w="4000"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平均品位为</w:t>
            </w:r>
            <w:r>
              <w:rPr>
                <w:rFonts w:hint="eastAsia"/>
                <w:sz w:val="21"/>
                <w:szCs w:val="21"/>
              </w:rPr>
              <w:t>66</w:t>
            </w:r>
            <w:r>
              <w:rPr>
                <w:sz w:val="21"/>
                <w:szCs w:val="21"/>
              </w:rPr>
              <w:t>%</w:t>
            </w:r>
            <w:r>
              <w:rPr>
                <w:rFonts w:hint="eastAsia"/>
                <w:sz w:val="21"/>
                <w:szCs w:val="21"/>
              </w:rPr>
              <w:t>，含水率</w:t>
            </w:r>
            <w:r>
              <w:rPr>
                <w:rFonts w:hint="eastAsia"/>
                <w:sz w:val="21"/>
                <w:szCs w:val="21"/>
              </w:rPr>
              <w:t>1</w:t>
            </w:r>
            <w:r>
              <w:rPr>
                <w:sz w:val="21"/>
                <w:szCs w:val="21"/>
              </w:rPr>
              <w:t>0</w:t>
            </w:r>
            <w:r>
              <w:rPr>
                <w:rFonts w:hint="eastAsia"/>
                <w:sz w:val="21"/>
                <w:szCs w:val="21"/>
              </w:rPr>
              <w:t>%</w:t>
            </w:r>
          </w:p>
        </w:tc>
      </w:tr>
    </w:tbl>
    <w:p w:rsidR="00DB7CC8" w:rsidRDefault="002B5250">
      <w:pPr>
        <w:pStyle w:val="3"/>
        <w:numPr>
          <w:ilvl w:val="2"/>
          <w:numId w:val="1"/>
        </w:numPr>
        <w:rPr>
          <w:szCs w:val="28"/>
        </w:rPr>
      </w:pPr>
      <w:r>
        <w:rPr>
          <w:szCs w:val="28"/>
        </w:rPr>
        <w:t>项目建设内容</w:t>
      </w:r>
      <w:r>
        <w:rPr>
          <w:rFonts w:hint="eastAsia"/>
          <w:szCs w:val="28"/>
        </w:rPr>
        <w:t>及规模</w:t>
      </w:r>
    </w:p>
    <w:p w:rsidR="00DB7CC8" w:rsidRDefault="002B5250">
      <w:pPr>
        <w:ind w:firstLine="480"/>
        <w:jc w:val="both"/>
        <w:rPr>
          <w:sz w:val="24"/>
          <w:szCs w:val="24"/>
        </w:rPr>
      </w:pPr>
      <w:r>
        <w:rPr>
          <w:bCs/>
          <w:sz w:val="24"/>
          <w:szCs w:val="24"/>
        </w:rPr>
        <w:t>本项目主要建设破碎</w:t>
      </w:r>
      <w:r>
        <w:rPr>
          <w:rFonts w:hint="eastAsia"/>
          <w:bCs/>
          <w:sz w:val="24"/>
          <w:szCs w:val="24"/>
        </w:rPr>
        <w:t>粗选</w:t>
      </w:r>
      <w:r>
        <w:rPr>
          <w:bCs/>
          <w:sz w:val="24"/>
          <w:szCs w:val="24"/>
        </w:rPr>
        <w:t>车间、</w:t>
      </w:r>
      <w:r>
        <w:rPr>
          <w:rFonts w:hint="eastAsia"/>
          <w:bCs/>
          <w:sz w:val="24"/>
          <w:szCs w:val="24"/>
        </w:rPr>
        <w:t>精选</w:t>
      </w:r>
      <w:r>
        <w:rPr>
          <w:bCs/>
          <w:sz w:val="24"/>
          <w:szCs w:val="24"/>
        </w:rPr>
        <w:t>车间、成品库等及相关配套设施，购置的主要设备为</w:t>
      </w:r>
      <w:r>
        <w:rPr>
          <w:rFonts w:hint="eastAsia"/>
          <w:bCs/>
          <w:sz w:val="24"/>
          <w:szCs w:val="24"/>
        </w:rPr>
        <w:t>破碎机、振动筛、</w:t>
      </w:r>
      <w:r>
        <w:rPr>
          <w:bCs/>
          <w:sz w:val="24"/>
          <w:szCs w:val="24"/>
        </w:rPr>
        <w:t>球磨机、磁选机、</w:t>
      </w:r>
      <w:r>
        <w:rPr>
          <w:rFonts w:hint="eastAsia"/>
          <w:bCs/>
          <w:sz w:val="24"/>
          <w:szCs w:val="24"/>
        </w:rPr>
        <w:t>高频筛、</w:t>
      </w:r>
      <w:r>
        <w:rPr>
          <w:bCs/>
          <w:sz w:val="24"/>
          <w:szCs w:val="24"/>
        </w:rPr>
        <w:t>过滤机等。</w:t>
      </w:r>
      <w:r>
        <w:rPr>
          <w:sz w:val="24"/>
          <w:szCs w:val="24"/>
        </w:rPr>
        <w:t>项目组成及工程内容见表</w:t>
      </w:r>
      <w:r>
        <w:rPr>
          <w:sz w:val="24"/>
          <w:szCs w:val="24"/>
        </w:rPr>
        <w:t>3.</w:t>
      </w:r>
      <w:r>
        <w:rPr>
          <w:rFonts w:hint="eastAsia"/>
          <w:sz w:val="24"/>
          <w:szCs w:val="24"/>
        </w:rPr>
        <w:t>2</w:t>
      </w:r>
      <w:r>
        <w:rPr>
          <w:sz w:val="24"/>
          <w:szCs w:val="24"/>
        </w:rPr>
        <w:t>-2</w:t>
      </w:r>
      <w:r>
        <w:rPr>
          <w:sz w:val="24"/>
          <w:szCs w:val="24"/>
        </w:rPr>
        <w:t>，主要建构筑物见表</w:t>
      </w:r>
      <w:r>
        <w:rPr>
          <w:sz w:val="24"/>
          <w:szCs w:val="24"/>
        </w:rPr>
        <w:t>3.</w:t>
      </w:r>
      <w:r>
        <w:rPr>
          <w:rFonts w:hint="eastAsia"/>
          <w:sz w:val="24"/>
          <w:szCs w:val="24"/>
        </w:rPr>
        <w:t>2</w:t>
      </w:r>
      <w:r>
        <w:rPr>
          <w:sz w:val="24"/>
          <w:szCs w:val="24"/>
        </w:rPr>
        <w:t>-3</w:t>
      </w:r>
      <w:r>
        <w:rPr>
          <w:sz w:val="24"/>
          <w:szCs w:val="24"/>
        </w:rPr>
        <w:t>。</w:t>
      </w:r>
    </w:p>
    <w:p w:rsidR="00DB7CC8" w:rsidRDefault="002B5250">
      <w:pPr>
        <w:widowControl/>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3.</w:t>
      </w:r>
      <w:r>
        <w:rPr>
          <w:rFonts w:eastAsia="黑体" w:hint="eastAsia"/>
          <w:kern w:val="2"/>
          <w:sz w:val="21"/>
          <w:szCs w:val="21"/>
        </w:rPr>
        <w:t>2</w:t>
      </w:r>
      <w:r>
        <w:rPr>
          <w:rFonts w:eastAsia="黑体"/>
          <w:kern w:val="2"/>
          <w:sz w:val="21"/>
          <w:szCs w:val="21"/>
        </w:rPr>
        <w:t xml:space="preserve">-2  </w:t>
      </w:r>
      <w:r>
        <w:rPr>
          <w:rFonts w:eastAsia="黑体" w:hint="eastAsia"/>
          <w:kern w:val="2"/>
          <w:sz w:val="21"/>
          <w:szCs w:val="21"/>
        </w:rPr>
        <w:t>改扩建</w:t>
      </w:r>
      <w:r>
        <w:rPr>
          <w:rFonts w:eastAsia="黑体" w:hint="eastAsia"/>
          <w:sz w:val="21"/>
          <w:szCs w:val="21"/>
        </w:rPr>
        <w:t>工程</w:t>
      </w:r>
      <w:r>
        <w:rPr>
          <w:rFonts w:eastAsia="黑体"/>
          <w:sz w:val="21"/>
          <w:szCs w:val="21"/>
        </w:rPr>
        <w:t>组成及内容</w:t>
      </w:r>
    </w:p>
    <w:tbl>
      <w:tblPr>
        <w:tblW w:w="8525" w:type="dxa"/>
        <w:jc w:val="center"/>
        <w:tblBorders>
          <w:top w:val="single" w:sz="4" w:space="0" w:color="auto"/>
          <w:bottom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246"/>
        <w:gridCol w:w="432"/>
        <w:gridCol w:w="1698"/>
        <w:gridCol w:w="5132"/>
        <w:gridCol w:w="10"/>
        <w:gridCol w:w="1007"/>
      </w:tblGrid>
      <w:tr w:rsidR="00DB7CC8">
        <w:trPr>
          <w:trHeight w:val="283"/>
          <w:tblHeader/>
          <w:jc w:val="center"/>
        </w:trPr>
        <w:tc>
          <w:tcPr>
            <w:tcW w:w="2376" w:type="dxa"/>
            <w:gridSpan w:val="3"/>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工程项目</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建设内容</w:t>
            </w:r>
          </w:p>
        </w:tc>
        <w:tc>
          <w:tcPr>
            <w:tcW w:w="1017" w:type="dxa"/>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备注</w:t>
            </w:r>
          </w:p>
        </w:tc>
      </w:tr>
      <w:tr w:rsidR="00DB7CC8">
        <w:trPr>
          <w:trHeight w:val="283"/>
          <w:jc w:val="center"/>
        </w:trPr>
        <w:tc>
          <w:tcPr>
            <w:tcW w:w="678" w:type="dxa"/>
            <w:gridSpan w:val="2"/>
            <w:vMerge w:val="restar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主体</w:t>
            </w:r>
          </w:p>
          <w:p w:rsidR="00DB7CC8" w:rsidRDefault="002B5250">
            <w:pPr>
              <w:pStyle w:val="affffff3"/>
              <w:spacing w:line="240" w:lineRule="auto"/>
              <w:rPr>
                <w:rFonts w:ascii="Times New Roman" w:eastAsia="宋体" w:cs="Times New Roman"/>
              </w:rPr>
            </w:pPr>
            <w:r>
              <w:rPr>
                <w:rFonts w:ascii="Times New Roman" w:eastAsia="宋体" w:cs="Times New Roman"/>
              </w:rPr>
              <w:t>工程</w:t>
            </w: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3</w:t>
            </w:r>
            <w:r>
              <w:rPr>
                <w:rFonts w:ascii="Times New Roman" w:eastAsia="宋体" w:cs="Times New Roman"/>
              </w:rPr>
              <w:t>#</w:t>
            </w:r>
            <w:r>
              <w:rPr>
                <w:rFonts w:ascii="Times New Roman" w:eastAsia="宋体" w:cs="Times New Roman"/>
              </w:rPr>
              <w:t>破碎</w:t>
            </w:r>
            <w:r>
              <w:rPr>
                <w:rFonts w:ascii="Times New Roman" w:eastAsia="宋体" w:cs="Times New Roman" w:hint="eastAsia"/>
              </w:rPr>
              <w:t>粗选</w:t>
            </w:r>
            <w:r>
              <w:rPr>
                <w:rFonts w:ascii="Times New Roman" w:eastAsia="宋体" w:cs="Times New Roman"/>
              </w:rPr>
              <w:t>车间</w:t>
            </w:r>
          </w:p>
        </w:tc>
        <w:tc>
          <w:tcPr>
            <w:tcW w:w="5132" w:type="dxa"/>
            <w:tcBorders>
              <w:left w:val="single" w:sz="4" w:space="0" w:color="auto"/>
              <w:right w:val="single" w:sz="4" w:space="0" w:color="auto"/>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全封闭，面积</w:t>
            </w:r>
            <w:r>
              <w:rPr>
                <w:rFonts w:eastAsiaTheme="minorEastAsia" w:hint="eastAsia"/>
                <w:sz w:val="21"/>
                <w:szCs w:val="21"/>
              </w:rPr>
              <w:t>150</w:t>
            </w:r>
            <w:r>
              <w:rPr>
                <w:rFonts w:eastAsiaTheme="minorEastAsia"/>
                <w:sz w:val="21"/>
                <w:szCs w:val="21"/>
              </w:rPr>
              <w:t>0m</w:t>
            </w:r>
            <w:r>
              <w:rPr>
                <w:rFonts w:eastAsiaTheme="minorEastAsia"/>
                <w:sz w:val="21"/>
                <w:szCs w:val="21"/>
                <w:vertAlign w:val="superscript"/>
              </w:rPr>
              <w:t>2</w:t>
            </w:r>
            <w:r>
              <w:rPr>
                <w:rFonts w:eastAsiaTheme="minorEastAsia"/>
                <w:sz w:val="21"/>
                <w:szCs w:val="21"/>
              </w:rPr>
              <w:t>，尺寸</w:t>
            </w:r>
            <w:r>
              <w:rPr>
                <w:rFonts w:eastAsiaTheme="minorEastAsia" w:hint="eastAsia"/>
                <w:sz w:val="21"/>
                <w:szCs w:val="21"/>
              </w:rPr>
              <w:t>6</w:t>
            </w:r>
            <w:r>
              <w:rPr>
                <w:rFonts w:eastAsiaTheme="minorEastAsia"/>
                <w:sz w:val="21"/>
                <w:szCs w:val="21"/>
              </w:rPr>
              <w:t>0m×</w:t>
            </w:r>
            <w:r>
              <w:rPr>
                <w:rFonts w:eastAsiaTheme="minorEastAsia" w:hint="eastAsia"/>
                <w:sz w:val="21"/>
                <w:szCs w:val="21"/>
              </w:rPr>
              <w:t>25</w:t>
            </w:r>
            <w:r>
              <w:rPr>
                <w:rFonts w:eastAsiaTheme="minorEastAsia"/>
                <w:sz w:val="21"/>
                <w:szCs w:val="21"/>
              </w:rPr>
              <w:t>m</w:t>
            </w:r>
            <w:r>
              <w:rPr>
                <w:rFonts w:eastAsiaTheme="minorEastAsia"/>
                <w:sz w:val="21"/>
                <w:szCs w:val="21"/>
              </w:rPr>
              <w:t>，内置</w:t>
            </w:r>
            <w:r>
              <w:rPr>
                <w:rFonts w:eastAsiaTheme="minorEastAsia"/>
                <w:sz w:val="21"/>
                <w:szCs w:val="21"/>
              </w:rPr>
              <w:t>1</w:t>
            </w:r>
            <w:r>
              <w:rPr>
                <w:rFonts w:eastAsiaTheme="minorEastAsia"/>
                <w:sz w:val="21"/>
                <w:szCs w:val="21"/>
              </w:rPr>
              <w:t>台颚破机、</w:t>
            </w:r>
            <w:r>
              <w:rPr>
                <w:rFonts w:eastAsiaTheme="minorEastAsia"/>
                <w:sz w:val="21"/>
                <w:szCs w:val="21"/>
              </w:rPr>
              <w:t>1</w:t>
            </w:r>
            <w:r>
              <w:rPr>
                <w:rFonts w:eastAsiaTheme="minorEastAsia"/>
                <w:sz w:val="21"/>
                <w:szCs w:val="21"/>
              </w:rPr>
              <w:t>台锤式破碎机、</w:t>
            </w:r>
            <w:r>
              <w:rPr>
                <w:rFonts w:eastAsiaTheme="minorEastAsia"/>
                <w:sz w:val="21"/>
                <w:szCs w:val="21"/>
              </w:rPr>
              <w:t>1</w:t>
            </w:r>
            <w:r>
              <w:rPr>
                <w:rFonts w:eastAsiaTheme="minorEastAsia"/>
                <w:sz w:val="21"/>
                <w:szCs w:val="21"/>
              </w:rPr>
              <w:t>台圆锥破碎机、</w:t>
            </w:r>
            <w:r>
              <w:rPr>
                <w:rFonts w:eastAsiaTheme="minorEastAsia" w:hint="eastAsia"/>
                <w:sz w:val="21"/>
                <w:szCs w:val="21"/>
              </w:rPr>
              <w:t>1</w:t>
            </w:r>
            <w:r>
              <w:rPr>
                <w:rFonts w:eastAsiaTheme="minorEastAsia"/>
                <w:sz w:val="21"/>
                <w:szCs w:val="21"/>
              </w:rPr>
              <w:t>台振动筛。</w:t>
            </w:r>
          </w:p>
        </w:tc>
        <w:tc>
          <w:tcPr>
            <w:tcW w:w="1017" w:type="dxa"/>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新建</w:t>
            </w:r>
          </w:p>
        </w:tc>
      </w:tr>
      <w:tr w:rsidR="00DB7CC8">
        <w:trPr>
          <w:trHeight w:val="283"/>
          <w:jc w:val="center"/>
        </w:trPr>
        <w:tc>
          <w:tcPr>
            <w:tcW w:w="678" w:type="dxa"/>
            <w:gridSpan w:val="2"/>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1</w:t>
            </w:r>
            <w:r>
              <w:rPr>
                <w:rFonts w:ascii="Times New Roman" w:eastAsia="宋体" w:cs="Times New Roman"/>
              </w:rPr>
              <w:t>#</w:t>
            </w:r>
            <w:r>
              <w:rPr>
                <w:rFonts w:ascii="Times New Roman" w:eastAsia="宋体" w:cs="Times New Roman" w:hint="eastAsia"/>
              </w:rPr>
              <w:t>精选</w:t>
            </w:r>
            <w:r>
              <w:rPr>
                <w:rFonts w:ascii="Times New Roman" w:eastAsia="宋体" w:cs="Times New Roman"/>
              </w:rPr>
              <w:t>车间</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Theme="minorEastAsia" w:cs="Times New Roman"/>
              </w:rPr>
            </w:pPr>
            <w:r>
              <w:rPr>
                <w:rFonts w:ascii="Times New Roman" w:eastAsiaTheme="minorEastAsia" w:cs="Times New Roman"/>
              </w:rPr>
              <w:t>全封闭，面积</w:t>
            </w:r>
            <w:r>
              <w:rPr>
                <w:rFonts w:ascii="Times New Roman" w:eastAsiaTheme="minorEastAsia" w:cs="Times New Roman" w:hint="eastAsia"/>
              </w:rPr>
              <w:t>200</w:t>
            </w:r>
            <w:r>
              <w:rPr>
                <w:rFonts w:ascii="Times New Roman" w:eastAsiaTheme="minorEastAsia" w:cs="Times New Roman"/>
              </w:rPr>
              <w:t>0m</w:t>
            </w:r>
            <w:r>
              <w:rPr>
                <w:rFonts w:ascii="Times New Roman" w:eastAsiaTheme="minorEastAsia" w:cs="Times New Roman"/>
                <w:vertAlign w:val="superscript"/>
              </w:rPr>
              <w:t>2</w:t>
            </w:r>
            <w:r>
              <w:rPr>
                <w:rFonts w:ascii="Times New Roman" w:eastAsiaTheme="minorEastAsia" w:cs="Times New Roman"/>
              </w:rPr>
              <w:t>，尺寸</w:t>
            </w:r>
            <w:r>
              <w:rPr>
                <w:rFonts w:ascii="Times New Roman" w:eastAsiaTheme="minorEastAsia" w:cs="Times New Roman" w:hint="eastAsia"/>
              </w:rPr>
              <w:t>5</w:t>
            </w:r>
            <w:r>
              <w:rPr>
                <w:rFonts w:ascii="Times New Roman" w:eastAsiaTheme="minorEastAsia" w:cs="Times New Roman"/>
              </w:rPr>
              <w:t>0m×</w:t>
            </w:r>
            <w:r>
              <w:rPr>
                <w:rFonts w:ascii="Times New Roman" w:eastAsiaTheme="minorEastAsia" w:cs="Times New Roman" w:hint="eastAsia"/>
              </w:rPr>
              <w:t>40</w:t>
            </w:r>
            <w:r>
              <w:rPr>
                <w:rFonts w:ascii="Times New Roman" w:eastAsiaTheme="minorEastAsia" w:cs="Times New Roman"/>
              </w:rPr>
              <w:t>m</w:t>
            </w:r>
            <w:r>
              <w:rPr>
                <w:rFonts w:ascii="Times New Roman" w:eastAsiaTheme="minorEastAsia" w:cs="Times New Roman"/>
              </w:rPr>
              <w:t>，内置</w:t>
            </w:r>
            <w:r>
              <w:rPr>
                <w:rFonts w:ascii="Times New Roman" w:eastAsiaTheme="minorEastAsia" w:cs="Times New Roman"/>
              </w:rPr>
              <w:t>1</w:t>
            </w:r>
            <w:r>
              <w:rPr>
                <w:rFonts w:ascii="Times New Roman" w:eastAsiaTheme="minorEastAsia" w:cs="Times New Roman" w:hint="eastAsia"/>
              </w:rPr>
              <w:t>条球磨精选生产线</w:t>
            </w:r>
            <w:r>
              <w:rPr>
                <w:rFonts w:ascii="Times New Roman" w:eastAsiaTheme="minorEastAsia" w:cs="Times New Roman"/>
              </w:rPr>
              <w:t>。</w:t>
            </w:r>
          </w:p>
        </w:tc>
        <w:tc>
          <w:tcPr>
            <w:tcW w:w="1017" w:type="dxa"/>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新建</w:t>
            </w:r>
          </w:p>
        </w:tc>
      </w:tr>
      <w:tr w:rsidR="00DB7CC8">
        <w:trPr>
          <w:trHeight w:val="283"/>
          <w:jc w:val="center"/>
        </w:trPr>
        <w:tc>
          <w:tcPr>
            <w:tcW w:w="678" w:type="dxa"/>
            <w:gridSpan w:val="2"/>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2</w:t>
            </w:r>
            <w:r>
              <w:rPr>
                <w:rFonts w:ascii="Times New Roman" w:eastAsia="宋体" w:cs="Times New Roman"/>
              </w:rPr>
              <w:t>#</w:t>
            </w:r>
            <w:r>
              <w:rPr>
                <w:rFonts w:ascii="Times New Roman" w:eastAsia="宋体" w:cs="Times New Roman" w:hint="eastAsia"/>
              </w:rPr>
              <w:t>精选</w:t>
            </w:r>
            <w:r>
              <w:rPr>
                <w:rFonts w:ascii="Times New Roman" w:eastAsia="宋体" w:cs="Times New Roman"/>
              </w:rPr>
              <w:t>车间</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Theme="minorEastAsia" w:cs="Times New Roman"/>
              </w:rPr>
              <w:t>全封闭，面积</w:t>
            </w:r>
            <w:r>
              <w:rPr>
                <w:rFonts w:ascii="Times New Roman" w:eastAsiaTheme="minorEastAsia" w:cs="Times New Roman" w:hint="eastAsia"/>
              </w:rPr>
              <w:t>200</w:t>
            </w:r>
            <w:r>
              <w:rPr>
                <w:rFonts w:ascii="Times New Roman" w:eastAsiaTheme="minorEastAsia" w:cs="Times New Roman"/>
              </w:rPr>
              <w:t>0m</w:t>
            </w:r>
            <w:r>
              <w:rPr>
                <w:rFonts w:ascii="Times New Roman" w:eastAsiaTheme="minorEastAsia" w:cs="Times New Roman"/>
                <w:vertAlign w:val="superscript"/>
              </w:rPr>
              <w:t>2</w:t>
            </w:r>
            <w:r>
              <w:rPr>
                <w:rFonts w:ascii="Times New Roman" w:eastAsiaTheme="minorEastAsia" w:cs="Times New Roman"/>
              </w:rPr>
              <w:t>，尺寸</w:t>
            </w:r>
            <w:r>
              <w:rPr>
                <w:rFonts w:ascii="Times New Roman" w:eastAsiaTheme="minorEastAsia" w:cs="Times New Roman" w:hint="eastAsia"/>
              </w:rPr>
              <w:t>5</w:t>
            </w:r>
            <w:r>
              <w:rPr>
                <w:rFonts w:ascii="Times New Roman" w:eastAsiaTheme="minorEastAsia" w:cs="Times New Roman"/>
              </w:rPr>
              <w:t>0m×</w:t>
            </w:r>
            <w:r>
              <w:rPr>
                <w:rFonts w:ascii="Times New Roman" w:eastAsiaTheme="minorEastAsia" w:cs="Times New Roman" w:hint="eastAsia"/>
              </w:rPr>
              <w:t>40</w:t>
            </w:r>
            <w:r>
              <w:rPr>
                <w:rFonts w:ascii="Times New Roman" w:eastAsiaTheme="minorEastAsia" w:cs="Times New Roman"/>
              </w:rPr>
              <w:t>m</w:t>
            </w:r>
            <w:r>
              <w:rPr>
                <w:rFonts w:ascii="Times New Roman" w:eastAsiaTheme="minorEastAsia" w:cs="Times New Roman"/>
              </w:rPr>
              <w:t>，内置</w:t>
            </w:r>
            <w:r>
              <w:rPr>
                <w:rFonts w:ascii="Times New Roman" w:eastAsiaTheme="minorEastAsia" w:cs="Times New Roman"/>
              </w:rPr>
              <w:t>1</w:t>
            </w:r>
            <w:r>
              <w:rPr>
                <w:rFonts w:ascii="Times New Roman" w:eastAsiaTheme="minorEastAsia" w:cs="Times New Roman" w:hint="eastAsia"/>
              </w:rPr>
              <w:t>条球磨精选生产线</w:t>
            </w:r>
            <w:r>
              <w:rPr>
                <w:rFonts w:ascii="Times New Roman" w:eastAsiaTheme="minorEastAsia" w:cs="Times New Roman"/>
              </w:rPr>
              <w:t>。</w:t>
            </w:r>
          </w:p>
        </w:tc>
        <w:tc>
          <w:tcPr>
            <w:tcW w:w="1017" w:type="dxa"/>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新建</w:t>
            </w:r>
          </w:p>
        </w:tc>
      </w:tr>
      <w:tr w:rsidR="00DB7CC8">
        <w:trPr>
          <w:trHeight w:val="283"/>
          <w:jc w:val="center"/>
        </w:trPr>
        <w:tc>
          <w:tcPr>
            <w:tcW w:w="678" w:type="dxa"/>
            <w:gridSpan w:val="2"/>
            <w:vMerge w:val="restar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储运</w:t>
            </w:r>
          </w:p>
          <w:p w:rsidR="00DB7CC8" w:rsidRDefault="002B5250">
            <w:pPr>
              <w:pStyle w:val="affffff3"/>
              <w:spacing w:line="240" w:lineRule="auto"/>
              <w:rPr>
                <w:rFonts w:ascii="Times New Roman" w:eastAsia="宋体" w:cs="Times New Roman"/>
              </w:rPr>
            </w:pPr>
            <w:r>
              <w:rPr>
                <w:rFonts w:ascii="Times New Roman" w:eastAsia="宋体" w:cs="Times New Roman"/>
              </w:rPr>
              <w:t>工程</w:t>
            </w: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原料</w:t>
            </w:r>
            <w:r>
              <w:rPr>
                <w:rFonts w:ascii="Times New Roman" w:eastAsia="宋体" w:cs="Times New Roman" w:hint="eastAsia"/>
              </w:rPr>
              <w:t>棚</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原料</w:t>
            </w:r>
            <w:r>
              <w:rPr>
                <w:rFonts w:ascii="Times New Roman" w:eastAsia="宋体" w:cs="Times New Roman" w:hint="eastAsia"/>
              </w:rPr>
              <w:t>不露天堆存，运输车辆直接进入料棚卸料至受料仓，</w:t>
            </w:r>
            <w:r>
              <w:rPr>
                <w:rFonts w:ascii="Times New Roman" w:eastAsiaTheme="minorEastAsia" w:cs="Times New Roman"/>
              </w:rPr>
              <w:t>料棚进深尺度不小于</w:t>
            </w:r>
            <w:r>
              <w:rPr>
                <w:rFonts w:ascii="Times New Roman" w:eastAsiaTheme="minorEastAsia" w:cs="Times New Roman"/>
              </w:rPr>
              <w:t>8</w:t>
            </w:r>
            <w:r>
              <w:rPr>
                <w:rFonts w:ascii="Times New Roman" w:eastAsiaTheme="minorEastAsia" w:cs="Times New Roman"/>
              </w:rPr>
              <w:t>米</w:t>
            </w:r>
          </w:p>
        </w:tc>
        <w:tc>
          <w:tcPr>
            <w:tcW w:w="1017" w:type="dxa"/>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新建</w:t>
            </w:r>
          </w:p>
        </w:tc>
      </w:tr>
      <w:tr w:rsidR="00DB7CC8">
        <w:trPr>
          <w:trHeight w:val="283"/>
          <w:jc w:val="center"/>
        </w:trPr>
        <w:tc>
          <w:tcPr>
            <w:tcW w:w="678" w:type="dxa"/>
            <w:gridSpan w:val="2"/>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成品库</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全封闭彩钢结构，面积</w:t>
            </w:r>
            <w:r>
              <w:rPr>
                <w:rFonts w:ascii="Times New Roman" w:eastAsiaTheme="minorEastAsia" w:cs="Times New Roman" w:hint="eastAsia"/>
              </w:rPr>
              <w:t>100</w:t>
            </w:r>
            <w:r>
              <w:rPr>
                <w:rFonts w:ascii="Times New Roman" w:eastAsiaTheme="minorEastAsia" w:cs="Times New Roman" w:hint="eastAsia"/>
              </w:rPr>
              <w:t>0</w:t>
            </w:r>
            <w:r>
              <w:rPr>
                <w:rFonts w:ascii="Times New Roman" w:eastAsia="宋体" w:cs="Times New Roman"/>
              </w:rPr>
              <w:t>m</w:t>
            </w:r>
            <w:r>
              <w:rPr>
                <w:rFonts w:ascii="Times New Roman" w:eastAsia="宋体" w:cs="Times New Roman"/>
                <w:vertAlign w:val="superscript"/>
              </w:rPr>
              <w:t>2</w:t>
            </w:r>
            <w:r>
              <w:rPr>
                <w:rFonts w:ascii="Times New Roman" w:eastAsia="宋体" w:cs="Times New Roman"/>
              </w:rPr>
              <w:t>，尺寸</w:t>
            </w:r>
            <w:r>
              <w:rPr>
                <w:rFonts w:ascii="Times New Roman" w:eastAsia="宋体" w:cs="Times New Roman" w:hint="eastAsia"/>
              </w:rPr>
              <w:t>40</w:t>
            </w:r>
            <w:r>
              <w:rPr>
                <w:rFonts w:ascii="Times New Roman" w:eastAsia="宋体" w:cs="Times New Roman"/>
              </w:rPr>
              <w:t>m×</w:t>
            </w:r>
            <w:r>
              <w:rPr>
                <w:rFonts w:ascii="Times New Roman" w:eastAsia="宋体" w:cs="Times New Roman" w:hint="eastAsia"/>
              </w:rPr>
              <w:t>2</w:t>
            </w:r>
            <w:r>
              <w:rPr>
                <w:rFonts w:ascii="Times New Roman" w:eastAsia="宋体" w:cs="Times New Roman" w:hint="eastAsia"/>
              </w:rPr>
              <w:t>5</w:t>
            </w:r>
            <w:r>
              <w:rPr>
                <w:rFonts w:ascii="Times New Roman" w:eastAsia="宋体" w:cs="Times New Roman"/>
              </w:rPr>
              <w:t>m</w:t>
            </w:r>
          </w:p>
        </w:tc>
        <w:tc>
          <w:tcPr>
            <w:tcW w:w="1017" w:type="dxa"/>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spacing w:val="-10"/>
              </w:rPr>
            </w:pPr>
            <w:r>
              <w:rPr>
                <w:rFonts w:ascii="Times New Roman" w:eastAsia="宋体" w:cs="Times New Roman"/>
              </w:rPr>
              <w:t>新建</w:t>
            </w:r>
          </w:p>
        </w:tc>
      </w:tr>
      <w:tr w:rsidR="00DB7CC8">
        <w:trPr>
          <w:trHeight w:val="283"/>
          <w:jc w:val="center"/>
        </w:trPr>
        <w:tc>
          <w:tcPr>
            <w:tcW w:w="678" w:type="dxa"/>
            <w:gridSpan w:val="2"/>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尾矿砂库</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全封闭彩钢结构，面积</w:t>
            </w:r>
            <w:r>
              <w:rPr>
                <w:rFonts w:ascii="Times New Roman" w:eastAsiaTheme="minorEastAsia" w:cs="Times New Roman" w:hint="eastAsia"/>
              </w:rPr>
              <w:t>20</w:t>
            </w:r>
            <w:r>
              <w:rPr>
                <w:rFonts w:ascii="Times New Roman" w:eastAsiaTheme="minorEastAsia" w:cs="Times New Roman"/>
              </w:rPr>
              <w:t>00</w:t>
            </w:r>
            <w:r>
              <w:rPr>
                <w:rFonts w:ascii="Times New Roman" w:eastAsia="宋体" w:cs="Times New Roman"/>
              </w:rPr>
              <w:t xml:space="preserve"> m</w:t>
            </w:r>
            <w:r>
              <w:rPr>
                <w:rFonts w:ascii="Times New Roman" w:eastAsia="宋体" w:cs="Times New Roman"/>
                <w:vertAlign w:val="superscript"/>
              </w:rPr>
              <w:t>2</w:t>
            </w:r>
          </w:p>
        </w:tc>
        <w:tc>
          <w:tcPr>
            <w:tcW w:w="1017" w:type="dxa"/>
            <w:gridSpan w:val="2"/>
            <w:vMerge w:val="restart"/>
            <w:tcBorders>
              <w:left w:val="single" w:sz="4" w:space="0" w:color="auto"/>
              <w:right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依托现有</w:t>
            </w:r>
          </w:p>
        </w:tc>
      </w:tr>
      <w:tr w:rsidR="00DB7CC8">
        <w:trPr>
          <w:trHeight w:val="560"/>
          <w:jc w:val="center"/>
        </w:trPr>
        <w:tc>
          <w:tcPr>
            <w:tcW w:w="246" w:type="dxa"/>
            <w:vMerge w:val="restar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依托工程</w:t>
            </w:r>
          </w:p>
        </w:tc>
        <w:tc>
          <w:tcPr>
            <w:tcW w:w="432" w:type="dxa"/>
            <w:vMerge w:val="restar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辅助</w:t>
            </w:r>
          </w:p>
          <w:p w:rsidR="00DB7CC8" w:rsidRDefault="002B5250">
            <w:pPr>
              <w:pStyle w:val="affffff3"/>
              <w:spacing w:line="240" w:lineRule="auto"/>
              <w:rPr>
                <w:rFonts w:ascii="Times New Roman" w:eastAsia="宋体" w:cs="Times New Roman"/>
              </w:rPr>
            </w:pPr>
            <w:r>
              <w:rPr>
                <w:rFonts w:ascii="Times New Roman" w:eastAsia="宋体" w:cs="Times New Roman"/>
              </w:rPr>
              <w:t>工程</w:t>
            </w: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办公区</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依托现有办公区；</w:t>
            </w:r>
            <w:r>
              <w:rPr>
                <w:rFonts w:ascii="Times New Roman" w:eastAsia="宋体" w:cs="Times New Roman"/>
              </w:rPr>
              <w:t>建筑面积约</w:t>
            </w:r>
            <w:r>
              <w:rPr>
                <w:rFonts w:ascii="Times New Roman" w:eastAsia="宋体" w:cs="Times New Roman" w:hint="eastAsia"/>
              </w:rPr>
              <w:t>10</w:t>
            </w:r>
            <w:r>
              <w:rPr>
                <w:rFonts w:ascii="Times New Roman" w:eastAsia="宋体" w:cs="Times New Roman"/>
              </w:rPr>
              <w:t>0m</w:t>
            </w:r>
            <w:r>
              <w:rPr>
                <w:rFonts w:ascii="Times New Roman" w:eastAsia="宋体" w:cs="Times New Roman"/>
                <w:vertAlign w:val="superscript"/>
              </w:rPr>
              <w:t>2</w:t>
            </w:r>
            <w:r>
              <w:rPr>
                <w:rFonts w:ascii="Times New Roman" w:eastAsia="宋体" w:cs="Times New Roman"/>
              </w:rPr>
              <w:t>，</w:t>
            </w:r>
            <w:r>
              <w:rPr>
                <w:rFonts w:ascii="Times New Roman" w:eastAsia="宋体" w:cs="Times New Roman"/>
              </w:rPr>
              <w:t>20m×</w:t>
            </w:r>
            <w:r>
              <w:rPr>
                <w:rFonts w:ascii="Times New Roman" w:eastAsia="宋体" w:cs="Times New Roman" w:hint="eastAsia"/>
              </w:rPr>
              <w:t>5</w:t>
            </w:r>
            <w:r>
              <w:rPr>
                <w:rFonts w:ascii="Times New Roman" w:eastAsia="宋体" w:cs="Times New Roman"/>
              </w:rPr>
              <w:t>m</w:t>
            </w:r>
            <w:r>
              <w:rPr>
                <w:rFonts w:ascii="Times New Roman" w:eastAsia="宋体" w:cs="Times New Roman"/>
              </w:rPr>
              <w:t>，一层</w:t>
            </w:r>
          </w:p>
          <w:p w:rsidR="00DB7CC8" w:rsidRDefault="002B5250">
            <w:pPr>
              <w:pStyle w:val="affffff3"/>
              <w:spacing w:line="240" w:lineRule="auto"/>
              <w:rPr>
                <w:rFonts w:ascii="Times New Roman" w:eastAsia="宋体" w:cs="Times New Roman"/>
              </w:rPr>
            </w:pPr>
            <w:r>
              <w:rPr>
                <w:rFonts w:ascii="Times New Roman" w:eastAsia="宋体" w:cs="Times New Roman"/>
              </w:rPr>
              <w:t>砖混结构</w:t>
            </w:r>
          </w:p>
        </w:tc>
        <w:tc>
          <w:tcPr>
            <w:tcW w:w="1017" w:type="dxa"/>
            <w:gridSpan w:val="2"/>
            <w:vMerge/>
            <w:tcBorders>
              <w:left w:val="single" w:sz="4" w:space="0" w:color="auto"/>
              <w:right w:val="single" w:sz="4" w:space="0" w:color="auto"/>
            </w:tcBorders>
            <w:vAlign w:val="center"/>
          </w:tcPr>
          <w:p w:rsidR="00DB7CC8" w:rsidRDefault="00DB7CC8">
            <w:pPr>
              <w:spacing w:line="240" w:lineRule="auto"/>
              <w:ind w:firstLineChars="0" w:firstLine="0"/>
              <w:jc w:val="center"/>
              <w:rPr>
                <w:sz w:val="21"/>
                <w:szCs w:val="21"/>
              </w:rPr>
            </w:pPr>
          </w:p>
        </w:tc>
      </w:tr>
      <w:tr w:rsidR="00DB7CC8">
        <w:trPr>
          <w:trHeight w:val="328"/>
          <w:jc w:val="center"/>
        </w:trPr>
        <w:tc>
          <w:tcPr>
            <w:tcW w:w="246" w:type="dxa"/>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432" w:type="dxa"/>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eastAsiaTheme="minorEastAsia"/>
              </w:rPr>
              <w:t>尾矿</w:t>
            </w:r>
            <w:r>
              <w:rPr>
                <w:rFonts w:ascii="Times New Roman" w:eastAsia="宋体" w:cs="Times New Roman" w:hint="eastAsia"/>
              </w:rPr>
              <w:t>压滤间</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建筑面积约</w:t>
            </w:r>
            <w:r>
              <w:rPr>
                <w:rFonts w:ascii="Times New Roman" w:eastAsia="宋体" w:cs="Times New Roman" w:hint="eastAsia"/>
              </w:rPr>
              <w:t>60</w:t>
            </w:r>
            <w:r>
              <w:rPr>
                <w:rFonts w:ascii="Times New Roman" w:eastAsia="宋体" w:cs="Times New Roman"/>
              </w:rPr>
              <w:t>0m</w:t>
            </w:r>
            <w:r>
              <w:rPr>
                <w:rFonts w:ascii="Times New Roman" w:eastAsia="宋体" w:cs="Times New Roman"/>
                <w:vertAlign w:val="superscript"/>
              </w:rPr>
              <w:t>2</w:t>
            </w:r>
            <w:r>
              <w:rPr>
                <w:rFonts w:ascii="Times New Roman" w:eastAsia="宋体" w:cs="Times New Roman"/>
              </w:rPr>
              <w:t>，</w:t>
            </w:r>
            <w:r>
              <w:rPr>
                <w:rFonts w:ascii="Times New Roman" w:eastAsia="宋体" w:cs="Times New Roman" w:hint="eastAsia"/>
              </w:rPr>
              <w:t>3</w:t>
            </w:r>
            <w:r>
              <w:rPr>
                <w:rFonts w:ascii="Times New Roman" w:eastAsia="宋体" w:cs="Times New Roman"/>
              </w:rPr>
              <w:t>0m×</w:t>
            </w:r>
            <w:r>
              <w:rPr>
                <w:rFonts w:ascii="Times New Roman" w:eastAsia="宋体" w:cs="Times New Roman" w:hint="eastAsia"/>
              </w:rPr>
              <w:t>20</w:t>
            </w:r>
            <w:r>
              <w:rPr>
                <w:rFonts w:ascii="Times New Roman" w:eastAsia="宋体" w:cs="Times New Roman"/>
              </w:rPr>
              <w:t>m</w:t>
            </w:r>
            <w:r>
              <w:rPr>
                <w:rFonts w:ascii="Times New Roman" w:eastAsia="宋体" w:cs="Times New Roman"/>
              </w:rPr>
              <w:t>，一层砖混结构</w:t>
            </w:r>
          </w:p>
        </w:tc>
        <w:tc>
          <w:tcPr>
            <w:tcW w:w="1017" w:type="dxa"/>
            <w:gridSpan w:val="2"/>
            <w:vMerge/>
            <w:tcBorders>
              <w:left w:val="single" w:sz="4" w:space="0" w:color="auto"/>
              <w:right w:val="single" w:sz="4" w:space="0" w:color="auto"/>
            </w:tcBorders>
            <w:vAlign w:val="center"/>
          </w:tcPr>
          <w:p w:rsidR="00DB7CC8" w:rsidRDefault="00DB7CC8">
            <w:pPr>
              <w:spacing w:line="240" w:lineRule="auto"/>
              <w:ind w:firstLineChars="0" w:firstLine="0"/>
              <w:jc w:val="center"/>
              <w:rPr>
                <w:sz w:val="21"/>
                <w:szCs w:val="21"/>
              </w:rPr>
            </w:pPr>
          </w:p>
        </w:tc>
      </w:tr>
      <w:tr w:rsidR="00DB7CC8">
        <w:trPr>
          <w:trHeight w:val="283"/>
          <w:jc w:val="center"/>
        </w:trPr>
        <w:tc>
          <w:tcPr>
            <w:tcW w:w="246" w:type="dxa"/>
            <w:vMerge/>
            <w:tcBorders>
              <w:left w:val="single" w:sz="4" w:space="0" w:color="auto"/>
              <w:right w:val="single" w:sz="4" w:space="0" w:color="auto"/>
            </w:tcBorders>
            <w:vAlign w:val="center"/>
          </w:tcPr>
          <w:p w:rsidR="00DB7CC8" w:rsidRDefault="00DB7CC8">
            <w:pPr>
              <w:spacing w:line="240" w:lineRule="auto"/>
              <w:ind w:firstLineChars="0" w:firstLine="0"/>
              <w:jc w:val="center"/>
              <w:rPr>
                <w:kern w:val="2"/>
                <w:sz w:val="21"/>
                <w:szCs w:val="21"/>
              </w:rPr>
            </w:pPr>
          </w:p>
        </w:tc>
        <w:tc>
          <w:tcPr>
            <w:tcW w:w="432" w:type="dxa"/>
            <w:vMerge w:val="restart"/>
            <w:tcBorders>
              <w:left w:val="single" w:sz="4" w:space="0" w:color="auto"/>
              <w:right w:val="single" w:sz="4" w:space="0" w:color="auto"/>
            </w:tcBorders>
            <w:vAlign w:val="center"/>
          </w:tcPr>
          <w:p w:rsidR="00DB7CC8" w:rsidRDefault="002B5250">
            <w:pPr>
              <w:spacing w:line="240" w:lineRule="auto"/>
              <w:ind w:firstLineChars="0" w:firstLine="0"/>
              <w:jc w:val="center"/>
              <w:rPr>
                <w:kern w:val="2"/>
                <w:sz w:val="21"/>
                <w:szCs w:val="21"/>
              </w:rPr>
            </w:pPr>
            <w:r>
              <w:rPr>
                <w:kern w:val="2"/>
                <w:sz w:val="21"/>
                <w:szCs w:val="21"/>
              </w:rPr>
              <w:t>公用</w:t>
            </w:r>
          </w:p>
          <w:p w:rsidR="00DB7CC8" w:rsidRDefault="002B5250">
            <w:pPr>
              <w:spacing w:line="240" w:lineRule="auto"/>
              <w:ind w:firstLineChars="0" w:firstLine="0"/>
              <w:jc w:val="center"/>
              <w:rPr>
                <w:kern w:val="2"/>
                <w:sz w:val="21"/>
                <w:szCs w:val="21"/>
              </w:rPr>
            </w:pPr>
            <w:r>
              <w:rPr>
                <w:kern w:val="2"/>
                <w:sz w:val="21"/>
                <w:szCs w:val="21"/>
              </w:rPr>
              <w:t>工程</w:t>
            </w: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供水工程</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由厂区内现有的自备井供给</w:t>
            </w:r>
          </w:p>
        </w:tc>
        <w:tc>
          <w:tcPr>
            <w:tcW w:w="1017" w:type="dxa"/>
            <w:gridSpan w:val="2"/>
            <w:vMerge/>
            <w:tcBorders>
              <w:left w:val="single" w:sz="4" w:space="0" w:color="auto"/>
              <w:right w:val="single" w:sz="4" w:space="0" w:color="auto"/>
            </w:tcBorders>
            <w:vAlign w:val="center"/>
          </w:tcPr>
          <w:p w:rsidR="00DB7CC8" w:rsidRDefault="00DB7CC8">
            <w:pPr>
              <w:spacing w:line="240" w:lineRule="auto"/>
              <w:ind w:firstLineChars="0" w:firstLine="0"/>
              <w:jc w:val="center"/>
              <w:rPr>
                <w:sz w:val="21"/>
                <w:szCs w:val="21"/>
              </w:rPr>
            </w:pPr>
          </w:p>
        </w:tc>
      </w:tr>
      <w:tr w:rsidR="00DB7CC8">
        <w:trPr>
          <w:trHeight w:val="283"/>
          <w:jc w:val="center"/>
        </w:trPr>
        <w:tc>
          <w:tcPr>
            <w:tcW w:w="246" w:type="dxa"/>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432" w:type="dxa"/>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供电工程</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电源引自</w:t>
            </w:r>
            <w:r>
              <w:rPr>
                <w:rFonts w:ascii="Times New Roman" w:eastAsia="宋体" w:cs="Times New Roman"/>
                <w:lang w:val="en-GB"/>
              </w:rPr>
              <w:t>当地</w:t>
            </w:r>
            <w:r>
              <w:rPr>
                <w:rFonts w:ascii="Times New Roman" w:eastAsia="宋体" w:cs="Times New Roman"/>
              </w:rPr>
              <w:t>35kV</w:t>
            </w:r>
            <w:r>
              <w:rPr>
                <w:rFonts w:ascii="Times New Roman" w:eastAsia="宋体" w:cs="Times New Roman"/>
              </w:rPr>
              <w:t>变电站，厂区内设配电室</w:t>
            </w:r>
            <w:r>
              <w:rPr>
                <w:rFonts w:ascii="Times New Roman" w:eastAsia="宋体" w:cs="Times New Roman"/>
              </w:rPr>
              <w:t>1</w:t>
            </w:r>
            <w:r>
              <w:rPr>
                <w:rFonts w:ascii="Times New Roman" w:eastAsia="宋体" w:cs="Times New Roman"/>
              </w:rPr>
              <w:t>座</w:t>
            </w:r>
          </w:p>
        </w:tc>
        <w:tc>
          <w:tcPr>
            <w:tcW w:w="1017" w:type="dxa"/>
            <w:gridSpan w:val="2"/>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r>
      <w:tr w:rsidR="00DB7CC8">
        <w:trPr>
          <w:trHeight w:val="283"/>
          <w:jc w:val="center"/>
        </w:trPr>
        <w:tc>
          <w:tcPr>
            <w:tcW w:w="246" w:type="dxa"/>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432" w:type="dxa"/>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供热设施</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生产系统无供热设施，办公区采用空调或电暖气采暖</w:t>
            </w:r>
          </w:p>
        </w:tc>
        <w:tc>
          <w:tcPr>
            <w:tcW w:w="1017" w:type="dxa"/>
            <w:gridSpan w:val="2"/>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r>
      <w:tr w:rsidR="00DB7CC8">
        <w:trPr>
          <w:trHeight w:val="283"/>
          <w:jc w:val="center"/>
        </w:trPr>
        <w:tc>
          <w:tcPr>
            <w:tcW w:w="678" w:type="dxa"/>
            <w:gridSpan w:val="2"/>
            <w:vMerge w:val="restar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环保</w:t>
            </w:r>
          </w:p>
          <w:p w:rsidR="00DB7CC8" w:rsidRDefault="002B5250">
            <w:pPr>
              <w:pStyle w:val="affffff3"/>
              <w:spacing w:line="240" w:lineRule="auto"/>
              <w:rPr>
                <w:rFonts w:ascii="Times New Roman" w:eastAsia="宋体" w:cs="Times New Roman"/>
              </w:rPr>
            </w:pPr>
            <w:r>
              <w:rPr>
                <w:rFonts w:ascii="Times New Roman" w:eastAsia="宋体" w:cs="Times New Roman"/>
              </w:rPr>
              <w:t>工程</w:t>
            </w: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3</w:t>
            </w:r>
            <w:r>
              <w:rPr>
                <w:rFonts w:ascii="Times New Roman" w:eastAsia="宋体" w:cs="Times New Roman" w:hint="eastAsia"/>
              </w:rPr>
              <w:t>#</w:t>
            </w:r>
            <w:r>
              <w:rPr>
                <w:rFonts w:ascii="Times New Roman" w:eastAsia="宋体" w:cs="Times New Roman"/>
              </w:rPr>
              <w:t>破碎车间</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封闭车间，各产尘点由集气罩收集进入布袋除尘器处理，</w:t>
            </w:r>
            <w:r>
              <w:rPr>
                <w:rFonts w:ascii="Times New Roman" w:eastAsia="宋体" w:cs="Times New Roman" w:hint="eastAsia"/>
              </w:rPr>
              <w:t>经</w:t>
            </w:r>
            <w:r>
              <w:rPr>
                <w:rFonts w:ascii="Times New Roman" w:eastAsia="宋体" w:cs="Times New Roman" w:hint="eastAsia"/>
              </w:rPr>
              <w:t>1</w:t>
            </w:r>
            <w:r>
              <w:rPr>
                <w:rFonts w:ascii="Times New Roman" w:eastAsia="宋体" w:cs="Times New Roman" w:hint="eastAsia"/>
              </w:rPr>
              <w:t>根</w:t>
            </w:r>
            <w:r>
              <w:rPr>
                <w:rFonts w:ascii="Times New Roman" w:eastAsia="宋体" w:cs="Times New Roman"/>
              </w:rPr>
              <w:t>1</w:t>
            </w:r>
            <w:r>
              <w:rPr>
                <w:rFonts w:ascii="Times New Roman" w:eastAsia="宋体" w:cs="Times New Roman" w:hint="eastAsia"/>
              </w:rPr>
              <w:t>8</w:t>
            </w:r>
            <w:r>
              <w:rPr>
                <w:rFonts w:ascii="Times New Roman" w:eastAsia="宋体" w:cs="Times New Roman"/>
              </w:rPr>
              <w:t>m</w:t>
            </w:r>
            <w:r>
              <w:rPr>
                <w:rFonts w:ascii="Times New Roman" w:eastAsia="宋体" w:cs="Times New Roman"/>
              </w:rPr>
              <w:t>高排气筒</w:t>
            </w:r>
            <w:r>
              <w:rPr>
                <w:rFonts w:ascii="Times New Roman" w:eastAsia="宋体" w:cs="Times New Roman" w:hint="eastAsia"/>
              </w:rPr>
              <w:t>P</w:t>
            </w:r>
            <w:r>
              <w:rPr>
                <w:rFonts w:ascii="Times New Roman" w:eastAsia="宋体" w:cs="Times New Roman" w:hint="eastAsia"/>
              </w:rPr>
              <w:t>3</w:t>
            </w:r>
            <w:r>
              <w:rPr>
                <w:rFonts w:ascii="Times New Roman" w:eastAsia="宋体" w:cs="Times New Roman"/>
              </w:rPr>
              <w:t>排放。</w:t>
            </w:r>
          </w:p>
        </w:tc>
        <w:tc>
          <w:tcPr>
            <w:tcW w:w="1017" w:type="dxa"/>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新建</w:t>
            </w:r>
          </w:p>
        </w:tc>
      </w:tr>
      <w:tr w:rsidR="00DB7CC8">
        <w:trPr>
          <w:trHeight w:val="283"/>
          <w:jc w:val="center"/>
        </w:trPr>
        <w:tc>
          <w:tcPr>
            <w:tcW w:w="678" w:type="dxa"/>
            <w:gridSpan w:val="2"/>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原料</w:t>
            </w:r>
            <w:r>
              <w:rPr>
                <w:rFonts w:ascii="Times New Roman" w:eastAsia="宋体" w:cs="Times New Roman" w:hint="eastAsia"/>
              </w:rPr>
              <w:t>棚</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一级破碎受料仓</w:t>
            </w:r>
            <w:r>
              <w:rPr>
                <w:rFonts w:ascii="Times New Roman" w:eastAsia="宋体" w:cs="Times New Roman" w:hint="eastAsia"/>
              </w:rPr>
              <w:t>建设</w:t>
            </w:r>
            <w:r>
              <w:rPr>
                <w:rFonts w:ascii="Times New Roman" w:eastAsia="宋体" w:cs="Times New Roman"/>
              </w:rPr>
              <w:t>三面围挡并带顶的</w:t>
            </w:r>
            <w:r>
              <w:rPr>
                <w:rFonts w:ascii="Times New Roman" w:eastAsia="宋体" w:cs="Times New Roman" w:hint="eastAsia"/>
              </w:rPr>
              <w:t>原</w:t>
            </w:r>
            <w:r>
              <w:rPr>
                <w:rFonts w:ascii="Times New Roman" w:eastAsia="宋体" w:cs="Times New Roman"/>
              </w:rPr>
              <w:t>料棚，料棚进深尺度不小于</w:t>
            </w:r>
            <w:r>
              <w:rPr>
                <w:rFonts w:ascii="Times New Roman" w:eastAsia="宋体" w:cs="Times New Roman"/>
              </w:rPr>
              <w:t>8</w:t>
            </w:r>
            <w:r>
              <w:rPr>
                <w:rFonts w:ascii="Times New Roman" w:eastAsia="宋体" w:cs="Times New Roman"/>
              </w:rPr>
              <w:t>米，受料仓设置喷淋抑尘装置。</w:t>
            </w:r>
          </w:p>
        </w:tc>
        <w:tc>
          <w:tcPr>
            <w:tcW w:w="1017" w:type="dxa"/>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新建</w:t>
            </w:r>
          </w:p>
        </w:tc>
      </w:tr>
      <w:tr w:rsidR="00DB7CC8">
        <w:trPr>
          <w:trHeight w:val="283"/>
          <w:jc w:val="center"/>
        </w:trPr>
        <w:tc>
          <w:tcPr>
            <w:tcW w:w="678" w:type="dxa"/>
            <w:gridSpan w:val="2"/>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成品库</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成品库设置全封闭结构，并进行地面硬化，设置喷雾抑尘装置。</w:t>
            </w:r>
          </w:p>
        </w:tc>
        <w:tc>
          <w:tcPr>
            <w:tcW w:w="1017" w:type="dxa"/>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新建</w:t>
            </w:r>
          </w:p>
        </w:tc>
      </w:tr>
      <w:tr w:rsidR="00DB7CC8">
        <w:trPr>
          <w:trHeight w:val="283"/>
          <w:jc w:val="center"/>
        </w:trPr>
        <w:tc>
          <w:tcPr>
            <w:tcW w:w="678" w:type="dxa"/>
            <w:gridSpan w:val="2"/>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生产废水</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依托厂区现有</w:t>
            </w:r>
            <w:r>
              <w:rPr>
                <w:rFonts w:ascii="Times New Roman" w:eastAsia="宋体" w:cs="Times New Roman"/>
              </w:rPr>
              <w:t>清水池</w:t>
            </w:r>
            <w:r>
              <w:rPr>
                <w:rFonts w:ascii="Times New Roman" w:eastAsia="宋体" w:cs="Times New Roman" w:hint="eastAsia"/>
              </w:rPr>
              <w:t>、</w:t>
            </w:r>
            <w:r>
              <w:rPr>
                <w:rFonts w:ascii="Times New Roman" w:eastAsia="宋体" w:cs="Times New Roman"/>
              </w:rPr>
              <w:t>浓密池。尾矿浆经</w:t>
            </w:r>
            <w:r>
              <w:rPr>
                <w:rFonts w:ascii="Times New Roman" w:eastAsia="宋体" w:cs="Times New Roman" w:hint="eastAsia"/>
              </w:rPr>
              <w:t>选砂</w:t>
            </w:r>
            <w:r>
              <w:rPr>
                <w:rFonts w:ascii="Times New Roman" w:eastAsia="宋体" w:cs="Times New Roman"/>
              </w:rPr>
              <w:t>处理后，进入</w:t>
            </w:r>
            <w:r>
              <w:rPr>
                <w:rFonts w:ascii="Times New Roman" w:eastAsia="宋体" w:cs="Times New Roman" w:hint="eastAsia"/>
              </w:rPr>
              <w:t>浓密池</w:t>
            </w:r>
            <w:r>
              <w:rPr>
                <w:rFonts w:ascii="Times New Roman" w:eastAsia="宋体" w:cs="Times New Roman"/>
              </w:rPr>
              <w:t>浓缩，浓</w:t>
            </w:r>
            <w:r>
              <w:rPr>
                <w:rFonts w:ascii="Times New Roman" w:eastAsia="宋体" w:cs="Times New Roman" w:hint="eastAsia"/>
              </w:rPr>
              <w:t>密</w:t>
            </w:r>
            <w:r>
              <w:rPr>
                <w:rFonts w:ascii="Times New Roman" w:eastAsia="宋体" w:cs="Times New Roman"/>
              </w:rPr>
              <w:t>池上清液</w:t>
            </w:r>
            <w:r>
              <w:rPr>
                <w:rFonts w:ascii="Times New Roman" w:eastAsia="宋体" w:cs="Times New Roman" w:hint="eastAsia"/>
              </w:rPr>
              <w:t>进入清水池，</w:t>
            </w:r>
            <w:r>
              <w:rPr>
                <w:rFonts w:ascii="Times New Roman" w:eastAsia="宋体" w:cs="Times New Roman"/>
              </w:rPr>
              <w:t>回用于生产工序；洗车废水沉淀池容积约为</w:t>
            </w:r>
            <w:r>
              <w:rPr>
                <w:rFonts w:ascii="Times New Roman" w:eastAsia="宋体" w:cs="Times New Roman"/>
              </w:rPr>
              <w:t>6m</w:t>
            </w:r>
            <w:r>
              <w:rPr>
                <w:rFonts w:ascii="Times New Roman" w:eastAsia="宋体" w:cs="Times New Roman"/>
                <w:vertAlign w:val="superscript"/>
              </w:rPr>
              <w:t>3</w:t>
            </w:r>
            <w:r>
              <w:rPr>
                <w:rFonts w:ascii="Times New Roman" w:eastAsia="宋体" w:cs="Times New Roman"/>
              </w:rPr>
              <w:t>。</w:t>
            </w:r>
          </w:p>
        </w:tc>
        <w:tc>
          <w:tcPr>
            <w:tcW w:w="1017" w:type="dxa"/>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依托现有</w:t>
            </w:r>
          </w:p>
        </w:tc>
      </w:tr>
      <w:tr w:rsidR="00DB7CC8">
        <w:trPr>
          <w:trHeight w:val="283"/>
          <w:jc w:val="center"/>
        </w:trPr>
        <w:tc>
          <w:tcPr>
            <w:tcW w:w="678" w:type="dxa"/>
            <w:gridSpan w:val="2"/>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噪声</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基础减振、隔声等措施</w:t>
            </w:r>
          </w:p>
        </w:tc>
        <w:tc>
          <w:tcPr>
            <w:tcW w:w="1017" w:type="dxa"/>
            <w:gridSpan w:val="2"/>
            <w:tcBorders>
              <w:left w:val="single" w:sz="4" w:space="0" w:color="auto"/>
              <w:right w:val="single" w:sz="4" w:space="0" w:color="auto"/>
            </w:tcBorders>
          </w:tcPr>
          <w:p w:rsidR="00DB7CC8" w:rsidRDefault="002B5250">
            <w:pPr>
              <w:pStyle w:val="affffff3"/>
              <w:spacing w:line="240" w:lineRule="auto"/>
              <w:rPr>
                <w:rFonts w:ascii="Times New Roman" w:eastAsia="宋体" w:cs="Times New Roman"/>
              </w:rPr>
            </w:pPr>
            <w:r>
              <w:rPr>
                <w:rFonts w:ascii="Times New Roman" w:eastAsia="宋体" w:cs="Times New Roman"/>
              </w:rPr>
              <w:t>—</w:t>
            </w:r>
          </w:p>
        </w:tc>
      </w:tr>
      <w:tr w:rsidR="00DB7CC8">
        <w:trPr>
          <w:trHeight w:val="283"/>
          <w:jc w:val="center"/>
        </w:trPr>
        <w:tc>
          <w:tcPr>
            <w:tcW w:w="678" w:type="dxa"/>
            <w:gridSpan w:val="2"/>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固体废物</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尾矿砂粗砂在尾砂库暂时堆存，作为建筑生产原料综合利用</w:t>
            </w:r>
            <w:r>
              <w:rPr>
                <w:rFonts w:ascii="Times New Roman" w:eastAsia="宋体" w:cs="Times New Roman" w:hint="eastAsia"/>
              </w:rPr>
              <w:t>，</w:t>
            </w:r>
            <w:r>
              <w:rPr>
                <w:rFonts w:ascii="Times New Roman" w:eastAsia="宋体" w:cs="Times New Roman"/>
              </w:rPr>
              <w:t>尾矿砂细砂</w:t>
            </w:r>
            <w:r>
              <w:rPr>
                <w:rFonts w:ascii="Times New Roman" w:eastAsia="宋体" w:cs="Times New Roman" w:hint="eastAsia"/>
              </w:rPr>
              <w:t>外运</w:t>
            </w:r>
            <w:r>
              <w:rPr>
                <w:rFonts w:ascii="Times New Roman" w:eastAsia="宋体" w:cs="Times New Roman"/>
              </w:rPr>
              <w:t>填坑造地</w:t>
            </w:r>
            <w:r>
              <w:rPr>
                <w:rFonts w:ascii="Times New Roman" w:eastAsia="宋体" w:cs="Times New Roman" w:hint="eastAsia"/>
              </w:rPr>
              <w:t>；废钢球厂家回收利用</w:t>
            </w:r>
            <w:r>
              <w:rPr>
                <w:rFonts w:ascii="Times New Roman" w:eastAsia="宋体" w:cs="Times New Roman"/>
              </w:rPr>
              <w:t>。</w:t>
            </w:r>
          </w:p>
        </w:tc>
        <w:tc>
          <w:tcPr>
            <w:tcW w:w="1017" w:type="dxa"/>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w:t>
            </w:r>
          </w:p>
        </w:tc>
      </w:tr>
      <w:tr w:rsidR="00DB7CC8">
        <w:trPr>
          <w:trHeight w:val="283"/>
          <w:jc w:val="center"/>
        </w:trPr>
        <w:tc>
          <w:tcPr>
            <w:tcW w:w="678" w:type="dxa"/>
            <w:gridSpan w:val="2"/>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危险废物</w:t>
            </w:r>
          </w:p>
        </w:tc>
        <w:tc>
          <w:tcPr>
            <w:tcW w:w="5132"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暂存于厂区现有</w:t>
            </w:r>
            <w:r>
              <w:rPr>
                <w:rFonts w:ascii="Times New Roman" w:eastAsia="宋体" w:cs="Times New Roman" w:hint="eastAsia"/>
              </w:rPr>
              <w:t>危险废物暂存间</w:t>
            </w:r>
            <w:r>
              <w:rPr>
                <w:rFonts w:ascii="Times New Roman" w:eastAsia="宋体" w:cs="Times New Roman"/>
              </w:rPr>
              <w:t>，</w:t>
            </w:r>
            <w:r>
              <w:rPr>
                <w:rFonts w:ascii="Times New Roman" w:eastAsia="宋体" w:cs="Times New Roman" w:hint="eastAsia"/>
              </w:rPr>
              <w:t>定期</w:t>
            </w:r>
            <w:r>
              <w:rPr>
                <w:rFonts w:ascii="Times New Roman" w:eastAsia="宋体" w:cs="Times New Roman" w:hint="eastAsia"/>
              </w:rPr>
              <w:t>委托有资质单位处置</w:t>
            </w:r>
            <w:r>
              <w:rPr>
                <w:rFonts w:ascii="Times New Roman" w:eastAsia="宋体" w:cs="Times New Roman"/>
              </w:rPr>
              <w:t>。</w:t>
            </w:r>
          </w:p>
        </w:tc>
        <w:tc>
          <w:tcPr>
            <w:tcW w:w="1017" w:type="dxa"/>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依托现有</w:t>
            </w:r>
          </w:p>
        </w:tc>
      </w:tr>
      <w:tr w:rsidR="00DB7CC8">
        <w:trPr>
          <w:trHeight w:val="283"/>
          <w:jc w:val="center"/>
        </w:trPr>
        <w:tc>
          <w:tcPr>
            <w:tcW w:w="678" w:type="dxa"/>
            <w:gridSpan w:val="2"/>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698"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事故池</w:t>
            </w:r>
          </w:p>
        </w:tc>
        <w:tc>
          <w:tcPr>
            <w:tcW w:w="5142" w:type="dxa"/>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破碎粗选</w:t>
            </w:r>
            <w:r>
              <w:rPr>
                <w:rFonts w:ascii="Times New Roman" w:eastAsia="宋体" w:cs="Times New Roman"/>
              </w:rPr>
              <w:t>车间</w:t>
            </w:r>
            <w:r>
              <w:rPr>
                <w:rFonts w:ascii="Times New Roman" w:eastAsia="宋体" w:cs="Times New Roman" w:hint="eastAsia"/>
              </w:rPr>
              <w:t>、</w:t>
            </w:r>
            <w:r>
              <w:rPr>
                <w:rFonts w:ascii="Times New Roman" w:eastAsia="宋体" w:cs="Times New Roman" w:hint="eastAsia"/>
              </w:rPr>
              <w:t>精选车间各</w:t>
            </w:r>
            <w:r>
              <w:rPr>
                <w:rFonts w:ascii="Times New Roman" w:eastAsia="宋体" w:cs="Times New Roman"/>
              </w:rPr>
              <w:t>设一个事故水池，容积</w:t>
            </w:r>
            <w:r>
              <w:rPr>
                <w:rFonts w:ascii="Times New Roman" w:eastAsia="宋体" w:cs="Times New Roman" w:hint="eastAsia"/>
              </w:rPr>
              <w:t>均</w:t>
            </w:r>
            <w:r>
              <w:rPr>
                <w:rFonts w:ascii="Times New Roman" w:eastAsia="宋体" w:cs="Times New Roman"/>
              </w:rPr>
              <w:t>为</w:t>
            </w:r>
            <w:r>
              <w:rPr>
                <w:rFonts w:ascii="Times New Roman" w:eastAsia="宋体" w:cs="Times New Roman" w:hint="eastAsia"/>
              </w:rPr>
              <w:t>25</w:t>
            </w:r>
            <w:r>
              <w:rPr>
                <w:rFonts w:ascii="Times New Roman" w:eastAsia="宋体" w:cs="Times New Roman"/>
              </w:rPr>
              <w:t>m</w:t>
            </w:r>
            <w:r>
              <w:rPr>
                <w:rFonts w:ascii="Times New Roman" w:eastAsia="宋体" w:cs="Times New Roman"/>
                <w:vertAlign w:val="superscript"/>
              </w:rPr>
              <w:t>3</w:t>
            </w:r>
            <w:r>
              <w:rPr>
                <w:rFonts w:ascii="Times New Roman" w:eastAsia="宋体" w:cs="Times New Roman"/>
              </w:rPr>
              <w:t>，用收集事故状态下的废水及浆液。</w:t>
            </w:r>
          </w:p>
        </w:tc>
        <w:tc>
          <w:tcPr>
            <w:tcW w:w="1007" w:type="dxa"/>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新建</w:t>
            </w:r>
          </w:p>
        </w:tc>
      </w:tr>
      <w:tr w:rsidR="00DB7CC8">
        <w:trPr>
          <w:trHeight w:val="283"/>
          <w:jc w:val="center"/>
        </w:trPr>
        <w:tc>
          <w:tcPr>
            <w:tcW w:w="678" w:type="dxa"/>
            <w:gridSpan w:val="2"/>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6830" w:type="dxa"/>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heme="minorEastAsia" w:eastAsiaTheme="minorEastAsia" w:hAnsiTheme="minorEastAsia" w:hint="eastAsia"/>
                <w:bCs/>
                <w:szCs w:val="24"/>
              </w:rPr>
              <w:t>成品库</w:t>
            </w:r>
            <w:r>
              <w:rPr>
                <w:rFonts w:ascii="Times New Roman" w:eastAsia="宋体" w:cs="Times New Roman"/>
              </w:rPr>
              <w:t>设</w:t>
            </w:r>
            <w:r>
              <w:rPr>
                <w:rFonts w:ascii="Times New Roman" w:eastAsia="宋体" w:cs="Times New Roman" w:hint="eastAsia"/>
              </w:rPr>
              <w:t>车辆</w:t>
            </w:r>
            <w:r>
              <w:rPr>
                <w:rFonts w:ascii="Times New Roman" w:eastAsia="宋体" w:cs="Times New Roman" w:hint="eastAsia"/>
              </w:rPr>
              <w:t>轮胎</w:t>
            </w:r>
            <w:r>
              <w:rPr>
                <w:rFonts w:ascii="Times New Roman" w:eastAsia="宋体" w:cs="Times New Roman"/>
              </w:rPr>
              <w:t>清洗装置</w:t>
            </w:r>
            <w:r>
              <w:rPr>
                <w:rFonts w:ascii="Times New Roman" w:eastAsia="宋体" w:cs="Times New Roman" w:hint="eastAsia"/>
              </w:rPr>
              <w:t>1</w:t>
            </w:r>
            <w:r>
              <w:rPr>
                <w:rFonts w:ascii="Times New Roman" w:eastAsia="宋体" w:cs="Times New Roman" w:hint="eastAsia"/>
              </w:rPr>
              <w:t>套</w:t>
            </w:r>
          </w:p>
        </w:tc>
        <w:tc>
          <w:tcPr>
            <w:tcW w:w="1017" w:type="dxa"/>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新建</w:t>
            </w:r>
          </w:p>
        </w:tc>
      </w:tr>
    </w:tbl>
    <w:p w:rsidR="00DB7CC8" w:rsidRDefault="002B5250">
      <w:pPr>
        <w:widowControl/>
        <w:spacing w:beforeLines="50" w:before="120" w:line="240" w:lineRule="auto"/>
        <w:ind w:firstLineChars="0" w:firstLine="0"/>
        <w:jc w:val="center"/>
        <w:textAlignment w:val="auto"/>
        <w:rPr>
          <w:rFonts w:eastAsia="黑体"/>
          <w:sz w:val="21"/>
          <w:szCs w:val="21"/>
        </w:rPr>
      </w:pPr>
      <w:r>
        <w:rPr>
          <w:rFonts w:eastAsia="黑体"/>
          <w:sz w:val="21"/>
          <w:szCs w:val="21"/>
        </w:rPr>
        <w:t>表</w:t>
      </w:r>
      <w:r>
        <w:rPr>
          <w:rFonts w:eastAsia="黑体"/>
          <w:sz w:val="21"/>
          <w:szCs w:val="21"/>
        </w:rPr>
        <w:t>3.</w:t>
      </w:r>
      <w:r>
        <w:rPr>
          <w:rFonts w:eastAsia="黑体" w:hint="eastAsia"/>
          <w:sz w:val="21"/>
          <w:szCs w:val="21"/>
        </w:rPr>
        <w:t>2</w:t>
      </w:r>
      <w:r>
        <w:rPr>
          <w:rFonts w:eastAsia="黑体"/>
          <w:sz w:val="21"/>
          <w:szCs w:val="21"/>
        </w:rPr>
        <w:t>-3</w:t>
      </w:r>
      <w:r>
        <w:rPr>
          <w:rFonts w:eastAsia="黑体" w:hint="eastAsia"/>
          <w:sz w:val="21"/>
          <w:szCs w:val="21"/>
        </w:rPr>
        <w:t xml:space="preserve">  </w:t>
      </w:r>
      <w:r>
        <w:rPr>
          <w:rFonts w:eastAsia="黑体" w:hint="eastAsia"/>
          <w:sz w:val="21"/>
          <w:szCs w:val="21"/>
        </w:rPr>
        <w:t>改扩建工程</w:t>
      </w:r>
      <w:r>
        <w:rPr>
          <w:rFonts w:eastAsia="黑体"/>
          <w:sz w:val="21"/>
          <w:szCs w:val="21"/>
        </w:rPr>
        <w:t>主要建（构）筑物一览表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709"/>
        <w:gridCol w:w="1422"/>
        <w:gridCol w:w="1152"/>
        <w:gridCol w:w="1537"/>
        <w:gridCol w:w="2885"/>
      </w:tblGrid>
      <w:tr w:rsidR="00DB7CC8">
        <w:trPr>
          <w:trHeight w:val="283"/>
        </w:trPr>
        <w:tc>
          <w:tcPr>
            <w:tcW w:w="81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建设内容</w:t>
            </w: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序号</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名称</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建筑面积</w:t>
            </w:r>
            <w:r>
              <w:rPr>
                <w:rFonts w:eastAsiaTheme="minorEastAsia"/>
                <w:sz w:val="21"/>
                <w:szCs w:val="21"/>
              </w:rPr>
              <w:t>m</w:t>
            </w:r>
            <w:r>
              <w:rPr>
                <w:rFonts w:eastAsiaTheme="minorEastAsia"/>
                <w:sz w:val="21"/>
                <w:szCs w:val="21"/>
                <w:vertAlign w:val="superscript"/>
              </w:rPr>
              <w:t>2</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规格（长</w:t>
            </w:r>
            <w:r>
              <w:rPr>
                <w:rFonts w:eastAsiaTheme="minorEastAsia"/>
                <w:sz w:val="21"/>
                <w:szCs w:val="21"/>
              </w:rPr>
              <w:t>×</w:t>
            </w:r>
            <w:r>
              <w:rPr>
                <w:rFonts w:eastAsiaTheme="minorEastAsia"/>
                <w:sz w:val="21"/>
                <w:szCs w:val="21"/>
              </w:rPr>
              <w:t>宽</w:t>
            </w:r>
            <w:r>
              <w:rPr>
                <w:rFonts w:eastAsiaTheme="minorEastAsia"/>
                <w:sz w:val="21"/>
                <w:szCs w:val="21"/>
              </w:rPr>
              <w:t>×</w:t>
            </w:r>
            <w:r>
              <w:rPr>
                <w:rFonts w:eastAsiaTheme="minorEastAsia"/>
                <w:sz w:val="21"/>
                <w:szCs w:val="21"/>
              </w:rPr>
              <w:t>高）</w:t>
            </w:r>
            <w:r>
              <w:rPr>
                <w:rFonts w:eastAsiaTheme="minorEastAsia"/>
                <w:sz w:val="21"/>
                <w:szCs w:val="21"/>
              </w:rPr>
              <w:t>m</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备注</w:t>
            </w:r>
          </w:p>
        </w:tc>
      </w:tr>
      <w:tr w:rsidR="00DB7CC8">
        <w:trPr>
          <w:trHeight w:val="283"/>
        </w:trPr>
        <w:tc>
          <w:tcPr>
            <w:tcW w:w="817" w:type="dxa"/>
            <w:vMerge w:val="restart"/>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主体工程</w:t>
            </w: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原料</w:t>
            </w:r>
            <w:r>
              <w:rPr>
                <w:rFonts w:eastAsiaTheme="minorEastAsia" w:hint="eastAsia"/>
                <w:sz w:val="21"/>
                <w:szCs w:val="21"/>
              </w:rPr>
              <w:t>棚</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50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10</w:t>
            </w:r>
            <w:r>
              <w:rPr>
                <w:sz w:val="21"/>
                <w:szCs w:val="21"/>
              </w:rPr>
              <w:t>×</w:t>
            </w:r>
            <w:r>
              <w:rPr>
                <w:rFonts w:eastAsiaTheme="minorEastAsia" w:hint="eastAsia"/>
                <w:sz w:val="21"/>
                <w:szCs w:val="21"/>
              </w:rPr>
              <w:t>5</w:t>
            </w:r>
            <w:r>
              <w:rPr>
                <w:sz w:val="21"/>
                <w:szCs w:val="21"/>
              </w:rPr>
              <w:t>×</w:t>
            </w:r>
            <w:r>
              <w:rPr>
                <w:rFonts w:eastAsiaTheme="minorEastAsia"/>
                <w:sz w:val="21"/>
                <w:szCs w:val="21"/>
              </w:rPr>
              <w:t>13</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料棚进深尺度</w:t>
            </w:r>
            <w:r>
              <w:rPr>
                <w:rFonts w:eastAsiaTheme="minorEastAsia" w:hint="eastAsia"/>
                <w:sz w:val="21"/>
                <w:szCs w:val="21"/>
              </w:rPr>
              <w:t>10</w:t>
            </w:r>
            <w:r>
              <w:rPr>
                <w:rFonts w:eastAsiaTheme="minorEastAsia"/>
                <w:sz w:val="21"/>
                <w:szCs w:val="21"/>
              </w:rPr>
              <w:t>米</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2</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3</w:t>
            </w:r>
            <w:r>
              <w:rPr>
                <w:rFonts w:eastAsiaTheme="minorEastAsia"/>
                <w:sz w:val="21"/>
                <w:szCs w:val="21"/>
              </w:rPr>
              <w:t>#</w:t>
            </w:r>
            <w:r>
              <w:rPr>
                <w:rFonts w:eastAsiaTheme="minorEastAsia"/>
                <w:sz w:val="21"/>
                <w:szCs w:val="21"/>
              </w:rPr>
              <w:t>破碎</w:t>
            </w:r>
            <w:r>
              <w:rPr>
                <w:rFonts w:eastAsiaTheme="minorEastAsia" w:hint="eastAsia"/>
                <w:sz w:val="21"/>
                <w:szCs w:val="21"/>
              </w:rPr>
              <w:t>粗选</w:t>
            </w:r>
            <w:r>
              <w:rPr>
                <w:rFonts w:eastAsiaTheme="minorEastAsia"/>
                <w:sz w:val="21"/>
                <w:szCs w:val="21"/>
              </w:rPr>
              <w:t>车间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150</w:t>
            </w:r>
            <w:r>
              <w:rPr>
                <w:rFonts w:eastAsiaTheme="minor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60</w:t>
            </w:r>
            <w:r>
              <w:rPr>
                <w:sz w:val="21"/>
                <w:szCs w:val="21"/>
              </w:rPr>
              <w:t>×</w:t>
            </w:r>
            <w:r>
              <w:rPr>
                <w:rFonts w:eastAsiaTheme="minorEastAsia"/>
                <w:sz w:val="21"/>
                <w:szCs w:val="21"/>
              </w:rPr>
              <w:t>2</w:t>
            </w:r>
            <w:r>
              <w:rPr>
                <w:rFonts w:eastAsiaTheme="minorEastAsia" w:hint="eastAsia"/>
                <w:sz w:val="21"/>
                <w:szCs w:val="21"/>
              </w:rPr>
              <w:t>5</w:t>
            </w:r>
            <w:r>
              <w:rPr>
                <w:sz w:val="21"/>
                <w:szCs w:val="21"/>
              </w:rPr>
              <w:t>×</w:t>
            </w:r>
            <w:r>
              <w:rPr>
                <w:rFonts w:eastAsiaTheme="minorEastAsia"/>
                <w:sz w:val="21"/>
                <w:szCs w:val="21"/>
              </w:rPr>
              <w:t>1</w:t>
            </w:r>
            <w:r>
              <w:rPr>
                <w:rFonts w:eastAsiaTheme="minorEastAsia" w:hint="eastAsia"/>
                <w:sz w:val="21"/>
                <w:szCs w:val="21"/>
              </w:rPr>
              <w:t>2</w:t>
            </w:r>
          </w:p>
        </w:tc>
        <w:tc>
          <w:tcPr>
            <w:tcW w:w="2885" w:type="dxa"/>
            <w:vMerge w:val="restart"/>
            <w:tcBorders>
              <w:tl2br w:val="nil"/>
              <w:tr2bl w:val="nil"/>
            </w:tcBorders>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1.5m</w:t>
            </w:r>
            <w:r>
              <w:rPr>
                <w:rFonts w:eastAsiaTheme="minorEastAsia"/>
                <w:sz w:val="21"/>
                <w:szCs w:val="21"/>
              </w:rPr>
              <w:t>混凝土基础</w:t>
            </w:r>
            <w:r>
              <w:rPr>
                <w:rFonts w:eastAsiaTheme="minorEastAsia"/>
                <w:sz w:val="21"/>
                <w:szCs w:val="21"/>
              </w:rPr>
              <w:t>+</w:t>
            </w:r>
            <w:r>
              <w:rPr>
                <w:rFonts w:eastAsiaTheme="minorEastAsia"/>
                <w:sz w:val="21"/>
                <w:szCs w:val="21"/>
              </w:rPr>
              <w:t>单层彩钢结构，彩钢板封闭，车间地面硬化</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3</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w:t>
            </w:r>
            <w:r>
              <w:rPr>
                <w:rFonts w:eastAsiaTheme="minorEastAsia"/>
                <w:sz w:val="21"/>
                <w:szCs w:val="21"/>
              </w:rPr>
              <w:t>#</w:t>
            </w:r>
            <w:r>
              <w:rPr>
                <w:rFonts w:eastAsiaTheme="minorEastAsia" w:hint="eastAsia"/>
                <w:sz w:val="21"/>
                <w:szCs w:val="21"/>
              </w:rPr>
              <w:t>精选</w:t>
            </w:r>
            <w:r>
              <w:rPr>
                <w:rFonts w:eastAsiaTheme="minorEastAsia"/>
                <w:sz w:val="21"/>
                <w:szCs w:val="21"/>
              </w:rPr>
              <w:t>车间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200</w:t>
            </w:r>
            <w:r>
              <w:rPr>
                <w:rFonts w:eastAsiaTheme="minor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5</w:t>
            </w:r>
            <w:r>
              <w:rPr>
                <w:rFonts w:eastAsiaTheme="minorEastAsia"/>
                <w:sz w:val="21"/>
                <w:szCs w:val="21"/>
              </w:rPr>
              <w:t>0</w:t>
            </w:r>
            <w:r>
              <w:rPr>
                <w:sz w:val="21"/>
                <w:szCs w:val="21"/>
              </w:rPr>
              <w:t>×</w:t>
            </w:r>
            <w:r>
              <w:rPr>
                <w:rFonts w:eastAsiaTheme="minorEastAsia" w:hint="eastAsia"/>
                <w:sz w:val="21"/>
                <w:szCs w:val="21"/>
              </w:rPr>
              <w:t>40</w:t>
            </w:r>
            <w:r>
              <w:rPr>
                <w:sz w:val="21"/>
                <w:szCs w:val="21"/>
              </w:rPr>
              <w:t>×</w:t>
            </w:r>
            <w:r>
              <w:rPr>
                <w:rFonts w:eastAsiaTheme="minorEastAsia"/>
                <w:sz w:val="21"/>
                <w:szCs w:val="21"/>
              </w:rPr>
              <w:t>1</w:t>
            </w:r>
            <w:r>
              <w:rPr>
                <w:rFonts w:eastAsiaTheme="minorEastAsia" w:hint="eastAsia"/>
                <w:sz w:val="21"/>
                <w:szCs w:val="21"/>
              </w:rPr>
              <w:t>2</w:t>
            </w:r>
          </w:p>
        </w:tc>
        <w:tc>
          <w:tcPr>
            <w:tcW w:w="2885"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4</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w:t>
            </w:r>
            <w:r>
              <w:rPr>
                <w:rFonts w:eastAsiaTheme="minorEastAsia" w:hint="eastAsia"/>
                <w:sz w:val="21"/>
                <w:szCs w:val="21"/>
              </w:rPr>
              <w:t>精选</w:t>
            </w:r>
            <w:r>
              <w:rPr>
                <w:rFonts w:eastAsiaTheme="minorEastAsia"/>
                <w:sz w:val="21"/>
                <w:szCs w:val="21"/>
              </w:rPr>
              <w:t>车间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200</w:t>
            </w:r>
            <w:r>
              <w:rPr>
                <w:rFonts w:eastAsiaTheme="minor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50</w:t>
            </w:r>
            <w:r>
              <w:rPr>
                <w:sz w:val="21"/>
                <w:szCs w:val="21"/>
              </w:rPr>
              <w:t>×</w:t>
            </w:r>
            <w:r>
              <w:rPr>
                <w:rFonts w:eastAsiaTheme="minorEastAsia" w:hint="eastAsia"/>
                <w:sz w:val="21"/>
                <w:szCs w:val="21"/>
              </w:rPr>
              <w:t>40</w:t>
            </w:r>
            <w:r>
              <w:rPr>
                <w:sz w:val="21"/>
                <w:szCs w:val="21"/>
              </w:rPr>
              <w:t>×</w:t>
            </w:r>
            <w:r>
              <w:rPr>
                <w:rFonts w:eastAsiaTheme="minorEastAsia"/>
                <w:sz w:val="21"/>
                <w:szCs w:val="21"/>
              </w:rPr>
              <w:t>1</w:t>
            </w:r>
            <w:r>
              <w:rPr>
                <w:rFonts w:eastAsiaTheme="minorEastAsia" w:hint="eastAsia"/>
                <w:sz w:val="21"/>
                <w:szCs w:val="21"/>
              </w:rPr>
              <w:t>2</w:t>
            </w:r>
          </w:p>
        </w:tc>
        <w:tc>
          <w:tcPr>
            <w:tcW w:w="2885"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5</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成品库</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1000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sz w:val="21"/>
                <w:szCs w:val="21"/>
              </w:rPr>
            </w:pPr>
            <w:r>
              <w:rPr>
                <w:rFonts w:eastAsiaTheme="minorEastAsia" w:hint="eastAsia"/>
                <w:sz w:val="21"/>
                <w:szCs w:val="21"/>
              </w:rPr>
              <w:t>40</w:t>
            </w:r>
            <w:r>
              <w:rPr>
                <w:sz w:val="21"/>
                <w:szCs w:val="21"/>
              </w:rPr>
              <w:t>×</w:t>
            </w:r>
            <w:r>
              <w:rPr>
                <w:rFonts w:eastAsiaTheme="minorEastAsia" w:hint="eastAsia"/>
                <w:sz w:val="21"/>
                <w:szCs w:val="21"/>
              </w:rPr>
              <w:t>25</w:t>
            </w:r>
            <w:r>
              <w:rPr>
                <w:sz w:val="21"/>
                <w:szCs w:val="21"/>
              </w:rPr>
              <w:t>×</w:t>
            </w:r>
            <w:r>
              <w:rPr>
                <w:rFonts w:eastAsiaTheme="minorEastAsia" w:hint="eastAsia"/>
                <w:sz w:val="21"/>
                <w:szCs w:val="21"/>
              </w:rPr>
              <w:t>11</w:t>
            </w:r>
          </w:p>
        </w:tc>
        <w:tc>
          <w:tcPr>
            <w:tcW w:w="2885"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r>
      <w:tr w:rsidR="00DB7CC8">
        <w:trPr>
          <w:trHeight w:val="283"/>
        </w:trPr>
        <w:tc>
          <w:tcPr>
            <w:tcW w:w="817" w:type="dxa"/>
            <w:vMerge w:val="restart"/>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环保工程</w:t>
            </w: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6</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事故水池</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25m</w:t>
            </w:r>
            <w:r>
              <w:rPr>
                <w:rFonts w:eastAsiaTheme="minorEastAsia"/>
                <w:sz w:val="21"/>
                <w:szCs w:val="21"/>
                <w:vertAlign w:val="superscript"/>
              </w:rPr>
              <w:t>3</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5</w:t>
            </w:r>
            <w:r>
              <w:rPr>
                <w:sz w:val="21"/>
                <w:szCs w:val="21"/>
              </w:rPr>
              <w:t>×</w:t>
            </w:r>
            <w:r>
              <w:rPr>
                <w:rFonts w:eastAsiaTheme="minorEastAsia"/>
                <w:sz w:val="21"/>
                <w:szCs w:val="21"/>
              </w:rPr>
              <w:t>5</w:t>
            </w:r>
            <w:r>
              <w:rPr>
                <w:sz w:val="21"/>
                <w:szCs w:val="21"/>
              </w:rPr>
              <w:t>×</w:t>
            </w:r>
            <w:r>
              <w:rPr>
                <w:rFonts w:eastAsiaTheme="minorEastAsia"/>
                <w:sz w:val="21"/>
                <w:szCs w:val="21"/>
              </w:rPr>
              <w:t>1m</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w:t>
            </w:r>
            <w:r>
              <w:rPr>
                <w:rFonts w:eastAsiaTheme="minorEastAsia" w:hint="eastAsia"/>
                <w:sz w:val="21"/>
                <w:szCs w:val="21"/>
              </w:rPr>
              <w:t>座，</w:t>
            </w:r>
            <w:r>
              <w:rPr>
                <w:rFonts w:eastAsiaTheme="minorEastAsia"/>
                <w:sz w:val="21"/>
                <w:szCs w:val="21"/>
              </w:rPr>
              <w:t>混凝土结构</w:t>
            </w:r>
          </w:p>
        </w:tc>
      </w:tr>
      <w:tr w:rsidR="00DB7CC8">
        <w:trPr>
          <w:trHeight w:val="283"/>
        </w:trPr>
        <w:tc>
          <w:tcPr>
            <w:tcW w:w="817" w:type="dxa"/>
            <w:vMerge/>
            <w:tcBorders>
              <w:tl2br w:val="nil"/>
              <w:tr2bl w:val="nil"/>
            </w:tcBorders>
            <w:shd w:val="clear" w:color="auto" w:fill="auto"/>
            <w:noWrap/>
            <w:vAlign w:val="center"/>
          </w:tcPr>
          <w:p w:rsidR="00DB7CC8" w:rsidRDefault="00DB7CC8">
            <w:pPr>
              <w:widowControl/>
              <w:spacing w:line="240" w:lineRule="auto"/>
              <w:ind w:firstLineChars="0" w:firstLine="0"/>
              <w:jc w:val="center"/>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7</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轮胎冲洗</w:t>
            </w:r>
          </w:p>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装置</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112</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sz w:val="21"/>
                <w:szCs w:val="21"/>
              </w:rPr>
              <w:t>8m×3.5m</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w:t>
            </w:r>
            <w:r>
              <w:rPr>
                <w:rFonts w:eastAsiaTheme="minorEastAsia" w:hint="eastAsia"/>
                <w:sz w:val="21"/>
                <w:szCs w:val="21"/>
              </w:rPr>
              <w:t>套，</w:t>
            </w:r>
            <w:r>
              <w:rPr>
                <w:rFonts w:eastAsiaTheme="minorEastAsia"/>
                <w:sz w:val="21"/>
                <w:szCs w:val="21"/>
              </w:rPr>
              <w:t>混凝土结构</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8</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洗车沉淀池</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6 m</w:t>
            </w:r>
            <w:r>
              <w:rPr>
                <w:rFonts w:eastAsiaTheme="minorEastAsia"/>
                <w:sz w:val="21"/>
                <w:szCs w:val="21"/>
                <w:vertAlign w:val="superscript"/>
              </w:rPr>
              <w:t>3</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地下</w:t>
            </w:r>
            <w:r>
              <w:rPr>
                <w:rFonts w:eastAsiaTheme="minorEastAsia" w:hint="eastAsia"/>
                <w:sz w:val="21"/>
                <w:szCs w:val="21"/>
              </w:rPr>
              <w:t>，</w:t>
            </w:r>
            <w:r>
              <w:rPr>
                <w:rFonts w:eastAsiaTheme="minorEastAsia"/>
                <w:sz w:val="21"/>
                <w:szCs w:val="21"/>
              </w:rPr>
              <w:t>2×3×1m</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w:t>
            </w:r>
            <w:r>
              <w:rPr>
                <w:rFonts w:eastAsiaTheme="minorEastAsia" w:hint="eastAsia"/>
                <w:sz w:val="21"/>
                <w:szCs w:val="21"/>
              </w:rPr>
              <w:t>套，</w:t>
            </w:r>
            <w:r>
              <w:rPr>
                <w:rFonts w:eastAsiaTheme="minorEastAsia"/>
                <w:sz w:val="21"/>
                <w:szCs w:val="21"/>
              </w:rPr>
              <w:t>混凝土结构，池底及四周防渗</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9</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洗车</w:t>
            </w:r>
            <w:r>
              <w:rPr>
                <w:rFonts w:eastAsiaTheme="minorEastAsia" w:hint="eastAsia"/>
                <w:sz w:val="21"/>
                <w:szCs w:val="21"/>
              </w:rPr>
              <w:t>清水</w:t>
            </w:r>
            <w:r>
              <w:rPr>
                <w:rFonts w:eastAsiaTheme="minorEastAsia"/>
                <w:sz w:val="21"/>
                <w:szCs w:val="21"/>
              </w:rPr>
              <w:t>池</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6 m</w:t>
            </w:r>
            <w:r>
              <w:rPr>
                <w:rFonts w:eastAsiaTheme="minorEastAsia"/>
                <w:sz w:val="21"/>
                <w:szCs w:val="21"/>
                <w:vertAlign w:val="superscript"/>
              </w:rPr>
              <w:t>3</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地下</w:t>
            </w:r>
            <w:r>
              <w:rPr>
                <w:rFonts w:eastAsiaTheme="minorEastAsia" w:hint="eastAsia"/>
                <w:sz w:val="21"/>
                <w:szCs w:val="21"/>
              </w:rPr>
              <w:t>，</w:t>
            </w:r>
            <w:r>
              <w:rPr>
                <w:rFonts w:eastAsiaTheme="minorEastAsia"/>
                <w:sz w:val="21"/>
                <w:szCs w:val="21"/>
              </w:rPr>
              <w:t>2×3×1m</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w:t>
            </w:r>
            <w:r>
              <w:rPr>
                <w:rFonts w:eastAsiaTheme="minorEastAsia" w:hint="eastAsia"/>
                <w:sz w:val="21"/>
                <w:szCs w:val="21"/>
              </w:rPr>
              <w:t>套，</w:t>
            </w:r>
            <w:r>
              <w:rPr>
                <w:rFonts w:eastAsiaTheme="minorEastAsia"/>
                <w:sz w:val="21"/>
                <w:szCs w:val="21"/>
              </w:rPr>
              <w:t>混凝土结构，池底及四周防渗</w:t>
            </w:r>
          </w:p>
        </w:tc>
      </w:tr>
    </w:tbl>
    <w:p w:rsidR="00DB7CC8" w:rsidRDefault="002B5250">
      <w:pPr>
        <w:pStyle w:val="3"/>
        <w:numPr>
          <w:ilvl w:val="2"/>
          <w:numId w:val="1"/>
        </w:numPr>
        <w:spacing w:beforeLines="50" w:before="120"/>
        <w:rPr>
          <w:szCs w:val="28"/>
        </w:rPr>
      </w:pPr>
      <w:r>
        <w:rPr>
          <w:szCs w:val="28"/>
        </w:rPr>
        <w:t>项目主要设备</w:t>
      </w:r>
    </w:p>
    <w:p w:rsidR="00DB7CC8" w:rsidRDefault="002B5250">
      <w:pPr>
        <w:ind w:firstLine="480"/>
        <w:rPr>
          <w:bCs/>
          <w:sz w:val="24"/>
          <w:szCs w:val="24"/>
        </w:rPr>
      </w:pPr>
      <w:r>
        <w:rPr>
          <w:rFonts w:hint="eastAsia"/>
          <w:bCs/>
          <w:sz w:val="24"/>
          <w:szCs w:val="24"/>
        </w:rPr>
        <w:t>改扩建工程主要设备</w:t>
      </w:r>
      <w:r>
        <w:rPr>
          <w:bCs/>
          <w:sz w:val="24"/>
          <w:szCs w:val="24"/>
        </w:rPr>
        <w:t>详见表</w:t>
      </w:r>
      <w:r>
        <w:rPr>
          <w:bCs/>
          <w:sz w:val="24"/>
          <w:szCs w:val="24"/>
        </w:rPr>
        <w:t>3.</w:t>
      </w:r>
      <w:r>
        <w:rPr>
          <w:rFonts w:hint="eastAsia"/>
          <w:bCs/>
          <w:sz w:val="24"/>
          <w:szCs w:val="24"/>
        </w:rPr>
        <w:t>2</w:t>
      </w:r>
      <w:r>
        <w:rPr>
          <w:bCs/>
          <w:sz w:val="24"/>
          <w:szCs w:val="24"/>
        </w:rPr>
        <w:t>-4</w:t>
      </w:r>
      <w:r>
        <w:rPr>
          <w:bCs/>
          <w:sz w:val="24"/>
          <w:szCs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3.</w:t>
      </w:r>
      <w:r>
        <w:rPr>
          <w:rFonts w:eastAsia="黑体" w:hint="eastAsia"/>
          <w:kern w:val="2"/>
          <w:sz w:val="21"/>
          <w:szCs w:val="21"/>
        </w:rPr>
        <w:t>2</w:t>
      </w:r>
      <w:r>
        <w:rPr>
          <w:rFonts w:eastAsia="黑体"/>
          <w:kern w:val="2"/>
          <w:sz w:val="21"/>
          <w:szCs w:val="21"/>
        </w:rPr>
        <w:t xml:space="preserve">-4    </w:t>
      </w:r>
      <w:r>
        <w:rPr>
          <w:rFonts w:eastAsia="黑体" w:hint="eastAsia"/>
          <w:kern w:val="2"/>
          <w:sz w:val="21"/>
          <w:szCs w:val="21"/>
        </w:rPr>
        <w:t>改扩建工程</w:t>
      </w:r>
      <w:r>
        <w:rPr>
          <w:rFonts w:eastAsia="黑体"/>
          <w:kern w:val="2"/>
          <w:sz w:val="21"/>
          <w:szCs w:val="21"/>
        </w:rPr>
        <w:t>主要设备一览表</w:t>
      </w:r>
    </w:p>
    <w:tbl>
      <w:tblPr>
        <w:tblW w:w="845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675"/>
        <w:gridCol w:w="2099"/>
        <w:gridCol w:w="1897"/>
        <w:gridCol w:w="783"/>
        <w:gridCol w:w="705"/>
        <w:gridCol w:w="2291"/>
      </w:tblGrid>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序号</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名称</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型号</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单位</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数量</w:t>
            </w:r>
          </w:p>
        </w:tc>
        <w:tc>
          <w:tcPr>
            <w:tcW w:w="2291"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备注</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1</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颚式破碎机（粗碎）</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75</w:t>
            </w:r>
            <w:r>
              <w:rPr>
                <w:rFonts w:eastAsiaTheme="minorEastAsia"/>
                <w:sz w:val="21"/>
                <w:szCs w:val="21"/>
              </w:rPr>
              <w:t>0*</w:t>
            </w:r>
            <w:r>
              <w:rPr>
                <w:rFonts w:eastAsiaTheme="minorEastAsia" w:hint="eastAsia"/>
                <w:sz w:val="21"/>
                <w:szCs w:val="21"/>
              </w:rPr>
              <w:t>106</w:t>
            </w:r>
            <w:r>
              <w:rPr>
                <w:rFonts w:eastAsiaTheme="minorEastAsia"/>
                <w:sz w:val="21"/>
                <w:szCs w:val="21"/>
              </w:rPr>
              <w:t>0mm</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1</w:t>
            </w:r>
          </w:p>
        </w:tc>
        <w:tc>
          <w:tcPr>
            <w:tcW w:w="2291" w:type="dxa"/>
            <w:vMerge w:val="restart"/>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3</w:t>
            </w:r>
            <w:r>
              <w:rPr>
                <w:rFonts w:eastAsiaTheme="minorEastAsia"/>
                <w:sz w:val="21"/>
                <w:szCs w:val="21"/>
              </w:rPr>
              <w:t>#</w:t>
            </w:r>
            <w:r>
              <w:rPr>
                <w:rFonts w:eastAsiaTheme="minorEastAsia"/>
                <w:sz w:val="21"/>
                <w:szCs w:val="21"/>
              </w:rPr>
              <w:t>破碎</w:t>
            </w:r>
            <w:r>
              <w:rPr>
                <w:rFonts w:eastAsiaTheme="minorEastAsia" w:hint="eastAsia"/>
                <w:sz w:val="21"/>
                <w:szCs w:val="21"/>
              </w:rPr>
              <w:t>粗选</w:t>
            </w:r>
            <w:r>
              <w:rPr>
                <w:rFonts w:eastAsiaTheme="minorEastAsia"/>
                <w:sz w:val="21"/>
                <w:szCs w:val="21"/>
              </w:rPr>
              <w:t>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圆锥破碎机（细碎）</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24</w:t>
            </w:r>
            <w:r>
              <w:rPr>
                <w:rFonts w:eastAsiaTheme="minorEastAsia"/>
                <w:sz w:val="21"/>
                <w:szCs w:val="21"/>
              </w:rPr>
              <w:t>0</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3</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sz w:val="21"/>
                <w:szCs w:val="21"/>
              </w:rPr>
              <w:t>锤式破碎机</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20</w:t>
            </w:r>
            <w:r>
              <w:rPr>
                <w:rFonts w:eastAsiaTheme="minorEastAsia"/>
                <w:sz w:val="21"/>
                <w:szCs w:val="21"/>
              </w:rPr>
              <w:t>00</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4</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振动筛</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2</w:t>
            </w:r>
            <w:r>
              <w:rPr>
                <w:rFonts w:eastAsiaTheme="minorEastAsia" w:hint="eastAsia"/>
                <w:sz w:val="21"/>
                <w:szCs w:val="21"/>
              </w:rPr>
              <w:t>7</w:t>
            </w:r>
            <w:r>
              <w:rPr>
                <w:rFonts w:eastAsiaTheme="minorEastAsia"/>
                <w:sz w:val="21"/>
                <w:szCs w:val="21"/>
              </w:rPr>
              <w:t>00mm×</w:t>
            </w:r>
            <w:r>
              <w:rPr>
                <w:rFonts w:eastAsiaTheme="minorEastAsia" w:hint="eastAsia"/>
                <w:sz w:val="21"/>
                <w:szCs w:val="21"/>
              </w:rPr>
              <w:t>7</w:t>
            </w:r>
            <w:r>
              <w:rPr>
                <w:rFonts w:eastAsiaTheme="minorEastAsia"/>
                <w:sz w:val="21"/>
                <w:szCs w:val="21"/>
              </w:rPr>
              <w:t>000mm</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5</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振动</w:t>
            </w:r>
            <w:r>
              <w:rPr>
                <w:rFonts w:eastAsiaTheme="minorEastAsia"/>
                <w:sz w:val="21"/>
                <w:szCs w:val="21"/>
              </w:rPr>
              <w:t>给料机</w:t>
            </w:r>
          </w:p>
        </w:tc>
        <w:tc>
          <w:tcPr>
            <w:tcW w:w="1897" w:type="dxa"/>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6</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中转料仓</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5</w:t>
            </w:r>
            <w:r>
              <w:rPr>
                <w:rFonts w:eastAsiaTheme="minorEastAsia" w:hint="eastAsia"/>
                <w:sz w:val="21"/>
                <w:szCs w:val="21"/>
              </w:rPr>
              <w:t>×</w:t>
            </w:r>
            <w:r>
              <w:rPr>
                <w:rFonts w:eastAsiaTheme="minorEastAsia" w:hint="eastAsia"/>
                <w:sz w:val="21"/>
                <w:szCs w:val="21"/>
              </w:rPr>
              <w:t>6m</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座</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7</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圆盘</w:t>
            </w:r>
            <w:r>
              <w:rPr>
                <w:rFonts w:eastAsiaTheme="minorEastAsia"/>
                <w:sz w:val="21"/>
                <w:szCs w:val="21"/>
              </w:rPr>
              <w:t>给料机</w:t>
            </w:r>
          </w:p>
        </w:tc>
        <w:tc>
          <w:tcPr>
            <w:tcW w:w="1897" w:type="dxa"/>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8</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皮带输送机</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150</w:t>
            </w:r>
            <w:r>
              <w:rPr>
                <w:rFonts w:eastAsiaTheme="minorEastAsia"/>
                <w:sz w:val="21"/>
                <w:szCs w:val="21"/>
              </w:rPr>
              <w:t>0mm</w:t>
            </w:r>
            <w:r>
              <w:rPr>
                <w:rFonts w:eastAsiaTheme="minorEastAsia"/>
                <w:sz w:val="21"/>
                <w:szCs w:val="21"/>
              </w:rPr>
              <w:t>宽</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条</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307"/>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9</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皮带输送机</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120</w:t>
            </w:r>
            <w:r>
              <w:rPr>
                <w:rFonts w:eastAsiaTheme="minorEastAsia"/>
                <w:sz w:val="21"/>
                <w:szCs w:val="21"/>
              </w:rPr>
              <w:t>0mm</w:t>
            </w:r>
            <w:r>
              <w:rPr>
                <w:rFonts w:eastAsiaTheme="minorEastAsia"/>
                <w:sz w:val="21"/>
                <w:szCs w:val="21"/>
              </w:rPr>
              <w:t>宽</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条</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90"/>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10</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皮带输送机</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10</w:t>
            </w:r>
            <w:r>
              <w:rPr>
                <w:rFonts w:eastAsiaTheme="minorEastAsia"/>
                <w:sz w:val="21"/>
                <w:szCs w:val="21"/>
              </w:rPr>
              <w:t>00mm</w:t>
            </w:r>
            <w:r>
              <w:rPr>
                <w:rFonts w:eastAsiaTheme="minorEastAsia"/>
                <w:sz w:val="21"/>
                <w:szCs w:val="21"/>
              </w:rPr>
              <w:t>宽</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条</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11</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皮带输送机</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80</w:t>
            </w:r>
            <w:r>
              <w:rPr>
                <w:rFonts w:eastAsiaTheme="minorEastAsia"/>
                <w:sz w:val="21"/>
                <w:szCs w:val="21"/>
              </w:rPr>
              <w:t>0mm</w:t>
            </w:r>
            <w:r>
              <w:rPr>
                <w:rFonts w:eastAsiaTheme="minorEastAsia"/>
                <w:sz w:val="21"/>
                <w:szCs w:val="21"/>
              </w:rPr>
              <w:t>宽</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条</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12</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皮带输送机</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6</w:t>
            </w:r>
            <w:r>
              <w:rPr>
                <w:rFonts w:eastAsiaTheme="minorEastAsia" w:hint="eastAsia"/>
                <w:sz w:val="21"/>
                <w:szCs w:val="21"/>
              </w:rPr>
              <w:t>0</w:t>
            </w:r>
            <w:r>
              <w:rPr>
                <w:rFonts w:eastAsiaTheme="minorEastAsia"/>
                <w:sz w:val="21"/>
                <w:szCs w:val="21"/>
              </w:rPr>
              <w:t>0mm</w:t>
            </w:r>
            <w:r>
              <w:rPr>
                <w:rFonts w:eastAsiaTheme="minorEastAsia"/>
                <w:sz w:val="21"/>
                <w:szCs w:val="21"/>
              </w:rPr>
              <w:t>宽</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条</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53"/>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bCs/>
                <w:sz w:val="21"/>
                <w:szCs w:val="21"/>
              </w:rPr>
              <w:t>13</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球磨机</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21</w:t>
            </w:r>
            <w:r>
              <w:rPr>
                <w:rFonts w:eastAsiaTheme="minorEastAsia"/>
                <w:sz w:val="21"/>
                <w:szCs w:val="21"/>
              </w:rPr>
              <w:t>00×</w:t>
            </w:r>
            <w:r>
              <w:rPr>
                <w:rFonts w:eastAsiaTheme="minorEastAsia" w:hint="eastAsia"/>
                <w:sz w:val="21"/>
                <w:szCs w:val="21"/>
              </w:rPr>
              <w:t>75</w:t>
            </w:r>
            <w:r>
              <w:rPr>
                <w:rFonts w:eastAsiaTheme="minorEastAsia"/>
                <w:sz w:val="21"/>
                <w:szCs w:val="21"/>
              </w:rPr>
              <w:t>00mm</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bCs/>
                <w:sz w:val="21"/>
                <w:szCs w:val="21"/>
              </w:rPr>
            </w:pPr>
            <w:r>
              <w:rPr>
                <w:rFonts w:eastAsiaTheme="minorEastAsia" w:hint="eastAsia"/>
                <w:bCs/>
                <w:sz w:val="21"/>
                <w:szCs w:val="21"/>
              </w:rPr>
              <w:t>14</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磁选机</w:t>
            </w:r>
          </w:p>
        </w:tc>
        <w:tc>
          <w:tcPr>
            <w:tcW w:w="1897" w:type="dxa"/>
            <w:tcBorders>
              <w:tl2br w:val="nil"/>
              <w:tr2bl w:val="nil"/>
            </w:tcBorders>
            <w:vAlign w:val="bottom"/>
          </w:tcPr>
          <w:p w:rsidR="00DB7CC8" w:rsidRDefault="002B5250">
            <w:pPr>
              <w:spacing w:line="240" w:lineRule="auto"/>
              <w:ind w:firstLineChars="0" w:firstLine="0"/>
              <w:jc w:val="center"/>
              <w:rPr>
                <w:rFonts w:eastAsiaTheme="minorEastAsia"/>
                <w:sz w:val="21"/>
                <w:szCs w:val="21"/>
              </w:rPr>
            </w:pPr>
            <w:r>
              <w:rPr>
                <w:rFonts w:eastAsia="等线" w:hint="eastAsia"/>
                <w:sz w:val="22"/>
                <w:szCs w:val="22"/>
              </w:rPr>
              <w:t>1500</w:t>
            </w:r>
            <w:r>
              <w:rPr>
                <w:rFonts w:eastAsia="等线"/>
                <w:sz w:val="22"/>
                <w:szCs w:val="22"/>
              </w:rPr>
              <w:t>*</w:t>
            </w:r>
            <w:r>
              <w:rPr>
                <w:rFonts w:eastAsia="等线" w:hint="eastAsia"/>
                <w:sz w:val="22"/>
                <w:szCs w:val="22"/>
              </w:rPr>
              <w:t>45</w:t>
            </w:r>
            <w:r>
              <w:rPr>
                <w:rFonts w:eastAsia="等线"/>
                <w:sz w:val="22"/>
                <w:szCs w:val="22"/>
              </w:rPr>
              <w:t>00mm</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5</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15</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高频筛</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7</w:t>
            </w:r>
            <w:r>
              <w:rPr>
                <w:rFonts w:eastAsiaTheme="minorEastAsia"/>
                <w:sz w:val="21"/>
                <w:szCs w:val="21"/>
              </w:rPr>
              <w:t>m</w:t>
            </w:r>
            <w:r>
              <w:rPr>
                <w:rFonts w:eastAsiaTheme="minorEastAsia"/>
                <w:sz w:val="21"/>
                <w:szCs w:val="21"/>
                <w:vertAlign w:val="superscript"/>
              </w:rPr>
              <w:t>2</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8</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16</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过滤机</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15</w:t>
            </w:r>
            <w:r>
              <w:rPr>
                <w:rFonts w:eastAsiaTheme="minorEastAsia"/>
                <w:sz w:val="21"/>
                <w:szCs w:val="21"/>
              </w:rPr>
              <w:t>m</w:t>
            </w:r>
            <w:r>
              <w:rPr>
                <w:rFonts w:eastAsiaTheme="minorEastAsia"/>
                <w:sz w:val="21"/>
                <w:szCs w:val="21"/>
                <w:vertAlign w:val="superscript"/>
              </w:rPr>
              <w:t>2</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17</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打捞机</w:t>
            </w:r>
          </w:p>
        </w:tc>
        <w:tc>
          <w:tcPr>
            <w:tcW w:w="1897" w:type="dxa"/>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bCs/>
                <w:sz w:val="21"/>
                <w:szCs w:val="21"/>
              </w:rPr>
            </w:pPr>
            <w:r>
              <w:rPr>
                <w:rFonts w:eastAsiaTheme="minorEastAsia" w:hint="eastAsia"/>
                <w:sz w:val="21"/>
                <w:szCs w:val="21"/>
              </w:rPr>
              <w:t>18</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渣浆泵</w:t>
            </w:r>
          </w:p>
        </w:tc>
        <w:tc>
          <w:tcPr>
            <w:tcW w:w="1897" w:type="dxa"/>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4</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lastRenderedPageBreak/>
              <w:t>19</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水</w:t>
            </w:r>
            <w:r>
              <w:rPr>
                <w:rFonts w:eastAsiaTheme="minorEastAsia"/>
                <w:sz w:val="21"/>
                <w:szCs w:val="21"/>
              </w:rPr>
              <w:t>泵</w:t>
            </w:r>
          </w:p>
        </w:tc>
        <w:tc>
          <w:tcPr>
            <w:tcW w:w="1897" w:type="dxa"/>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bCs/>
                <w:sz w:val="21"/>
                <w:szCs w:val="21"/>
              </w:rPr>
            </w:pPr>
            <w:r>
              <w:rPr>
                <w:rFonts w:eastAsiaTheme="minorEastAsia" w:hint="eastAsia"/>
                <w:sz w:val="21"/>
                <w:szCs w:val="21"/>
              </w:rPr>
              <w:t>20</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脱水筛</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1800*3600mm</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bCs/>
                <w:sz w:val="21"/>
                <w:szCs w:val="21"/>
              </w:rPr>
            </w:pPr>
            <w:r>
              <w:rPr>
                <w:rFonts w:eastAsiaTheme="minorEastAsia" w:hint="eastAsia"/>
                <w:sz w:val="21"/>
                <w:szCs w:val="21"/>
              </w:rPr>
              <w:t>21</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旋流罐</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Φ5m</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22</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脉冲布袋除尘器</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风量</w:t>
            </w:r>
            <w:r>
              <w:rPr>
                <w:rFonts w:eastAsiaTheme="minorEastAsia" w:hint="eastAsia"/>
                <w:bCs/>
                <w:sz w:val="21"/>
                <w:szCs w:val="21"/>
              </w:rPr>
              <w:t>50</w:t>
            </w:r>
            <w:r>
              <w:rPr>
                <w:rFonts w:eastAsiaTheme="minorEastAsia"/>
                <w:bCs/>
                <w:sz w:val="21"/>
                <w:szCs w:val="21"/>
              </w:rPr>
              <w:t>000m</w:t>
            </w:r>
            <w:r>
              <w:rPr>
                <w:rFonts w:eastAsiaTheme="minorEastAsia"/>
                <w:bCs/>
                <w:sz w:val="21"/>
                <w:szCs w:val="21"/>
                <w:vertAlign w:val="superscript"/>
              </w:rPr>
              <w:t>3</w:t>
            </w:r>
            <w:r>
              <w:rPr>
                <w:rFonts w:eastAsiaTheme="minorEastAsia"/>
                <w:bCs/>
                <w:sz w:val="21"/>
                <w:szCs w:val="21"/>
              </w:rPr>
              <w:t>/h</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套</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23</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料仓</w:t>
            </w:r>
          </w:p>
        </w:tc>
        <w:tc>
          <w:tcPr>
            <w:tcW w:w="1897" w:type="dxa"/>
            <w:tcBorders>
              <w:tl2br w:val="nil"/>
              <w:tr2bl w:val="nil"/>
            </w:tcBorders>
            <w:vAlign w:val="center"/>
          </w:tcPr>
          <w:p w:rsidR="00DB7CC8" w:rsidRDefault="00DB7CC8">
            <w:pPr>
              <w:spacing w:line="240" w:lineRule="auto"/>
              <w:ind w:firstLineChars="0" w:firstLine="0"/>
              <w:jc w:val="center"/>
              <w:rPr>
                <w:rFonts w:ascii="宋体" w:hAnsi="宋体" w:cs="宋体"/>
                <w:sz w:val="21"/>
                <w:szCs w:val="21"/>
              </w:rPr>
            </w:pP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座</w:t>
            </w:r>
          </w:p>
        </w:tc>
        <w:tc>
          <w:tcPr>
            <w:tcW w:w="705" w:type="dxa"/>
            <w:tcBorders>
              <w:tl2br w:val="nil"/>
              <w:tr2bl w:val="nil"/>
            </w:tcBorders>
            <w:vAlign w:val="bottom"/>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2</w:t>
            </w:r>
          </w:p>
        </w:tc>
        <w:tc>
          <w:tcPr>
            <w:tcW w:w="2291" w:type="dxa"/>
            <w:vMerge w:val="restart"/>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精选车间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w:t>
            </w:r>
            <w:r>
              <w:rPr>
                <w:rFonts w:eastAsiaTheme="minorEastAsia" w:hint="eastAsia"/>
                <w:sz w:val="21"/>
                <w:szCs w:val="21"/>
              </w:rPr>
              <w:t>4</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圆盘给料机</w:t>
            </w:r>
          </w:p>
        </w:tc>
        <w:tc>
          <w:tcPr>
            <w:tcW w:w="1897" w:type="dxa"/>
            <w:tcBorders>
              <w:tl2br w:val="nil"/>
              <w:tr2bl w:val="nil"/>
            </w:tcBorders>
            <w:vAlign w:val="center"/>
          </w:tcPr>
          <w:p w:rsidR="00DB7CC8" w:rsidRDefault="00DB7CC8">
            <w:pPr>
              <w:spacing w:line="240" w:lineRule="auto"/>
              <w:ind w:firstLineChars="0" w:firstLine="0"/>
              <w:jc w:val="center"/>
              <w:rPr>
                <w:rFonts w:ascii="宋体" w:hAnsi="宋体" w:cs="宋体"/>
                <w:sz w:val="21"/>
                <w:szCs w:val="21"/>
              </w:rPr>
            </w:pP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台</w:t>
            </w:r>
          </w:p>
        </w:tc>
        <w:tc>
          <w:tcPr>
            <w:tcW w:w="705" w:type="dxa"/>
            <w:tcBorders>
              <w:tl2br w:val="nil"/>
              <w:tr2bl w:val="nil"/>
            </w:tcBorders>
            <w:vAlign w:val="bottom"/>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2</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w:t>
            </w:r>
            <w:r>
              <w:rPr>
                <w:rFonts w:eastAsiaTheme="minorEastAsia" w:hint="eastAsia"/>
                <w:sz w:val="21"/>
                <w:szCs w:val="21"/>
              </w:rPr>
              <w:t>5</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球磨机</w:t>
            </w:r>
          </w:p>
        </w:tc>
        <w:tc>
          <w:tcPr>
            <w:tcW w:w="1897" w:type="dxa"/>
            <w:tcBorders>
              <w:tl2br w:val="nil"/>
              <w:tr2bl w:val="nil"/>
            </w:tcBorders>
            <w:vAlign w:val="bottom"/>
          </w:tcPr>
          <w:p w:rsidR="00DB7CC8" w:rsidRDefault="002B5250">
            <w:pPr>
              <w:spacing w:line="240" w:lineRule="auto"/>
              <w:ind w:firstLineChars="0" w:firstLine="0"/>
              <w:jc w:val="center"/>
              <w:rPr>
                <w:sz w:val="22"/>
                <w:szCs w:val="22"/>
              </w:rPr>
            </w:pPr>
            <w:r>
              <w:rPr>
                <w:rFonts w:eastAsiaTheme="minorEastAsia"/>
                <w:sz w:val="22"/>
                <w:szCs w:val="22"/>
              </w:rPr>
              <w:t>24</w:t>
            </w:r>
            <w:r>
              <w:rPr>
                <w:rFonts w:eastAsiaTheme="minorEastAsia"/>
                <w:sz w:val="22"/>
                <w:szCs w:val="22"/>
              </w:rPr>
              <w:t>00×</w:t>
            </w:r>
            <w:r>
              <w:rPr>
                <w:rFonts w:eastAsiaTheme="minorEastAsia"/>
                <w:sz w:val="22"/>
                <w:szCs w:val="22"/>
              </w:rPr>
              <w:t>100</w:t>
            </w:r>
            <w:r>
              <w:rPr>
                <w:rFonts w:eastAsiaTheme="minorEastAsia"/>
                <w:sz w:val="22"/>
                <w:szCs w:val="22"/>
              </w:rPr>
              <w:t>00mm</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台</w:t>
            </w:r>
          </w:p>
        </w:tc>
        <w:tc>
          <w:tcPr>
            <w:tcW w:w="705" w:type="dxa"/>
            <w:tcBorders>
              <w:tl2br w:val="nil"/>
              <w:tr2bl w:val="nil"/>
            </w:tcBorders>
            <w:vAlign w:val="bottom"/>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2</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bookmarkStart w:id="187" w:name="_Hlk9235912"/>
            <w:bookmarkStart w:id="188" w:name="_Hlk9227976"/>
            <w:r>
              <w:rPr>
                <w:rFonts w:eastAsiaTheme="minorEastAsia" w:hint="eastAsia"/>
                <w:sz w:val="21"/>
                <w:szCs w:val="21"/>
              </w:rPr>
              <w:t>26</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高频筛</w:t>
            </w:r>
          </w:p>
        </w:tc>
        <w:tc>
          <w:tcPr>
            <w:tcW w:w="1897" w:type="dxa"/>
            <w:tcBorders>
              <w:tl2br w:val="nil"/>
              <w:tr2bl w:val="nil"/>
            </w:tcBorders>
            <w:vAlign w:val="center"/>
          </w:tcPr>
          <w:p w:rsidR="00DB7CC8" w:rsidRDefault="002B5250">
            <w:pPr>
              <w:spacing w:line="240" w:lineRule="auto"/>
              <w:ind w:firstLineChars="0" w:firstLine="0"/>
              <w:jc w:val="center"/>
              <w:rPr>
                <w:sz w:val="22"/>
                <w:szCs w:val="22"/>
              </w:rPr>
            </w:pPr>
            <w:r>
              <w:rPr>
                <w:sz w:val="22"/>
                <w:szCs w:val="22"/>
              </w:rPr>
              <w:t>7</w:t>
            </w:r>
            <w:r>
              <w:rPr>
                <w:rFonts w:eastAsiaTheme="minorEastAsia"/>
                <w:sz w:val="22"/>
                <w:szCs w:val="22"/>
              </w:rPr>
              <w:t>m</w:t>
            </w:r>
            <w:r>
              <w:rPr>
                <w:rFonts w:eastAsiaTheme="minorEastAsia"/>
                <w:sz w:val="22"/>
                <w:szCs w:val="22"/>
                <w:vertAlign w:val="superscript"/>
              </w:rPr>
              <w:t>2</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台</w:t>
            </w:r>
          </w:p>
        </w:tc>
        <w:tc>
          <w:tcPr>
            <w:tcW w:w="705" w:type="dxa"/>
            <w:tcBorders>
              <w:tl2br w:val="nil"/>
              <w:tr2bl w:val="nil"/>
            </w:tcBorders>
            <w:vAlign w:val="bottom"/>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24</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27</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磁选机</w:t>
            </w:r>
          </w:p>
        </w:tc>
        <w:tc>
          <w:tcPr>
            <w:tcW w:w="1897" w:type="dxa"/>
            <w:tcBorders>
              <w:tl2br w:val="nil"/>
              <w:tr2bl w:val="nil"/>
            </w:tcBorders>
            <w:vAlign w:val="center"/>
          </w:tcPr>
          <w:p w:rsidR="00DB7CC8" w:rsidRDefault="002B5250">
            <w:pPr>
              <w:spacing w:line="240" w:lineRule="auto"/>
              <w:ind w:firstLineChars="0" w:firstLine="0"/>
              <w:jc w:val="center"/>
              <w:rPr>
                <w:sz w:val="22"/>
                <w:szCs w:val="22"/>
              </w:rPr>
            </w:pPr>
            <w:r>
              <w:rPr>
                <w:sz w:val="22"/>
                <w:szCs w:val="22"/>
              </w:rPr>
              <w:t>1.5×4.5m</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台</w:t>
            </w:r>
          </w:p>
        </w:tc>
        <w:tc>
          <w:tcPr>
            <w:tcW w:w="705" w:type="dxa"/>
            <w:tcBorders>
              <w:tl2br w:val="nil"/>
              <w:tr2bl w:val="nil"/>
            </w:tcBorders>
            <w:vAlign w:val="bottom"/>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10</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28</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磁团聚</w:t>
            </w:r>
          </w:p>
        </w:tc>
        <w:tc>
          <w:tcPr>
            <w:tcW w:w="1897" w:type="dxa"/>
            <w:tcBorders>
              <w:tl2br w:val="nil"/>
              <w:tr2bl w:val="nil"/>
            </w:tcBorders>
            <w:vAlign w:val="center"/>
          </w:tcPr>
          <w:p w:rsidR="00DB7CC8" w:rsidRDefault="002B5250">
            <w:pPr>
              <w:spacing w:line="240" w:lineRule="auto"/>
              <w:ind w:firstLineChars="0" w:firstLine="0"/>
              <w:jc w:val="center"/>
              <w:rPr>
                <w:sz w:val="22"/>
                <w:szCs w:val="22"/>
              </w:rPr>
            </w:pPr>
            <w:r>
              <w:rPr>
                <w:sz w:val="22"/>
                <w:szCs w:val="22"/>
              </w:rPr>
              <w:t>Φ2m</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台</w:t>
            </w:r>
          </w:p>
        </w:tc>
        <w:tc>
          <w:tcPr>
            <w:tcW w:w="705" w:type="dxa"/>
            <w:tcBorders>
              <w:tl2br w:val="nil"/>
              <w:tr2bl w:val="nil"/>
            </w:tcBorders>
            <w:vAlign w:val="bottom"/>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6</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29</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过滤机</w:t>
            </w:r>
          </w:p>
        </w:tc>
        <w:tc>
          <w:tcPr>
            <w:tcW w:w="1897" w:type="dxa"/>
            <w:tcBorders>
              <w:tl2br w:val="nil"/>
              <w:tr2bl w:val="nil"/>
            </w:tcBorders>
            <w:vAlign w:val="center"/>
          </w:tcPr>
          <w:p w:rsidR="00DB7CC8" w:rsidRDefault="002B5250">
            <w:pPr>
              <w:spacing w:line="240" w:lineRule="auto"/>
              <w:ind w:firstLineChars="0" w:firstLine="0"/>
              <w:jc w:val="center"/>
              <w:rPr>
                <w:sz w:val="22"/>
                <w:szCs w:val="22"/>
              </w:rPr>
            </w:pPr>
            <w:r>
              <w:rPr>
                <w:sz w:val="22"/>
                <w:szCs w:val="22"/>
              </w:rPr>
              <w:t>80</w:t>
            </w:r>
            <w:r>
              <w:rPr>
                <w:rFonts w:eastAsiaTheme="minorEastAsia"/>
                <w:sz w:val="22"/>
                <w:szCs w:val="22"/>
              </w:rPr>
              <w:t>m</w:t>
            </w:r>
            <w:r>
              <w:rPr>
                <w:rFonts w:eastAsiaTheme="minorEastAsia"/>
                <w:sz w:val="22"/>
                <w:szCs w:val="22"/>
                <w:vertAlign w:val="superscript"/>
              </w:rPr>
              <w:t>2</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台</w:t>
            </w:r>
          </w:p>
        </w:tc>
        <w:tc>
          <w:tcPr>
            <w:tcW w:w="705" w:type="dxa"/>
            <w:tcBorders>
              <w:tl2br w:val="nil"/>
              <w:tr2bl w:val="nil"/>
            </w:tcBorders>
            <w:vAlign w:val="bottom"/>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2</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30</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打捞机</w:t>
            </w:r>
          </w:p>
        </w:tc>
        <w:tc>
          <w:tcPr>
            <w:tcW w:w="1897" w:type="dxa"/>
            <w:tcBorders>
              <w:tl2br w:val="nil"/>
              <w:tr2bl w:val="nil"/>
            </w:tcBorders>
            <w:vAlign w:val="center"/>
          </w:tcPr>
          <w:p w:rsidR="00DB7CC8" w:rsidRDefault="002B5250">
            <w:pPr>
              <w:spacing w:line="240" w:lineRule="auto"/>
              <w:ind w:firstLineChars="0" w:firstLine="0"/>
              <w:jc w:val="center"/>
              <w:rPr>
                <w:sz w:val="22"/>
                <w:szCs w:val="22"/>
              </w:rPr>
            </w:pPr>
            <w:r>
              <w:rPr>
                <w:sz w:val="22"/>
                <w:szCs w:val="22"/>
              </w:rPr>
              <w:t>1×3m</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台</w:t>
            </w:r>
          </w:p>
        </w:tc>
        <w:tc>
          <w:tcPr>
            <w:tcW w:w="705" w:type="dxa"/>
            <w:tcBorders>
              <w:tl2br w:val="nil"/>
              <w:tr2bl w:val="nil"/>
            </w:tcBorders>
            <w:vAlign w:val="bottom"/>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2</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31</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皮带输送机</w:t>
            </w:r>
          </w:p>
        </w:tc>
        <w:tc>
          <w:tcPr>
            <w:tcW w:w="1897" w:type="dxa"/>
            <w:tcBorders>
              <w:tl2br w:val="nil"/>
              <w:tr2bl w:val="nil"/>
            </w:tcBorders>
            <w:vAlign w:val="center"/>
          </w:tcPr>
          <w:p w:rsidR="00DB7CC8" w:rsidRDefault="002B5250">
            <w:pPr>
              <w:spacing w:line="240" w:lineRule="auto"/>
              <w:ind w:firstLineChars="0" w:firstLine="0"/>
              <w:jc w:val="center"/>
              <w:rPr>
                <w:sz w:val="22"/>
                <w:szCs w:val="22"/>
              </w:rPr>
            </w:pPr>
            <w:r>
              <w:rPr>
                <w:sz w:val="22"/>
                <w:szCs w:val="22"/>
              </w:rPr>
              <w:t>0.8m</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条</w:t>
            </w:r>
          </w:p>
        </w:tc>
        <w:tc>
          <w:tcPr>
            <w:tcW w:w="705"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4</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bl>
    <w:p w:rsidR="00DB7CC8" w:rsidRDefault="002B5250">
      <w:pPr>
        <w:spacing w:line="480" w:lineRule="exact"/>
        <w:ind w:firstLine="480"/>
        <w:jc w:val="both"/>
      </w:pPr>
      <w:r>
        <w:rPr>
          <w:rFonts w:hint="eastAsia"/>
          <w:sz w:val="24"/>
          <w:szCs w:val="24"/>
        </w:rPr>
        <w:t>根据相关资料及与建设单位沟通了解，本项目破碎工序使用</w:t>
      </w:r>
      <w:r>
        <w:rPr>
          <w:rFonts w:hint="eastAsia"/>
          <w:sz w:val="24"/>
          <w:szCs w:val="24"/>
        </w:rPr>
        <w:t>1</w:t>
      </w:r>
      <w:r>
        <w:rPr>
          <w:rFonts w:hint="eastAsia"/>
          <w:sz w:val="24"/>
          <w:szCs w:val="24"/>
        </w:rPr>
        <w:t>台型号为</w:t>
      </w:r>
      <w:r>
        <w:rPr>
          <w:rFonts w:hint="eastAsia"/>
          <w:sz w:val="24"/>
          <w:szCs w:val="24"/>
        </w:rPr>
        <w:t>600</w:t>
      </w:r>
      <w:r>
        <w:rPr>
          <w:rFonts w:hint="eastAsia"/>
          <w:sz w:val="24"/>
          <w:szCs w:val="24"/>
        </w:rPr>
        <w:t>×</w:t>
      </w:r>
      <w:r>
        <w:rPr>
          <w:rFonts w:hint="eastAsia"/>
          <w:sz w:val="24"/>
          <w:szCs w:val="24"/>
        </w:rPr>
        <w:t>900mm</w:t>
      </w:r>
      <w:r>
        <w:rPr>
          <w:rFonts w:hint="eastAsia"/>
          <w:sz w:val="24"/>
          <w:szCs w:val="24"/>
        </w:rPr>
        <w:t>的颚式破碎机，合计破碎处理能力约为</w:t>
      </w:r>
      <w:r>
        <w:rPr>
          <w:rFonts w:hint="eastAsia"/>
          <w:sz w:val="24"/>
          <w:szCs w:val="24"/>
        </w:rPr>
        <w:t>8</w:t>
      </w:r>
      <w:r>
        <w:rPr>
          <w:sz w:val="24"/>
          <w:szCs w:val="24"/>
        </w:rPr>
        <w:t>0</w:t>
      </w:r>
      <w:r>
        <w:rPr>
          <w:rFonts w:hint="eastAsia"/>
          <w:sz w:val="24"/>
          <w:szCs w:val="24"/>
        </w:rPr>
        <w:t>-</w:t>
      </w:r>
      <w:r>
        <w:rPr>
          <w:sz w:val="24"/>
          <w:szCs w:val="24"/>
        </w:rPr>
        <w:t>2</w:t>
      </w:r>
      <w:r>
        <w:rPr>
          <w:rFonts w:hint="eastAsia"/>
          <w:sz w:val="24"/>
          <w:szCs w:val="24"/>
        </w:rPr>
        <w:t>5</w:t>
      </w:r>
      <w:r>
        <w:rPr>
          <w:sz w:val="24"/>
          <w:szCs w:val="24"/>
        </w:rPr>
        <w:t>0</w:t>
      </w:r>
      <w:r>
        <w:rPr>
          <w:rFonts w:hint="eastAsia"/>
          <w:sz w:val="24"/>
          <w:szCs w:val="24"/>
        </w:rPr>
        <w:t>t/h</w:t>
      </w:r>
      <w:r>
        <w:rPr>
          <w:rFonts w:hint="eastAsia"/>
          <w:sz w:val="24"/>
          <w:szCs w:val="24"/>
        </w:rPr>
        <w:t>（铁矿石）。本项目球磨工序使用</w:t>
      </w:r>
      <w:r>
        <w:rPr>
          <w:rFonts w:hint="eastAsia"/>
          <w:sz w:val="24"/>
          <w:szCs w:val="24"/>
        </w:rPr>
        <w:t>1</w:t>
      </w:r>
      <w:r>
        <w:rPr>
          <w:rFonts w:hint="eastAsia"/>
          <w:sz w:val="24"/>
          <w:szCs w:val="24"/>
        </w:rPr>
        <w:t>台型号为</w:t>
      </w:r>
      <w:r>
        <w:rPr>
          <w:rFonts w:hint="eastAsia"/>
          <w:sz w:val="24"/>
          <w:szCs w:val="24"/>
        </w:rPr>
        <w:t>21</w:t>
      </w:r>
      <w:r>
        <w:rPr>
          <w:rFonts w:hint="eastAsia"/>
          <w:sz w:val="24"/>
          <w:szCs w:val="24"/>
        </w:rPr>
        <w:t>00</w:t>
      </w:r>
      <w:r>
        <w:rPr>
          <w:rFonts w:ascii="Arial" w:hAnsi="Arial" w:cs="Arial"/>
          <w:sz w:val="24"/>
          <w:szCs w:val="24"/>
        </w:rPr>
        <w:t>×</w:t>
      </w:r>
      <w:r>
        <w:rPr>
          <w:rFonts w:hint="eastAsia"/>
          <w:sz w:val="24"/>
          <w:szCs w:val="24"/>
        </w:rPr>
        <w:t>7</w:t>
      </w:r>
      <w:r>
        <w:rPr>
          <w:rFonts w:hint="eastAsia"/>
          <w:sz w:val="24"/>
          <w:szCs w:val="24"/>
        </w:rPr>
        <w:t>500mm</w:t>
      </w:r>
      <w:r>
        <w:rPr>
          <w:rFonts w:hint="eastAsia"/>
          <w:sz w:val="24"/>
          <w:szCs w:val="24"/>
        </w:rPr>
        <w:t>的球磨机，合计处理能力为</w:t>
      </w:r>
      <w:r>
        <w:rPr>
          <w:rFonts w:hint="eastAsia"/>
          <w:sz w:val="24"/>
          <w:szCs w:val="24"/>
        </w:rPr>
        <w:t>7</w:t>
      </w:r>
      <w:r>
        <w:rPr>
          <w:rFonts w:hint="eastAsia"/>
          <w:sz w:val="24"/>
          <w:szCs w:val="24"/>
        </w:rPr>
        <w:t>0-</w:t>
      </w:r>
      <w:r>
        <w:rPr>
          <w:rFonts w:hint="eastAsia"/>
          <w:sz w:val="24"/>
          <w:szCs w:val="24"/>
        </w:rPr>
        <w:t>20</w:t>
      </w:r>
      <w:r>
        <w:rPr>
          <w:rFonts w:hint="eastAsia"/>
          <w:sz w:val="24"/>
          <w:szCs w:val="24"/>
        </w:rPr>
        <w:t>0t/h</w:t>
      </w:r>
      <w:r>
        <w:rPr>
          <w:rFonts w:hint="eastAsia"/>
          <w:sz w:val="24"/>
          <w:szCs w:val="24"/>
        </w:rPr>
        <w:t>（铁矿石）。破碎工序使用的破碎机由于设备本身的特点，维修和保养较频繁（</w:t>
      </w:r>
      <w:r>
        <w:rPr>
          <w:rFonts w:hint="eastAsia"/>
          <w:sz w:val="24"/>
          <w:szCs w:val="24"/>
        </w:rPr>
        <w:t>1</w:t>
      </w:r>
      <w:r>
        <w:rPr>
          <w:rFonts w:hint="eastAsia"/>
          <w:sz w:val="24"/>
          <w:szCs w:val="24"/>
        </w:rPr>
        <w:t>次</w:t>
      </w:r>
      <w:r>
        <w:rPr>
          <w:rFonts w:hint="eastAsia"/>
          <w:sz w:val="24"/>
          <w:szCs w:val="24"/>
        </w:rPr>
        <w:t>/</w:t>
      </w:r>
      <w:r>
        <w:rPr>
          <w:rFonts w:hint="eastAsia"/>
          <w:sz w:val="24"/>
          <w:szCs w:val="24"/>
        </w:rPr>
        <w:t>周），故企业采用了破碎工序生产能力略大于一选球磨工序生产能力的生产配置设计，综合分析，本项目生产设备破碎能力与球磨、磁选能力相匹配。</w:t>
      </w:r>
      <w:bookmarkEnd w:id="187"/>
      <w:bookmarkEnd w:id="188"/>
    </w:p>
    <w:p w:rsidR="00DB7CC8" w:rsidRDefault="002B5250">
      <w:pPr>
        <w:pStyle w:val="3"/>
        <w:numPr>
          <w:ilvl w:val="2"/>
          <w:numId w:val="1"/>
        </w:numPr>
        <w:rPr>
          <w:szCs w:val="28"/>
        </w:rPr>
      </w:pPr>
      <w:r>
        <w:rPr>
          <w:szCs w:val="28"/>
        </w:rPr>
        <w:t>项目原辅材料及能源消耗情况</w:t>
      </w:r>
    </w:p>
    <w:p w:rsidR="00DB7CC8" w:rsidRDefault="002B5250">
      <w:pPr>
        <w:spacing w:line="480" w:lineRule="exact"/>
        <w:ind w:firstLine="480"/>
        <w:jc w:val="both"/>
        <w:rPr>
          <w:sz w:val="24"/>
          <w:szCs w:val="24"/>
        </w:rPr>
      </w:pPr>
      <w:r>
        <w:rPr>
          <w:sz w:val="24"/>
          <w:szCs w:val="24"/>
        </w:rPr>
        <w:t>本项目原料矿均来自遵化市隆晟矿业有限公司，</w:t>
      </w:r>
      <w:r>
        <w:rPr>
          <w:rFonts w:hint="eastAsia"/>
          <w:sz w:val="24"/>
          <w:szCs w:val="24"/>
        </w:rPr>
        <w:t>由于地质成分相同，同一区域内铁矿石成分基本相同，</w:t>
      </w:r>
      <w:r>
        <w:rPr>
          <w:sz w:val="24"/>
          <w:szCs w:val="24"/>
        </w:rPr>
        <w:t>铁矿种类为磁铁矿，主要成分为</w:t>
      </w:r>
      <w:hyperlink r:id="rId29" w:tgtFrame="_blank" w:history="1">
        <w:r>
          <w:rPr>
            <w:rStyle w:val="afff8"/>
            <w:color w:val="auto"/>
            <w:sz w:val="24"/>
            <w:szCs w:val="24"/>
            <w:u w:val="none"/>
          </w:rPr>
          <w:t>Fe</w:t>
        </w:r>
        <w:r>
          <w:rPr>
            <w:rStyle w:val="afff8"/>
            <w:color w:val="auto"/>
            <w:sz w:val="24"/>
            <w:szCs w:val="24"/>
            <w:u w:val="none"/>
            <w:vertAlign w:val="subscript"/>
          </w:rPr>
          <w:t>3</w:t>
        </w:r>
        <w:r>
          <w:rPr>
            <w:rStyle w:val="afff8"/>
            <w:color w:val="auto"/>
            <w:sz w:val="24"/>
            <w:szCs w:val="24"/>
            <w:u w:val="none"/>
          </w:rPr>
          <w:t>O</w:t>
        </w:r>
        <w:r>
          <w:rPr>
            <w:rStyle w:val="afff8"/>
            <w:color w:val="auto"/>
            <w:sz w:val="24"/>
            <w:szCs w:val="24"/>
            <w:u w:val="none"/>
            <w:vertAlign w:val="subscript"/>
          </w:rPr>
          <w:t>4</w:t>
        </w:r>
      </w:hyperlink>
      <w:r>
        <w:rPr>
          <w:sz w:val="24"/>
          <w:szCs w:val="24"/>
        </w:rPr>
        <w:t>，矿石粒径</w:t>
      </w:r>
      <w:r>
        <w:rPr>
          <w:sz w:val="24"/>
          <w:szCs w:val="24"/>
        </w:rPr>
        <w:t>30cm</w:t>
      </w:r>
      <w:r>
        <w:rPr>
          <w:sz w:val="24"/>
          <w:szCs w:val="24"/>
        </w:rPr>
        <w:t>，矿石堆积密度为</w:t>
      </w:r>
      <w:r>
        <w:rPr>
          <w:sz w:val="24"/>
          <w:szCs w:val="24"/>
        </w:rPr>
        <w:t>3.</w:t>
      </w:r>
      <w:r>
        <w:rPr>
          <w:rFonts w:hint="eastAsia"/>
          <w:sz w:val="24"/>
          <w:szCs w:val="24"/>
        </w:rPr>
        <w:t>52</w:t>
      </w:r>
      <w:r>
        <w:rPr>
          <w:sz w:val="24"/>
          <w:szCs w:val="24"/>
        </w:rPr>
        <w:t>t/m</w:t>
      </w:r>
      <w:r>
        <w:rPr>
          <w:sz w:val="24"/>
          <w:szCs w:val="24"/>
          <w:vertAlign w:val="superscript"/>
        </w:rPr>
        <w:t>3</w:t>
      </w:r>
      <w:r>
        <w:rPr>
          <w:sz w:val="24"/>
          <w:szCs w:val="24"/>
        </w:rPr>
        <w:t>。</w:t>
      </w:r>
    </w:p>
    <w:p w:rsidR="00DB7CC8" w:rsidRDefault="002B5250">
      <w:pPr>
        <w:spacing w:line="480" w:lineRule="exact"/>
        <w:ind w:firstLine="480"/>
        <w:jc w:val="both"/>
        <w:rPr>
          <w:sz w:val="24"/>
          <w:szCs w:val="24"/>
        </w:rPr>
      </w:pPr>
      <w:r>
        <w:rPr>
          <w:sz w:val="24"/>
          <w:szCs w:val="24"/>
        </w:rPr>
        <w:t>根据建设单位提供的资料，原料矿的具体成分见表</w:t>
      </w:r>
      <w:r>
        <w:rPr>
          <w:sz w:val="24"/>
          <w:szCs w:val="24"/>
        </w:rPr>
        <w:t>3.</w:t>
      </w:r>
      <w:r>
        <w:rPr>
          <w:rFonts w:hint="eastAsia"/>
          <w:sz w:val="24"/>
          <w:szCs w:val="24"/>
        </w:rPr>
        <w:t>2</w:t>
      </w:r>
      <w:r>
        <w:rPr>
          <w:sz w:val="24"/>
          <w:szCs w:val="24"/>
        </w:rPr>
        <w:t>-5</w:t>
      </w:r>
      <w:r>
        <w:rPr>
          <w:rFonts w:hint="eastAsia"/>
          <w:sz w:val="24"/>
          <w:szCs w:val="24"/>
        </w:rPr>
        <w:t>（来源于河北省遵化市金凯矿业有限公司地利铁矿资源储量核实报告，见附件）</w:t>
      </w:r>
      <w:r>
        <w:rPr>
          <w:sz w:val="24"/>
          <w:szCs w:val="24"/>
        </w:rPr>
        <w:t>。</w:t>
      </w:r>
    </w:p>
    <w:p w:rsidR="00DB7CC8" w:rsidRDefault="002B5250">
      <w:pPr>
        <w:spacing w:beforeLines="50" w:before="120"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3.</w:t>
      </w:r>
      <w:r>
        <w:rPr>
          <w:rFonts w:eastAsia="黑体" w:hint="eastAsia"/>
          <w:kern w:val="2"/>
          <w:sz w:val="21"/>
          <w:szCs w:val="21"/>
        </w:rPr>
        <w:t>2</w:t>
      </w:r>
      <w:r>
        <w:rPr>
          <w:rFonts w:eastAsia="黑体"/>
          <w:kern w:val="2"/>
          <w:sz w:val="21"/>
          <w:szCs w:val="21"/>
        </w:rPr>
        <w:t>-5</w:t>
      </w:r>
      <w:r>
        <w:rPr>
          <w:rFonts w:eastAsia="黑体"/>
          <w:kern w:val="2"/>
          <w:sz w:val="21"/>
          <w:szCs w:val="21"/>
        </w:rPr>
        <w:t>原料矿成分表</w:t>
      </w:r>
    </w:p>
    <w:tbl>
      <w:tblPr>
        <w:tblW w:w="8744" w:type="dxa"/>
        <w:jc w:val="center"/>
        <w:tblBorders>
          <w:top w:val="single" w:sz="4" w:space="0" w:color="auto"/>
          <w:bottom w:val="single" w:sz="4" w:space="0" w:color="auto"/>
          <w:insideH w:val="single" w:sz="6" w:space="0" w:color="auto"/>
          <w:insideV w:val="single" w:sz="6" w:space="0" w:color="auto"/>
        </w:tblBorders>
        <w:tblLayout w:type="fixed"/>
        <w:tblCellMar>
          <w:top w:w="15" w:type="dxa"/>
          <w:left w:w="15" w:type="dxa"/>
          <w:bottom w:w="15" w:type="dxa"/>
          <w:right w:w="15" w:type="dxa"/>
        </w:tblCellMar>
        <w:tblLook w:val="04A0" w:firstRow="1" w:lastRow="0" w:firstColumn="1" w:lastColumn="0" w:noHBand="0" w:noVBand="1"/>
      </w:tblPr>
      <w:tblGrid>
        <w:gridCol w:w="1009"/>
        <w:gridCol w:w="595"/>
        <w:gridCol w:w="595"/>
        <w:gridCol w:w="595"/>
        <w:gridCol w:w="595"/>
        <w:gridCol w:w="595"/>
        <w:gridCol w:w="595"/>
        <w:gridCol w:w="595"/>
        <w:gridCol w:w="595"/>
        <w:gridCol w:w="595"/>
        <w:gridCol w:w="595"/>
        <w:gridCol w:w="595"/>
        <w:gridCol w:w="595"/>
        <w:gridCol w:w="595"/>
      </w:tblGrid>
      <w:tr w:rsidR="00DB7CC8">
        <w:trPr>
          <w:trHeight w:val="286"/>
          <w:jc w:val="center"/>
        </w:trPr>
        <w:tc>
          <w:tcPr>
            <w:tcW w:w="1009" w:type="dxa"/>
            <w:vMerge w:val="restart"/>
            <w:tcBorders>
              <w:left w:val="single" w:sz="4" w:space="0" w:color="auto"/>
            </w:tcBorders>
            <w:vAlign w:val="center"/>
          </w:tcPr>
          <w:p w:rsidR="00DB7CC8" w:rsidRDefault="002B5250">
            <w:pPr>
              <w:widowControl/>
              <w:spacing w:line="240" w:lineRule="auto"/>
              <w:ind w:firstLineChars="0" w:firstLine="0"/>
              <w:jc w:val="center"/>
              <w:textAlignment w:val="auto"/>
              <w:rPr>
                <w:sz w:val="21"/>
                <w:szCs w:val="21"/>
              </w:rPr>
            </w:pPr>
            <w:r>
              <w:rPr>
                <w:sz w:val="21"/>
                <w:szCs w:val="21"/>
              </w:rPr>
              <w:t>送样号</w:t>
            </w:r>
          </w:p>
        </w:tc>
        <w:tc>
          <w:tcPr>
            <w:tcW w:w="7735" w:type="dxa"/>
            <w:gridSpan w:val="13"/>
            <w:tcBorders>
              <w:right w:val="single" w:sz="4" w:space="0" w:color="auto"/>
            </w:tcBorders>
            <w:vAlign w:val="center"/>
          </w:tcPr>
          <w:p w:rsidR="00DB7CC8" w:rsidRDefault="002B5250">
            <w:pPr>
              <w:widowControl/>
              <w:spacing w:line="240" w:lineRule="auto"/>
              <w:ind w:firstLineChars="0" w:firstLine="0"/>
              <w:jc w:val="center"/>
              <w:textAlignment w:val="auto"/>
              <w:rPr>
                <w:sz w:val="21"/>
                <w:szCs w:val="21"/>
              </w:rPr>
            </w:pPr>
            <w:r>
              <w:rPr>
                <w:sz w:val="21"/>
                <w:szCs w:val="21"/>
              </w:rPr>
              <w:t>分析结果</w:t>
            </w:r>
            <w:r>
              <w:rPr>
                <w:sz w:val="21"/>
                <w:szCs w:val="21"/>
              </w:rPr>
              <w:t>%</w:t>
            </w:r>
          </w:p>
        </w:tc>
      </w:tr>
      <w:tr w:rsidR="00DB7CC8">
        <w:trPr>
          <w:trHeight w:val="286"/>
          <w:jc w:val="center"/>
        </w:trPr>
        <w:tc>
          <w:tcPr>
            <w:tcW w:w="1009" w:type="dxa"/>
            <w:vMerge/>
            <w:tcBorders>
              <w:left w:val="single" w:sz="4" w:space="0" w:color="auto"/>
            </w:tcBorders>
            <w:vAlign w:val="center"/>
          </w:tcPr>
          <w:p w:rsidR="00DB7CC8" w:rsidRDefault="00DB7CC8">
            <w:pPr>
              <w:widowControl/>
              <w:spacing w:line="240" w:lineRule="auto"/>
              <w:ind w:firstLineChars="0" w:firstLine="0"/>
              <w:jc w:val="center"/>
              <w:textAlignment w:val="auto"/>
              <w:rPr>
                <w:sz w:val="21"/>
                <w:szCs w:val="21"/>
              </w:rPr>
            </w:pPr>
          </w:p>
        </w:tc>
        <w:tc>
          <w:tcPr>
            <w:tcW w:w="595" w:type="dxa"/>
            <w:vAlign w:val="center"/>
          </w:tcPr>
          <w:p w:rsidR="00DB7CC8" w:rsidRDefault="002B5250">
            <w:pPr>
              <w:widowControl/>
              <w:spacing w:line="240" w:lineRule="auto"/>
              <w:ind w:firstLineChars="0" w:firstLine="0"/>
              <w:jc w:val="center"/>
              <w:textAlignment w:val="auto"/>
              <w:rPr>
                <w:sz w:val="21"/>
                <w:szCs w:val="21"/>
              </w:rPr>
            </w:pPr>
            <w:r>
              <w:rPr>
                <w:sz w:val="21"/>
                <w:szCs w:val="21"/>
              </w:rPr>
              <w:t>TFe</w:t>
            </w:r>
          </w:p>
        </w:tc>
        <w:tc>
          <w:tcPr>
            <w:tcW w:w="595" w:type="dxa"/>
            <w:vAlign w:val="center"/>
          </w:tcPr>
          <w:p w:rsidR="00DB7CC8" w:rsidRDefault="002B5250">
            <w:pPr>
              <w:widowControl/>
              <w:spacing w:line="240" w:lineRule="auto"/>
              <w:ind w:firstLineChars="0" w:firstLine="0"/>
              <w:jc w:val="center"/>
              <w:textAlignment w:val="auto"/>
              <w:rPr>
                <w:sz w:val="21"/>
                <w:szCs w:val="21"/>
              </w:rPr>
            </w:pPr>
            <w:r>
              <w:rPr>
                <w:sz w:val="21"/>
                <w:szCs w:val="21"/>
              </w:rPr>
              <w:t>FeO</w:t>
            </w:r>
          </w:p>
        </w:tc>
        <w:tc>
          <w:tcPr>
            <w:tcW w:w="595" w:type="dxa"/>
            <w:vAlign w:val="center"/>
          </w:tcPr>
          <w:p w:rsidR="00DB7CC8" w:rsidRDefault="002B5250">
            <w:pPr>
              <w:widowControl/>
              <w:spacing w:line="240" w:lineRule="auto"/>
              <w:ind w:firstLineChars="0" w:firstLine="0"/>
              <w:jc w:val="center"/>
              <w:textAlignment w:val="auto"/>
              <w:rPr>
                <w:sz w:val="21"/>
                <w:szCs w:val="21"/>
              </w:rPr>
            </w:pPr>
            <w:r>
              <w:rPr>
                <w:sz w:val="21"/>
                <w:szCs w:val="21"/>
              </w:rPr>
              <w:t>SiO</w:t>
            </w:r>
            <w:r>
              <w:rPr>
                <w:sz w:val="21"/>
                <w:szCs w:val="21"/>
                <w:vertAlign w:val="subscript"/>
              </w:rPr>
              <w:t>2</w:t>
            </w:r>
          </w:p>
        </w:tc>
        <w:tc>
          <w:tcPr>
            <w:tcW w:w="595" w:type="dxa"/>
            <w:vAlign w:val="center"/>
          </w:tcPr>
          <w:p w:rsidR="00DB7CC8" w:rsidRDefault="002B5250">
            <w:pPr>
              <w:widowControl/>
              <w:spacing w:line="240" w:lineRule="auto"/>
              <w:ind w:firstLineChars="0" w:firstLine="0"/>
              <w:jc w:val="center"/>
              <w:textAlignment w:val="auto"/>
              <w:rPr>
                <w:sz w:val="21"/>
                <w:szCs w:val="21"/>
              </w:rPr>
            </w:pPr>
            <w:r>
              <w:rPr>
                <w:sz w:val="21"/>
                <w:szCs w:val="21"/>
              </w:rPr>
              <w:t>CaO</w:t>
            </w:r>
          </w:p>
        </w:tc>
        <w:tc>
          <w:tcPr>
            <w:tcW w:w="595" w:type="dxa"/>
            <w:vAlign w:val="center"/>
          </w:tcPr>
          <w:p w:rsidR="00DB7CC8" w:rsidRDefault="002B5250">
            <w:pPr>
              <w:widowControl/>
              <w:spacing w:line="240" w:lineRule="auto"/>
              <w:ind w:firstLineChars="0" w:firstLine="0"/>
              <w:jc w:val="center"/>
              <w:textAlignment w:val="auto"/>
              <w:rPr>
                <w:sz w:val="21"/>
                <w:szCs w:val="21"/>
              </w:rPr>
            </w:pPr>
            <w:r>
              <w:rPr>
                <w:sz w:val="21"/>
                <w:szCs w:val="21"/>
              </w:rPr>
              <w:t>MgO</w:t>
            </w:r>
          </w:p>
        </w:tc>
        <w:tc>
          <w:tcPr>
            <w:tcW w:w="595" w:type="dxa"/>
            <w:vAlign w:val="center"/>
          </w:tcPr>
          <w:p w:rsidR="00DB7CC8" w:rsidRDefault="002B5250">
            <w:pPr>
              <w:widowControl/>
              <w:spacing w:line="240" w:lineRule="auto"/>
              <w:ind w:firstLineChars="0" w:firstLine="0"/>
              <w:jc w:val="center"/>
              <w:textAlignment w:val="auto"/>
              <w:rPr>
                <w:sz w:val="21"/>
                <w:szCs w:val="21"/>
              </w:rPr>
            </w:pPr>
            <w:r>
              <w:rPr>
                <w:sz w:val="21"/>
                <w:szCs w:val="21"/>
              </w:rPr>
              <w:t>Al</w:t>
            </w:r>
            <w:r>
              <w:rPr>
                <w:sz w:val="21"/>
                <w:szCs w:val="21"/>
                <w:vertAlign w:val="subscript"/>
              </w:rPr>
              <w:t>2</w:t>
            </w:r>
            <w:r>
              <w:rPr>
                <w:sz w:val="21"/>
                <w:szCs w:val="21"/>
              </w:rPr>
              <w:t>O</w:t>
            </w:r>
            <w:r>
              <w:rPr>
                <w:sz w:val="21"/>
                <w:szCs w:val="21"/>
                <w:vertAlign w:val="subscript"/>
              </w:rPr>
              <w:t>3</w:t>
            </w:r>
          </w:p>
        </w:tc>
        <w:tc>
          <w:tcPr>
            <w:tcW w:w="595" w:type="dxa"/>
            <w:vAlign w:val="center"/>
          </w:tcPr>
          <w:p w:rsidR="00DB7CC8" w:rsidRDefault="002B5250">
            <w:pPr>
              <w:widowControl/>
              <w:spacing w:line="240" w:lineRule="auto"/>
              <w:ind w:firstLineChars="0" w:firstLine="0"/>
              <w:jc w:val="center"/>
              <w:textAlignment w:val="auto"/>
              <w:rPr>
                <w:sz w:val="21"/>
                <w:szCs w:val="21"/>
              </w:rPr>
            </w:pPr>
            <w:r>
              <w:rPr>
                <w:sz w:val="21"/>
                <w:szCs w:val="21"/>
              </w:rPr>
              <w:t>TiO</w:t>
            </w:r>
            <w:r>
              <w:rPr>
                <w:sz w:val="21"/>
                <w:szCs w:val="21"/>
                <w:vertAlign w:val="subscript"/>
              </w:rPr>
              <w:t>2</w:t>
            </w:r>
          </w:p>
        </w:tc>
        <w:tc>
          <w:tcPr>
            <w:tcW w:w="595" w:type="dxa"/>
            <w:vAlign w:val="center"/>
          </w:tcPr>
          <w:p w:rsidR="00DB7CC8" w:rsidRDefault="002B5250">
            <w:pPr>
              <w:widowControl/>
              <w:spacing w:line="240" w:lineRule="auto"/>
              <w:ind w:firstLineChars="0" w:firstLine="0"/>
              <w:jc w:val="center"/>
              <w:textAlignment w:val="auto"/>
              <w:rPr>
                <w:sz w:val="21"/>
                <w:szCs w:val="21"/>
              </w:rPr>
            </w:pPr>
            <w:r>
              <w:rPr>
                <w:sz w:val="21"/>
                <w:szCs w:val="21"/>
              </w:rPr>
              <w:t>MnO</w:t>
            </w:r>
          </w:p>
        </w:tc>
        <w:tc>
          <w:tcPr>
            <w:tcW w:w="595" w:type="dxa"/>
            <w:vAlign w:val="center"/>
          </w:tcPr>
          <w:p w:rsidR="00DB7CC8" w:rsidRDefault="002B5250">
            <w:pPr>
              <w:widowControl/>
              <w:spacing w:line="240" w:lineRule="auto"/>
              <w:ind w:firstLineChars="0" w:firstLine="0"/>
              <w:jc w:val="center"/>
              <w:textAlignment w:val="auto"/>
              <w:rPr>
                <w:sz w:val="21"/>
                <w:szCs w:val="21"/>
              </w:rPr>
            </w:pPr>
            <w:r>
              <w:rPr>
                <w:sz w:val="21"/>
                <w:szCs w:val="21"/>
              </w:rPr>
              <w:t>K</w:t>
            </w:r>
            <w:r>
              <w:rPr>
                <w:sz w:val="21"/>
                <w:szCs w:val="21"/>
                <w:vertAlign w:val="subscript"/>
              </w:rPr>
              <w:t>2</w:t>
            </w:r>
            <w:r>
              <w:rPr>
                <w:sz w:val="21"/>
                <w:szCs w:val="21"/>
              </w:rPr>
              <w:t>O</w:t>
            </w:r>
          </w:p>
        </w:tc>
        <w:tc>
          <w:tcPr>
            <w:tcW w:w="595" w:type="dxa"/>
            <w:vAlign w:val="center"/>
          </w:tcPr>
          <w:p w:rsidR="00DB7CC8" w:rsidRDefault="002B5250">
            <w:pPr>
              <w:widowControl/>
              <w:spacing w:line="240" w:lineRule="auto"/>
              <w:ind w:firstLineChars="0" w:firstLine="0"/>
              <w:jc w:val="center"/>
              <w:textAlignment w:val="auto"/>
              <w:rPr>
                <w:sz w:val="21"/>
                <w:szCs w:val="21"/>
              </w:rPr>
            </w:pPr>
            <w:r>
              <w:rPr>
                <w:sz w:val="21"/>
                <w:szCs w:val="21"/>
              </w:rPr>
              <w:t>Na</w:t>
            </w:r>
            <w:r>
              <w:rPr>
                <w:sz w:val="21"/>
                <w:szCs w:val="21"/>
                <w:vertAlign w:val="subscript"/>
              </w:rPr>
              <w:t>2</w:t>
            </w:r>
            <w:r>
              <w:rPr>
                <w:sz w:val="21"/>
                <w:szCs w:val="21"/>
              </w:rPr>
              <w:t>O</w:t>
            </w:r>
          </w:p>
        </w:tc>
        <w:tc>
          <w:tcPr>
            <w:tcW w:w="595" w:type="dxa"/>
            <w:vAlign w:val="center"/>
          </w:tcPr>
          <w:p w:rsidR="00DB7CC8" w:rsidRDefault="002B5250">
            <w:pPr>
              <w:widowControl/>
              <w:spacing w:line="240" w:lineRule="auto"/>
              <w:ind w:firstLineChars="0" w:firstLine="0"/>
              <w:jc w:val="center"/>
              <w:textAlignment w:val="auto"/>
              <w:rPr>
                <w:sz w:val="21"/>
                <w:szCs w:val="21"/>
              </w:rPr>
            </w:pPr>
            <w:r>
              <w:rPr>
                <w:sz w:val="21"/>
                <w:szCs w:val="21"/>
              </w:rPr>
              <w:t>S</w:t>
            </w:r>
          </w:p>
        </w:tc>
        <w:tc>
          <w:tcPr>
            <w:tcW w:w="595" w:type="dxa"/>
            <w:vAlign w:val="center"/>
          </w:tcPr>
          <w:p w:rsidR="00DB7CC8" w:rsidRDefault="002B5250">
            <w:pPr>
              <w:widowControl/>
              <w:spacing w:line="240" w:lineRule="auto"/>
              <w:ind w:firstLineChars="0" w:firstLine="0"/>
              <w:jc w:val="center"/>
              <w:textAlignment w:val="auto"/>
              <w:rPr>
                <w:sz w:val="21"/>
                <w:szCs w:val="21"/>
              </w:rPr>
            </w:pPr>
            <w:r>
              <w:rPr>
                <w:sz w:val="21"/>
                <w:szCs w:val="21"/>
              </w:rPr>
              <w:t>P</w:t>
            </w:r>
          </w:p>
        </w:tc>
        <w:tc>
          <w:tcPr>
            <w:tcW w:w="595" w:type="dxa"/>
            <w:tcBorders>
              <w:right w:val="single" w:sz="4" w:space="0" w:color="auto"/>
            </w:tcBorders>
            <w:vAlign w:val="center"/>
          </w:tcPr>
          <w:p w:rsidR="00DB7CC8" w:rsidRDefault="002B5250">
            <w:pPr>
              <w:widowControl/>
              <w:spacing w:line="240" w:lineRule="auto"/>
              <w:ind w:firstLineChars="0" w:firstLine="0"/>
              <w:jc w:val="center"/>
              <w:textAlignment w:val="auto"/>
              <w:rPr>
                <w:sz w:val="21"/>
                <w:szCs w:val="21"/>
              </w:rPr>
            </w:pPr>
            <w:r>
              <w:rPr>
                <w:sz w:val="21"/>
                <w:szCs w:val="21"/>
              </w:rPr>
              <w:t>LoI</w:t>
            </w:r>
          </w:p>
        </w:tc>
      </w:tr>
      <w:tr w:rsidR="00DB7CC8">
        <w:trPr>
          <w:trHeight w:val="286"/>
          <w:jc w:val="center"/>
        </w:trPr>
        <w:tc>
          <w:tcPr>
            <w:tcW w:w="1009" w:type="dxa"/>
            <w:tcBorders>
              <w:left w:val="single" w:sz="4" w:space="0" w:color="auto"/>
            </w:tcBorders>
            <w:vAlign w:val="center"/>
          </w:tcPr>
          <w:p w:rsidR="00DB7CC8" w:rsidRDefault="002B5250">
            <w:pPr>
              <w:widowControl/>
              <w:spacing w:line="240" w:lineRule="auto"/>
              <w:ind w:firstLineChars="0" w:firstLine="0"/>
              <w:jc w:val="center"/>
              <w:textAlignment w:val="auto"/>
              <w:rPr>
                <w:sz w:val="21"/>
                <w:szCs w:val="21"/>
              </w:rPr>
            </w:pPr>
            <w:r>
              <w:rPr>
                <w:sz w:val="21"/>
                <w:szCs w:val="21"/>
              </w:rPr>
              <w:t>HQ1</w:t>
            </w:r>
          </w:p>
        </w:tc>
        <w:tc>
          <w:tcPr>
            <w:tcW w:w="595" w:type="dxa"/>
            <w:vAlign w:val="center"/>
          </w:tcPr>
          <w:p w:rsidR="00DB7CC8" w:rsidRDefault="002B5250">
            <w:pPr>
              <w:pStyle w:val="afd"/>
              <w:snapToGrid/>
              <w:jc w:val="center"/>
              <w:rPr>
                <w:bCs/>
                <w:kern w:val="0"/>
                <w:sz w:val="21"/>
                <w:szCs w:val="21"/>
              </w:rPr>
            </w:pPr>
            <w:r>
              <w:rPr>
                <w:sz w:val="21"/>
                <w:szCs w:val="21"/>
              </w:rPr>
              <w:t>2</w:t>
            </w:r>
            <w:r>
              <w:rPr>
                <w:rFonts w:hint="eastAsia"/>
                <w:sz w:val="21"/>
                <w:szCs w:val="21"/>
              </w:rPr>
              <w:t>2</w:t>
            </w:r>
            <w:r>
              <w:rPr>
                <w:sz w:val="21"/>
                <w:szCs w:val="21"/>
              </w:rPr>
              <w:t>.98</w:t>
            </w:r>
          </w:p>
        </w:tc>
        <w:tc>
          <w:tcPr>
            <w:tcW w:w="595" w:type="dxa"/>
            <w:vAlign w:val="center"/>
          </w:tcPr>
          <w:p w:rsidR="00DB7CC8" w:rsidRDefault="002B5250">
            <w:pPr>
              <w:pStyle w:val="afd"/>
              <w:snapToGrid/>
              <w:jc w:val="center"/>
              <w:rPr>
                <w:bCs/>
                <w:kern w:val="0"/>
                <w:sz w:val="21"/>
                <w:szCs w:val="21"/>
              </w:rPr>
            </w:pPr>
            <w:r>
              <w:rPr>
                <w:sz w:val="21"/>
                <w:szCs w:val="21"/>
              </w:rPr>
              <w:t>12.38</w:t>
            </w:r>
          </w:p>
        </w:tc>
        <w:tc>
          <w:tcPr>
            <w:tcW w:w="595" w:type="dxa"/>
            <w:vAlign w:val="center"/>
          </w:tcPr>
          <w:p w:rsidR="00DB7CC8" w:rsidRDefault="002B5250">
            <w:pPr>
              <w:pStyle w:val="afd"/>
              <w:snapToGrid/>
              <w:jc w:val="center"/>
              <w:rPr>
                <w:bCs/>
                <w:kern w:val="0"/>
                <w:sz w:val="21"/>
                <w:szCs w:val="21"/>
              </w:rPr>
            </w:pPr>
            <w:r>
              <w:rPr>
                <w:sz w:val="21"/>
                <w:szCs w:val="21"/>
              </w:rPr>
              <w:t>44.00</w:t>
            </w:r>
          </w:p>
        </w:tc>
        <w:tc>
          <w:tcPr>
            <w:tcW w:w="595" w:type="dxa"/>
            <w:vAlign w:val="center"/>
          </w:tcPr>
          <w:p w:rsidR="00DB7CC8" w:rsidRDefault="002B5250">
            <w:pPr>
              <w:pStyle w:val="afd"/>
              <w:snapToGrid/>
              <w:jc w:val="center"/>
              <w:rPr>
                <w:bCs/>
                <w:kern w:val="0"/>
                <w:sz w:val="21"/>
                <w:szCs w:val="21"/>
              </w:rPr>
            </w:pPr>
            <w:r>
              <w:rPr>
                <w:sz w:val="21"/>
                <w:szCs w:val="21"/>
              </w:rPr>
              <w:t>0.86</w:t>
            </w:r>
          </w:p>
        </w:tc>
        <w:tc>
          <w:tcPr>
            <w:tcW w:w="595" w:type="dxa"/>
            <w:vAlign w:val="center"/>
          </w:tcPr>
          <w:p w:rsidR="00DB7CC8" w:rsidRDefault="002B5250">
            <w:pPr>
              <w:pStyle w:val="afd"/>
              <w:snapToGrid/>
              <w:jc w:val="center"/>
              <w:rPr>
                <w:bCs/>
                <w:kern w:val="0"/>
                <w:sz w:val="21"/>
                <w:szCs w:val="21"/>
              </w:rPr>
            </w:pPr>
            <w:r>
              <w:rPr>
                <w:sz w:val="21"/>
                <w:szCs w:val="21"/>
              </w:rPr>
              <w:t>3.46</w:t>
            </w:r>
          </w:p>
        </w:tc>
        <w:tc>
          <w:tcPr>
            <w:tcW w:w="595" w:type="dxa"/>
            <w:vAlign w:val="center"/>
          </w:tcPr>
          <w:p w:rsidR="00DB7CC8" w:rsidRDefault="002B5250">
            <w:pPr>
              <w:pStyle w:val="afd"/>
              <w:snapToGrid/>
              <w:jc w:val="center"/>
              <w:rPr>
                <w:bCs/>
                <w:kern w:val="0"/>
                <w:sz w:val="21"/>
                <w:szCs w:val="21"/>
              </w:rPr>
            </w:pPr>
            <w:r>
              <w:rPr>
                <w:sz w:val="21"/>
                <w:szCs w:val="21"/>
              </w:rPr>
              <w:t>7.92</w:t>
            </w:r>
          </w:p>
        </w:tc>
        <w:tc>
          <w:tcPr>
            <w:tcW w:w="595" w:type="dxa"/>
            <w:vAlign w:val="center"/>
          </w:tcPr>
          <w:p w:rsidR="00DB7CC8" w:rsidRDefault="002B5250">
            <w:pPr>
              <w:pStyle w:val="afd"/>
              <w:snapToGrid/>
              <w:jc w:val="center"/>
              <w:rPr>
                <w:bCs/>
                <w:kern w:val="0"/>
                <w:sz w:val="21"/>
                <w:szCs w:val="21"/>
              </w:rPr>
            </w:pPr>
            <w:r>
              <w:rPr>
                <w:sz w:val="21"/>
                <w:szCs w:val="21"/>
              </w:rPr>
              <w:t>0.53</w:t>
            </w:r>
          </w:p>
        </w:tc>
        <w:tc>
          <w:tcPr>
            <w:tcW w:w="595" w:type="dxa"/>
            <w:vAlign w:val="center"/>
          </w:tcPr>
          <w:p w:rsidR="00DB7CC8" w:rsidRDefault="002B5250">
            <w:pPr>
              <w:pStyle w:val="afd"/>
              <w:snapToGrid/>
              <w:jc w:val="center"/>
              <w:rPr>
                <w:bCs/>
                <w:kern w:val="0"/>
                <w:sz w:val="21"/>
                <w:szCs w:val="21"/>
              </w:rPr>
            </w:pPr>
            <w:r>
              <w:rPr>
                <w:sz w:val="21"/>
                <w:szCs w:val="21"/>
              </w:rPr>
              <w:t>0.09</w:t>
            </w:r>
          </w:p>
        </w:tc>
        <w:tc>
          <w:tcPr>
            <w:tcW w:w="595" w:type="dxa"/>
            <w:vAlign w:val="center"/>
          </w:tcPr>
          <w:p w:rsidR="00DB7CC8" w:rsidRDefault="002B5250">
            <w:pPr>
              <w:pStyle w:val="afd"/>
              <w:snapToGrid/>
              <w:jc w:val="center"/>
              <w:rPr>
                <w:bCs/>
                <w:kern w:val="0"/>
                <w:sz w:val="21"/>
                <w:szCs w:val="21"/>
              </w:rPr>
            </w:pPr>
            <w:r>
              <w:rPr>
                <w:sz w:val="21"/>
                <w:szCs w:val="21"/>
              </w:rPr>
              <w:t>0.72</w:t>
            </w:r>
          </w:p>
        </w:tc>
        <w:tc>
          <w:tcPr>
            <w:tcW w:w="595" w:type="dxa"/>
            <w:vAlign w:val="center"/>
          </w:tcPr>
          <w:p w:rsidR="00DB7CC8" w:rsidRDefault="002B5250">
            <w:pPr>
              <w:pStyle w:val="afd"/>
              <w:snapToGrid/>
              <w:jc w:val="center"/>
              <w:rPr>
                <w:bCs/>
                <w:kern w:val="0"/>
                <w:sz w:val="21"/>
                <w:szCs w:val="21"/>
              </w:rPr>
            </w:pPr>
            <w:r>
              <w:rPr>
                <w:sz w:val="21"/>
                <w:szCs w:val="21"/>
              </w:rPr>
              <w:t>0.38</w:t>
            </w:r>
          </w:p>
        </w:tc>
        <w:tc>
          <w:tcPr>
            <w:tcW w:w="595" w:type="dxa"/>
            <w:vAlign w:val="center"/>
          </w:tcPr>
          <w:p w:rsidR="00DB7CC8" w:rsidRDefault="002B5250">
            <w:pPr>
              <w:pStyle w:val="afd"/>
              <w:snapToGrid/>
              <w:jc w:val="center"/>
              <w:rPr>
                <w:bCs/>
                <w:kern w:val="0"/>
                <w:sz w:val="21"/>
                <w:szCs w:val="21"/>
              </w:rPr>
            </w:pPr>
            <w:r>
              <w:rPr>
                <w:sz w:val="21"/>
                <w:szCs w:val="21"/>
              </w:rPr>
              <w:t>0.05</w:t>
            </w:r>
          </w:p>
        </w:tc>
        <w:tc>
          <w:tcPr>
            <w:tcW w:w="595" w:type="dxa"/>
            <w:vAlign w:val="center"/>
          </w:tcPr>
          <w:p w:rsidR="00DB7CC8" w:rsidRDefault="002B5250">
            <w:pPr>
              <w:pStyle w:val="afd"/>
              <w:snapToGrid/>
              <w:jc w:val="center"/>
              <w:rPr>
                <w:bCs/>
                <w:kern w:val="0"/>
                <w:sz w:val="21"/>
                <w:szCs w:val="21"/>
              </w:rPr>
            </w:pPr>
            <w:r>
              <w:rPr>
                <w:sz w:val="21"/>
                <w:szCs w:val="21"/>
              </w:rPr>
              <w:t>0.14</w:t>
            </w:r>
          </w:p>
        </w:tc>
        <w:tc>
          <w:tcPr>
            <w:tcW w:w="595" w:type="dxa"/>
            <w:tcBorders>
              <w:right w:val="single" w:sz="4" w:space="0" w:color="auto"/>
            </w:tcBorders>
            <w:vAlign w:val="center"/>
          </w:tcPr>
          <w:p w:rsidR="00DB7CC8" w:rsidRDefault="002B5250">
            <w:pPr>
              <w:pStyle w:val="afd"/>
              <w:snapToGrid/>
              <w:jc w:val="center"/>
              <w:rPr>
                <w:bCs/>
                <w:kern w:val="0"/>
                <w:sz w:val="21"/>
                <w:szCs w:val="21"/>
              </w:rPr>
            </w:pPr>
            <w:r>
              <w:rPr>
                <w:sz w:val="21"/>
                <w:szCs w:val="21"/>
              </w:rPr>
              <w:t>2.47</w:t>
            </w:r>
          </w:p>
        </w:tc>
      </w:tr>
      <w:tr w:rsidR="00DB7CC8">
        <w:trPr>
          <w:trHeight w:val="286"/>
          <w:jc w:val="center"/>
        </w:trPr>
        <w:tc>
          <w:tcPr>
            <w:tcW w:w="1009" w:type="dxa"/>
            <w:tcBorders>
              <w:left w:val="single" w:sz="4" w:space="0" w:color="auto"/>
            </w:tcBorders>
            <w:vAlign w:val="center"/>
          </w:tcPr>
          <w:p w:rsidR="00DB7CC8" w:rsidRDefault="002B5250">
            <w:pPr>
              <w:widowControl/>
              <w:spacing w:line="240" w:lineRule="auto"/>
              <w:ind w:firstLineChars="0" w:firstLine="0"/>
              <w:jc w:val="center"/>
              <w:textAlignment w:val="auto"/>
              <w:rPr>
                <w:sz w:val="21"/>
                <w:szCs w:val="21"/>
              </w:rPr>
            </w:pPr>
            <w:r>
              <w:rPr>
                <w:sz w:val="21"/>
                <w:szCs w:val="21"/>
              </w:rPr>
              <w:t>HQ2</w:t>
            </w:r>
          </w:p>
        </w:tc>
        <w:tc>
          <w:tcPr>
            <w:tcW w:w="595" w:type="dxa"/>
            <w:vAlign w:val="center"/>
          </w:tcPr>
          <w:p w:rsidR="00DB7CC8" w:rsidRDefault="002B5250">
            <w:pPr>
              <w:pStyle w:val="afd"/>
              <w:snapToGrid/>
              <w:jc w:val="center"/>
              <w:rPr>
                <w:bCs/>
                <w:kern w:val="0"/>
                <w:sz w:val="21"/>
                <w:szCs w:val="21"/>
              </w:rPr>
            </w:pPr>
            <w:r>
              <w:rPr>
                <w:sz w:val="21"/>
                <w:szCs w:val="21"/>
              </w:rPr>
              <w:t>2</w:t>
            </w:r>
            <w:r>
              <w:rPr>
                <w:rFonts w:hint="eastAsia"/>
                <w:sz w:val="21"/>
                <w:szCs w:val="21"/>
              </w:rPr>
              <w:t>2</w:t>
            </w:r>
            <w:r>
              <w:rPr>
                <w:sz w:val="21"/>
                <w:szCs w:val="21"/>
              </w:rPr>
              <w:t>.48</w:t>
            </w:r>
          </w:p>
        </w:tc>
        <w:tc>
          <w:tcPr>
            <w:tcW w:w="595" w:type="dxa"/>
            <w:vAlign w:val="center"/>
          </w:tcPr>
          <w:p w:rsidR="00DB7CC8" w:rsidRDefault="002B5250">
            <w:pPr>
              <w:pStyle w:val="afd"/>
              <w:snapToGrid/>
              <w:jc w:val="center"/>
              <w:rPr>
                <w:bCs/>
                <w:kern w:val="0"/>
                <w:sz w:val="21"/>
                <w:szCs w:val="21"/>
              </w:rPr>
            </w:pPr>
            <w:r>
              <w:rPr>
                <w:sz w:val="21"/>
                <w:szCs w:val="21"/>
              </w:rPr>
              <w:t>12.62</w:t>
            </w:r>
          </w:p>
        </w:tc>
        <w:tc>
          <w:tcPr>
            <w:tcW w:w="595" w:type="dxa"/>
            <w:vAlign w:val="center"/>
          </w:tcPr>
          <w:p w:rsidR="00DB7CC8" w:rsidRDefault="002B5250">
            <w:pPr>
              <w:pStyle w:val="afd"/>
              <w:snapToGrid/>
              <w:jc w:val="center"/>
              <w:rPr>
                <w:bCs/>
                <w:kern w:val="0"/>
                <w:sz w:val="21"/>
                <w:szCs w:val="21"/>
              </w:rPr>
            </w:pPr>
            <w:r>
              <w:rPr>
                <w:sz w:val="21"/>
                <w:szCs w:val="21"/>
              </w:rPr>
              <w:t>44.89</w:t>
            </w:r>
          </w:p>
        </w:tc>
        <w:tc>
          <w:tcPr>
            <w:tcW w:w="595" w:type="dxa"/>
            <w:vAlign w:val="center"/>
          </w:tcPr>
          <w:p w:rsidR="00DB7CC8" w:rsidRDefault="002B5250">
            <w:pPr>
              <w:pStyle w:val="afd"/>
              <w:snapToGrid/>
              <w:jc w:val="center"/>
              <w:rPr>
                <w:bCs/>
                <w:kern w:val="0"/>
                <w:sz w:val="21"/>
                <w:szCs w:val="21"/>
              </w:rPr>
            </w:pPr>
            <w:r>
              <w:rPr>
                <w:sz w:val="21"/>
                <w:szCs w:val="21"/>
              </w:rPr>
              <w:t>0.78</w:t>
            </w:r>
          </w:p>
        </w:tc>
        <w:tc>
          <w:tcPr>
            <w:tcW w:w="595" w:type="dxa"/>
            <w:vAlign w:val="center"/>
          </w:tcPr>
          <w:p w:rsidR="00DB7CC8" w:rsidRDefault="002B5250">
            <w:pPr>
              <w:pStyle w:val="afd"/>
              <w:snapToGrid/>
              <w:jc w:val="center"/>
              <w:rPr>
                <w:bCs/>
                <w:kern w:val="0"/>
                <w:sz w:val="21"/>
                <w:szCs w:val="21"/>
              </w:rPr>
            </w:pPr>
            <w:r>
              <w:rPr>
                <w:sz w:val="21"/>
                <w:szCs w:val="21"/>
              </w:rPr>
              <w:t>3.33</w:t>
            </w:r>
          </w:p>
        </w:tc>
        <w:tc>
          <w:tcPr>
            <w:tcW w:w="595" w:type="dxa"/>
            <w:vAlign w:val="center"/>
          </w:tcPr>
          <w:p w:rsidR="00DB7CC8" w:rsidRDefault="002B5250">
            <w:pPr>
              <w:pStyle w:val="afd"/>
              <w:snapToGrid/>
              <w:jc w:val="center"/>
              <w:rPr>
                <w:bCs/>
                <w:kern w:val="0"/>
                <w:sz w:val="21"/>
                <w:szCs w:val="21"/>
              </w:rPr>
            </w:pPr>
            <w:r>
              <w:rPr>
                <w:sz w:val="21"/>
                <w:szCs w:val="21"/>
              </w:rPr>
              <w:t>7.80</w:t>
            </w:r>
          </w:p>
        </w:tc>
        <w:tc>
          <w:tcPr>
            <w:tcW w:w="595" w:type="dxa"/>
            <w:vAlign w:val="center"/>
          </w:tcPr>
          <w:p w:rsidR="00DB7CC8" w:rsidRDefault="002B5250">
            <w:pPr>
              <w:pStyle w:val="afd"/>
              <w:snapToGrid/>
              <w:jc w:val="center"/>
              <w:rPr>
                <w:bCs/>
                <w:kern w:val="0"/>
                <w:sz w:val="21"/>
                <w:szCs w:val="21"/>
              </w:rPr>
            </w:pPr>
            <w:r>
              <w:rPr>
                <w:sz w:val="21"/>
                <w:szCs w:val="21"/>
              </w:rPr>
              <w:t>0.50</w:t>
            </w:r>
          </w:p>
        </w:tc>
        <w:tc>
          <w:tcPr>
            <w:tcW w:w="595" w:type="dxa"/>
            <w:vAlign w:val="center"/>
          </w:tcPr>
          <w:p w:rsidR="00DB7CC8" w:rsidRDefault="002B5250">
            <w:pPr>
              <w:pStyle w:val="afd"/>
              <w:snapToGrid/>
              <w:jc w:val="center"/>
              <w:rPr>
                <w:bCs/>
                <w:kern w:val="0"/>
                <w:sz w:val="21"/>
                <w:szCs w:val="21"/>
              </w:rPr>
            </w:pPr>
            <w:r>
              <w:rPr>
                <w:sz w:val="21"/>
                <w:szCs w:val="21"/>
              </w:rPr>
              <w:t>0.07</w:t>
            </w:r>
          </w:p>
        </w:tc>
        <w:tc>
          <w:tcPr>
            <w:tcW w:w="595" w:type="dxa"/>
            <w:vAlign w:val="center"/>
          </w:tcPr>
          <w:p w:rsidR="00DB7CC8" w:rsidRDefault="002B5250">
            <w:pPr>
              <w:pStyle w:val="afd"/>
              <w:snapToGrid/>
              <w:jc w:val="center"/>
              <w:rPr>
                <w:bCs/>
                <w:kern w:val="0"/>
                <w:sz w:val="21"/>
                <w:szCs w:val="21"/>
              </w:rPr>
            </w:pPr>
            <w:r>
              <w:rPr>
                <w:sz w:val="21"/>
                <w:szCs w:val="21"/>
              </w:rPr>
              <w:t>0.61</w:t>
            </w:r>
          </w:p>
        </w:tc>
        <w:tc>
          <w:tcPr>
            <w:tcW w:w="595" w:type="dxa"/>
            <w:vAlign w:val="center"/>
          </w:tcPr>
          <w:p w:rsidR="00DB7CC8" w:rsidRDefault="002B5250">
            <w:pPr>
              <w:pStyle w:val="afd"/>
              <w:snapToGrid/>
              <w:jc w:val="center"/>
              <w:rPr>
                <w:bCs/>
                <w:kern w:val="0"/>
                <w:sz w:val="21"/>
                <w:szCs w:val="21"/>
              </w:rPr>
            </w:pPr>
            <w:r>
              <w:rPr>
                <w:sz w:val="21"/>
                <w:szCs w:val="21"/>
              </w:rPr>
              <w:t>0.32</w:t>
            </w:r>
          </w:p>
        </w:tc>
        <w:tc>
          <w:tcPr>
            <w:tcW w:w="595" w:type="dxa"/>
            <w:vAlign w:val="center"/>
          </w:tcPr>
          <w:p w:rsidR="00DB7CC8" w:rsidRDefault="002B5250">
            <w:pPr>
              <w:pStyle w:val="afd"/>
              <w:snapToGrid/>
              <w:jc w:val="center"/>
              <w:rPr>
                <w:bCs/>
                <w:kern w:val="0"/>
                <w:sz w:val="21"/>
                <w:szCs w:val="21"/>
              </w:rPr>
            </w:pPr>
            <w:r>
              <w:rPr>
                <w:sz w:val="21"/>
                <w:szCs w:val="21"/>
              </w:rPr>
              <w:t>0.04</w:t>
            </w:r>
          </w:p>
        </w:tc>
        <w:tc>
          <w:tcPr>
            <w:tcW w:w="595" w:type="dxa"/>
            <w:vAlign w:val="center"/>
          </w:tcPr>
          <w:p w:rsidR="00DB7CC8" w:rsidRDefault="002B5250">
            <w:pPr>
              <w:pStyle w:val="afd"/>
              <w:snapToGrid/>
              <w:jc w:val="center"/>
              <w:rPr>
                <w:bCs/>
                <w:kern w:val="0"/>
                <w:sz w:val="21"/>
                <w:szCs w:val="21"/>
              </w:rPr>
            </w:pPr>
            <w:r>
              <w:rPr>
                <w:sz w:val="21"/>
                <w:szCs w:val="21"/>
              </w:rPr>
              <w:t>0.12</w:t>
            </w:r>
          </w:p>
        </w:tc>
        <w:tc>
          <w:tcPr>
            <w:tcW w:w="595" w:type="dxa"/>
            <w:tcBorders>
              <w:right w:val="single" w:sz="4" w:space="0" w:color="auto"/>
            </w:tcBorders>
            <w:vAlign w:val="center"/>
          </w:tcPr>
          <w:p w:rsidR="00DB7CC8" w:rsidRDefault="002B5250">
            <w:pPr>
              <w:pStyle w:val="afd"/>
              <w:snapToGrid/>
              <w:jc w:val="center"/>
              <w:rPr>
                <w:bCs/>
                <w:kern w:val="0"/>
                <w:sz w:val="21"/>
                <w:szCs w:val="21"/>
              </w:rPr>
            </w:pPr>
            <w:r>
              <w:rPr>
                <w:sz w:val="21"/>
                <w:szCs w:val="21"/>
              </w:rPr>
              <w:t>2.46</w:t>
            </w:r>
          </w:p>
        </w:tc>
      </w:tr>
      <w:tr w:rsidR="00DB7CC8">
        <w:trPr>
          <w:trHeight w:val="286"/>
          <w:jc w:val="center"/>
        </w:trPr>
        <w:tc>
          <w:tcPr>
            <w:tcW w:w="1009" w:type="dxa"/>
            <w:tcBorders>
              <w:left w:val="single" w:sz="4" w:space="0" w:color="auto"/>
            </w:tcBorders>
            <w:vAlign w:val="center"/>
          </w:tcPr>
          <w:p w:rsidR="00DB7CC8" w:rsidRDefault="002B5250">
            <w:pPr>
              <w:widowControl/>
              <w:spacing w:line="240" w:lineRule="auto"/>
              <w:ind w:firstLineChars="0" w:firstLine="0"/>
              <w:jc w:val="center"/>
              <w:textAlignment w:val="auto"/>
              <w:rPr>
                <w:sz w:val="21"/>
                <w:szCs w:val="21"/>
              </w:rPr>
            </w:pPr>
            <w:r>
              <w:rPr>
                <w:sz w:val="21"/>
                <w:szCs w:val="21"/>
              </w:rPr>
              <w:t>平均品位</w:t>
            </w:r>
          </w:p>
        </w:tc>
        <w:tc>
          <w:tcPr>
            <w:tcW w:w="595" w:type="dxa"/>
            <w:vAlign w:val="center"/>
          </w:tcPr>
          <w:p w:rsidR="00DB7CC8" w:rsidRDefault="002B5250">
            <w:pPr>
              <w:pStyle w:val="afd"/>
              <w:snapToGrid/>
              <w:jc w:val="center"/>
              <w:rPr>
                <w:bCs/>
                <w:kern w:val="0"/>
                <w:sz w:val="21"/>
                <w:szCs w:val="21"/>
              </w:rPr>
            </w:pPr>
            <w:r>
              <w:rPr>
                <w:sz w:val="21"/>
                <w:szCs w:val="21"/>
              </w:rPr>
              <w:t>2</w:t>
            </w:r>
            <w:r>
              <w:rPr>
                <w:rFonts w:hint="eastAsia"/>
                <w:sz w:val="21"/>
                <w:szCs w:val="21"/>
              </w:rPr>
              <w:t>2</w:t>
            </w:r>
            <w:r>
              <w:rPr>
                <w:sz w:val="21"/>
                <w:szCs w:val="21"/>
              </w:rPr>
              <w:t>.73</w:t>
            </w:r>
          </w:p>
        </w:tc>
        <w:tc>
          <w:tcPr>
            <w:tcW w:w="595" w:type="dxa"/>
            <w:vAlign w:val="center"/>
          </w:tcPr>
          <w:p w:rsidR="00DB7CC8" w:rsidRDefault="002B5250">
            <w:pPr>
              <w:pStyle w:val="afd"/>
              <w:snapToGrid/>
              <w:jc w:val="center"/>
              <w:rPr>
                <w:bCs/>
                <w:kern w:val="0"/>
                <w:sz w:val="21"/>
                <w:szCs w:val="21"/>
              </w:rPr>
            </w:pPr>
            <w:r>
              <w:rPr>
                <w:sz w:val="21"/>
                <w:szCs w:val="21"/>
              </w:rPr>
              <w:t>12.50</w:t>
            </w:r>
          </w:p>
        </w:tc>
        <w:tc>
          <w:tcPr>
            <w:tcW w:w="595" w:type="dxa"/>
            <w:vAlign w:val="center"/>
          </w:tcPr>
          <w:p w:rsidR="00DB7CC8" w:rsidRDefault="002B5250">
            <w:pPr>
              <w:pStyle w:val="afd"/>
              <w:snapToGrid/>
              <w:jc w:val="center"/>
              <w:rPr>
                <w:bCs/>
                <w:kern w:val="0"/>
                <w:sz w:val="21"/>
                <w:szCs w:val="21"/>
              </w:rPr>
            </w:pPr>
            <w:r>
              <w:rPr>
                <w:sz w:val="21"/>
                <w:szCs w:val="21"/>
              </w:rPr>
              <w:t>44.45</w:t>
            </w:r>
          </w:p>
        </w:tc>
        <w:tc>
          <w:tcPr>
            <w:tcW w:w="595" w:type="dxa"/>
            <w:vAlign w:val="center"/>
          </w:tcPr>
          <w:p w:rsidR="00DB7CC8" w:rsidRDefault="002B5250">
            <w:pPr>
              <w:pStyle w:val="afd"/>
              <w:snapToGrid/>
              <w:jc w:val="center"/>
              <w:rPr>
                <w:bCs/>
                <w:kern w:val="0"/>
                <w:sz w:val="21"/>
                <w:szCs w:val="21"/>
              </w:rPr>
            </w:pPr>
            <w:r>
              <w:rPr>
                <w:sz w:val="21"/>
                <w:szCs w:val="21"/>
              </w:rPr>
              <w:t>0.82</w:t>
            </w:r>
          </w:p>
        </w:tc>
        <w:tc>
          <w:tcPr>
            <w:tcW w:w="595" w:type="dxa"/>
            <w:vAlign w:val="center"/>
          </w:tcPr>
          <w:p w:rsidR="00DB7CC8" w:rsidRDefault="002B5250">
            <w:pPr>
              <w:pStyle w:val="afd"/>
              <w:snapToGrid/>
              <w:jc w:val="center"/>
              <w:rPr>
                <w:bCs/>
                <w:kern w:val="0"/>
                <w:sz w:val="21"/>
                <w:szCs w:val="21"/>
              </w:rPr>
            </w:pPr>
            <w:r>
              <w:rPr>
                <w:sz w:val="21"/>
                <w:szCs w:val="21"/>
              </w:rPr>
              <w:t>3.40</w:t>
            </w:r>
          </w:p>
        </w:tc>
        <w:tc>
          <w:tcPr>
            <w:tcW w:w="595" w:type="dxa"/>
            <w:vAlign w:val="center"/>
          </w:tcPr>
          <w:p w:rsidR="00DB7CC8" w:rsidRDefault="002B5250">
            <w:pPr>
              <w:pStyle w:val="afd"/>
              <w:snapToGrid/>
              <w:jc w:val="center"/>
              <w:rPr>
                <w:bCs/>
                <w:kern w:val="0"/>
                <w:sz w:val="21"/>
                <w:szCs w:val="21"/>
              </w:rPr>
            </w:pPr>
            <w:r>
              <w:rPr>
                <w:sz w:val="21"/>
                <w:szCs w:val="21"/>
              </w:rPr>
              <w:t>7.86</w:t>
            </w:r>
          </w:p>
        </w:tc>
        <w:tc>
          <w:tcPr>
            <w:tcW w:w="595" w:type="dxa"/>
            <w:vAlign w:val="center"/>
          </w:tcPr>
          <w:p w:rsidR="00DB7CC8" w:rsidRDefault="002B5250">
            <w:pPr>
              <w:pStyle w:val="afd"/>
              <w:snapToGrid/>
              <w:jc w:val="center"/>
              <w:rPr>
                <w:bCs/>
                <w:kern w:val="0"/>
                <w:sz w:val="21"/>
                <w:szCs w:val="21"/>
              </w:rPr>
            </w:pPr>
            <w:r>
              <w:rPr>
                <w:sz w:val="21"/>
                <w:szCs w:val="21"/>
              </w:rPr>
              <w:t>0.51</w:t>
            </w:r>
          </w:p>
        </w:tc>
        <w:tc>
          <w:tcPr>
            <w:tcW w:w="595" w:type="dxa"/>
            <w:vAlign w:val="center"/>
          </w:tcPr>
          <w:p w:rsidR="00DB7CC8" w:rsidRDefault="002B5250">
            <w:pPr>
              <w:pStyle w:val="afd"/>
              <w:snapToGrid/>
              <w:jc w:val="center"/>
              <w:rPr>
                <w:bCs/>
                <w:kern w:val="0"/>
                <w:sz w:val="21"/>
                <w:szCs w:val="21"/>
              </w:rPr>
            </w:pPr>
            <w:r>
              <w:rPr>
                <w:sz w:val="21"/>
                <w:szCs w:val="21"/>
              </w:rPr>
              <w:t>0.08</w:t>
            </w:r>
          </w:p>
        </w:tc>
        <w:tc>
          <w:tcPr>
            <w:tcW w:w="595" w:type="dxa"/>
            <w:vAlign w:val="center"/>
          </w:tcPr>
          <w:p w:rsidR="00DB7CC8" w:rsidRDefault="002B5250">
            <w:pPr>
              <w:pStyle w:val="afd"/>
              <w:snapToGrid/>
              <w:jc w:val="center"/>
              <w:rPr>
                <w:bCs/>
                <w:kern w:val="0"/>
                <w:sz w:val="21"/>
                <w:szCs w:val="21"/>
              </w:rPr>
            </w:pPr>
            <w:r>
              <w:rPr>
                <w:sz w:val="21"/>
                <w:szCs w:val="21"/>
              </w:rPr>
              <w:t>0.66</w:t>
            </w:r>
          </w:p>
        </w:tc>
        <w:tc>
          <w:tcPr>
            <w:tcW w:w="595" w:type="dxa"/>
            <w:vAlign w:val="center"/>
          </w:tcPr>
          <w:p w:rsidR="00DB7CC8" w:rsidRDefault="002B5250">
            <w:pPr>
              <w:pStyle w:val="afd"/>
              <w:snapToGrid/>
              <w:jc w:val="center"/>
              <w:rPr>
                <w:bCs/>
                <w:kern w:val="0"/>
                <w:sz w:val="21"/>
                <w:szCs w:val="21"/>
              </w:rPr>
            </w:pPr>
            <w:r>
              <w:rPr>
                <w:sz w:val="21"/>
                <w:szCs w:val="21"/>
              </w:rPr>
              <w:t>0.35</w:t>
            </w:r>
          </w:p>
        </w:tc>
        <w:tc>
          <w:tcPr>
            <w:tcW w:w="595" w:type="dxa"/>
            <w:vAlign w:val="center"/>
          </w:tcPr>
          <w:p w:rsidR="00DB7CC8" w:rsidRDefault="002B5250">
            <w:pPr>
              <w:pStyle w:val="afd"/>
              <w:snapToGrid/>
              <w:jc w:val="center"/>
              <w:rPr>
                <w:bCs/>
                <w:kern w:val="0"/>
                <w:sz w:val="21"/>
                <w:szCs w:val="21"/>
              </w:rPr>
            </w:pPr>
            <w:r>
              <w:rPr>
                <w:sz w:val="21"/>
                <w:szCs w:val="21"/>
              </w:rPr>
              <w:t>0.04</w:t>
            </w:r>
          </w:p>
        </w:tc>
        <w:tc>
          <w:tcPr>
            <w:tcW w:w="595" w:type="dxa"/>
            <w:vAlign w:val="center"/>
          </w:tcPr>
          <w:p w:rsidR="00DB7CC8" w:rsidRDefault="002B5250">
            <w:pPr>
              <w:pStyle w:val="afd"/>
              <w:snapToGrid/>
              <w:jc w:val="center"/>
              <w:rPr>
                <w:bCs/>
                <w:kern w:val="0"/>
                <w:sz w:val="21"/>
                <w:szCs w:val="21"/>
              </w:rPr>
            </w:pPr>
            <w:r>
              <w:rPr>
                <w:sz w:val="21"/>
                <w:szCs w:val="21"/>
              </w:rPr>
              <w:t>0.13</w:t>
            </w:r>
          </w:p>
        </w:tc>
        <w:tc>
          <w:tcPr>
            <w:tcW w:w="595" w:type="dxa"/>
            <w:tcBorders>
              <w:right w:val="single" w:sz="4" w:space="0" w:color="auto"/>
            </w:tcBorders>
            <w:vAlign w:val="center"/>
          </w:tcPr>
          <w:p w:rsidR="00DB7CC8" w:rsidRDefault="002B5250">
            <w:pPr>
              <w:pStyle w:val="afd"/>
              <w:snapToGrid/>
              <w:jc w:val="center"/>
              <w:rPr>
                <w:bCs/>
                <w:kern w:val="0"/>
                <w:sz w:val="21"/>
                <w:szCs w:val="21"/>
              </w:rPr>
            </w:pPr>
            <w:r>
              <w:rPr>
                <w:sz w:val="21"/>
                <w:szCs w:val="21"/>
              </w:rPr>
              <w:t>2.47</w:t>
            </w:r>
          </w:p>
        </w:tc>
      </w:tr>
    </w:tbl>
    <w:p w:rsidR="00DB7CC8" w:rsidRDefault="002B5250">
      <w:pPr>
        <w:snapToGrid w:val="0"/>
        <w:ind w:firstLine="480"/>
        <w:jc w:val="both"/>
        <w:rPr>
          <w:sz w:val="24"/>
          <w:szCs w:val="24"/>
        </w:rPr>
      </w:pPr>
      <w:r>
        <w:rPr>
          <w:sz w:val="24"/>
          <w:szCs w:val="24"/>
        </w:rPr>
        <w:t>根据铁矿石全成分分析结果，原料未检出含砷、铜、铅等重金属。因铁矿石不含重金属，且铁矿石选矿过程为物理过程，不添加化学药剂，因此本项目原料不含重金属等有害元素。</w:t>
      </w:r>
    </w:p>
    <w:p w:rsidR="00DB7CC8" w:rsidRDefault="002B5250">
      <w:pPr>
        <w:snapToGrid w:val="0"/>
        <w:ind w:firstLine="480"/>
        <w:jc w:val="both"/>
        <w:rPr>
          <w:rFonts w:eastAsia="黑体"/>
          <w:kern w:val="2"/>
          <w:sz w:val="21"/>
          <w:szCs w:val="21"/>
        </w:rPr>
      </w:pPr>
      <w:r>
        <w:rPr>
          <w:sz w:val="24"/>
          <w:szCs w:val="24"/>
        </w:rPr>
        <w:t>本项目</w:t>
      </w:r>
      <w:r>
        <w:rPr>
          <w:rFonts w:hint="eastAsia"/>
          <w:sz w:val="24"/>
          <w:szCs w:val="24"/>
        </w:rPr>
        <w:t>实施后全厂</w:t>
      </w:r>
      <w:r>
        <w:rPr>
          <w:sz w:val="24"/>
          <w:szCs w:val="24"/>
        </w:rPr>
        <w:t>主要原辅材料及能源消耗情况见下表。</w:t>
      </w:r>
    </w:p>
    <w:p w:rsidR="00DB7CC8" w:rsidRDefault="002B5250">
      <w:pPr>
        <w:spacing w:line="240" w:lineRule="auto"/>
        <w:ind w:firstLineChars="0" w:firstLine="0"/>
        <w:jc w:val="center"/>
        <w:textAlignment w:val="auto"/>
        <w:rPr>
          <w:rFonts w:eastAsia="黑体"/>
          <w:sz w:val="21"/>
          <w:szCs w:val="21"/>
        </w:rPr>
      </w:pPr>
      <w:r>
        <w:rPr>
          <w:rFonts w:eastAsia="黑体"/>
          <w:kern w:val="2"/>
          <w:sz w:val="21"/>
          <w:szCs w:val="21"/>
        </w:rPr>
        <w:t>表</w:t>
      </w:r>
      <w:r>
        <w:rPr>
          <w:rFonts w:eastAsia="黑体"/>
          <w:kern w:val="2"/>
          <w:sz w:val="21"/>
          <w:szCs w:val="21"/>
        </w:rPr>
        <w:t>3.</w:t>
      </w:r>
      <w:r>
        <w:rPr>
          <w:rFonts w:eastAsia="黑体" w:hint="eastAsia"/>
          <w:kern w:val="2"/>
          <w:sz w:val="21"/>
          <w:szCs w:val="21"/>
        </w:rPr>
        <w:t>2</w:t>
      </w:r>
      <w:r>
        <w:rPr>
          <w:rFonts w:eastAsia="黑体"/>
          <w:kern w:val="2"/>
          <w:sz w:val="21"/>
          <w:szCs w:val="21"/>
        </w:rPr>
        <w:t xml:space="preserve">-6 </w:t>
      </w:r>
      <w:r>
        <w:rPr>
          <w:rFonts w:eastAsia="黑体"/>
          <w:kern w:val="2"/>
          <w:sz w:val="21"/>
          <w:szCs w:val="21"/>
        </w:rPr>
        <w:t>主要原辅材料与能源消耗一览表</w:t>
      </w:r>
    </w:p>
    <w:tbl>
      <w:tblPr>
        <w:tblW w:w="8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
        <w:gridCol w:w="1483"/>
        <w:gridCol w:w="1089"/>
        <w:gridCol w:w="958"/>
        <w:gridCol w:w="4359"/>
      </w:tblGrid>
      <w:tr w:rsidR="00DB7CC8">
        <w:trPr>
          <w:trHeight w:val="284"/>
          <w:jc w:val="center"/>
        </w:trPr>
        <w:tc>
          <w:tcPr>
            <w:tcW w:w="680"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序号</w:t>
            </w:r>
          </w:p>
        </w:tc>
        <w:tc>
          <w:tcPr>
            <w:tcW w:w="1483"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名称</w:t>
            </w:r>
          </w:p>
        </w:tc>
        <w:tc>
          <w:tcPr>
            <w:tcW w:w="1089"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消耗量</w:t>
            </w:r>
          </w:p>
        </w:tc>
        <w:tc>
          <w:tcPr>
            <w:tcW w:w="958"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单位</w:t>
            </w:r>
          </w:p>
        </w:tc>
        <w:tc>
          <w:tcPr>
            <w:tcW w:w="4359"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备注</w:t>
            </w:r>
          </w:p>
        </w:tc>
      </w:tr>
      <w:tr w:rsidR="00DB7CC8">
        <w:trPr>
          <w:trHeight w:val="284"/>
          <w:jc w:val="center"/>
        </w:trPr>
        <w:tc>
          <w:tcPr>
            <w:tcW w:w="680" w:type="dxa"/>
            <w:tcBorders>
              <w:tl2br w:val="nil"/>
              <w:tr2bl w:val="nil"/>
            </w:tcBorders>
            <w:vAlign w:val="center"/>
          </w:tcPr>
          <w:p w:rsidR="00DB7CC8" w:rsidRDefault="002B5250">
            <w:pPr>
              <w:pStyle w:val="63"/>
            </w:pPr>
            <w:r>
              <w:lastRenderedPageBreak/>
              <w:t>1</w:t>
            </w:r>
          </w:p>
        </w:tc>
        <w:tc>
          <w:tcPr>
            <w:tcW w:w="1483"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原矿</w:t>
            </w:r>
          </w:p>
        </w:tc>
        <w:tc>
          <w:tcPr>
            <w:tcW w:w="1089" w:type="dxa"/>
            <w:tcBorders>
              <w:tl2br w:val="nil"/>
              <w:tr2bl w:val="nil"/>
            </w:tcBorders>
            <w:vAlign w:val="center"/>
          </w:tcPr>
          <w:p w:rsidR="00DB7CC8" w:rsidRDefault="002B5250">
            <w:pPr>
              <w:spacing w:line="320" w:lineRule="exact"/>
              <w:ind w:firstLineChars="0" w:firstLine="0"/>
              <w:jc w:val="center"/>
              <w:rPr>
                <w:sz w:val="21"/>
                <w:szCs w:val="21"/>
              </w:rPr>
            </w:pPr>
            <w:r>
              <w:rPr>
                <w:rFonts w:hint="eastAsia"/>
                <w:sz w:val="21"/>
                <w:szCs w:val="21"/>
              </w:rPr>
              <w:t>11</w:t>
            </w:r>
            <w:r>
              <w:rPr>
                <w:sz w:val="21"/>
                <w:szCs w:val="21"/>
              </w:rPr>
              <w:t>0</w:t>
            </w:r>
          </w:p>
        </w:tc>
        <w:tc>
          <w:tcPr>
            <w:tcW w:w="958"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万</w:t>
            </w:r>
            <w:r>
              <w:rPr>
                <w:sz w:val="21"/>
                <w:szCs w:val="21"/>
              </w:rPr>
              <w:t>t/a</w:t>
            </w:r>
          </w:p>
        </w:tc>
        <w:tc>
          <w:tcPr>
            <w:tcW w:w="4359"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品位</w:t>
            </w:r>
            <w:r>
              <w:rPr>
                <w:rFonts w:hint="eastAsia"/>
                <w:sz w:val="21"/>
                <w:szCs w:val="21"/>
              </w:rPr>
              <w:t>20%</w:t>
            </w:r>
            <w:r>
              <w:rPr>
                <w:sz w:val="21"/>
                <w:szCs w:val="21"/>
              </w:rPr>
              <w:t>-</w:t>
            </w:r>
            <w:r>
              <w:rPr>
                <w:rFonts w:hint="eastAsia"/>
                <w:sz w:val="21"/>
                <w:szCs w:val="21"/>
              </w:rPr>
              <w:t>2</w:t>
            </w:r>
            <w:r>
              <w:rPr>
                <w:rFonts w:hint="eastAsia"/>
                <w:sz w:val="21"/>
                <w:szCs w:val="21"/>
              </w:rPr>
              <w:t>5</w:t>
            </w:r>
            <w:r>
              <w:rPr>
                <w:rFonts w:hint="eastAsia"/>
                <w:sz w:val="21"/>
                <w:szCs w:val="21"/>
              </w:rPr>
              <w:t>.6</w:t>
            </w:r>
            <w:r>
              <w:rPr>
                <w:sz w:val="21"/>
                <w:szCs w:val="21"/>
              </w:rPr>
              <w:t>%</w:t>
            </w:r>
            <w:r>
              <w:rPr>
                <w:rFonts w:hint="eastAsia"/>
                <w:sz w:val="21"/>
                <w:szCs w:val="21"/>
              </w:rPr>
              <w:t>，平均品位</w:t>
            </w:r>
            <w:r>
              <w:rPr>
                <w:sz w:val="21"/>
                <w:szCs w:val="21"/>
              </w:rPr>
              <w:t>2</w:t>
            </w:r>
            <w:r>
              <w:rPr>
                <w:rFonts w:hint="eastAsia"/>
                <w:sz w:val="21"/>
                <w:szCs w:val="21"/>
              </w:rPr>
              <w:t>2</w:t>
            </w:r>
            <w:r>
              <w:rPr>
                <w:sz w:val="21"/>
                <w:szCs w:val="21"/>
              </w:rPr>
              <w:t>.73%</w:t>
            </w:r>
            <w:r>
              <w:rPr>
                <w:sz w:val="21"/>
                <w:szCs w:val="21"/>
              </w:rPr>
              <w:t>，来自遵化市隆晟矿业有限公司</w:t>
            </w:r>
          </w:p>
        </w:tc>
      </w:tr>
      <w:tr w:rsidR="00DB7CC8">
        <w:trPr>
          <w:trHeight w:val="284"/>
          <w:jc w:val="center"/>
        </w:trPr>
        <w:tc>
          <w:tcPr>
            <w:tcW w:w="680"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2</w:t>
            </w:r>
          </w:p>
        </w:tc>
        <w:tc>
          <w:tcPr>
            <w:tcW w:w="1483" w:type="dxa"/>
            <w:tcBorders>
              <w:tl2br w:val="nil"/>
              <w:tr2bl w:val="nil"/>
            </w:tcBorders>
            <w:vAlign w:val="center"/>
          </w:tcPr>
          <w:p w:rsidR="00DB7CC8" w:rsidRDefault="002B5250">
            <w:pPr>
              <w:spacing w:line="320" w:lineRule="exact"/>
              <w:ind w:firstLineChars="0" w:firstLine="0"/>
              <w:jc w:val="center"/>
              <w:rPr>
                <w:sz w:val="21"/>
                <w:szCs w:val="21"/>
              </w:rPr>
            </w:pPr>
            <w:r>
              <w:rPr>
                <w:rFonts w:hint="eastAsia"/>
                <w:sz w:val="21"/>
                <w:szCs w:val="21"/>
              </w:rPr>
              <w:t>粗精矿</w:t>
            </w:r>
          </w:p>
        </w:tc>
        <w:tc>
          <w:tcPr>
            <w:tcW w:w="1089" w:type="dxa"/>
            <w:tcBorders>
              <w:tl2br w:val="nil"/>
              <w:tr2bl w:val="nil"/>
            </w:tcBorders>
            <w:vAlign w:val="center"/>
          </w:tcPr>
          <w:p w:rsidR="00DB7CC8" w:rsidRDefault="002B5250">
            <w:pPr>
              <w:spacing w:line="320" w:lineRule="exact"/>
              <w:ind w:firstLineChars="0" w:firstLine="0"/>
              <w:jc w:val="center"/>
              <w:rPr>
                <w:sz w:val="21"/>
                <w:szCs w:val="21"/>
              </w:rPr>
            </w:pPr>
            <w:r>
              <w:rPr>
                <w:rFonts w:hint="eastAsia"/>
                <w:sz w:val="21"/>
                <w:szCs w:val="21"/>
              </w:rPr>
              <w:t>40</w:t>
            </w:r>
          </w:p>
        </w:tc>
        <w:tc>
          <w:tcPr>
            <w:tcW w:w="958"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万</w:t>
            </w:r>
            <w:r>
              <w:rPr>
                <w:sz w:val="21"/>
                <w:szCs w:val="21"/>
              </w:rPr>
              <w:t>t/a</w:t>
            </w:r>
          </w:p>
        </w:tc>
        <w:tc>
          <w:tcPr>
            <w:tcW w:w="4359" w:type="dxa"/>
            <w:tcBorders>
              <w:tl2br w:val="nil"/>
              <w:tr2bl w:val="nil"/>
            </w:tcBorders>
            <w:vAlign w:val="center"/>
          </w:tcPr>
          <w:p w:rsidR="00DB7CC8" w:rsidRDefault="002B5250">
            <w:pPr>
              <w:spacing w:line="320" w:lineRule="exact"/>
              <w:ind w:firstLineChars="0" w:firstLine="0"/>
              <w:jc w:val="center"/>
              <w:rPr>
                <w:sz w:val="21"/>
                <w:szCs w:val="21"/>
              </w:rPr>
            </w:pPr>
            <w:r>
              <w:rPr>
                <w:rFonts w:hint="eastAsia"/>
                <w:sz w:val="21"/>
                <w:szCs w:val="21"/>
              </w:rPr>
              <w:t>全部由厂区自产</w:t>
            </w:r>
          </w:p>
        </w:tc>
      </w:tr>
      <w:tr w:rsidR="00DB7CC8">
        <w:trPr>
          <w:trHeight w:val="284"/>
          <w:jc w:val="center"/>
        </w:trPr>
        <w:tc>
          <w:tcPr>
            <w:tcW w:w="680"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3</w:t>
            </w:r>
          </w:p>
        </w:tc>
        <w:tc>
          <w:tcPr>
            <w:tcW w:w="1483"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水（新水）</w:t>
            </w:r>
          </w:p>
        </w:tc>
        <w:tc>
          <w:tcPr>
            <w:tcW w:w="1089" w:type="dxa"/>
            <w:tcBorders>
              <w:tl2br w:val="nil"/>
              <w:tr2bl w:val="nil"/>
            </w:tcBorders>
            <w:vAlign w:val="center"/>
          </w:tcPr>
          <w:p w:rsidR="00DB7CC8" w:rsidRDefault="002B5250">
            <w:pPr>
              <w:spacing w:line="320" w:lineRule="exact"/>
              <w:ind w:firstLineChars="0" w:firstLine="0"/>
              <w:jc w:val="center"/>
              <w:rPr>
                <w:sz w:val="21"/>
                <w:szCs w:val="21"/>
              </w:rPr>
            </w:pPr>
            <w:r>
              <w:rPr>
                <w:rFonts w:hint="eastAsia"/>
                <w:sz w:val="21"/>
                <w:szCs w:val="21"/>
              </w:rPr>
              <w:t>160102.5</w:t>
            </w:r>
          </w:p>
        </w:tc>
        <w:tc>
          <w:tcPr>
            <w:tcW w:w="958"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m</w:t>
            </w:r>
            <w:r>
              <w:rPr>
                <w:sz w:val="21"/>
                <w:szCs w:val="21"/>
                <w:vertAlign w:val="superscript"/>
              </w:rPr>
              <w:t>3</w:t>
            </w:r>
            <w:r>
              <w:rPr>
                <w:sz w:val="21"/>
                <w:szCs w:val="21"/>
              </w:rPr>
              <w:t>/a</w:t>
            </w:r>
          </w:p>
        </w:tc>
        <w:tc>
          <w:tcPr>
            <w:tcW w:w="4359"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自备井提供</w:t>
            </w:r>
          </w:p>
        </w:tc>
      </w:tr>
      <w:tr w:rsidR="00DB7CC8">
        <w:trPr>
          <w:trHeight w:val="284"/>
          <w:jc w:val="center"/>
        </w:trPr>
        <w:tc>
          <w:tcPr>
            <w:tcW w:w="680"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4</w:t>
            </w:r>
          </w:p>
        </w:tc>
        <w:tc>
          <w:tcPr>
            <w:tcW w:w="1483"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电</w:t>
            </w:r>
          </w:p>
        </w:tc>
        <w:tc>
          <w:tcPr>
            <w:tcW w:w="1089" w:type="dxa"/>
            <w:tcBorders>
              <w:tl2br w:val="nil"/>
              <w:tr2bl w:val="nil"/>
            </w:tcBorders>
            <w:vAlign w:val="center"/>
          </w:tcPr>
          <w:p w:rsidR="00DB7CC8" w:rsidRDefault="002B5250">
            <w:pPr>
              <w:spacing w:line="320" w:lineRule="exact"/>
              <w:ind w:firstLineChars="0" w:firstLine="0"/>
              <w:jc w:val="center"/>
              <w:rPr>
                <w:sz w:val="21"/>
                <w:szCs w:val="21"/>
              </w:rPr>
            </w:pPr>
            <w:r>
              <w:rPr>
                <w:rFonts w:hint="eastAsia"/>
                <w:sz w:val="21"/>
                <w:szCs w:val="21"/>
              </w:rPr>
              <w:t>3014</w:t>
            </w:r>
          </w:p>
        </w:tc>
        <w:tc>
          <w:tcPr>
            <w:tcW w:w="958"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万</w:t>
            </w:r>
            <w:r>
              <w:rPr>
                <w:sz w:val="21"/>
                <w:szCs w:val="21"/>
              </w:rPr>
              <w:t>kW·h/a</w:t>
            </w:r>
          </w:p>
        </w:tc>
        <w:tc>
          <w:tcPr>
            <w:tcW w:w="4359"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当地变电站供给</w:t>
            </w:r>
          </w:p>
        </w:tc>
      </w:tr>
      <w:tr w:rsidR="00DB7CC8">
        <w:trPr>
          <w:trHeight w:val="284"/>
          <w:jc w:val="center"/>
        </w:trPr>
        <w:tc>
          <w:tcPr>
            <w:tcW w:w="680"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5</w:t>
            </w:r>
          </w:p>
        </w:tc>
        <w:tc>
          <w:tcPr>
            <w:tcW w:w="1483"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球磨</w:t>
            </w:r>
            <w:r>
              <w:rPr>
                <w:sz w:val="21"/>
                <w:szCs w:val="21"/>
              </w:rPr>
              <w:t>(</w:t>
            </w:r>
            <w:r>
              <w:rPr>
                <w:sz w:val="21"/>
                <w:szCs w:val="21"/>
              </w:rPr>
              <w:t>钢球</w:t>
            </w:r>
            <w:r>
              <w:rPr>
                <w:sz w:val="21"/>
                <w:szCs w:val="21"/>
              </w:rPr>
              <w:t>)</w:t>
            </w:r>
          </w:p>
        </w:tc>
        <w:tc>
          <w:tcPr>
            <w:tcW w:w="1089"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105</w:t>
            </w:r>
          </w:p>
        </w:tc>
        <w:tc>
          <w:tcPr>
            <w:tcW w:w="958"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t/a</w:t>
            </w:r>
          </w:p>
        </w:tc>
        <w:tc>
          <w:tcPr>
            <w:tcW w:w="4359"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外购</w:t>
            </w:r>
          </w:p>
        </w:tc>
      </w:tr>
      <w:tr w:rsidR="00DB7CC8">
        <w:trPr>
          <w:trHeight w:val="284"/>
          <w:jc w:val="center"/>
        </w:trPr>
        <w:tc>
          <w:tcPr>
            <w:tcW w:w="680" w:type="dxa"/>
            <w:tcBorders>
              <w:tl2br w:val="nil"/>
              <w:tr2bl w:val="nil"/>
            </w:tcBorders>
            <w:vAlign w:val="center"/>
          </w:tcPr>
          <w:p w:rsidR="00DB7CC8" w:rsidRDefault="002B5250">
            <w:pPr>
              <w:spacing w:line="320" w:lineRule="exact"/>
              <w:ind w:firstLineChars="0" w:firstLine="0"/>
              <w:jc w:val="center"/>
              <w:rPr>
                <w:sz w:val="21"/>
                <w:szCs w:val="21"/>
              </w:rPr>
            </w:pPr>
            <w:r>
              <w:rPr>
                <w:sz w:val="21"/>
                <w:szCs w:val="21"/>
              </w:rPr>
              <w:t>6</w:t>
            </w:r>
          </w:p>
        </w:tc>
        <w:tc>
          <w:tcPr>
            <w:tcW w:w="1483" w:type="dxa"/>
            <w:tcBorders>
              <w:tl2br w:val="nil"/>
              <w:tr2bl w:val="nil"/>
            </w:tcBorders>
            <w:vAlign w:val="center"/>
          </w:tcPr>
          <w:p w:rsidR="00DB7CC8" w:rsidRDefault="002B5250">
            <w:pPr>
              <w:spacing w:line="320" w:lineRule="exact"/>
              <w:ind w:firstLineChars="0" w:firstLine="0"/>
              <w:jc w:val="center"/>
              <w:rPr>
                <w:sz w:val="21"/>
                <w:szCs w:val="21"/>
              </w:rPr>
            </w:pPr>
            <w:r>
              <w:rPr>
                <w:rFonts w:hint="eastAsia"/>
                <w:sz w:val="21"/>
                <w:szCs w:val="21"/>
              </w:rPr>
              <w:t>矿物油</w:t>
            </w:r>
          </w:p>
        </w:tc>
        <w:tc>
          <w:tcPr>
            <w:tcW w:w="1089" w:type="dxa"/>
            <w:tcBorders>
              <w:tl2br w:val="nil"/>
              <w:tr2bl w:val="nil"/>
            </w:tcBorders>
            <w:vAlign w:val="center"/>
          </w:tcPr>
          <w:p w:rsidR="00DB7CC8" w:rsidRDefault="002B5250">
            <w:pPr>
              <w:spacing w:line="320" w:lineRule="exact"/>
              <w:ind w:firstLineChars="0" w:firstLine="0"/>
              <w:jc w:val="center"/>
              <w:rPr>
                <w:sz w:val="21"/>
                <w:szCs w:val="21"/>
              </w:rPr>
            </w:pPr>
            <w:r>
              <w:rPr>
                <w:rFonts w:hint="eastAsia"/>
                <w:kern w:val="24"/>
                <w:sz w:val="21"/>
                <w:szCs w:val="21"/>
              </w:rPr>
              <w:t>0.6</w:t>
            </w:r>
          </w:p>
        </w:tc>
        <w:tc>
          <w:tcPr>
            <w:tcW w:w="958" w:type="dxa"/>
            <w:tcBorders>
              <w:tl2br w:val="nil"/>
              <w:tr2bl w:val="nil"/>
            </w:tcBorders>
            <w:vAlign w:val="center"/>
          </w:tcPr>
          <w:p w:rsidR="00DB7CC8" w:rsidRDefault="002B5250">
            <w:pPr>
              <w:spacing w:line="320" w:lineRule="exact"/>
              <w:ind w:firstLineChars="0" w:firstLine="0"/>
              <w:jc w:val="center"/>
              <w:rPr>
                <w:sz w:val="21"/>
                <w:szCs w:val="21"/>
              </w:rPr>
            </w:pPr>
            <w:r>
              <w:rPr>
                <w:kern w:val="24"/>
                <w:sz w:val="21"/>
                <w:szCs w:val="21"/>
              </w:rPr>
              <w:t>t/a</w:t>
            </w:r>
          </w:p>
        </w:tc>
        <w:tc>
          <w:tcPr>
            <w:tcW w:w="4359" w:type="dxa"/>
            <w:tcBorders>
              <w:tl2br w:val="nil"/>
              <w:tr2bl w:val="nil"/>
            </w:tcBorders>
            <w:vAlign w:val="center"/>
          </w:tcPr>
          <w:p w:rsidR="00DB7CC8" w:rsidRDefault="002B5250">
            <w:pPr>
              <w:spacing w:line="320" w:lineRule="exact"/>
              <w:ind w:firstLineChars="0" w:firstLine="0"/>
              <w:jc w:val="center"/>
              <w:rPr>
                <w:sz w:val="21"/>
                <w:szCs w:val="21"/>
              </w:rPr>
            </w:pPr>
            <w:r>
              <w:rPr>
                <w:rFonts w:hint="eastAsia"/>
                <w:sz w:val="21"/>
                <w:szCs w:val="21"/>
              </w:rPr>
              <w:t>润滑油和液压油</w:t>
            </w:r>
          </w:p>
        </w:tc>
      </w:tr>
    </w:tbl>
    <w:p w:rsidR="00DB7CC8" w:rsidRDefault="002B5250">
      <w:pPr>
        <w:pStyle w:val="3"/>
        <w:numPr>
          <w:ilvl w:val="2"/>
          <w:numId w:val="1"/>
        </w:numPr>
        <w:spacing w:beforeLines="50" w:before="120"/>
        <w:rPr>
          <w:szCs w:val="28"/>
        </w:rPr>
      </w:pPr>
      <w:bookmarkStart w:id="189" w:name="_Toc13435"/>
      <w:r>
        <w:rPr>
          <w:szCs w:val="28"/>
        </w:rPr>
        <w:t>平面布置</w:t>
      </w:r>
      <w:bookmarkEnd w:id="189"/>
    </w:p>
    <w:p w:rsidR="00DB7CC8" w:rsidRDefault="002B5250">
      <w:pPr>
        <w:ind w:firstLine="480"/>
        <w:rPr>
          <w:sz w:val="24"/>
          <w:szCs w:val="24"/>
          <w:lang w:val="en-GB"/>
        </w:rPr>
      </w:pPr>
      <w:r>
        <w:rPr>
          <w:sz w:val="24"/>
          <w:szCs w:val="24"/>
        </w:rPr>
        <w:t>根据工艺生产流程和运输要求，结合该厂区场地自然条件，尽量使生产车间布置合理。本项目新增</w:t>
      </w:r>
      <w:r>
        <w:rPr>
          <w:rFonts w:hint="eastAsia"/>
          <w:sz w:val="24"/>
          <w:szCs w:val="24"/>
        </w:rPr>
        <w:t>3#</w:t>
      </w:r>
      <w:r>
        <w:rPr>
          <w:rFonts w:hint="eastAsia"/>
          <w:sz w:val="24"/>
          <w:szCs w:val="24"/>
        </w:rPr>
        <w:t>破碎粗选车间位于厂区南侧，新增精选车间、成品库位于厂区西侧</w:t>
      </w:r>
      <w:r>
        <w:rPr>
          <w:rFonts w:hint="eastAsia"/>
          <w:sz w:val="24"/>
          <w:szCs w:val="24"/>
        </w:rPr>
        <w:t>，</w:t>
      </w:r>
      <w:r>
        <w:rPr>
          <w:rFonts w:hint="eastAsia"/>
          <w:sz w:val="24"/>
          <w:szCs w:val="24"/>
        </w:rPr>
        <w:t>现有建筑设施不变</w:t>
      </w:r>
      <w:r>
        <w:rPr>
          <w:sz w:val="24"/>
          <w:szCs w:val="24"/>
        </w:rPr>
        <w:t>。</w:t>
      </w:r>
    </w:p>
    <w:p w:rsidR="00DB7CC8" w:rsidRDefault="002B5250">
      <w:pPr>
        <w:pStyle w:val="3"/>
        <w:numPr>
          <w:ilvl w:val="2"/>
          <w:numId w:val="1"/>
        </w:numPr>
        <w:rPr>
          <w:szCs w:val="28"/>
        </w:rPr>
      </w:pPr>
      <w:r>
        <w:rPr>
          <w:szCs w:val="28"/>
        </w:rPr>
        <w:t>劳动定员及工作制度</w:t>
      </w:r>
    </w:p>
    <w:p w:rsidR="00DB7CC8" w:rsidRDefault="002B5250">
      <w:pPr>
        <w:ind w:firstLine="480"/>
        <w:rPr>
          <w:sz w:val="24"/>
          <w:szCs w:val="24"/>
        </w:rPr>
      </w:pPr>
      <w:r>
        <w:rPr>
          <w:rFonts w:hint="eastAsia"/>
          <w:sz w:val="24"/>
          <w:szCs w:val="24"/>
        </w:rPr>
        <w:t>员工由厂区进行调剂，不新增劳动定员，</w:t>
      </w:r>
      <w:r>
        <w:rPr>
          <w:sz w:val="24"/>
          <w:szCs w:val="24"/>
        </w:rPr>
        <w:t>年工作</w:t>
      </w:r>
      <w:r>
        <w:rPr>
          <w:sz w:val="24"/>
          <w:szCs w:val="24"/>
        </w:rPr>
        <w:t>300</w:t>
      </w:r>
      <w:r>
        <w:rPr>
          <w:sz w:val="24"/>
          <w:szCs w:val="24"/>
        </w:rPr>
        <w:t>天，每天</w:t>
      </w:r>
      <w:r>
        <w:rPr>
          <w:sz w:val="24"/>
          <w:szCs w:val="24"/>
        </w:rPr>
        <w:t>3</w:t>
      </w:r>
      <w:r>
        <w:rPr>
          <w:sz w:val="24"/>
          <w:szCs w:val="24"/>
        </w:rPr>
        <w:t>班，每班</w:t>
      </w:r>
      <w:r>
        <w:rPr>
          <w:sz w:val="24"/>
          <w:szCs w:val="24"/>
        </w:rPr>
        <w:t>8</w:t>
      </w:r>
      <w:r>
        <w:rPr>
          <w:sz w:val="24"/>
          <w:szCs w:val="24"/>
        </w:rPr>
        <w:t>小时，设备年工作小时数</w:t>
      </w:r>
      <w:r>
        <w:rPr>
          <w:sz w:val="24"/>
          <w:szCs w:val="24"/>
        </w:rPr>
        <w:t>7200</w:t>
      </w:r>
      <w:r>
        <w:rPr>
          <w:sz w:val="24"/>
          <w:szCs w:val="24"/>
        </w:rPr>
        <w:t>小时。</w:t>
      </w:r>
    </w:p>
    <w:p w:rsidR="00DB7CC8" w:rsidRDefault="002B5250">
      <w:pPr>
        <w:pStyle w:val="3"/>
        <w:numPr>
          <w:ilvl w:val="2"/>
          <w:numId w:val="1"/>
        </w:numPr>
        <w:rPr>
          <w:szCs w:val="28"/>
        </w:rPr>
      </w:pPr>
      <w:bookmarkStart w:id="190" w:name="_Toc521591760"/>
      <w:bookmarkStart w:id="191" w:name="_Toc26580"/>
      <w:r>
        <w:rPr>
          <w:szCs w:val="28"/>
        </w:rPr>
        <w:t>主要经济技术指标</w:t>
      </w:r>
      <w:bookmarkEnd w:id="190"/>
      <w:bookmarkEnd w:id="191"/>
    </w:p>
    <w:p w:rsidR="00DB7CC8" w:rsidRDefault="002B5250">
      <w:pPr>
        <w:ind w:firstLine="480"/>
        <w:jc w:val="both"/>
        <w:rPr>
          <w:sz w:val="24"/>
          <w:szCs w:val="24"/>
        </w:rPr>
      </w:pPr>
      <w:r>
        <w:rPr>
          <w:sz w:val="24"/>
          <w:szCs w:val="24"/>
        </w:rPr>
        <w:t>本项目主要经济技术指标，见表</w:t>
      </w:r>
      <w:r>
        <w:rPr>
          <w:sz w:val="24"/>
          <w:szCs w:val="24"/>
        </w:rPr>
        <w:t>3.</w:t>
      </w:r>
      <w:r>
        <w:rPr>
          <w:rFonts w:hint="eastAsia"/>
          <w:sz w:val="24"/>
          <w:szCs w:val="24"/>
        </w:rPr>
        <w:t>2</w:t>
      </w:r>
      <w:r>
        <w:rPr>
          <w:sz w:val="24"/>
          <w:szCs w:val="24"/>
        </w:rPr>
        <w:t>-7</w:t>
      </w:r>
      <w:r>
        <w:rPr>
          <w:sz w:val="24"/>
          <w:szCs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3.</w:t>
      </w:r>
      <w:r>
        <w:rPr>
          <w:rFonts w:eastAsia="黑体" w:hint="eastAsia"/>
          <w:kern w:val="2"/>
          <w:sz w:val="21"/>
          <w:szCs w:val="21"/>
        </w:rPr>
        <w:t>2</w:t>
      </w:r>
      <w:r>
        <w:rPr>
          <w:rFonts w:eastAsia="黑体"/>
          <w:kern w:val="2"/>
          <w:sz w:val="21"/>
          <w:szCs w:val="21"/>
        </w:rPr>
        <w:t>-7</w:t>
      </w:r>
      <w:r>
        <w:rPr>
          <w:rFonts w:eastAsia="黑体" w:hint="eastAsia"/>
          <w:kern w:val="2"/>
          <w:sz w:val="21"/>
          <w:szCs w:val="21"/>
        </w:rPr>
        <w:t xml:space="preserve">   </w:t>
      </w:r>
      <w:r>
        <w:rPr>
          <w:rFonts w:eastAsia="黑体"/>
          <w:kern w:val="2"/>
          <w:sz w:val="21"/>
          <w:szCs w:val="21"/>
        </w:rPr>
        <w:t>项目主要经济技术参数表</w:t>
      </w:r>
    </w:p>
    <w:tbl>
      <w:tblPr>
        <w:tblW w:w="8521"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756"/>
        <w:gridCol w:w="2103"/>
        <w:gridCol w:w="1119"/>
        <w:gridCol w:w="2367"/>
        <w:gridCol w:w="2176"/>
      </w:tblGrid>
      <w:tr w:rsidR="00DB7CC8">
        <w:trPr>
          <w:trHeight w:val="283"/>
          <w:tblHeader/>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序号</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指标名称</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单位</w:t>
            </w:r>
          </w:p>
        </w:tc>
        <w:tc>
          <w:tcPr>
            <w:tcW w:w="2367"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指标</w:t>
            </w:r>
          </w:p>
        </w:tc>
        <w:tc>
          <w:tcPr>
            <w:tcW w:w="217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备注</w:t>
            </w: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1</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设计能力</w:t>
            </w:r>
          </w:p>
        </w:tc>
        <w:tc>
          <w:tcPr>
            <w:tcW w:w="1119" w:type="dxa"/>
            <w:tcBorders>
              <w:tl2br w:val="nil"/>
              <w:tr2bl w:val="nil"/>
            </w:tcBorders>
            <w:vAlign w:val="center"/>
          </w:tcPr>
          <w:p w:rsidR="00DB7CC8" w:rsidRDefault="00DB7CC8">
            <w:pPr>
              <w:spacing w:line="240" w:lineRule="auto"/>
              <w:ind w:firstLine="420"/>
              <w:jc w:val="center"/>
              <w:rPr>
                <w:bCs/>
                <w:sz w:val="21"/>
                <w:szCs w:val="21"/>
              </w:rPr>
            </w:pPr>
          </w:p>
        </w:tc>
        <w:tc>
          <w:tcPr>
            <w:tcW w:w="2367" w:type="dxa"/>
            <w:tcBorders>
              <w:tl2br w:val="nil"/>
              <w:tr2bl w:val="nil"/>
            </w:tcBorders>
            <w:vAlign w:val="center"/>
          </w:tcPr>
          <w:p w:rsidR="00DB7CC8" w:rsidRDefault="00DB7CC8">
            <w:pPr>
              <w:spacing w:line="240" w:lineRule="auto"/>
              <w:ind w:firstLineChars="0" w:firstLine="0"/>
              <w:jc w:val="center"/>
              <w:rPr>
                <w:bCs/>
                <w:sz w:val="21"/>
                <w:szCs w:val="21"/>
              </w:rPr>
            </w:pPr>
          </w:p>
        </w:tc>
        <w:tc>
          <w:tcPr>
            <w:tcW w:w="2176" w:type="dxa"/>
            <w:tcBorders>
              <w:tl2br w:val="nil"/>
              <w:tr2bl w:val="nil"/>
            </w:tcBorders>
            <w:vAlign w:val="center"/>
          </w:tcPr>
          <w:p w:rsidR="00DB7CC8" w:rsidRDefault="00DB7CC8">
            <w:pPr>
              <w:spacing w:line="240" w:lineRule="auto"/>
              <w:ind w:firstLineChars="0" w:firstLine="0"/>
              <w:rPr>
                <w:bCs/>
                <w:sz w:val="21"/>
                <w:szCs w:val="21"/>
              </w:rPr>
            </w:pPr>
          </w:p>
        </w:tc>
      </w:tr>
      <w:tr w:rsidR="00DB7CC8">
        <w:trPr>
          <w:trHeight w:val="27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r>
              <w:rPr>
                <w:bCs/>
                <w:sz w:val="21"/>
                <w:szCs w:val="21"/>
              </w:rPr>
              <w:t>1</w:t>
            </w:r>
            <w:r>
              <w:rPr>
                <w:bCs/>
                <w:sz w:val="21"/>
                <w:szCs w:val="21"/>
              </w:rPr>
              <w:t>）</w:t>
            </w:r>
          </w:p>
        </w:tc>
        <w:tc>
          <w:tcPr>
            <w:tcW w:w="2103" w:type="dxa"/>
            <w:vMerge w:val="restart"/>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年处理能力</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万</w:t>
            </w:r>
            <w:r>
              <w:rPr>
                <w:bCs/>
                <w:sz w:val="21"/>
                <w:szCs w:val="21"/>
              </w:rPr>
              <w:t>t</w:t>
            </w:r>
          </w:p>
        </w:tc>
        <w:tc>
          <w:tcPr>
            <w:tcW w:w="2367"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bCs/>
                <w:sz w:val="21"/>
                <w:szCs w:val="21"/>
              </w:rPr>
              <w:t>110</w:t>
            </w:r>
          </w:p>
        </w:tc>
        <w:tc>
          <w:tcPr>
            <w:tcW w:w="2176" w:type="dxa"/>
            <w:tcBorders>
              <w:tl2br w:val="nil"/>
              <w:tr2bl w:val="nil"/>
            </w:tcBorders>
            <w:vAlign w:val="center"/>
          </w:tcPr>
          <w:p w:rsidR="00DB7CC8" w:rsidRDefault="002B5250">
            <w:pPr>
              <w:ind w:firstLineChars="300" w:firstLine="630"/>
              <w:jc w:val="both"/>
              <w:rPr>
                <w:bCs/>
                <w:sz w:val="21"/>
                <w:szCs w:val="21"/>
              </w:rPr>
            </w:pPr>
            <w:r>
              <w:rPr>
                <w:bCs/>
                <w:sz w:val="21"/>
                <w:szCs w:val="21"/>
              </w:rPr>
              <w:t>铁矿石</w:t>
            </w: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r>
              <w:rPr>
                <w:bCs/>
                <w:sz w:val="21"/>
                <w:szCs w:val="21"/>
              </w:rPr>
              <w:t>2</w:t>
            </w:r>
            <w:r>
              <w:rPr>
                <w:bCs/>
                <w:sz w:val="21"/>
                <w:szCs w:val="21"/>
              </w:rPr>
              <w:t>）</w:t>
            </w:r>
          </w:p>
        </w:tc>
        <w:tc>
          <w:tcPr>
            <w:tcW w:w="2103" w:type="dxa"/>
            <w:vMerge/>
            <w:tcBorders>
              <w:tl2br w:val="nil"/>
              <w:tr2bl w:val="nil"/>
            </w:tcBorders>
            <w:vAlign w:val="center"/>
          </w:tcPr>
          <w:p w:rsidR="00DB7CC8" w:rsidRDefault="00DB7CC8">
            <w:pPr>
              <w:spacing w:line="240" w:lineRule="auto"/>
              <w:ind w:firstLineChars="0" w:firstLine="0"/>
              <w:jc w:val="center"/>
              <w:rPr>
                <w:bCs/>
                <w:sz w:val="21"/>
                <w:szCs w:val="21"/>
              </w:rPr>
            </w:pP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万</w:t>
            </w:r>
            <w:r>
              <w:rPr>
                <w:bCs/>
                <w:sz w:val="21"/>
                <w:szCs w:val="21"/>
              </w:rPr>
              <w:t>t</w:t>
            </w:r>
          </w:p>
        </w:tc>
        <w:tc>
          <w:tcPr>
            <w:tcW w:w="2367"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bCs/>
                <w:sz w:val="21"/>
                <w:szCs w:val="21"/>
              </w:rPr>
              <w:t>40</w:t>
            </w:r>
          </w:p>
        </w:tc>
        <w:tc>
          <w:tcPr>
            <w:tcW w:w="2176"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bCs/>
                <w:sz w:val="21"/>
                <w:szCs w:val="21"/>
              </w:rPr>
              <w:t>粗精矿</w:t>
            </w: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2</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工作制度</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d/a</w:t>
            </w:r>
            <w:r>
              <w:rPr>
                <w:bCs/>
                <w:sz w:val="21"/>
                <w:szCs w:val="21"/>
              </w:rPr>
              <w:t>，</w:t>
            </w:r>
            <w:r>
              <w:rPr>
                <w:bCs/>
                <w:sz w:val="21"/>
                <w:szCs w:val="21"/>
              </w:rPr>
              <w:t>h/d</w:t>
            </w:r>
          </w:p>
        </w:tc>
        <w:tc>
          <w:tcPr>
            <w:tcW w:w="2367"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300</w:t>
            </w:r>
            <w:r>
              <w:rPr>
                <w:bCs/>
                <w:sz w:val="21"/>
                <w:szCs w:val="21"/>
              </w:rPr>
              <w:t>，</w:t>
            </w:r>
            <w:r>
              <w:rPr>
                <w:bCs/>
                <w:sz w:val="21"/>
                <w:szCs w:val="21"/>
              </w:rPr>
              <w:t>24</w:t>
            </w:r>
          </w:p>
        </w:tc>
        <w:tc>
          <w:tcPr>
            <w:tcW w:w="2176" w:type="dxa"/>
            <w:tcBorders>
              <w:tl2br w:val="nil"/>
              <w:tr2bl w:val="nil"/>
            </w:tcBorders>
            <w:vAlign w:val="center"/>
          </w:tcPr>
          <w:p w:rsidR="00DB7CC8" w:rsidRDefault="00DB7CC8">
            <w:pPr>
              <w:spacing w:line="240" w:lineRule="auto"/>
              <w:ind w:firstLineChars="0" w:firstLine="0"/>
              <w:rPr>
                <w:bCs/>
                <w:sz w:val="21"/>
                <w:szCs w:val="21"/>
              </w:rPr>
            </w:pPr>
          </w:p>
        </w:tc>
      </w:tr>
      <w:tr w:rsidR="00DB7CC8">
        <w:trPr>
          <w:trHeight w:val="147"/>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3</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产品年产量</w:t>
            </w:r>
          </w:p>
        </w:tc>
        <w:tc>
          <w:tcPr>
            <w:tcW w:w="1119" w:type="dxa"/>
            <w:tcBorders>
              <w:tl2br w:val="nil"/>
              <w:tr2bl w:val="nil"/>
            </w:tcBorders>
            <w:vAlign w:val="center"/>
          </w:tcPr>
          <w:p w:rsidR="00DB7CC8" w:rsidRDefault="00DB7CC8">
            <w:pPr>
              <w:spacing w:line="240" w:lineRule="auto"/>
              <w:ind w:firstLineChars="0" w:firstLine="0"/>
              <w:jc w:val="center"/>
              <w:rPr>
                <w:bCs/>
                <w:sz w:val="21"/>
                <w:szCs w:val="21"/>
              </w:rPr>
            </w:pPr>
          </w:p>
        </w:tc>
        <w:tc>
          <w:tcPr>
            <w:tcW w:w="2367" w:type="dxa"/>
            <w:tcBorders>
              <w:tl2br w:val="nil"/>
              <w:tr2bl w:val="nil"/>
            </w:tcBorders>
            <w:vAlign w:val="center"/>
          </w:tcPr>
          <w:p w:rsidR="00DB7CC8" w:rsidRDefault="00DB7CC8">
            <w:pPr>
              <w:spacing w:line="240" w:lineRule="auto"/>
              <w:ind w:firstLineChars="0" w:firstLine="0"/>
              <w:jc w:val="center"/>
              <w:rPr>
                <w:bCs/>
                <w:sz w:val="21"/>
                <w:szCs w:val="21"/>
              </w:rPr>
            </w:pPr>
          </w:p>
        </w:tc>
        <w:tc>
          <w:tcPr>
            <w:tcW w:w="2176" w:type="dxa"/>
            <w:tcBorders>
              <w:tl2br w:val="nil"/>
              <w:tr2bl w:val="nil"/>
            </w:tcBorders>
            <w:vAlign w:val="center"/>
          </w:tcPr>
          <w:p w:rsidR="00DB7CC8" w:rsidRDefault="00DB7CC8">
            <w:pPr>
              <w:spacing w:line="240" w:lineRule="auto"/>
              <w:ind w:firstLineChars="0" w:firstLine="0"/>
              <w:rPr>
                <w:bCs/>
                <w:sz w:val="21"/>
                <w:szCs w:val="21"/>
              </w:rPr>
            </w:pPr>
          </w:p>
        </w:tc>
      </w:tr>
      <w:tr w:rsidR="00DB7CC8">
        <w:trPr>
          <w:trHeight w:val="65"/>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r>
              <w:rPr>
                <w:bCs/>
                <w:sz w:val="21"/>
                <w:szCs w:val="21"/>
              </w:rPr>
              <w:t>1</w:t>
            </w:r>
            <w:r>
              <w:rPr>
                <w:bCs/>
                <w:sz w:val="21"/>
                <w:szCs w:val="21"/>
              </w:rPr>
              <w:t>）</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铁精粉</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bCs/>
                <w:sz w:val="21"/>
                <w:szCs w:val="21"/>
              </w:rPr>
              <w:t>t</w:t>
            </w:r>
          </w:p>
        </w:tc>
        <w:tc>
          <w:tcPr>
            <w:tcW w:w="2367"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bCs/>
                <w:sz w:val="21"/>
                <w:szCs w:val="21"/>
              </w:rPr>
              <w:t>35</w:t>
            </w:r>
            <w:r>
              <w:rPr>
                <w:bCs/>
                <w:sz w:val="21"/>
                <w:szCs w:val="21"/>
              </w:rPr>
              <w:t>0000</w:t>
            </w:r>
          </w:p>
        </w:tc>
        <w:tc>
          <w:tcPr>
            <w:tcW w:w="217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平均品位</w:t>
            </w:r>
            <w:r>
              <w:rPr>
                <w:bCs/>
                <w:sz w:val="21"/>
                <w:szCs w:val="21"/>
              </w:rPr>
              <w:t>6</w:t>
            </w:r>
            <w:r>
              <w:rPr>
                <w:rFonts w:hint="eastAsia"/>
                <w:bCs/>
                <w:sz w:val="21"/>
                <w:szCs w:val="21"/>
              </w:rPr>
              <w:t>6</w:t>
            </w:r>
            <w:r>
              <w:rPr>
                <w:bCs/>
                <w:sz w:val="21"/>
                <w:szCs w:val="21"/>
              </w:rPr>
              <w:t>%</w:t>
            </w: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r>
              <w:rPr>
                <w:bCs/>
                <w:sz w:val="21"/>
                <w:szCs w:val="21"/>
              </w:rPr>
              <w:t>2</w:t>
            </w:r>
            <w:r>
              <w:rPr>
                <w:bCs/>
                <w:sz w:val="21"/>
                <w:szCs w:val="21"/>
              </w:rPr>
              <w:t>）</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尾矿砂</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t</w:t>
            </w:r>
          </w:p>
        </w:tc>
        <w:tc>
          <w:tcPr>
            <w:tcW w:w="2367" w:type="dxa"/>
            <w:tcBorders>
              <w:tl2br w:val="nil"/>
              <w:tr2bl w:val="nil"/>
            </w:tcBorders>
            <w:vAlign w:val="center"/>
          </w:tcPr>
          <w:p w:rsidR="00DB7CC8" w:rsidRDefault="002B5250">
            <w:pPr>
              <w:widowControl/>
              <w:spacing w:line="240" w:lineRule="auto"/>
              <w:ind w:firstLineChars="0" w:firstLine="0"/>
              <w:jc w:val="center"/>
              <w:textAlignment w:val="auto"/>
              <w:rPr>
                <w:bCs/>
                <w:sz w:val="21"/>
                <w:szCs w:val="21"/>
              </w:rPr>
            </w:pPr>
            <w:r>
              <w:rPr>
                <w:sz w:val="21"/>
                <w:szCs w:val="21"/>
              </w:rPr>
              <w:t>223390.525</w:t>
            </w:r>
          </w:p>
        </w:tc>
        <w:tc>
          <w:tcPr>
            <w:tcW w:w="2176" w:type="dxa"/>
            <w:tcBorders>
              <w:tl2br w:val="nil"/>
              <w:tr2bl w:val="nil"/>
            </w:tcBorders>
            <w:vAlign w:val="center"/>
          </w:tcPr>
          <w:p w:rsidR="00DB7CC8" w:rsidRDefault="00DB7CC8">
            <w:pPr>
              <w:pStyle w:val="a0"/>
              <w:ind w:firstLineChars="0" w:firstLine="0"/>
              <w:jc w:val="center"/>
              <w:rPr>
                <w:bCs/>
                <w:kern w:val="0"/>
                <w:sz w:val="21"/>
                <w:szCs w:val="21"/>
              </w:rPr>
            </w:pP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r>
              <w:rPr>
                <w:bCs/>
                <w:sz w:val="21"/>
                <w:szCs w:val="21"/>
              </w:rPr>
              <w:t>3</w:t>
            </w:r>
            <w:r>
              <w:rPr>
                <w:bCs/>
                <w:sz w:val="21"/>
                <w:szCs w:val="21"/>
              </w:rPr>
              <w:t>）</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石碴</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bCs/>
                <w:sz w:val="21"/>
                <w:szCs w:val="21"/>
              </w:rPr>
              <w:t>t</w:t>
            </w:r>
          </w:p>
        </w:tc>
        <w:tc>
          <w:tcPr>
            <w:tcW w:w="2367"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117800</w:t>
            </w:r>
          </w:p>
        </w:tc>
        <w:tc>
          <w:tcPr>
            <w:tcW w:w="2176" w:type="dxa"/>
            <w:tcBorders>
              <w:tl2br w:val="nil"/>
              <w:tr2bl w:val="nil"/>
            </w:tcBorders>
            <w:vAlign w:val="center"/>
          </w:tcPr>
          <w:p w:rsidR="00DB7CC8" w:rsidRDefault="00DB7CC8">
            <w:pPr>
              <w:pStyle w:val="a0"/>
              <w:ind w:firstLineChars="0" w:firstLine="0"/>
              <w:jc w:val="center"/>
              <w:rPr>
                <w:bCs/>
                <w:kern w:val="0"/>
                <w:sz w:val="21"/>
                <w:szCs w:val="21"/>
              </w:rPr>
            </w:pP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bCs/>
                <w:sz w:val="21"/>
                <w:szCs w:val="21"/>
              </w:rPr>
              <w:t>（</w:t>
            </w:r>
            <w:r>
              <w:rPr>
                <w:rFonts w:hint="eastAsia"/>
                <w:bCs/>
                <w:sz w:val="21"/>
                <w:szCs w:val="21"/>
              </w:rPr>
              <w:t>4</w:t>
            </w:r>
            <w:r>
              <w:rPr>
                <w:rFonts w:hint="eastAsia"/>
                <w:bCs/>
                <w:sz w:val="21"/>
                <w:szCs w:val="21"/>
              </w:rPr>
              <w:t>）</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bCs/>
                <w:sz w:val="21"/>
                <w:szCs w:val="21"/>
              </w:rPr>
              <w:t>砂子</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bCs/>
                <w:sz w:val="21"/>
                <w:szCs w:val="21"/>
              </w:rPr>
              <w:t>t</w:t>
            </w:r>
          </w:p>
        </w:tc>
        <w:tc>
          <w:tcPr>
            <w:tcW w:w="2367"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bCs/>
                <w:sz w:val="21"/>
                <w:szCs w:val="21"/>
              </w:rPr>
              <w:t>5</w:t>
            </w:r>
            <w:r>
              <w:rPr>
                <w:bCs/>
                <w:sz w:val="21"/>
                <w:szCs w:val="21"/>
              </w:rPr>
              <w:t>8900</w:t>
            </w:r>
          </w:p>
        </w:tc>
        <w:tc>
          <w:tcPr>
            <w:tcW w:w="2176" w:type="dxa"/>
            <w:tcBorders>
              <w:tl2br w:val="nil"/>
              <w:tr2bl w:val="nil"/>
            </w:tcBorders>
            <w:vAlign w:val="center"/>
          </w:tcPr>
          <w:p w:rsidR="00DB7CC8" w:rsidRDefault="00DB7CC8">
            <w:pPr>
              <w:pStyle w:val="a0"/>
              <w:ind w:firstLineChars="0" w:firstLine="0"/>
              <w:jc w:val="center"/>
              <w:rPr>
                <w:bCs/>
                <w:kern w:val="0"/>
                <w:sz w:val="21"/>
                <w:szCs w:val="21"/>
              </w:rPr>
            </w:pP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r>
              <w:rPr>
                <w:bCs/>
                <w:sz w:val="21"/>
                <w:szCs w:val="21"/>
              </w:rPr>
              <w:t>5</w:t>
            </w:r>
            <w:r>
              <w:rPr>
                <w:bCs/>
                <w:sz w:val="21"/>
                <w:szCs w:val="21"/>
              </w:rPr>
              <w:t>）</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金属回收率</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p>
        </w:tc>
        <w:tc>
          <w:tcPr>
            <w:tcW w:w="2367"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96.2</w:t>
            </w:r>
          </w:p>
        </w:tc>
        <w:tc>
          <w:tcPr>
            <w:tcW w:w="2176" w:type="dxa"/>
            <w:tcBorders>
              <w:tl2br w:val="nil"/>
              <w:tr2bl w:val="nil"/>
            </w:tcBorders>
            <w:vAlign w:val="center"/>
          </w:tcPr>
          <w:p w:rsidR="00DB7CC8" w:rsidRDefault="00DB7CC8">
            <w:pPr>
              <w:pStyle w:val="a0"/>
              <w:ind w:firstLineChars="0" w:firstLine="0"/>
              <w:jc w:val="center"/>
              <w:rPr>
                <w:bCs/>
                <w:kern w:val="0"/>
                <w:sz w:val="21"/>
                <w:szCs w:val="21"/>
              </w:rPr>
            </w:pP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r>
              <w:rPr>
                <w:bCs/>
                <w:sz w:val="21"/>
                <w:szCs w:val="21"/>
              </w:rPr>
              <w:t>6</w:t>
            </w:r>
            <w:r>
              <w:rPr>
                <w:bCs/>
                <w:sz w:val="21"/>
                <w:szCs w:val="21"/>
              </w:rPr>
              <w:t>）</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铁选比</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p>
        </w:tc>
        <w:tc>
          <w:tcPr>
            <w:tcW w:w="2367"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42.86</w:t>
            </w:r>
          </w:p>
        </w:tc>
        <w:tc>
          <w:tcPr>
            <w:tcW w:w="2176" w:type="dxa"/>
            <w:tcBorders>
              <w:tl2br w:val="nil"/>
              <w:tr2bl w:val="nil"/>
            </w:tcBorders>
            <w:vAlign w:val="center"/>
          </w:tcPr>
          <w:p w:rsidR="00DB7CC8" w:rsidRDefault="00DB7CC8">
            <w:pPr>
              <w:pStyle w:val="a0"/>
              <w:ind w:firstLineChars="0" w:firstLine="0"/>
              <w:jc w:val="center"/>
              <w:rPr>
                <w:bCs/>
                <w:kern w:val="0"/>
                <w:sz w:val="21"/>
                <w:szCs w:val="21"/>
              </w:rPr>
            </w:pP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r>
              <w:rPr>
                <w:bCs/>
                <w:sz w:val="21"/>
                <w:szCs w:val="21"/>
              </w:rPr>
              <w:t>7</w:t>
            </w:r>
            <w:r>
              <w:rPr>
                <w:bCs/>
                <w:sz w:val="21"/>
                <w:szCs w:val="21"/>
              </w:rPr>
              <w:t>）</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sz w:val="21"/>
                <w:szCs w:val="21"/>
              </w:rPr>
              <w:t>尾矿综合利用率</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p>
        </w:tc>
        <w:tc>
          <w:tcPr>
            <w:tcW w:w="2367"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100</w:t>
            </w:r>
          </w:p>
        </w:tc>
        <w:tc>
          <w:tcPr>
            <w:tcW w:w="2176" w:type="dxa"/>
            <w:tcBorders>
              <w:tl2br w:val="nil"/>
              <w:tr2bl w:val="nil"/>
            </w:tcBorders>
            <w:vAlign w:val="center"/>
          </w:tcPr>
          <w:p w:rsidR="00DB7CC8" w:rsidRDefault="00DB7CC8">
            <w:pPr>
              <w:pStyle w:val="a0"/>
              <w:ind w:firstLineChars="0" w:firstLine="0"/>
              <w:jc w:val="center"/>
              <w:rPr>
                <w:bCs/>
                <w:kern w:val="0"/>
                <w:sz w:val="21"/>
                <w:szCs w:val="21"/>
              </w:rPr>
            </w:pP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r>
              <w:rPr>
                <w:bCs/>
                <w:sz w:val="21"/>
                <w:szCs w:val="21"/>
              </w:rPr>
              <w:t>8</w:t>
            </w:r>
            <w:r>
              <w:rPr>
                <w:bCs/>
                <w:sz w:val="21"/>
                <w:szCs w:val="21"/>
              </w:rPr>
              <w:t>）</w:t>
            </w:r>
          </w:p>
        </w:tc>
        <w:tc>
          <w:tcPr>
            <w:tcW w:w="210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固废综合利用率</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p>
        </w:tc>
        <w:tc>
          <w:tcPr>
            <w:tcW w:w="2367"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100</w:t>
            </w:r>
          </w:p>
        </w:tc>
        <w:tc>
          <w:tcPr>
            <w:tcW w:w="2176" w:type="dxa"/>
            <w:tcBorders>
              <w:tl2br w:val="nil"/>
              <w:tr2bl w:val="nil"/>
            </w:tcBorders>
            <w:vAlign w:val="center"/>
          </w:tcPr>
          <w:p w:rsidR="00DB7CC8" w:rsidRDefault="00DB7CC8">
            <w:pPr>
              <w:pStyle w:val="a0"/>
              <w:ind w:firstLineChars="0" w:firstLine="0"/>
              <w:jc w:val="center"/>
              <w:rPr>
                <w:bCs/>
                <w:kern w:val="0"/>
                <w:sz w:val="21"/>
                <w:szCs w:val="21"/>
              </w:rPr>
            </w:pP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4</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用水量</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m</w:t>
            </w:r>
            <w:r>
              <w:rPr>
                <w:bCs/>
                <w:sz w:val="21"/>
                <w:szCs w:val="21"/>
                <w:vertAlign w:val="superscript"/>
              </w:rPr>
              <w:t>3</w:t>
            </w:r>
            <w:r>
              <w:rPr>
                <w:bCs/>
                <w:sz w:val="21"/>
                <w:szCs w:val="21"/>
              </w:rPr>
              <w:t>/a</w:t>
            </w:r>
          </w:p>
        </w:tc>
        <w:tc>
          <w:tcPr>
            <w:tcW w:w="2367" w:type="dxa"/>
            <w:tcBorders>
              <w:tl2br w:val="nil"/>
              <w:tr2bl w:val="nil"/>
            </w:tcBorders>
            <w:vAlign w:val="center"/>
          </w:tcPr>
          <w:p w:rsidR="00DB7CC8" w:rsidRDefault="002B5250">
            <w:pPr>
              <w:widowControl/>
              <w:spacing w:line="240" w:lineRule="auto"/>
              <w:ind w:firstLineChars="0" w:firstLine="0"/>
              <w:jc w:val="center"/>
              <w:textAlignment w:val="auto"/>
              <w:rPr>
                <w:bCs/>
                <w:sz w:val="21"/>
                <w:szCs w:val="21"/>
              </w:rPr>
            </w:pPr>
            <w:r>
              <w:rPr>
                <w:sz w:val="21"/>
                <w:szCs w:val="21"/>
              </w:rPr>
              <w:t>78922.5</w:t>
            </w:r>
          </w:p>
        </w:tc>
        <w:tc>
          <w:tcPr>
            <w:tcW w:w="2176" w:type="dxa"/>
            <w:tcBorders>
              <w:tl2br w:val="nil"/>
              <w:tr2bl w:val="nil"/>
            </w:tcBorders>
            <w:vAlign w:val="center"/>
          </w:tcPr>
          <w:p w:rsidR="00DB7CC8" w:rsidRDefault="00DB7CC8">
            <w:pPr>
              <w:spacing w:line="240" w:lineRule="auto"/>
              <w:ind w:firstLineChars="0" w:firstLine="0"/>
              <w:jc w:val="center"/>
              <w:rPr>
                <w:bCs/>
                <w:sz w:val="21"/>
                <w:szCs w:val="21"/>
              </w:rPr>
            </w:pP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5</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水耗</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m</w:t>
            </w:r>
            <w:r>
              <w:rPr>
                <w:bCs/>
                <w:sz w:val="21"/>
                <w:szCs w:val="21"/>
                <w:vertAlign w:val="superscript"/>
              </w:rPr>
              <w:t>3</w:t>
            </w:r>
            <w:r>
              <w:rPr>
                <w:bCs/>
                <w:sz w:val="21"/>
                <w:szCs w:val="21"/>
              </w:rPr>
              <w:t>/t</w:t>
            </w:r>
          </w:p>
        </w:tc>
        <w:tc>
          <w:tcPr>
            <w:tcW w:w="2367" w:type="dxa"/>
            <w:tcBorders>
              <w:tl2br w:val="nil"/>
              <w:tr2bl w:val="nil"/>
            </w:tcBorders>
            <w:vAlign w:val="center"/>
          </w:tcPr>
          <w:p w:rsidR="00DB7CC8" w:rsidRDefault="002B5250">
            <w:pPr>
              <w:pStyle w:val="61"/>
              <w:spacing w:line="240" w:lineRule="auto"/>
              <w:ind w:leftChars="0" w:left="0" w:firstLineChars="0"/>
              <w:jc w:val="center"/>
              <w:rPr>
                <w:bCs/>
                <w:sz w:val="21"/>
                <w:szCs w:val="21"/>
              </w:rPr>
            </w:pPr>
            <w:r>
              <w:rPr>
                <w:sz w:val="21"/>
                <w:szCs w:val="21"/>
              </w:rPr>
              <w:t>0.1127</w:t>
            </w:r>
          </w:p>
        </w:tc>
        <w:tc>
          <w:tcPr>
            <w:tcW w:w="2176" w:type="dxa"/>
            <w:tcBorders>
              <w:tl2br w:val="nil"/>
              <w:tr2bl w:val="nil"/>
            </w:tcBorders>
            <w:vAlign w:val="center"/>
          </w:tcPr>
          <w:p w:rsidR="00DB7CC8" w:rsidRDefault="00DB7CC8">
            <w:pPr>
              <w:spacing w:line="240" w:lineRule="auto"/>
              <w:ind w:firstLineChars="0" w:firstLine="0"/>
              <w:jc w:val="center"/>
              <w:rPr>
                <w:bCs/>
                <w:sz w:val="21"/>
                <w:szCs w:val="21"/>
              </w:rPr>
            </w:pP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6</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用电量</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kWh/a</w:t>
            </w:r>
          </w:p>
        </w:tc>
        <w:tc>
          <w:tcPr>
            <w:tcW w:w="2367" w:type="dxa"/>
            <w:tcBorders>
              <w:tl2br w:val="nil"/>
              <w:tr2bl w:val="nil"/>
            </w:tcBorders>
            <w:vAlign w:val="center"/>
          </w:tcPr>
          <w:p w:rsidR="00DB7CC8" w:rsidRDefault="002B5250">
            <w:pPr>
              <w:pStyle w:val="61"/>
              <w:spacing w:line="240" w:lineRule="auto"/>
              <w:ind w:leftChars="0" w:left="0" w:firstLineChars="0"/>
              <w:jc w:val="center"/>
              <w:rPr>
                <w:bCs/>
                <w:sz w:val="21"/>
                <w:szCs w:val="21"/>
              </w:rPr>
            </w:pPr>
            <w:r>
              <w:rPr>
                <w:rFonts w:eastAsia="仿宋_GB2312"/>
                <w:sz w:val="21"/>
                <w:szCs w:val="21"/>
              </w:rPr>
              <w:t>1920</w:t>
            </w:r>
            <w:r>
              <w:rPr>
                <w:bCs/>
                <w:sz w:val="21"/>
                <w:szCs w:val="21"/>
              </w:rPr>
              <w:t>万</w:t>
            </w:r>
          </w:p>
        </w:tc>
        <w:tc>
          <w:tcPr>
            <w:tcW w:w="2176" w:type="dxa"/>
            <w:tcBorders>
              <w:tl2br w:val="nil"/>
              <w:tr2bl w:val="nil"/>
            </w:tcBorders>
            <w:vAlign w:val="center"/>
          </w:tcPr>
          <w:p w:rsidR="00DB7CC8" w:rsidRDefault="00DB7CC8">
            <w:pPr>
              <w:spacing w:line="240" w:lineRule="auto"/>
              <w:ind w:firstLineChars="0" w:firstLine="0"/>
              <w:rPr>
                <w:bCs/>
                <w:sz w:val="21"/>
                <w:szCs w:val="21"/>
              </w:rPr>
            </w:pP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7</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电耗</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kWh/t</w:t>
            </w:r>
          </w:p>
        </w:tc>
        <w:tc>
          <w:tcPr>
            <w:tcW w:w="2367" w:type="dxa"/>
            <w:tcBorders>
              <w:tl2br w:val="nil"/>
              <w:tr2bl w:val="nil"/>
            </w:tcBorders>
            <w:vAlign w:val="center"/>
          </w:tcPr>
          <w:p w:rsidR="00DB7CC8" w:rsidRDefault="002B5250">
            <w:pPr>
              <w:pStyle w:val="61"/>
              <w:spacing w:line="240" w:lineRule="auto"/>
              <w:ind w:leftChars="0" w:left="0" w:firstLineChars="0"/>
              <w:jc w:val="center"/>
              <w:rPr>
                <w:rFonts w:eastAsia="仿宋_GB2312"/>
                <w:sz w:val="21"/>
                <w:szCs w:val="21"/>
              </w:rPr>
            </w:pPr>
            <w:r>
              <w:rPr>
                <w:rFonts w:eastAsia="仿宋_GB2312"/>
                <w:sz w:val="21"/>
                <w:szCs w:val="21"/>
              </w:rPr>
              <w:t>27.4</w:t>
            </w:r>
          </w:p>
        </w:tc>
        <w:tc>
          <w:tcPr>
            <w:tcW w:w="2176" w:type="dxa"/>
            <w:tcBorders>
              <w:tl2br w:val="nil"/>
              <w:tr2bl w:val="nil"/>
            </w:tcBorders>
            <w:vAlign w:val="center"/>
          </w:tcPr>
          <w:p w:rsidR="00DB7CC8" w:rsidRDefault="00DB7CC8">
            <w:pPr>
              <w:spacing w:line="240" w:lineRule="auto"/>
              <w:ind w:firstLineChars="0" w:firstLine="0"/>
              <w:rPr>
                <w:bCs/>
                <w:sz w:val="21"/>
                <w:szCs w:val="21"/>
              </w:rPr>
            </w:pP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8</w:t>
            </w:r>
          </w:p>
        </w:tc>
        <w:tc>
          <w:tcPr>
            <w:tcW w:w="2103" w:type="dxa"/>
            <w:tcBorders>
              <w:tl2br w:val="nil"/>
              <w:tr2bl w:val="nil"/>
            </w:tcBorders>
          </w:tcPr>
          <w:p w:rsidR="00DB7CC8" w:rsidRDefault="002B5250">
            <w:pPr>
              <w:spacing w:line="240" w:lineRule="auto"/>
              <w:ind w:firstLineChars="0" w:firstLine="0"/>
              <w:jc w:val="center"/>
              <w:rPr>
                <w:bCs/>
                <w:sz w:val="21"/>
                <w:szCs w:val="21"/>
              </w:rPr>
            </w:pPr>
            <w:r>
              <w:rPr>
                <w:sz w:val="21"/>
                <w:szCs w:val="21"/>
              </w:rPr>
              <w:t>工业水重复利用率</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p>
        </w:tc>
        <w:tc>
          <w:tcPr>
            <w:tcW w:w="2367" w:type="dxa"/>
            <w:tcBorders>
              <w:tl2br w:val="nil"/>
              <w:tr2bl w:val="nil"/>
            </w:tcBorders>
            <w:vAlign w:val="center"/>
          </w:tcPr>
          <w:p w:rsidR="00DB7CC8" w:rsidRDefault="002B5250">
            <w:pPr>
              <w:pStyle w:val="61"/>
              <w:spacing w:line="240" w:lineRule="auto"/>
              <w:ind w:leftChars="0" w:left="0" w:firstLineChars="0"/>
              <w:jc w:val="center"/>
              <w:rPr>
                <w:rFonts w:eastAsia="仿宋_GB2312"/>
                <w:sz w:val="21"/>
                <w:szCs w:val="21"/>
              </w:rPr>
            </w:pPr>
            <w:r>
              <w:rPr>
                <w:rFonts w:eastAsia="仿宋_GB2312"/>
                <w:sz w:val="21"/>
                <w:szCs w:val="21"/>
              </w:rPr>
              <w:t>96.0</w:t>
            </w:r>
          </w:p>
        </w:tc>
        <w:tc>
          <w:tcPr>
            <w:tcW w:w="2176" w:type="dxa"/>
            <w:tcBorders>
              <w:tl2br w:val="nil"/>
              <w:tr2bl w:val="nil"/>
            </w:tcBorders>
            <w:vAlign w:val="center"/>
          </w:tcPr>
          <w:p w:rsidR="00DB7CC8" w:rsidRDefault="00DB7CC8">
            <w:pPr>
              <w:spacing w:line="240" w:lineRule="auto"/>
              <w:ind w:firstLineChars="0" w:firstLine="0"/>
              <w:rPr>
                <w:bCs/>
                <w:sz w:val="21"/>
                <w:szCs w:val="21"/>
              </w:rPr>
            </w:pP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9</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占地面积</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m</w:t>
            </w:r>
            <w:r>
              <w:rPr>
                <w:bCs/>
                <w:sz w:val="21"/>
                <w:szCs w:val="21"/>
                <w:vertAlign w:val="superscript"/>
              </w:rPr>
              <w:t>2</w:t>
            </w:r>
          </w:p>
        </w:tc>
        <w:tc>
          <w:tcPr>
            <w:tcW w:w="2367" w:type="dxa"/>
            <w:tcBorders>
              <w:tl2br w:val="nil"/>
              <w:tr2bl w:val="nil"/>
            </w:tcBorders>
            <w:vAlign w:val="center"/>
          </w:tcPr>
          <w:p w:rsidR="00DB7CC8" w:rsidRDefault="002B5250">
            <w:pPr>
              <w:pStyle w:val="61"/>
              <w:spacing w:line="240" w:lineRule="auto"/>
              <w:ind w:leftChars="0" w:left="0" w:firstLineChars="0"/>
              <w:jc w:val="center"/>
              <w:rPr>
                <w:rFonts w:eastAsia="仿宋_GB2312"/>
                <w:sz w:val="21"/>
                <w:szCs w:val="21"/>
              </w:rPr>
            </w:pPr>
            <w:r>
              <w:rPr>
                <w:rFonts w:eastAsia="仿宋_GB2312" w:hint="eastAsia"/>
                <w:bCs/>
                <w:sz w:val="21"/>
                <w:szCs w:val="21"/>
              </w:rPr>
              <w:t>6653</w:t>
            </w:r>
          </w:p>
        </w:tc>
        <w:tc>
          <w:tcPr>
            <w:tcW w:w="2176" w:type="dxa"/>
            <w:tcBorders>
              <w:tl2br w:val="nil"/>
              <w:tr2bl w:val="nil"/>
            </w:tcBorders>
            <w:vAlign w:val="center"/>
          </w:tcPr>
          <w:p w:rsidR="00DB7CC8" w:rsidRDefault="002B5250">
            <w:pPr>
              <w:spacing w:line="240" w:lineRule="auto"/>
              <w:ind w:firstLineChars="100" w:firstLine="210"/>
              <w:rPr>
                <w:bCs/>
                <w:sz w:val="21"/>
                <w:szCs w:val="21"/>
              </w:rPr>
            </w:pPr>
            <w:r>
              <w:rPr>
                <w:rFonts w:hint="eastAsia"/>
                <w:bCs/>
                <w:sz w:val="21"/>
                <w:szCs w:val="21"/>
              </w:rPr>
              <w:t>在现有厂区内建设</w:t>
            </w: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10</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劳动定员</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人</w:t>
            </w:r>
          </w:p>
        </w:tc>
        <w:tc>
          <w:tcPr>
            <w:tcW w:w="2367" w:type="dxa"/>
            <w:tcBorders>
              <w:tl2br w:val="nil"/>
              <w:tr2bl w:val="nil"/>
            </w:tcBorders>
            <w:vAlign w:val="center"/>
          </w:tcPr>
          <w:p w:rsidR="00DB7CC8" w:rsidRDefault="002B5250">
            <w:pPr>
              <w:pStyle w:val="afd"/>
              <w:snapToGrid/>
              <w:jc w:val="center"/>
              <w:rPr>
                <w:bCs/>
                <w:kern w:val="0"/>
                <w:sz w:val="21"/>
                <w:szCs w:val="21"/>
              </w:rPr>
            </w:pPr>
            <w:r>
              <w:rPr>
                <w:bCs/>
                <w:kern w:val="0"/>
                <w:sz w:val="21"/>
                <w:szCs w:val="21"/>
              </w:rPr>
              <w:t>75</w:t>
            </w:r>
            <w:r>
              <w:rPr>
                <w:rFonts w:hint="eastAsia"/>
                <w:bCs/>
                <w:kern w:val="0"/>
                <w:sz w:val="21"/>
                <w:szCs w:val="21"/>
              </w:rPr>
              <w:t>（</w:t>
            </w:r>
            <w:r>
              <w:rPr>
                <w:rFonts w:hint="eastAsia"/>
                <w:bCs/>
                <w:kern w:val="0"/>
                <w:sz w:val="21"/>
                <w:szCs w:val="21"/>
              </w:rPr>
              <w:t>全厂</w:t>
            </w:r>
            <w:r>
              <w:rPr>
                <w:rFonts w:hint="eastAsia"/>
                <w:bCs/>
                <w:kern w:val="0"/>
                <w:sz w:val="21"/>
                <w:szCs w:val="21"/>
              </w:rPr>
              <w:t>）</w:t>
            </w:r>
          </w:p>
        </w:tc>
        <w:tc>
          <w:tcPr>
            <w:tcW w:w="2176"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bCs/>
                <w:sz w:val="21"/>
                <w:szCs w:val="21"/>
              </w:rPr>
              <w:t>本项目不新增</w:t>
            </w: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lastRenderedPageBreak/>
              <w:t>11</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总投资</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万元</w:t>
            </w:r>
          </w:p>
        </w:tc>
        <w:tc>
          <w:tcPr>
            <w:tcW w:w="2367" w:type="dxa"/>
            <w:tcBorders>
              <w:tl2br w:val="nil"/>
              <w:tr2bl w:val="nil"/>
            </w:tcBorders>
            <w:vAlign w:val="center"/>
          </w:tcPr>
          <w:p w:rsidR="00DB7CC8" w:rsidRDefault="002B5250">
            <w:pPr>
              <w:pStyle w:val="afd"/>
              <w:snapToGrid/>
              <w:jc w:val="center"/>
              <w:rPr>
                <w:bCs/>
                <w:kern w:val="0"/>
                <w:sz w:val="21"/>
                <w:szCs w:val="21"/>
              </w:rPr>
            </w:pPr>
            <w:r>
              <w:rPr>
                <w:rFonts w:hint="eastAsia"/>
                <w:bCs/>
                <w:kern w:val="0"/>
                <w:sz w:val="21"/>
                <w:szCs w:val="21"/>
              </w:rPr>
              <w:t>22</w:t>
            </w:r>
            <w:r>
              <w:rPr>
                <w:bCs/>
                <w:kern w:val="0"/>
                <w:sz w:val="21"/>
                <w:szCs w:val="21"/>
              </w:rPr>
              <w:t>00</w:t>
            </w:r>
          </w:p>
        </w:tc>
        <w:tc>
          <w:tcPr>
            <w:tcW w:w="2176" w:type="dxa"/>
            <w:tcBorders>
              <w:tl2br w:val="nil"/>
              <w:tr2bl w:val="nil"/>
            </w:tcBorders>
            <w:vAlign w:val="center"/>
          </w:tcPr>
          <w:p w:rsidR="00DB7CC8" w:rsidRDefault="00DB7CC8">
            <w:pPr>
              <w:spacing w:line="240" w:lineRule="auto"/>
              <w:ind w:firstLineChars="0" w:firstLine="0"/>
              <w:rPr>
                <w:bCs/>
                <w:sz w:val="21"/>
                <w:szCs w:val="21"/>
              </w:rPr>
            </w:pPr>
          </w:p>
        </w:tc>
      </w:tr>
      <w:tr w:rsidR="00DB7CC8">
        <w:trPr>
          <w:trHeight w:val="283"/>
          <w:jc w:val="center"/>
        </w:trPr>
        <w:tc>
          <w:tcPr>
            <w:tcW w:w="756"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12</w:t>
            </w:r>
          </w:p>
        </w:tc>
        <w:tc>
          <w:tcPr>
            <w:tcW w:w="2103"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环保投资</w:t>
            </w:r>
          </w:p>
        </w:tc>
        <w:tc>
          <w:tcPr>
            <w:tcW w:w="1119"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万元</w:t>
            </w:r>
          </w:p>
        </w:tc>
        <w:tc>
          <w:tcPr>
            <w:tcW w:w="2367" w:type="dxa"/>
            <w:tcBorders>
              <w:tl2br w:val="nil"/>
              <w:tr2bl w:val="nil"/>
            </w:tcBorders>
            <w:vAlign w:val="center"/>
          </w:tcPr>
          <w:p w:rsidR="00DB7CC8" w:rsidRDefault="002B5250">
            <w:pPr>
              <w:pStyle w:val="afd"/>
              <w:snapToGrid/>
              <w:jc w:val="center"/>
              <w:rPr>
                <w:bCs/>
                <w:kern w:val="0"/>
                <w:sz w:val="21"/>
                <w:szCs w:val="21"/>
              </w:rPr>
            </w:pPr>
            <w:r>
              <w:rPr>
                <w:rFonts w:hint="eastAsia"/>
                <w:bCs/>
                <w:kern w:val="0"/>
                <w:sz w:val="21"/>
                <w:szCs w:val="21"/>
              </w:rPr>
              <w:t>110</w:t>
            </w:r>
          </w:p>
        </w:tc>
        <w:tc>
          <w:tcPr>
            <w:tcW w:w="2176" w:type="dxa"/>
            <w:tcBorders>
              <w:tl2br w:val="nil"/>
              <w:tr2bl w:val="nil"/>
            </w:tcBorders>
            <w:vAlign w:val="center"/>
          </w:tcPr>
          <w:p w:rsidR="00DB7CC8" w:rsidRDefault="00DB7CC8">
            <w:pPr>
              <w:spacing w:line="240" w:lineRule="auto"/>
              <w:ind w:firstLineChars="0" w:firstLine="0"/>
              <w:rPr>
                <w:bCs/>
                <w:sz w:val="21"/>
                <w:szCs w:val="21"/>
              </w:rPr>
            </w:pPr>
          </w:p>
        </w:tc>
      </w:tr>
    </w:tbl>
    <w:p w:rsidR="00DB7CC8" w:rsidRDefault="002B5250">
      <w:pPr>
        <w:pStyle w:val="3"/>
        <w:numPr>
          <w:ilvl w:val="2"/>
          <w:numId w:val="1"/>
        </w:numPr>
        <w:rPr>
          <w:szCs w:val="28"/>
        </w:rPr>
      </w:pPr>
      <w:r>
        <w:rPr>
          <w:szCs w:val="28"/>
        </w:rPr>
        <w:t>公用工程</w:t>
      </w:r>
    </w:p>
    <w:p w:rsidR="00DB7CC8" w:rsidRDefault="002B5250">
      <w:pPr>
        <w:pStyle w:val="4"/>
      </w:pPr>
      <w:r>
        <w:t>3.</w:t>
      </w:r>
      <w:r>
        <w:rPr>
          <w:rFonts w:hint="eastAsia"/>
        </w:rPr>
        <w:t>2</w:t>
      </w:r>
      <w:r>
        <w:t>.</w:t>
      </w:r>
      <w:r>
        <w:rPr>
          <w:rFonts w:hint="eastAsia"/>
        </w:rPr>
        <w:t>9</w:t>
      </w:r>
      <w:r>
        <w:t>.1</w:t>
      </w:r>
      <w:r>
        <w:t>给排水</w:t>
      </w:r>
    </w:p>
    <w:p w:rsidR="00DB7CC8" w:rsidRDefault="002B5250">
      <w:pPr>
        <w:ind w:firstLine="480"/>
        <w:jc w:val="both"/>
        <w:rPr>
          <w:sz w:val="24"/>
          <w:szCs w:val="24"/>
        </w:rPr>
      </w:pPr>
      <w:r>
        <w:rPr>
          <w:sz w:val="24"/>
          <w:szCs w:val="24"/>
        </w:rPr>
        <w:t>（</w:t>
      </w:r>
      <w:r>
        <w:rPr>
          <w:sz w:val="24"/>
          <w:szCs w:val="24"/>
        </w:rPr>
        <w:t>1</w:t>
      </w:r>
      <w:r>
        <w:rPr>
          <w:sz w:val="24"/>
          <w:szCs w:val="24"/>
        </w:rPr>
        <w:t>）给水</w:t>
      </w:r>
    </w:p>
    <w:p w:rsidR="00DB7CC8" w:rsidRDefault="002B5250">
      <w:pPr>
        <w:ind w:firstLine="480"/>
        <w:jc w:val="both"/>
        <w:rPr>
          <w:sz w:val="24"/>
          <w:szCs w:val="24"/>
        </w:rPr>
      </w:pPr>
      <w:r>
        <w:rPr>
          <w:rFonts w:hint="eastAsia"/>
          <w:sz w:val="24"/>
          <w:szCs w:val="24"/>
        </w:rPr>
        <w:t>改扩建工程</w:t>
      </w:r>
      <w:r>
        <w:rPr>
          <w:sz w:val="24"/>
          <w:szCs w:val="24"/>
        </w:rPr>
        <w:t>用水主要为生产用水，总用水量约为</w:t>
      </w:r>
      <w:r>
        <w:rPr>
          <w:sz w:val="24"/>
          <w:szCs w:val="24"/>
        </w:rPr>
        <w:t>6072.97m</w:t>
      </w:r>
      <w:r>
        <w:rPr>
          <w:sz w:val="24"/>
          <w:szCs w:val="24"/>
          <w:vertAlign w:val="superscript"/>
        </w:rPr>
        <w:t>3</w:t>
      </w:r>
      <w:r>
        <w:rPr>
          <w:sz w:val="24"/>
          <w:szCs w:val="24"/>
        </w:rPr>
        <w:t>/d</w:t>
      </w:r>
      <w:r>
        <w:rPr>
          <w:rFonts w:hint="eastAsia"/>
          <w:sz w:val="24"/>
          <w:szCs w:val="24"/>
        </w:rPr>
        <w:t>，</w:t>
      </w:r>
      <w:r>
        <w:rPr>
          <w:sz w:val="24"/>
          <w:szCs w:val="24"/>
        </w:rPr>
        <w:t>其中新鲜水用量为</w:t>
      </w:r>
      <w:r>
        <w:rPr>
          <w:sz w:val="24"/>
          <w:szCs w:val="24"/>
        </w:rPr>
        <w:t>240.875m</w:t>
      </w:r>
      <w:r>
        <w:rPr>
          <w:sz w:val="24"/>
          <w:szCs w:val="24"/>
          <w:vertAlign w:val="superscript"/>
        </w:rPr>
        <w:t>3</w:t>
      </w:r>
      <w:r>
        <w:rPr>
          <w:sz w:val="24"/>
          <w:szCs w:val="24"/>
        </w:rPr>
        <w:t>/d</w:t>
      </w:r>
      <w:r>
        <w:rPr>
          <w:sz w:val="24"/>
          <w:szCs w:val="24"/>
        </w:rPr>
        <w:t>、循环水量为</w:t>
      </w:r>
      <w:r>
        <w:rPr>
          <w:sz w:val="24"/>
          <w:szCs w:val="24"/>
        </w:rPr>
        <w:t>5830.82m</w:t>
      </w:r>
      <w:r>
        <w:rPr>
          <w:sz w:val="24"/>
          <w:szCs w:val="24"/>
          <w:vertAlign w:val="superscript"/>
        </w:rPr>
        <w:t>3</w:t>
      </w:r>
      <w:r>
        <w:rPr>
          <w:sz w:val="24"/>
          <w:szCs w:val="24"/>
        </w:rPr>
        <w:t>/d</w:t>
      </w:r>
      <w:r>
        <w:rPr>
          <w:sz w:val="24"/>
          <w:szCs w:val="24"/>
        </w:rPr>
        <w:t>、</w:t>
      </w:r>
      <w:r>
        <w:rPr>
          <w:rFonts w:hint="eastAsia"/>
          <w:sz w:val="24"/>
          <w:szCs w:val="24"/>
        </w:rPr>
        <w:t>回用</w:t>
      </w:r>
      <w:r>
        <w:rPr>
          <w:sz w:val="24"/>
          <w:szCs w:val="24"/>
        </w:rPr>
        <w:t>水量为</w:t>
      </w:r>
      <w:r>
        <w:rPr>
          <w:sz w:val="24"/>
          <w:szCs w:val="24"/>
        </w:rPr>
        <w:t>5.525m</w:t>
      </w:r>
      <w:r>
        <w:rPr>
          <w:sz w:val="24"/>
          <w:szCs w:val="24"/>
          <w:vertAlign w:val="superscript"/>
        </w:rPr>
        <w:t>3</w:t>
      </w:r>
      <w:r>
        <w:rPr>
          <w:sz w:val="24"/>
          <w:szCs w:val="24"/>
        </w:rPr>
        <w:t>/d</w:t>
      </w:r>
      <w:r>
        <w:rPr>
          <w:sz w:val="24"/>
          <w:szCs w:val="24"/>
        </w:rPr>
        <w:t>，水循环利用率为</w:t>
      </w:r>
      <w:r>
        <w:rPr>
          <w:sz w:val="24"/>
          <w:szCs w:val="24"/>
        </w:rPr>
        <w:t>96.0%</w:t>
      </w:r>
      <w:r>
        <w:rPr>
          <w:sz w:val="24"/>
          <w:szCs w:val="24"/>
        </w:rPr>
        <w:t>。</w:t>
      </w:r>
    </w:p>
    <w:p w:rsidR="00DB7CC8" w:rsidRDefault="002B5250">
      <w:pPr>
        <w:ind w:firstLine="480"/>
        <w:jc w:val="both"/>
        <w:rPr>
          <w:sz w:val="24"/>
          <w:szCs w:val="24"/>
        </w:rPr>
      </w:pPr>
      <w:r>
        <w:rPr>
          <w:sz w:val="24"/>
          <w:szCs w:val="24"/>
        </w:rPr>
        <w:t>生产用水包括上料抑尘用水、原料抑尘用水，球磨、磁选工序用水</w:t>
      </w:r>
      <w:r>
        <w:rPr>
          <w:rFonts w:hint="eastAsia"/>
          <w:sz w:val="24"/>
          <w:szCs w:val="24"/>
        </w:rPr>
        <w:t>，</w:t>
      </w:r>
      <w:r>
        <w:rPr>
          <w:sz w:val="24"/>
          <w:szCs w:val="24"/>
        </w:rPr>
        <w:t>生产用水总量</w:t>
      </w:r>
      <w:r>
        <w:rPr>
          <w:rFonts w:hint="eastAsia"/>
          <w:sz w:val="24"/>
          <w:szCs w:val="24"/>
        </w:rPr>
        <w:t>4888.6</w:t>
      </w:r>
      <w:r>
        <w:rPr>
          <w:sz w:val="24"/>
          <w:szCs w:val="24"/>
        </w:rPr>
        <w:t>m</w:t>
      </w:r>
      <w:r>
        <w:rPr>
          <w:sz w:val="24"/>
          <w:szCs w:val="24"/>
          <w:vertAlign w:val="superscript"/>
        </w:rPr>
        <w:t>3</w:t>
      </w:r>
      <w:r>
        <w:rPr>
          <w:sz w:val="24"/>
          <w:szCs w:val="24"/>
        </w:rPr>
        <w:t>/d</w:t>
      </w:r>
      <w:r>
        <w:rPr>
          <w:sz w:val="24"/>
          <w:szCs w:val="24"/>
        </w:rPr>
        <w:t>，其中新鲜水用量为</w:t>
      </w:r>
      <w:r>
        <w:rPr>
          <w:rFonts w:hint="eastAsia"/>
          <w:sz w:val="24"/>
          <w:szCs w:val="24"/>
        </w:rPr>
        <w:t>238.6</w:t>
      </w:r>
      <w:r>
        <w:rPr>
          <w:sz w:val="24"/>
          <w:szCs w:val="24"/>
        </w:rPr>
        <w:t>m</w:t>
      </w:r>
      <w:r>
        <w:rPr>
          <w:sz w:val="24"/>
          <w:szCs w:val="24"/>
          <w:vertAlign w:val="superscript"/>
        </w:rPr>
        <w:t>3</w:t>
      </w:r>
      <w:r>
        <w:rPr>
          <w:sz w:val="24"/>
          <w:szCs w:val="24"/>
        </w:rPr>
        <w:t>/d</w:t>
      </w:r>
      <w:r>
        <w:rPr>
          <w:sz w:val="24"/>
          <w:szCs w:val="24"/>
        </w:rPr>
        <w:t>，循环水量为</w:t>
      </w:r>
      <w:r>
        <w:rPr>
          <w:rFonts w:hint="eastAsia"/>
          <w:sz w:val="24"/>
          <w:szCs w:val="24"/>
        </w:rPr>
        <w:t>4650</w:t>
      </w:r>
      <w:r>
        <w:rPr>
          <w:sz w:val="24"/>
          <w:szCs w:val="24"/>
        </w:rPr>
        <w:t>m</w:t>
      </w:r>
      <w:r>
        <w:rPr>
          <w:sz w:val="24"/>
          <w:szCs w:val="24"/>
          <w:vertAlign w:val="superscript"/>
        </w:rPr>
        <w:t>3</w:t>
      </w:r>
      <w:r>
        <w:rPr>
          <w:sz w:val="24"/>
          <w:szCs w:val="24"/>
        </w:rPr>
        <w:t>/d</w:t>
      </w:r>
      <w:r>
        <w:rPr>
          <w:sz w:val="24"/>
          <w:szCs w:val="24"/>
        </w:rPr>
        <w:t>。</w:t>
      </w:r>
    </w:p>
    <w:p w:rsidR="00DB7CC8" w:rsidRDefault="002B5250">
      <w:pPr>
        <w:ind w:firstLine="480"/>
        <w:jc w:val="both"/>
        <w:rPr>
          <w:sz w:val="24"/>
          <w:szCs w:val="24"/>
        </w:rPr>
      </w:pPr>
      <w:r>
        <w:rPr>
          <w:rFonts w:ascii="宋体" w:hAnsi="宋体" w:cs="宋体" w:hint="eastAsia"/>
          <w:sz w:val="24"/>
          <w:szCs w:val="24"/>
        </w:rPr>
        <w:t>③</w:t>
      </w:r>
      <w:r>
        <w:rPr>
          <w:sz w:val="24"/>
          <w:szCs w:val="24"/>
        </w:rPr>
        <w:t>车间清洗用水</w:t>
      </w:r>
    </w:p>
    <w:p w:rsidR="00DB7CC8" w:rsidRDefault="002B5250">
      <w:pPr>
        <w:ind w:firstLine="480"/>
        <w:jc w:val="both"/>
        <w:rPr>
          <w:sz w:val="24"/>
          <w:szCs w:val="24"/>
        </w:rPr>
      </w:pPr>
      <w:r>
        <w:rPr>
          <w:sz w:val="24"/>
          <w:szCs w:val="24"/>
        </w:rPr>
        <w:t>车间地面冲洗用水量为</w:t>
      </w:r>
      <w:r>
        <w:rPr>
          <w:rFonts w:hint="eastAsia"/>
          <w:sz w:val="24"/>
          <w:szCs w:val="24"/>
        </w:rPr>
        <w:t>3</w:t>
      </w:r>
      <w:r>
        <w:rPr>
          <w:sz w:val="24"/>
          <w:szCs w:val="24"/>
        </w:rPr>
        <w:t>m</w:t>
      </w:r>
      <w:r>
        <w:rPr>
          <w:sz w:val="24"/>
          <w:szCs w:val="24"/>
          <w:vertAlign w:val="superscript"/>
        </w:rPr>
        <w:t>3</w:t>
      </w:r>
      <w:r>
        <w:rPr>
          <w:sz w:val="24"/>
          <w:szCs w:val="24"/>
        </w:rPr>
        <w:t>/d</w:t>
      </w:r>
      <w:r>
        <w:rPr>
          <w:sz w:val="24"/>
          <w:szCs w:val="24"/>
        </w:rPr>
        <w:t>，</w:t>
      </w:r>
      <w:r>
        <w:rPr>
          <w:rFonts w:hint="eastAsia"/>
          <w:sz w:val="24"/>
          <w:szCs w:val="24"/>
        </w:rPr>
        <w:t>全部采用</w:t>
      </w:r>
      <w:r>
        <w:rPr>
          <w:sz w:val="24"/>
          <w:szCs w:val="24"/>
        </w:rPr>
        <w:t>新鲜水。</w:t>
      </w:r>
    </w:p>
    <w:p w:rsidR="00DB7CC8" w:rsidRDefault="002B5250">
      <w:pPr>
        <w:ind w:firstLine="480"/>
        <w:jc w:val="both"/>
        <w:rPr>
          <w:sz w:val="24"/>
          <w:szCs w:val="24"/>
        </w:rPr>
      </w:pPr>
      <w:r>
        <w:rPr>
          <w:rFonts w:ascii="宋体" w:hAnsi="宋体" w:cs="宋体" w:hint="eastAsia"/>
          <w:sz w:val="24"/>
          <w:szCs w:val="24"/>
        </w:rPr>
        <w:t>④</w:t>
      </w:r>
      <w:r>
        <w:rPr>
          <w:sz w:val="24"/>
          <w:szCs w:val="24"/>
        </w:rPr>
        <w:t>厂区降尘用水</w:t>
      </w:r>
    </w:p>
    <w:p w:rsidR="00DB7CC8" w:rsidRDefault="002B5250">
      <w:pPr>
        <w:ind w:firstLine="480"/>
        <w:jc w:val="both"/>
      </w:pPr>
      <w:r>
        <w:rPr>
          <w:sz w:val="24"/>
          <w:szCs w:val="24"/>
        </w:rPr>
        <w:t>厂区洒水降尘用水量为</w:t>
      </w:r>
      <w:r>
        <w:rPr>
          <w:sz w:val="24"/>
          <w:szCs w:val="24"/>
        </w:rPr>
        <w:t>8m</w:t>
      </w:r>
      <w:r>
        <w:rPr>
          <w:sz w:val="24"/>
          <w:szCs w:val="24"/>
          <w:vertAlign w:val="superscript"/>
        </w:rPr>
        <w:t>3</w:t>
      </w:r>
      <w:r>
        <w:rPr>
          <w:sz w:val="24"/>
          <w:szCs w:val="24"/>
        </w:rPr>
        <w:t>/d</w:t>
      </w:r>
      <w:r>
        <w:rPr>
          <w:sz w:val="24"/>
          <w:szCs w:val="24"/>
        </w:rPr>
        <w:t>，</w:t>
      </w:r>
      <w:r>
        <w:rPr>
          <w:rFonts w:hint="eastAsia"/>
          <w:sz w:val="24"/>
          <w:szCs w:val="24"/>
        </w:rPr>
        <w:t>全部采用</w:t>
      </w:r>
      <w:r>
        <w:rPr>
          <w:sz w:val="24"/>
          <w:szCs w:val="24"/>
        </w:rPr>
        <w:t>新鲜水</w:t>
      </w:r>
      <w:r>
        <w:rPr>
          <w:rFonts w:hint="eastAsia"/>
          <w:sz w:val="24"/>
          <w:szCs w:val="24"/>
        </w:rPr>
        <w:t>。</w:t>
      </w:r>
    </w:p>
    <w:p w:rsidR="00DB7CC8" w:rsidRDefault="002B5250">
      <w:pPr>
        <w:ind w:firstLine="480"/>
        <w:jc w:val="both"/>
        <w:rPr>
          <w:sz w:val="24"/>
          <w:szCs w:val="24"/>
        </w:rPr>
      </w:pPr>
      <w:r>
        <w:rPr>
          <w:rFonts w:ascii="宋体" w:hAnsi="宋体" w:cs="宋体" w:hint="eastAsia"/>
          <w:sz w:val="24"/>
          <w:szCs w:val="24"/>
        </w:rPr>
        <w:t>⑤</w:t>
      </w:r>
      <w:r>
        <w:rPr>
          <w:sz w:val="24"/>
          <w:szCs w:val="24"/>
        </w:rPr>
        <w:t>洗车用水</w:t>
      </w:r>
    </w:p>
    <w:p w:rsidR="00DB7CC8" w:rsidRDefault="002B5250">
      <w:pPr>
        <w:ind w:firstLine="480"/>
        <w:jc w:val="both"/>
        <w:rPr>
          <w:sz w:val="24"/>
          <w:szCs w:val="24"/>
        </w:rPr>
      </w:pPr>
      <w:r>
        <w:rPr>
          <w:rFonts w:hint="eastAsia"/>
          <w:sz w:val="24"/>
          <w:szCs w:val="24"/>
        </w:rPr>
        <w:t>新建</w:t>
      </w:r>
      <w:r>
        <w:rPr>
          <w:sz w:val="24"/>
          <w:szCs w:val="24"/>
        </w:rPr>
        <w:t>成品库门口设置洗车平台（</w:t>
      </w:r>
      <w:r>
        <w:rPr>
          <w:rFonts w:hint="eastAsia"/>
          <w:sz w:val="24"/>
          <w:szCs w:val="24"/>
        </w:rPr>
        <w:t>8</w:t>
      </w:r>
      <w:r>
        <w:rPr>
          <w:sz w:val="24"/>
          <w:szCs w:val="24"/>
        </w:rPr>
        <w:t>m×</w:t>
      </w:r>
      <w:r>
        <w:rPr>
          <w:rFonts w:hint="eastAsia"/>
          <w:sz w:val="24"/>
          <w:szCs w:val="24"/>
        </w:rPr>
        <w:t>3.</w:t>
      </w:r>
      <w:r>
        <w:rPr>
          <w:sz w:val="24"/>
          <w:szCs w:val="24"/>
        </w:rPr>
        <w:t>5m</w:t>
      </w:r>
      <w:r>
        <w:rPr>
          <w:sz w:val="24"/>
          <w:szCs w:val="24"/>
        </w:rPr>
        <w:t>），在洗车平台使用高压喷雾清洗轮胎及车身，洗车平台四周应设置防溢座，废水经导流渠流入沉淀池内（</w:t>
      </w:r>
      <w:r>
        <w:rPr>
          <w:sz w:val="24"/>
          <w:szCs w:val="24"/>
        </w:rPr>
        <w:t>2m×3m×1m</w:t>
      </w:r>
      <w:r>
        <w:rPr>
          <w:sz w:val="24"/>
          <w:szCs w:val="24"/>
        </w:rPr>
        <w:t>），经沉淀后的洗车废水流入清水池内（</w:t>
      </w:r>
      <w:r>
        <w:rPr>
          <w:sz w:val="24"/>
          <w:szCs w:val="24"/>
        </w:rPr>
        <w:t>2m×3m×1m</w:t>
      </w:r>
      <w:r>
        <w:rPr>
          <w:sz w:val="24"/>
          <w:szCs w:val="24"/>
        </w:rPr>
        <w:t>），清洗及沉淀过程随车辆带走及蒸发损耗水量为</w:t>
      </w:r>
      <w:r>
        <w:rPr>
          <w:rFonts w:hint="eastAsia"/>
          <w:sz w:val="24"/>
          <w:szCs w:val="24"/>
        </w:rPr>
        <w:t>3</w:t>
      </w:r>
      <w:r>
        <w:rPr>
          <w:sz w:val="24"/>
          <w:szCs w:val="24"/>
        </w:rPr>
        <w:t>m</w:t>
      </w:r>
      <w:r>
        <w:rPr>
          <w:sz w:val="24"/>
          <w:szCs w:val="24"/>
          <w:vertAlign w:val="superscript"/>
        </w:rPr>
        <w:t>3</w:t>
      </w:r>
      <w:r>
        <w:rPr>
          <w:sz w:val="24"/>
          <w:szCs w:val="24"/>
        </w:rPr>
        <w:t>/d</w:t>
      </w:r>
      <w:r>
        <w:rPr>
          <w:sz w:val="24"/>
          <w:szCs w:val="24"/>
        </w:rPr>
        <w:t>，补充新水量</w:t>
      </w:r>
      <w:r>
        <w:rPr>
          <w:rFonts w:hint="eastAsia"/>
          <w:sz w:val="24"/>
          <w:szCs w:val="24"/>
        </w:rPr>
        <w:t>3</w:t>
      </w:r>
      <w:r>
        <w:rPr>
          <w:sz w:val="24"/>
          <w:szCs w:val="24"/>
        </w:rPr>
        <w:t>m</w:t>
      </w:r>
      <w:r>
        <w:rPr>
          <w:sz w:val="24"/>
          <w:szCs w:val="24"/>
          <w:vertAlign w:val="superscript"/>
        </w:rPr>
        <w:t>3</w:t>
      </w:r>
      <w:r>
        <w:rPr>
          <w:sz w:val="24"/>
          <w:szCs w:val="24"/>
        </w:rPr>
        <w:t>/d</w:t>
      </w:r>
      <w:r>
        <w:rPr>
          <w:sz w:val="24"/>
          <w:szCs w:val="24"/>
        </w:rPr>
        <w:t>，循环水量为</w:t>
      </w:r>
      <w:r>
        <w:rPr>
          <w:rFonts w:hint="eastAsia"/>
          <w:sz w:val="24"/>
          <w:szCs w:val="24"/>
        </w:rPr>
        <w:t>2.4</w:t>
      </w:r>
      <w:r>
        <w:rPr>
          <w:sz w:val="24"/>
          <w:szCs w:val="24"/>
        </w:rPr>
        <w:t>m</w:t>
      </w:r>
      <w:r>
        <w:rPr>
          <w:sz w:val="24"/>
          <w:szCs w:val="24"/>
          <w:vertAlign w:val="superscript"/>
        </w:rPr>
        <w:t>3</w:t>
      </w:r>
      <w:r>
        <w:rPr>
          <w:sz w:val="24"/>
          <w:szCs w:val="24"/>
        </w:rPr>
        <w:t>/d</w:t>
      </w:r>
      <w:r>
        <w:rPr>
          <w:sz w:val="24"/>
          <w:szCs w:val="24"/>
        </w:rPr>
        <w:t>，回用于运输车辆清洗。</w:t>
      </w:r>
    </w:p>
    <w:p w:rsidR="00DB7CC8" w:rsidRDefault="002B5250">
      <w:pPr>
        <w:ind w:firstLine="480"/>
        <w:jc w:val="both"/>
        <w:rPr>
          <w:sz w:val="24"/>
          <w:szCs w:val="24"/>
        </w:rPr>
      </w:pPr>
      <w:r>
        <w:rPr>
          <w:sz w:val="24"/>
          <w:szCs w:val="24"/>
        </w:rPr>
        <w:t>（</w:t>
      </w:r>
      <w:r>
        <w:rPr>
          <w:sz w:val="24"/>
          <w:szCs w:val="24"/>
        </w:rPr>
        <w:t>2</w:t>
      </w:r>
      <w:r>
        <w:rPr>
          <w:sz w:val="24"/>
          <w:szCs w:val="24"/>
        </w:rPr>
        <w:t>）排水</w:t>
      </w:r>
    </w:p>
    <w:p w:rsidR="00DB7CC8" w:rsidRDefault="002B5250">
      <w:pPr>
        <w:ind w:firstLine="480"/>
        <w:rPr>
          <w:sz w:val="24"/>
          <w:szCs w:val="24"/>
        </w:rPr>
      </w:pPr>
      <w:r>
        <w:rPr>
          <w:sz w:val="24"/>
          <w:szCs w:val="24"/>
        </w:rPr>
        <w:t>生产废水主要为铁精粉压滤废水和尾矿中的废水。其中铁精粉压滤废水返回一段磁选循环使用；粗尾矿砂脱水后的滤液进入浓密池，经过沉淀澄清、压滤机压滤后返回清水池，全部回用于生产，压滤机出水进入清水池回用于生产，车间地</w:t>
      </w:r>
      <w:r>
        <w:rPr>
          <w:sz w:val="24"/>
          <w:szCs w:val="24"/>
        </w:rPr>
        <w:t>面清洗水进入清水池回用于生产，洗车废水排入沉淀池处理后循环利用。</w:t>
      </w:r>
    </w:p>
    <w:p w:rsidR="00DB7CC8" w:rsidRDefault="002B5250">
      <w:pPr>
        <w:ind w:firstLine="480"/>
        <w:rPr>
          <w:sz w:val="24"/>
          <w:szCs w:val="24"/>
        </w:rPr>
      </w:pPr>
      <w:r>
        <w:rPr>
          <w:rFonts w:hint="eastAsia"/>
          <w:sz w:val="24"/>
          <w:szCs w:val="24"/>
        </w:rPr>
        <w:t>改扩建</w:t>
      </w:r>
      <w:r>
        <w:rPr>
          <w:sz w:val="24"/>
          <w:szCs w:val="24"/>
        </w:rPr>
        <w:t>项目用排水平衡情况见表</w:t>
      </w:r>
      <w:r>
        <w:rPr>
          <w:sz w:val="24"/>
          <w:szCs w:val="24"/>
        </w:rPr>
        <w:t>3.</w:t>
      </w:r>
      <w:r>
        <w:rPr>
          <w:rFonts w:hint="eastAsia"/>
          <w:sz w:val="24"/>
          <w:szCs w:val="24"/>
        </w:rPr>
        <w:t>2</w:t>
      </w:r>
      <w:r>
        <w:rPr>
          <w:sz w:val="24"/>
          <w:szCs w:val="24"/>
        </w:rPr>
        <w:t>-8</w:t>
      </w:r>
      <w:r>
        <w:rPr>
          <w:sz w:val="24"/>
          <w:szCs w:val="24"/>
        </w:rPr>
        <w:t>，本项目水平衡见图</w:t>
      </w:r>
      <w:r>
        <w:rPr>
          <w:sz w:val="24"/>
          <w:szCs w:val="24"/>
        </w:rPr>
        <w:t>3.</w:t>
      </w:r>
      <w:r>
        <w:rPr>
          <w:rFonts w:hint="eastAsia"/>
          <w:sz w:val="24"/>
          <w:szCs w:val="24"/>
        </w:rPr>
        <w:t>2</w:t>
      </w:r>
      <w:r>
        <w:rPr>
          <w:sz w:val="24"/>
          <w:szCs w:val="24"/>
        </w:rPr>
        <w:t>-1</w:t>
      </w:r>
      <w:r>
        <w:rPr>
          <w:sz w:val="24"/>
          <w:szCs w:val="24"/>
        </w:rPr>
        <w:t>。</w:t>
      </w:r>
    </w:p>
    <w:p w:rsidR="00DB7CC8" w:rsidRDefault="002B5250">
      <w:pPr>
        <w:spacing w:line="240" w:lineRule="auto"/>
        <w:ind w:firstLineChars="0" w:firstLine="0"/>
        <w:jc w:val="center"/>
        <w:textAlignment w:val="auto"/>
        <w:rPr>
          <w:rFonts w:eastAsia="黑体"/>
          <w:sz w:val="21"/>
          <w:szCs w:val="21"/>
        </w:rPr>
      </w:pPr>
      <w:r>
        <w:rPr>
          <w:rFonts w:eastAsia="黑体"/>
          <w:kern w:val="2"/>
          <w:sz w:val="21"/>
          <w:szCs w:val="21"/>
        </w:rPr>
        <w:t>表</w:t>
      </w:r>
      <w:r>
        <w:rPr>
          <w:rFonts w:eastAsia="黑体"/>
          <w:kern w:val="2"/>
          <w:sz w:val="21"/>
          <w:szCs w:val="21"/>
        </w:rPr>
        <w:t>3.</w:t>
      </w:r>
      <w:r>
        <w:rPr>
          <w:rFonts w:eastAsia="黑体" w:hint="eastAsia"/>
          <w:kern w:val="2"/>
          <w:sz w:val="21"/>
          <w:szCs w:val="21"/>
        </w:rPr>
        <w:t>2</w:t>
      </w:r>
      <w:r>
        <w:rPr>
          <w:rFonts w:eastAsia="黑体"/>
          <w:kern w:val="2"/>
          <w:sz w:val="21"/>
          <w:szCs w:val="21"/>
        </w:rPr>
        <w:t>-8</w:t>
      </w:r>
      <w:r>
        <w:rPr>
          <w:rFonts w:eastAsia="黑体" w:hint="eastAsia"/>
          <w:kern w:val="2"/>
          <w:sz w:val="21"/>
          <w:szCs w:val="21"/>
        </w:rPr>
        <w:t xml:space="preserve">   </w:t>
      </w:r>
      <w:r>
        <w:rPr>
          <w:rFonts w:eastAsia="黑体"/>
          <w:kern w:val="2"/>
          <w:sz w:val="21"/>
          <w:szCs w:val="21"/>
        </w:rPr>
        <w:t>用排水平衡表</w:t>
      </w:r>
      <w:r>
        <w:rPr>
          <w:rFonts w:eastAsia="黑体"/>
          <w:sz w:val="21"/>
          <w:szCs w:val="21"/>
        </w:rPr>
        <w:t>单位</w:t>
      </w:r>
      <w:r>
        <w:rPr>
          <w:rFonts w:eastAsia="黑体"/>
          <w:sz w:val="21"/>
          <w:szCs w:val="21"/>
        </w:rPr>
        <w:t>m</w:t>
      </w:r>
      <w:r>
        <w:rPr>
          <w:rFonts w:eastAsia="黑体"/>
          <w:sz w:val="21"/>
          <w:szCs w:val="21"/>
          <w:vertAlign w:val="superscript"/>
        </w:rPr>
        <w:t>3</w:t>
      </w:r>
      <w:r>
        <w:rPr>
          <w:rFonts w:eastAsia="黑体"/>
          <w:sz w:val="21"/>
          <w:szCs w:val="21"/>
        </w:rPr>
        <w:t>/d</w:t>
      </w:r>
    </w:p>
    <w:tbl>
      <w:tblPr>
        <w:tblW w:w="8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1"/>
        <w:gridCol w:w="899"/>
        <w:gridCol w:w="899"/>
        <w:gridCol w:w="1045"/>
        <w:gridCol w:w="713"/>
        <w:gridCol w:w="992"/>
        <w:gridCol w:w="851"/>
        <w:gridCol w:w="1670"/>
      </w:tblGrid>
      <w:tr w:rsidR="00DB7CC8">
        <w:trPr>
          <w:trHeight w:val="285"/>
        </w:trPr>
        <w:tc>
          <w:tcPr>
            <w:tcW w:w="183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用水环节</w:t>
            </w:r>
          </w:p>
        </w:tc>
        <w:tc>
          <w:tcPr>
            <w:tcW w:w="899"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总用</w:t>
            </w:r>
          </w:p>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水量</w:t>
            </w:r>
          </w:p>
        </w:tc>
        <w:tc>
          <w:tcPr>
            <w:tcW w:w="899"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新鲜水</w:t>
            </w:r>
          </w:p>
        </w:tc>
        <w:tc>
          <w:tcPr>
            <w:tcW w:w="1045"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循环</w:t>
            </w:r>
          </w:p>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水量</w:t>
            </w:r>
          </w:p>
        </w:tc>
        <w:tc>
          <w:tcPr>
            <w:tcW w:w="713"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串联</w:t>
            </w:r>
            <w:r>
              <w:rPr>
                <w:rFonts w:ascii="宋体" w:hAnsi="宋体" w:cs="宋体" w:hint="eastAsia"/>
                <w:sz w:val="21"/>
                <w:szCs w:val="21"/>
              </w:rPr>
              <w:t>用水</w:t>
            </w:r>
          </w:p>
        </w:tc>
        <w:tc>
          <w:tcPr>
            <w:tcW w:w="992"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损失量</w:t>
            </w:r>
          </w:p>
        </w:tc>
        <w:tc>
          <w:tcPr>
            <w:tcW w:w="85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排水量</w:t>
            </w:r>
          </w:p>
        </w:tc>
        <w:tc>
          <w:tcPr>
            <w:tcW w:w="1670"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备注</w:t>
            </w:r>
          </w:p>
        </w:tc>
      </w:tr>
      <w:tr w:rsidR="00DB7CC8">
        <w:trPr>
          <w:trHeight w:val="525"/>
        </w:trPr>
        <w:tc>
          <w:tcPr>
            <w:tcW w:w="183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上料、原料库抑尘</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18</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18</w:t>
            </w:r>
          </w:p>
        </w:tc>
        <w:tc>
          <w:tcPr>
            <w:tcW w:w="1045"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713"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992"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18</w:t>
            </w:r>
          </w:p>
        </w:tc>
        <w:tc>
          <w:tcPr>
            <w:tcW w:w="851"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1670"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 xml:space="preserve">　</w:t>
            </w:r>
          </w:p>
        </w:tc>
      </w:tr>
      <w:tr w:rsidR="00DB7CC8">
        <w:trPr>
          <w:trHeight w:val="780"/>
        </w:trPr>
        <w:tc>
          <w:tcPr>
            <w:tcW w:w="183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lastRenderedPageBreak/>
              <w:t>球磨、磁选</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4906.6</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238.6</w:t>
            </w:r>
          </w:p>
        </w:tc>
        <w:tc>
          <w:tcPr>
            <w:tcW w:w="1045"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4650</w:t>
            </w:r>
          </w:p>
        </w:tc>
        <w:tc>
          <w:tcPr>
            <w:tcW w:w="713"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18</w:t>
            </w:r>
          </w:p>
        </w:tc>
        <w:tc>
          <w:tcPr>
            <w:tcW w:w="992"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259</w:t>
            </w:r>
          </w:p>
        </w:tc>
        <w:tc>
          <w:tcPr>
            <w:tcW w:w="851"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1670"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 xml:space="preserve">损失量为铁精粉、尾砂带走的水量　</w:t>
            </w:r>
          </w:p>
        </w:tc>
      </w:tr>
      <w:tr w:rsidR="00DB7CC8">
        <w:trPr>
          <w:trHeight w:val="795"/>
        </w:trPr>
        <w:tc>
          <w:tcPr>
            <w:tcW w:w="183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车间地面清洗</w:t>
            </w:r>
          </w:p>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用水</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3</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3</w:t>
            </w:r>
          </w:p>
        </w:tc>
        <w:tc>
          <w:tcPr>
            <w:tcW w:w="1045"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713"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0</w:t>
            </w:r>
          </w:p>
        </w:tc>
        <w:tc>
          <w:tcPr>
            <w:tcW w:w="992"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0.6</w:t>
            </w:r>
          </w:p>
        </w:tc>
        <w:tc>
          <w:tcPr>
            <w:tcW w:w="851"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1670"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2.4</w:t>
            </w:r>
            <w:r>
              <w:rPr>
                <w:rFonts w:ascii="宋体" w:hAnsi="宋体" w:hint="eastAsia"/>
                <w:sz w:val="21"/>
                <w:szCs w:val="21"/>
              </w:rPr>
              <w:t>排入浓密池，回用于生产</w:t>
            </w:r>
          </w:p>
        </w:tc>
      </w:tr>
      <w:tr w:rsidR="00DB7CC8">
        <w:trPr>
          <w:trHeight w:val="285"/>
        </w:trPr>
        <w:tc>
          <w:tcPr>
            <w:tcW w:w="183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厂区降尘</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8</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8</w:t>
            </w:r>
          </w:p>
        </w:tc>
        <w:tc>
          <w:tcPr>
            <w:tcW w:w="1045"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713"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0</w:t>
            </w:r>
          </w:p>
        </w:tc>
        <w:tc>
          <w:tcPr>
            <w:tcW w:w="992"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8</w:t>
            </w:r>
          </w:p>
        </w:tc>
        <w:tc>
          <w:tcPr>
            <w:tcW w:w="851"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1670" w:type="dxa"/>
            <w:shd w:val="clear" w:color="auto" w:fill="auto"/>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285"/>
        </w:trPr>
        <w:tc>
          <w:tcPr>
            <w:tcW w:w="183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洗车</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5.4</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3</w:t>
            </w:r>
          </w:p>
        </w:tc>
        <w:tc>
          <w:tcPr>
            <w:tcW w:w="1045"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2.4</w:t>
            </w:r>
          </w:p>
        </w:tc>
        <w:tc>
          <w:tcPr>
            <w:tcW w:w="713"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sz w:val="21"/>
                <w:szCs w:val="21"/>
              </w:rPr>
              <w:t>0</w:t>
            </w:r>
          </w:p>
        </w:tc>
        <w:tc>
          <w:tcPr>
            <w:tcW w:w="992"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3</w:t>
            </w:r>
          </w:p>
        </w:tc>
        <w:tc>
          <w:tcPr>
            <w:tcW w:w="851"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1670" w:type="dxa"/>
            <w:shd w:val="clear" w:color="auto" w:fill="auto"/>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285"/>
        </w:trPr>
        <w:tc>
          <w:tcPr>
            <w:tcW w:w="1831" w:type="dxa"/>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合计</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4941</w:t>
            </w:r>
          </w:p>
        </w:tc>
        <w:tc>
          <w:tcPr>
            <w:tcW w:w="899"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270.6</w:t>
            </w:r>
          </w:p>
        </w:tc>
        <w:tc>
          <w:tcPr>
            <w:tcW w:w="1045"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4652.4</w:t>
            </w:r>
          </w:p>
        </w:tc>
        <w:tc>
          <w:tcPr>
            <w:tcW w:w="713"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18</w:t>
            </w:r>
          </w:p>
        </w:tc>
        <w:tc>
          <w:tcPr>
            <w:tcW w:w="992"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288.6</w:t>
            </w:r>
          </w:p>
        </w:tc>
        <w:tc>
          <w:tcPr>
            <w:tcW w:w="851" w:type="dxa"/>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w:t>
            </w:r>
          </w:p>
        </w:tc>
        <w:tc>
          <w:tcPr>
            <w:tcW w:w="1670" w:type="dxa"/>
            <w:shd w:val="clear" w:color="auto" w:fill="auto"/>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bl>
    <w:p w:rsidR="00DB7CC8" w:rsidRDefault="00DB7CC8">
      <w:pPr>
        <w:pStyle w:val="29"/>
        <w:ind w:leftChars="0" w:left="0" w:firstLineChars="0" w:firstLine="0"/>
      </w:pPr>
    </w:p>
    <w:p w:rsidR="00DB7CC8" w:rsidRDefault="002B5250">
      <w:pPr>
        <w:pStyle w:val="29"/>
        <w:ind w:leftChars="0" w:left="0" w:firstLineChars="0" w:firstLine="0"/>
      </w:pPr>
      <w:r>
        <w:rPr>
          <w:noProof/>
        </w:rPr>
        <mc:AlternateContent>
          <mc:Choice Requires="wpg">
            <w:drawing>
              <wp:anchor distT="0" distB="0" distL="114300" distR="114300" simplePos="0" relativeHeight="251681792" behindDoc="0" locked="0" layoutInCell="1" allowOverlap="1">
                <wp:simplePos x="0" y="0"/>
                <wp:positionH relativeFrom="column">
                  <wp:posOffset>351155</wp:posOffset>
                </wp:positionH>
                <wp:positionV relativeFrom="paragraph">
                  <wp:posOffset>2131695</wp:posOffset>
                </wp:positionV>
                <wp:extent cx="2898140" cy="2002790"/>
                <wp:effectExtent l="0" t="0" r="16510" b="16510"/>
                <wp:wrapNone/>
                <wp:docPr id="138" name="组合 138"/>
                <wp:cNvGraphicFramePr/>
                <a:graphic xmlns:a="http://schemas.openxmlformats.org/drawingml/2006/main">
                  <a:graphicData uri="http://schemas.microsoft.com/office/word/2010/wordprocessingGroup">
                    <wpg:wgp>
                      <wpg:cNvGrpSpPr/>
                      <wpg:grpSpPr>
                        <a:xfrm>
                          <a:off x="0" y="0"/>
                          <a:ext cx="2898140" cy="2002790"/>
                          <a:chOff x="3575" y="995491"/>
                          <a:chExt cx="4564" cy="3154"/>
                        </a:xfrm>
                      </wpg:grpSpPr>
                      <wpg:grpSp>
                        <wpg:cNvPr id="135" name="组合 135"/>
                        <wpg:cNvGrpSpPr/>
                        <wpg:grpSpPr>
                          <a:xfrm>
                            <a:off x="3575" y="995491"/>
                            <a:ext cx="4564" cy="3154"/>
                            <a:chOff x="3575" y="998679"/>
                            <a:chExt cx="4564" cy="3154"/>
                          </a:xfrm>
                        </wpg:grpSpPr>
                        <pic:pic xmlns:pic="http://schemas.openxmlformats.org/drawingml/2006/picture">
                          <pic:nvPicPr>
                            <pic:cNvPr id="127" name="图片 41"/>
                            <pic:cNvPicPr>
                              <a:picLocks noChangeAspect="1"/>
                            </pic:cNvPicPr>
                          </pic:nvPicPr>
                          <pic:blipFill>
                            <a:blip r:embed="rId30"/>
                            <a:stretch>
                              <a:fillRect/>
                            </a:stretch>
                          </pic:blipFill>
                          <pic:spPr>
                            <a:xfrm>
                              <a:off x="4389" y="999883"/>
                              <a:ext cx="3750" cy="1950"/>
                            </a:xfrm>
                            <a:prstGeom prst="rect">
                              <a:avLst/>
                            </a:prstGeom>
                            <a:noFill/>
                            <a:ln>
                              <a:noFill/>
                            </a:ln>
                          </pic:spPr>
                        </pic:pic>
                        <wps:wsp>
                          <wps:cNvPr id="134" name="文本框 134"/>
                          <wps:cNvSpPr txBox="1"/>
                          <wps:spPr>
                            <a:xfrm>
                              <a:off x="3575" y="998679"/>
                              <a:ext cx="451" cy="18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DB7CC8" w:rsidRDefault="002B5250">
                                <w:pPr>
                                  <w:ind w:firstLineChars="0" w:firstLine="0"/>
                                  <w:rPr>
                                    <w:sz w:val="18"/>
                                    <w:szCs w:val="18"/>
                                  </w:rPr>
                                </w:pPr>
                                <w:r>
                                  <w:rPr>
                                    <w:rFonts w:hint="eastAsia"/>
                                    <w:sz w:val="18"/>
                                    <w:szCs w:val="18"/>
                                  </w:rPr>
                                  <w:t>270.6</w:t>
                                </w:r>
                              </w:p>
                            </w:txbxContent>
                          </wps:txbx>
                          <wps:bodyPr rot="0" spcFirstLastPara="0" vertOverflow="overflow" horzOverflow="overflow" vert="horz" wrap="square" lIns="0" tIns="0" rIns="0" bIns="0" numCol="1" spcCol="0" rtlCol="0" fromWordArt="0" anchor="t" anchorCtr="0" forceAA="0" compatLnSpc="1">
                            <a:noAutofit/>
                          </wps:bodyPr>
                        </wps:wsp>
                      </wpg:grpSp>
                      <wps:wsp>
                        <wps:cNvPr id="136" name="直接箭头连接符 136"/>
                        <wps:cNvCnPr/>
                        <wps:spPr>
                          <a:xfrm flipV="1">
                            <a:off x="6900" y="996734"/>
                            <a:ext cx="216" cy="150"/>
                          </a:xfrm>
                          <a:prstGeom prst="straightConnector1">
                            <a:avLst/>
                          </a:prstGeom>
                          <a:ln>
                            <a:solidFill>
                              <a:schemeClr val="tx1"/>
                            </a:solidFill>
                            <a:prstDash val="sysDash"/>
                            <a:tailEnd type="triangle" w="med" len="sm"/>
                          </a:ln>
                        </wps:spPr>
                        <wps:style>
                          <a:lnRef idx="1">
                            <a:schemeClr val="accent1"/>
                          </a:lnRef>
                          <a:fillRef idx="0">
                            <a:schemeClr val="accent1"/>
                          </a:fillRef>
                          <a:effectRef idx="0">
                            <a:schemeClr val="accent1"/>
                          </a:effectRef>
                          <a:fontRef idx="minor">
                            <a:schemeClr val="tx1"/>
                          </a:fontRef>
                        </wps:style>
                        <wps:bodyPr/>
                      </wps:wsp>
                      <wps:wsp>
                        <wps:cNvPr id="137" name="文本框 137"/>
                        <wps:cNvSpPr txBox="1"/>
                        <wps:spPr>
                          <a:xfrm>
                            <a:off x="7099" y="996631"/>
                            <a:ext cx="451" cy="1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B7CC8" w:rsidRDefault="002B5250">
                              <w:pPr>
                                <w:ind w:firstLineChars="0" w:firstLine="0"/>
                                <w:rPr>
                                  <w:sz w:val="18"/>
                                  <w:szCs w:val="18"/>
                                </w:rPr>
                              </w:pPr>
                              <w:r>
                                <w:rPr>
                                  <w:rFonts w:hint="eastAsia"/>
                                  <w:sz w:val="18"/>
                                  <w:szCs w:val="18"/>
                                </w:rPr>
                                <w:t>8</w:t>
                              </w: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组合 138" o:spid="_x0000_s1029" style="position:absolute;left:0;text-align:left;margin-left:27.65pt;margin-top:167.85pt;width:228.2pt;height:157.7pt;z-index:251681792" coordorigin="35,9954" coordsize="4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">
                <v:group id="组合 135" o:spid="_x0000_s1030" style="position:absolute;left:35;top:9954;width:46;height:32" coordorigin="35,9986" coordsize="4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图片 41" o:spid="_x0000_s1031" type="#_x0000_t75" style="position:absolute;left:43;top:9998;width:38;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">
                    <v:imagedata r:id="rId31" o:title=""/>
                    <v:path arrowok="t"/>
                  </v:shape>
                  <v:shape id="文本框 134" o:spid="_x0000_s1032" type="#_x0000_t202" style="position:absolute;left:35;top:9986;width:5;height: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" fillcolor="white [3201]" stroked="f" strokeweight=".5pt">
                    <v:textbox inset="0,0,0,0">
                      <w:txbxContent>
                        <w:p w:rsidR="00DB7CC8" w:rsidRDefault="002B5250">
                          <w:pPr>
                            <w:ind w:firstLineChars="0" w:firstLine="0"/>
                            <w:rPr>
                              <w:sz w:val="18"/>
                              <w:szCs w:val="18"/>
                            </w:rPr>
                          </w:pPr>
                          <w:r>
                            <w:rPr>
                              <w:rFonts w:hint="eastAsia"/>
                              <w:sz w:val="18"/>
                              <w:szCs w:val="18"/>
                            </w:rPr>
                            <w:t>270.6</w:t>
                          </w:r>
                        </w:p>
                      </w:txbxContent>
                    </v:textbox>
                  </v:shape>
                </v:group>
                <v:shapetype id="_x0000_t32" coordsize="21600,21600" o:spt="32" o:oned="t" path="m,l21600,21600e" filled="f">
                  <v:path arrowok="t" fillok="f" o:connecttype="none"/>
                  <o:lock v:ext="edit" shapetype="t"/>
                </v:shapetype>
                <v:shape id="直接箭头连接符 136" o:spid="_x0000_s1033" type="#_x0000_t32" style="position:absolute;left:69;top:9967;width:2;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" strokecolor="black [3213]">
                  <v:stroke dashstyle="3 1" endarrow="block" endarrowlength="short"/>
                </v:shape>
                <v:shape id="文本框 137" o:spid="_x0000_s1034" type="#_x0000_t202" style="position:absolute;left:70;top:9966;width:5;height: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" filled="f" stroked="f" strokeweight=".5pt">
                  <v:textbox inset="0,0,0,0">
                    <w:txbxContent>
                      <w:p w:rsidR="00DB7CC8" w:rsidRDefault="002B5250">
                        <w:pPr>
                          <w:ind w:firstLineChars="0" w:firstLine="0"/>
                          <w:rPr>
                            <w:sz w:val="18"/>
                            <w:szCs w:val="18"/>
                          </w:rPr>
                        </w:pPr>
                        <w:r>
                          <w:rPr>
                            <w:rFonts w:hint="eastAsia"/>
                            <w:sz w:val="18"/>
                            <w:szCs w:val="18"/>
                          </w:rPr>
                          <w:t>8</w:t>
                        </w:r>
                      </w:p>
                    </w:txbxContent>
                  </v:textbox>
                </v:shape>
              </v:group>
            </w:pict>
          </mc:Fallback>
        </mc:AlternateContent>
      </w:r>
      <w:r>
        <w:rPr>
          <w:noProof/>
        </w:rPr>
        <w:drawing>
          <wp:inline distT="0" distB="0" distL="114300" distR="114300">
            <wp:extent cx="4838700" cy="2895600"/>
            <wp:effectExtent l="0" t="0" r="0" b="0"/>
            <wp:docPr id="12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2"/>
                    <pic:cNvPicPr>
                      <a:picLocks noChangeAspect="1"/>
                    </pic:cNvPicPr>
                  </pic:nvPicPr>
                  <pic:blipFill>
                    <a:blip r:embed="rId32"/>
                    <a:stretch>
                      <a:fillRect/>
                    </a:stretch>
                  </pic:blipFill>
                  <pic:spPr>
                    <a:xfrm>
                      <a:off x="0" y="0"/>
                      <a:ext cx="4838700" cy="2895600"/>
                    </a:xfrm>
                    <a:prstGeom prst="rect">
                      <a:avLst/>
                    </a:prstGeom>
                    <a:noFill/>
                    <a:ln>
                      <a:noFill/>
                    </a:ln>
                  </pic:spPr>
                </pic:pic>
              </a:graphicData>
            </a:graphic>
          </wp:inline>
        </w:drawing>
      </w:r>
    </w:p>
    <w:p w:rsidR="00DB7CC8" w:rsidRDefault="00DB7CC8">
      <w:pPr>
        <w:spacing w:beforeLines="50" w:before="120"/>
        <w:ind w:firstLineChars="0" w:firstLine="0"/>
        <w:jc w:val="center"/>
        <w:rPr>
          <w:rFonts w:eastAsia="黑体"/>
          <w:kern w:val="2"/>
          <w:sz w:val="21"/>
          <w:szCs w:val="21"/>
        </w:rPr>
      </w:pPr>
    </w:p>
    <w:p w:rsidR="00DB7CC8" w:rsidRDefault="00DB7CC8">
      <w:pPr>
        <w:spacing w:beforeLines="50" w:before="120"/>
        <w:ind w:firstLineChars="0" w:firstLine="0"/>
        <w:jc w:val="center"/>
        <w:rPr>
          <w:rFonts w:eastAsia="黑体"/>
          <w:kern w:val="2"/>
          <w:sz w:val="21"/>
          <w:szCs w:val="21"/>
        </w:rPr>
      </w:pPr>
    </w:p>
    <w:p w:rsidR="00DB7CC8" w:rsidRDefault="00DB7CC8">
      <w:pPr>
        <w:spacing w:beforeLines="50" w:before="120"/>
        <w:ind w:firstLineChars="0" w:firstLine="0"/>
        <w:jc w:val="center"/>
        <w:rPr>
          <w:rFonts w:eastAsia="黑体"/>
          <w:kern w:val="2"/>
          <w:sz w:val="21"/>
          <w:szCs w:val="21"/>
        </w:rPr>
      </w:pPr>
    </w:p>
    <w:p w:rsidR="00DB7CC8" w:rsidRDefault="00DB7CC8">
      <w:pPr>
        <w:spacing w:beforeLines="50" w:before="120"/>
        <w:ind w:firstLineChars="0" w:firstLine="0"/>
        <w:jc w:val="center"/>
        <w:rPr>
          <w:rFonts w:eastAsia="黑体"/>
          <w:kern w:val="2"/>
          <w:sz w:val="21"/>
          <w:szCs w:val="21"/>
        </w:rPr>
      </w:pPr>
    </w:p>
    <w:p w:rsidR="00DB7CC8" w:rsidRDefault="002B5250">
      <w:pPr>
        <w:spacing w:beforeLines="50" w:before="120"/>
        <w:ind w:firstLineChars="0" w:firstLine="0"/>
        <w:jc w:val="center"/>
        <w:rPr>
          <w:rFonts w:eastAsia="黑体"/>
          <w:kern w:val="2"/>
          <w:sz w:val="21"/>
          <w:szCs w:val="21"/>
        </w:rPr>
      </w:pPr>
      <w:r>
        <w:rPr>
          <w:rFonts w:eastAsia="黑体"/>
          <w:kern w:val="2"/>
          <w:sz w:val="21"/>
          <w:szCs w:val="21"/>
        </w:rPr>
        <w:t>图</w:t>
      </w:r>
      <w:r>
        <w:rPr>
          <w:rFonts w:eastAsia="黑体"/>
          <w:kern w:val="2"/>
          <w:sz w:val="21"/>
          <w:szCs w:val="21"/>
        </w:rPr>
        <w:t>3.</w:t>
      </w:r>
      <w:r>
        <w:rPr>
          <w:rFonts w:eastAsia="黑体" w:hint="eastAsia"/>
          <w:kern w:val="2"/>
          <w:sz w:val="21"/>
          <w:szCs w:val="21"/>
        </w:rPr>
        <w:t>2</w:t>
      </w:r>
      <w:r>
        <w:rPr>
          <w:rFonts w:eastAsia="黑体"/>
          <w:kern w:val="2"/>
          <w:sz w:val="21"/>
          <w:szCs w:val="21"/>
        </w:rPr>
        <w:t xml:space="preserve">-1    </w:t>
      </w:r>
      <w:r>
        <w:rPr>
          <w:rFonts w:eastAsia="黑体"/>
          <w:kern w:val="2"/>
          <w:sz w:val="21"/>
          <w:szCs w:val="21"/>
        </w:rPr>
        <w:t>水平衡图（单位：</w:t>
      </w:r>
      <w:r>
        <w:rPr>
          <w:rFonts w:eastAsia="黑体"/>
          <w:kern w:val="2"/>
          <w:sz w:val="21"/>
          <w:szCs w:val="21"/>
        </w:rPr>
        <w:t>m</w:t>
      </w:r>
      <w:r>
        <w:rPr>
          <w:rFonts w:eastAsia="黑体"/>
          <w:kern w:val="2"/>
          <w:sz w:val="21"/>
          <w:szCs w:val="21"/>
          <w:vertAlign w:val="superscript"/>
        </w:rPr>
        <w:t>3</w:t>
      </w:r>
      <w:r>
        <w:rPr>
          <w:rFonts w:eastAsia="黑体"/>
          <w:kern w:val="2"/>
          <w:sz w:val="21"/>
          <w:szCs w:val="21"/>
        </w:rPr>
        <w:t>/d</w:t>
      </w:r>
      <w:r>
        <w:rPr>
          <w:rFonts w:eastAsia="黑体"/>
          <w:kern w:val="2"/>
          <w:sz w:val="21"/>
          <w:szCs w:val="21"/>
        </w:rPr>
        <w:t>）</w:t>
      </w:r>
    </w:p>
    <w:p w:rsidR="00DB7CC8" w:rsidRDefault="00DB7CC8">
      <w:pPr>
        <w:pStyle w:val="29"/>
        <w:ind w:left="560"/>
      </w:pPr>
    </w:p>
    <w:p w:rsidR="00DB7CC8" w:rsidRDefault="002B5250">
      <w:pPr>
        <w:pStyle w:val="2"/>
        <w:keepNext w:val="0"/>
        <w:keepLines w:val="0"/>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192" w:name="_Toc28673"/>
      <w:bookmarkStart w:id="193" w:name="_Toc521591763"/>
      <w:bookmarkStart w:id="194" w:name="_Toc17143"/>
      <w:bookmarkStart w:id="195" w:name="_Toc524284666"/>
      <w:bookmarkStart w:id="196" w:name="_Toc27823"/>
      <w:bookmarkStart w:id="197" w:name="_Toc6198"/>
      <w:r>
        <w:rPr>
          <w:rFonts w:ascii="Times New Roman" w:eastAsia="宋体" w:hAnsi="Times New Roman"/>
          <w:bCs w:val="0"/>
          <w:snapToGrid w:val="0"/>
          <w:kern w:val="0"/>
          <w:sz w:val="28"/>
          <w:szCs w:val="28"/>
        </w:rPr>
        <w:t>污染影响因素分析</w:t>
      </w:r>
      <w:bookmarkEnd w:id="192"/>
      <w:bookmarkEnd w:id="193"/>
      <w:bookmarkEnd w:id="194"/>
      <w:bookmarkEnd w:id="195"/>
      <w:bookmarkEnd w:id="196"/>
      <w:bookmarkEnd w:id="197"/>
    </w:p>
    <w:p w:rsidR="00DB7CC8" w:rsidRDefault="002B5250">
      <w:pPr>
        <w:pStyle w:val="3"/>
        <w:keepNext w:val="0"/>
        <w:keepLines w:val="0"/>
        <w:numPr>
          <w:ilvl w:val="2"/>
          <w:numId w:val="1"/>
        </w:numPr>
        <w:rPr>
          <w:szCs w:val="28"/>
        </w:rPr>
      </w:pPr>
      <w:bookmarkStart w:id="198" w:name="_Toc2746"/>
      <w:bookmarkStart w:id="199" w:name="_Toc521591764"/>
      <w:r>
        <w:rPr>
          <w:szCs w:val="28"/>
        </w:rPr>
        <w:t>施工期污染影响因素分析</w:t>
      </w:r>
      <w:r>
        <w:rPr>
          <w:rFonts w:hint="eastAsia"/>
          <w:szCs w:val="28"/>
        </w:rPr>
        <w:t xml:space="preserve"> </w:t>
      </w:r>
    </w:p>
    <w:p w:rsidR="00DB7CC8" w:rsidRDefault="002B5250">
      <w:pPr>
        <w:pStyle w:val="4"/>
        <w:spacing w:before="48" w:after="48"/>
      </w:pPr>
      <w:r>
        <w:rPr>
          <w:rFonts w:hint="eastAsia"/>
        </w:rPr>
        <w:t>3.</w:t>
      </w:r>
      <w:r>
        <w:rPr>
          <w:rFonts w:hint="eastAsia"/>
        </w:rPr>
        <w:t>3</w:t>
      </w:r>
      <w:r>
        <w:rPr>
          <w:rFonts w:hint="eastAsia"/>
        </w:rPr>
        <w:t>.1.1</w:t>
      </w:r>
      <w:r>
        <w:rPr>
          <w:rFonts w:hint="eastAsia"/>
        </w:rPr>
        <w:t>大气污染</w:t>
      </w:r>
    </w:p>
    <w:p w:rsidR="00DB7CC8" w:rsidRDefault="002B5250">
      <w:pPr>
        <w:ind w:firstLine="480"/>
        <w:jc w:val="both"/>
        <w:rPr>
          <w:sz w:val="24"/>
          <w:szCs w:val="24"/>
        </w:rPr>
      </w:pPr>
      <w:r>
        <w:rPr>
          <w:sz w:val="24"/>
          <w:szCs w:val="24"/>
        </w:rPr>
        <w:t>工程施工过程中大气污染主要来自施工场地的扬尘，施工机械、设备及运输车辆排放的燃油（汽油、柴油）尾气。其中，施工扬尘主要来自建筑材料（白灰、水泥、沙子、石子等）的现场搬运及堆放、土石方作业、施工垃圾清理、车辆运输等活动。</w:t>
      </w:r>
    </w:p>
    <w:p w:rsidR="00DB7CC8" w:rsidRDefault="002B5250">
      <w:pPr>
        <w:pStyle w:val="4"/>
        <w:spacing w:before="48" w:after="48"/>
      </w:pPr>
      <w:r>
        <w:rPr>
          <w:rFonts w:hint="eastAsia"/>
        </w:rPr>
        <w:lastRenderedPageBreak/>
        <w:t>3.</w:t>
      </w:r>
      <w:r>
        <w:rPr>
          <w:rFonts w:hint="eastAsia"/>
        </w:rPr>
        <w:t>3</w:t>
      </w:r>
      <w:r>
        <w:rPr>
          <w:rFonts w:hint="eastAsia"/>
        </w:rPr>
        <w:t>.1.2</w:t>
      </w:r>
      <w:r>
        <w:rPr>
          <w:rFonts w:hint="eastAsia"/>
        </w:rPr>
        <w:t>水污染</w:t>
      </w:r>
    </w:p>
    <w:p w:rsidR="00DB7CC8" w:rsidRDefault="002B5250">
      <w:pPr>
        <w:ind w:firstLine="480"/>
        <w:jc w:val="both"/>
        <w:rPr>
          <w:sz w:val="24"/>
          <w:szCs w:val="24"/>
        </w:rPr>
      </w:pPr>
      <w:r>
        <w:rPr>
          <w:sz w:val="24"/>
          <w:szCs w:val="24"/>
        </w:rPr>
        <w:t>项目施工人员均为本地劳动力，故本项目不设施工营地。施工人员就餐采用订餐制，因此由施工人员产生的生活污水影响很小。施工期间主要的水污染为施工设备和运输车辆冲洗、混凝土养护产生的施工废水。生产废水主要污染物为</w:t>
      </w:r>
      <w:r>
        <w:rPr>
          <w:sz w:val="24"/>
          <w:szCs w:val="24"/>
        </w:rPr>
        <w:t>SS</w:t>
      </w:r>
      <w:r>
        <w:rPr>
          <w:sz w:val="24"/>
          <w:szCs w:val="24"/>
        </w:rPr>
        <w:t>、</w:t>
      </w:r>
      <w:r>
        <w:rPr>
          <w:sz w:val="24"/>
          <w:szCs w:val="24"/>
        </w:rPr>
        <w:t>COD</w:t>
      </w:r>
      <w:r>
        <w:rPr>
          <w:sz w:val="24"/>
          <w:szCs w:val="24"/>
          <w:vertAlign w:val="subscript"/>
        </w:rPr>
        <w:t>Cr</w:t>
      </w:r>
      <w:r>
        <w:rPr>
          <w:sz w:val="24"/>
          <w:szCs w:val="24"/>
        </w:rPr>
        <w:t>和石油类</w:t>
      </w:r>
      <w:r>
        <w:rPr>
          <w:rFonts w:hint="eastAsia"/>
          <w:sz w:val="24"/>
          <w:szCs w:val="24"/>
        </w:rPr>
        <w:t>。</w:t>
      </w:r>
    </w:p>
    <w:p w:rsidR="00DB7CC8" w:rsidRDefault="002B5250">
      <w:pPr>
        <w:pStyle w:val="4"/>
        <w:spacing w:before="48" w:after="48"/>
      </w:pPr>
      <w:r>
        <w:rPr>
          <w:rFonts w:hint="eastAsia"/>
        </w:rPr>
        <w:t>3.</w:t>
      </w:r>
      <w:r>
        <w:rPr>
          <w:rFonts w:hint="eastAsia"/>
        </w:rPr>
        <w:t>3</w:t>
      </w:r>
      <w:r>
        <w:rPr>
          <w:rFonts w:hint="eastAsia"/>
        </w:rPr>
        <w:t>.1.3</w:t>
      </w:r>
      <w:r>
        <w:rPr>
          <w:rFonts w:hint="eastAsia"/>
        </w:rPr>
        <w:t>噪声</w:t>
      </w:r>
    </w:p>
    <w:p w:rsidR="00DB7CC8" w:rsidRDefault="002B5250">
      <w:pPr>
        <w:ind w:firstLine="480"/>
        <w:jc w:val="both"/>
        <w:rPr>
          <w:sz w:val="24"/>
          <w:szCs w:val="24"/>
        </w:rPr>
      </w:pPr>
      <w:r>
        <w:rPr>
          <w:sz w:val="24"/>
          <w:szCs w:val="24"/>
        </w:rPr>
        <w:t>施工期间噪声主要来自施工机械以及运输车辆产生的噪声</w:t>
      </w:r>
      <w:r>
        <w:rPr>
          <w:rFonts w:hint="eastAsia"/>
          <w:sz w:val="24"/>
          <w:szCs w:val="24"/>
        </w:rPr>
        <w:t>。</w:t>
      </w:r>
    </w:p>
    <w:p w:rsidR="00DB7CC8" w:rsidRDefault="002B5250">
      <w:pPr>
        <w:pStyle w:val="4"/>
        <w:spacing w:before="48" w:after="48"/>
      </w:pPr>
      <w:r>
        <w:rPr>
          <w:rFonts w:hint="eastAsia"/>
        </w:rPr>
        <w:t>3.</w:t>
      </w:r>
      <w:r>
        <w:rPr>
          <w:rFonts w:hint="eastAsia"/>
        </w:rPr>
        <w:t>3</w:t>
      </w:r>
      <w:r>
        <w:rPr>
          <w:rFonts w:hint="eastAsia"/>
        </w:rPr>
        <w:t>.1.4</w:t>
      </w:r>
      <w:r>
        <w:rPr>
          <w:rFonts w:hint="eastAsia"/>
        </w:rPr>
        <w:t>固体废物</w:t>
      </w:r>
    </w:p>
    <w:p w:rsidR="00DB7CC8" w:rsidRDefault="002B5250">
      <w:pPr>
        <w:ind w:firstLine="480"/>
        <w:jc w:val="both"/>
        <w:rPr>
          <w:sz w:val="24"/>
          <w:szCs w:val="24"/>
        </w:rPr>
      </w:pPr>
      <w:r>
        <w:rPr>
          <w:sz w:val="24"/>
          <w:szCs w:val="24"/>
        </w:rPr>
        <w:t>施工期的固体废物主要是建筑垃圾、废弃土石方。此外，施工人员在就餐过程中会产生少量垃圾</w:t>
      </w:r>
      <w:r>
        <w:rPr>
          <w:rFonts w:hint="eastAsia"/>
          <w:sz w:val="24"/>
          <w:szCs w:val="24"/>
        </w:rPr>
        <w:t>。</w:t>
      </w:r>
    </w:p>
    <w:p w:rsidR="00DB7CC8" w:rsidRDefault="002B5250">
      <w:pPr>
        <w:pStyle w:val="3"/>
        <w:numPr>
          <w:ilvl w:val="2"/>
          <w:numId w:val="1"/>
        </w:numPr>
        <w:rPr>
          <w:szCs w:val="28"/>
        </w:rPr>
      </w:pPr>
      <w:r>
        <w:rPr>
          <w:szCs w:val="28"/>
        </w:rPr>
        <w:t>运营期污染影响因素分析</w:t>
      </w:r>
    </w:p>
    <w:p w:rsidR="00DB7CC8" w:rsidRDefault="002B5250">
      <w:pPr>
        <w:pStyle w:val="4"/>
        <w:rPr>
          <w:rFonts w:eastAsiaTheme="minorEastAsia"/>
          <w:b/>
        </w:rPr>
      </w:pPr>
      <w:bookmarkStart w:id="200" w:name="_Hlk18932373"/>
      <w:bookmarkStart w:id="201" w:name="_Hlk18932144"/>
      <w:r>
        <w:rPr>
          <w:rFonts w:hint="eastAsia"/>
        </w:rPr>
        <w:t>3.</w:t>
      </w:r>
      <w:r>
        <w:rPr>
          <w:rFonts w:hint="eastAsia"/>
        </w:rPr>
        <w:t>3</w:t>
      </w:r>
      <w:r>
        <w:rPr>
          <w:rFonts w:hint="eastAsia"/>
        </w:rPr>
        <w:t>.2.1</w:t>
      </w:r>
      <w:r>
        <w:rPr>
          <w:rFonts w:hint="eastAsia"/>
        </w:rPr>
        <w:t>选矿工艺流程分析</w:t>
      </w:r>
      <w:bookmarkEnd w:id="198"/>
      <w:bookmarkEnd w:id="199"/>
    </w:p>
    <w:bookmarkEnd w:id="200"/>
    <w:p w:rsidR="00DB7CC8" w:rsidRDefault="002B5250">
      <w:pPr>
        <w:ind w:firstLine="482"/>
        <w:jc w:val="both"/>
        <w:rPr>
          <w:sz w:val="24"/>
          <w:szCs w:val="24"/>
        </w:rPr>
      </w:pPr>
      <w:r>
        <w:rPr>
          <w:b/>
          <w:sz w:val="24"/>
          <w:szCs w:val="24"/>
        </w:rPr>
        <w:t>原料运输：</w:t>
      </w:r>
      <w:r>
        <w:rPr>
          <w:sz w:val="24"/>
          <w:szCs w:val="24"/>
        </w:rPr>
        <w:t>本项目原料主要由遵化市隆晟矿业有限公司提供，原料运输路线：邦宽线</w:t>
      </w:r>
      <w:r>
        <w:rPr>
          <w:sz w:val="24"/>
          <w:szCs w:val="24"/>
        </w:rPr>
        <w:t>——S356</w:t>
      </w:r>
      <w:r>
        <w:rPr>
          <w:sz w:val="24"/>
          <w:szCs w:val="24"/>
        </w:rPr>
        <w:t>省道</w:t>
      </w:r>
      <w:r>
        <w:rPr>
          <w:sz w:val="24"/>
          <w:szCs w:val="24"/>
        </w:rPr>
        <w:t>——</w:t>
      </w:r>
      <w:r>
        <w:rPr>
          <w:sz w:val="24"/>
          <w:szCs w:val="24"/>
        </w:rPr>
        <w:t>厂区外小路</w:t>
      </w:r>
      <w:r>
        <w:rPr>
          <w:sz w:val="24"/>
          <w:szCs w:val="24"/>
        </w:rPr>
        <w:t>——</w:t>
      </w:r>
      <w:r>
        <w:rPr>
          <w:sz w:val="24"/>
          <w:szCs w:val="24"/>
        </w:rPr>
        <w:t>本项目。原料运输过程沿线敏感点为</w:t>
      </w:r>
      <w:r>
        <w:rPr>
          <w:sz w:val="24"/>
          <w:szCs w:val="24"/>
        </w:rPr>
        <w:t>S356</w:t>
      </w:r>
      <w:r>
        <w:rPr>
          <w:sz w:val="24"/>
          <w:szCs w:val="24"/>
        </w:rPr>
        <w:t>省道沿线村镇。本项目生产的铁精粉在成品库装车后，铁精粉运离厂区后由厂区外小路转入北侧的</w:t>
      </w:r>
      <w:r>
        <w:rPr>
          <w:sz w:val="24"/>
          <w:szCs w:val="24"/>
        </w:rPr>
        <w:t>S356</w:t>
      </w:r>
      <w:r>
        <w:rPr>
          <w:sz w:val="24"/>
          <w:szCs w:val="24"/>
        </w:rPr>
        <w:t>省道，然后运至客户厂区，厂区外小路沿线无敏感点。</w:t>
      </w:r>
    </w:p>
    <w:p w:rsidR="00DB7CC8" w:rsidRDefault="002B5250">
      <w:pPr>
        <w:ind w:firstLine="480"/>
        <w:jc w:val="both"/>
        <w:rPr>
          <w:sz w:val="24"/>
          <w:szCs w:val="24"/>
        </w:rPr>
      </w:pPr>
      <w:r>
        <w:rPr>
          <w:sz w:val="24"/>
          <w:szCs w:val="24"/>
        </w:rPr>
        <w:t>本项目建设</w:t>
      </w:r>
      <w:r>
        <w:rPr>
          <w:rFonts w:hint="eastAsia"/>
          <w:sz w:val="24"/>
          <w:szCs w:val="24"/>
        </w:rPr>
        <w:t>1</w:t>
      </w:r>
      <w:r>
        <w:rPr>
          <w:sz w:val="24"/>
          <w:szCs w:val="24"/>
        </w:rPr>
        <w:t>条破碎</w:t>
      </w:r>
      <w:r>
        <w:rPr>
          <w:rFonts w:hint="eastAsia"/>
          <w:sz w:val="24"/>
          <w:szCs w:val="24"/>
        </w:rPr>
        <w:t>粗选</w:t>
      </w:r>
      <w:r>
        <w:rPr>
          <w:rFonts w:hint="eastAsia"/>
          <w:sz w:val="24"/>
          <w:szCs w:val="24"/>
        </w:rPr>
        <w:t>生产线，</w:t>
      </w:r>
      <w:r>
        <w:rPr>
          <w:sz w:val="24"/>
          <w:szCs w:val="24"/>
        </w:rPr>
        <w:t>2</w:t>
      </w:r>
      <w:r>
        <w:rPr>
          <w:rFonts w:hint="eastAsia"/>
          <w:sz w:val="24"/>
          <w:szCs w:val="24"/>
        </w:rPr>
        <w:t>条</w:t>
      </w:r>
      <w:r>
        <w:rPr>
          <w:rFonts w:hint="eastAsia"/>
          <w:sz w:val="24"/>
          <w:szCs w:val="24"/>
        </w:rPr>
        <w:t>精选</w:t>
      </w:r>
      <w:r>
        <w:rPr>
          <w:sz w:val="24"/>
          <w:szCs w:val="24"/>
        </w:rPr>
        <w:t>生产线，工艺流程说明如下：</w:t>
      </w:r>
    </w:p>
    <w:p w:rsidR="00DB7CC8" w:rsidRDefault="002B5250">
      <w:pPr>
        <w:widowControl/>
        <w:numPr>
          <w:ilvl w:val="0"/>
          <w:numId w:val="3"/>
        </w:numPr>
        <w:spacing w:line="460" w:lineRule="exact"/>
        <w:ind w:firstLine="480"/>
        <w:jc w:val="both"/>
        <w:textAlignment w:val="auto"/>
        <w:rPr>
          <w:sz w:val="24"/>
          <w:szCs w:val="24"/>
        </w:rPr>
      </w:pPr>
      <w:r>
        <w:rPr>
          <w:rFonts w:hint="eastAsia"/>
          <w:sz w:val="24"/>
          <w:szCs w:val="24"/>
        </w:rPr>
        <w:t>破碎粗选生产工艺流程</w:t>
      </w:r>
    </w:p>
    <w:p w:rsidR="00DB7CC8" w:rsidRDefault="002B5250">
      <w:pPr>
        <w:widowControl/>
        <w:spacing w:line="460" w:lineRule="exact"/>
        <w:ind w:firstLineChars="100" w:firstLine="240"/>
        <w:jc w:val="both"/>
        <w:textAlignment w:val="auto"/>
        <w:rPr>
          <w:sz w:val="24"/>
          <w:szCs w:val="24"/>
        </w:rPr>
      </w:pPr>
      <w:r>
        <w:rPr>
          <w:sz w:val="24"/>
          <w:szCs w:val="24"/>
        </w:rPr>
        <w:t>（</w:t>
      </w:r>
      <w:r>
        <w:rPr>
          <w:sz w:val="24"/>
          <w:szCs w:val="24"/>
        </w:rPr>
        <w:t>1</w:t>
      </w:r>
      <w:r>
        <w:rPr>
          <w:sz w:val="24"/>
          <w:szCs w:val="24"/>
        </w:rPr>
        <w:t>）原料卸料：本项目</w:t>
      </w:r>
      <w:r>
        <w:rPr>
          <w:rFonts w:hint="eastAsia"/>
          <w:sz w:val="24"/>
          <w:szCs w:val="24"/>
        </w:rPr>
        <w:t>不</w:t>
      </w:r>
      <w:r>
        <w:rPr>
          <w:sz w:val="24"/>
          <w:szCs w:val="24"/>
        </w:rPr>
        <w:t>设原料库，原料铁矿石由汽车运输进厂，</w:t>
      </w:r>
      <w:r>
        <w:rPr>
          <w:rFonts w:hint="eastAsia"/>
          <w:sz w:val="24"/>
          <w:szCs w:val="24"/>
        </w:rPr>
        <w:t>直接进入原料棚</w:t>
      </w:r>
      <w:r>
        <w:rPr>
          <w:sz w:val="24"/>
          <w:szCs w:val="24"/>
        </w:rPr>
        <w:t>卸至</w:t>
      </w:r>
      <w:r>
        <w:rPr>
          <w:rFonts w:hint="eastAsia"/>
          <w:sz w:val="24"/>
          <w:szCs w:val="24"/>
        </w:rPr>
        <w:t>受料仓，</w:t>
      </w:r>
      <w:r>
        <w:rPr>
          <w:sz w:val="24"/>
          <w:szCs w:val="24"/>
        </w:rPr>
        <w:t>原料</w:t>
      </w:r>
      <w:r>
        <w:rPr>
          <w:rFonts w:hint="eastAsia"/>
          <w:sz w:val="24"/>
          <w:szCs w:val="24"/>
        </w:rPr>
        <w:t>不露天</w:t>
      </w:r>
      <w:r>
        <w:rPr>
          <w:sz w:val="24"/>
          <w:szCs w:val="24"/>
        </w:rPr>
        <w:t>堆存，</w:t>
      </w:r>
      <w:r>
        <w:rPr>
          <w:rFonts w:hint="eastAsia"/>
          <w:sz w:val="24"/>
          <w:szCs w:val="24"/>
        </w:rPr>
        <w:t>原料棚</w:t>
      </w:r>
      <w:r>
        <w:rPr>
          <w:sz w:val="24"/>
          <w:szCs w:val="24"/>
        </w:rPr>
        <w:t>三面围挡并带顶，料棚进深尺度不小于</w:t>
      </w:r>
      <w:r>
        <w:rPr>
          <w:sz w:val="24"/>
          <w:szCs w:val="24"/>
        </w:rPr>
        <w:t>8</w:t>
      </w:r>
      <w:r>
        <w:rPr>
          <w:sz w:val="24"/>
          <w:szCs w:val="24"/>
        </w:rPr>
        <w:t>米，受料仓设置喷淋抑尘装置，</w:t>
      </w:r>
      <w:r>
        <w:rPr>
          <w:rFonts w:hint="eastAsia"/>
          <w:sz w:val="24"/>
          <w:szCs w:val="24"/>
        </w:rPr>
        <w:t>可</w:t>
      </w:r>
      <w:r>
        <w:rPr>
          <w:sz w:val="24"/>
          <w:szCs w:val="24"/>
        </w:rPr>
        <w:t>有效防止卸料扬尘外溢，受料仓围挡</w:t>
      </w:r>
      <w:r>
        <w:rPr>
          <w:sz w:val="24"/>
          <w:szCs w:val="24"/>
        </w:rPr>
        <w:t>发生破损时必须及时维修完善。</w:t>
      </w:r>
    </w:p>
    <w:p w:rsidR="00DB7CC8" w:rsidRDefault="002B5250">
      <w:pPr>
        <w:widowControl/>
        <w:spacing w:line="460" w:lineRule="exact"/>
        <w:ind w:firstLine="480"/>
        <w:jc w:val="both"/>
        <w:textAlignment w:val="auto"/>
        <w:rPr>
          <w:sz w:val="24"/>
          <w:szCs w:val="24"/>
        </w:rPr>
      </w:pPr>
      <w:r>
        <w:rPr>
          <w:rFonts w:hint="eastAsia"/>
          <w:sz w:val="24"/>
          <w:szCs w:val="24"/>
        </w:rPr>
        <w:t>原料运输车辆车斗采用苫布苫盖，苫布边缘至少要遮住槽帮上沿以下</w:t>
      </w:r>
      <w:r>
        <w:rPr>
          <w:rFonts w:hint="eastAsia"/>
          <w:sz w:val="24"/>
          <w:szCs w:val="24"/>
        </w:rPr>
        <w:t>15cm</w:t>
      </w:r>
      <w:r>
        <w:rPr>
          <w:rFonts w:hint="eastAsia"/>
          <w:sz w:val="24"/>
          <w:szCs w:val="24"/>
        </w:rPr>
        <w:t>，</w:t>
      </w:r>
      <w:r>
        <w:rPr>
          <w:rFonts w:hint="eastAsia"/>
          <w:sz w:val="24"/>
        </w:rPr>
        <w:t>原料运输采用国六标准或新能源运输工具。项目在原料库进口处设洗车台，车辆在进出原料库进行车辆冲洗，降低车辆运输粉尘。原料卸料时采用原料区顶部设</w:t>
      </w:r>
      <w:r>
        <w:rPr>
          <w:rFonts w:hint="eastAsia"/>
          <w:sz w:val="24"/>
          <w:szCs w:val="24"/>
        </w:rPr>
        <w:t>置喷雾抑尘装置（电伴热）进行抑尘。</w:t>
      </w:r>
    </w:p>
    <w:p w:rsidR="00DB7CC8" w:rsidRDefault="002B5250">
      <w:pPr>
        <w:widowControl/>
        <w:spacing w:line="460" w:lineRule="exact"/>
        <w:ind w:firstLine="480"/>
        <w:jc w:val="both"/>
        <w:textAlignment w:val="auto"/>
        <w:rPr>
          <w:sz w:val="24"/>
          <w:szCs w:val="24"/>
        </w:rPr>
      </w:pPr>
      <w:r>
        <w:rPr>
          <w:sz w:val="24"/>
          <w:szCs w:val="24"/>
        </w:rPr>
        <w:t>排污节点：原料卸车、转运、储存过程中产生的粉尘，运输车辆产生的噪声。</w:t>
      </w:r>
    </w:p>
    <w:p w:rsidR="00DB7CC8" w:rsidRDefault="002B5250">
      <w:pPr>
        <w:widowControl/>
        <w:spacing w:line="460" w:lineRule="exact"/>
        <w:ind w:firstLine="480"/>
        <w:jc w:val="both"/>
        <w:textAlignment w:val="auto"/>
        <w:rPr>
          <w:sz w:val="24"/>
          <w:szCs w:val="24"/>
        </w:rPr>
      </w:pPr>
      <w:r>
        <w:rPr>
          <w:sz w:val="24"/>
          <w:szCs w:val="24"/>
        </w:rPr>
        <w:t>（</w:t>
      </w:r>
      <w:r>
        <w:rPr>
          <w:sz w:val="24"/>
          <w:szCs w:val="24"/>
        </w:rPr>
        <w:t>2</w:t>
      </w:r>
      <w:r>
        <w:rPr>
          <w:sz w:val="24"/>
          <w:szCs w:val="24"/>
        </w:rPr>
        <w:t>）破碎筛分：本项目破碎生产线设</w:t>
      </w:r>
      <w:r>
        <w:rPr>
          <w:sz w:val="24"/>
          <w:szCs w:val="24"/>
        </w:rPr>
        <w:t>1</w:t>
      </w:r>
      <w:r>
        <w:rPr>
          <w:sz w:val="24"/>
          <w:szCs w:val="24"/>
        </w:rPr>
        <w:t>台颚破机、</w:t>
      </w:r>
      <w:r>
        <w:rPr>
          <w:sz w:val="24"/>
          <w:szCs w:val="24"/>
        </w:rPr>
        <w:t>1</w:t>
      </w:r>
      <w:r>
        <w:rPr>
          <w:sz w:val="24"/>
          <w:szCs w:val="24"/>
        </w:rPr>
        <w:t>台</w:t>
      </w:r>
      <w:r>
        <w:rPr>
          <w:rFonts w:hint="eastAsia"/>
          <w:sz w:val="24"/>
          <w:szCs w:val="24"/>
        </w:rPr>
        <w:t>锤破</w:t>
      </w:r>
      <w:r>
        <w:rPr>
          <w:sz w:val="24"/>
          <w:szCs w:val="24"/>
        </w:rPr>
        <w:t>和</w:t>
      </w:r>
      <w:r>
        <w:rPr>
          <w:sz w:val="24"/>
          <w:szCs w:val="24"/>
        </w:rPr>
        <w:t>1</w:t>
      </w:r>
      <w:r>
        <w:rPr>
          <w:sz w:val="24"/>
          <w:szCs w:val="24"/>
        </w:rPr>
        <w:t>台振动筛。</w:t>
      </w:r>
    </w:p>
    <w:p w:rsidR="00DB7CC8" w:rsidRDefault="002B5250">
      <w:pPr>
        <w:widowControl/>
        <w:spacing w:line="460" w:lineRule="exact"/>
        <w:ind w:firstLine="480"/>
        <w:jc w:val="both"/>
        <w:textAlignment w:val="auto"/>
        <w:rPr>
          <w:sz w:val="24"/>
          <w:szCs w:val="24"/>
        </w:rPr>
      </w:pPr>
      <w:r>
        <w:rPr>
          <w:rFonts w:ascii="宋体" w:hAnsi="宋体" w:cs="宋体" w:hint="eastAsia"/>
          <w:sz w:val="24"/>
          <w:szCs w:val="24"/>
        </w:rPr>
        <w:lastRenderedPageBreak/>
        <w:t>①</w:t>
      </w:r>
      <w:r>
        <w:rPr>
          <w:rFonts w:hint="eastAsia"/>
          <w:sz w:val="24"/>
          <w:szCs w:val="24"/>
        </w:rPr>
        <w:t>加料：原料库内的铁矿石由工人用铲车将铁矿石送进原料库内受料口，经给料机落入颚式破碎机内。</w:t>
      </w:r>
    </w:p>
    <w:p w:rsidR="00DB7CC8" w:rsidRDefault="002B5250">
      <w:pPr>
        <w:widowControl/>
        <w:spacing w:line="460" w:lineRule="exact"/>
        <w:ind w:firstLine="480"/>
        <w:jc w:val="both"/>
        <w:textAlignment w:val="auto"/>
        <w:rPr>
          <w:sz w:val="24"/>
          <w:szCs w:val="24"/>
        </w:rPr>
      </w:pPr>
      <w:r>
        <w:rPr>
          <w:sz w:val="24"/>
          <w:szCs w:val="24"/>
        </w:rPr>
        <w:t>排污节点：铲车运输过程、给料机产生的噪声</w:t>
      </w:r>
      <w:r>
        <w:rPr>
          <w:rFonts w:hint="eastAsia"/>
          <w:sz w:val="24"/>
          <w:szCs w:val="24"/>
        </w:rPr>
        <w:t>，运输及落料过程产生的粉尘。</w:t>
      </w:r>
    </w:p>
    <w:p w:rsidR="00DB7CC8" w:rsidRDefault="002B5250">
      <w:pPr>
        <w:widowControl/>
        <w:spacing w:line="460" w:lineRule="exact"/>
        <w:ind w:firstLine="480"/>
        <w:jc w:val="both"/>
        <w:textAlignment w:val="auto"/>
        <w:rPr>
          <w:sz w:val="24"/>
          <w:szCs w:val="24"/>
        </w:rPr>
      </w:pPr>
      <w:r>
        <w:rPr>
          <w:rFonts w:ascii="宋体" w:hAnsi="宋体" w:cs="宋体" w:hint="eastAsia"/>
          <w:sz w:val="24"/>
          <w:szCs w:val="24"/>
        </w:rPr>
        <w:t>②</w:t>
      </w:r>
      <w:r>
        <w:rPr>
          <w:sz w:val="24"/>
          <w:szCs w:val="24"/>
        </w:rPr>
        <w:t>颚破</w:t>
      </w:r>
      <w:r>
        <w:rPr>
          <w:rFonts w:hint="eastAsia"/>
          <w:sz w:val="24"/>
          <w:szCs w:val="24"/>
        </w:rPr>
        <w:t>、锤破</w:t>
      </w:r>
      <w:r>
        <w:rPr>
          <w:sz w:val="24"/>
          <w:szCs w:val="24"/>
        </w:rPr>
        <w:t>：铁矿石首先进入颚式破碎机进行破碎，被破碎成直径</w:t>
      </w:r>
      <w:r>
        <w:rPr>
          <w:rFonts w:hint="eastAsia"/>
          <w:sz w:val="24"/>
          <w:szCs w:val="24"/>
        </w:rPr>
        <w:t>5</w:t>
      </w:r>
      <w:r>
        <w:rPr>
          <w:sz w:val="24"/>
          <w:szCs w:val="24"/>
        </w:rPr>
        <w:t>cm</w:t>
      </w:r>
      <w:r>
        <w:rPr>
          <w:sz w:val="24"/>
          <w:szCs w:val="24"/>
        </w:rPr>
        <w:t>以下的碎石块，破碎机出口与皮带传送机相接，输送至</w:t>
      </w:r>
      <w:r>
        <w:rPr>
          <w:rFonts w:hint="eastAsia"/>
          <w:sz w:val="24"/>
          <w:szCs w:val="24"/>
        </w:rPr>
        <w:t>锤式破碎机</w:t>
      </w:r>
      <w:r>
        <w:rPr>
          <w:rFonts w:hint="eastAsia"/>
          <w:sz w:val="24"/>
          <w:szCs w:val="24"/>
        </w:rPr>
        <w:t>进行</w:t>
      </w:r>
      <w:r>
        <w:rPr>
          <w:rFonts w:hint="eastAsia"/>
          <w:sz w:val="24"/>
          <w:szCs w:val="24"/>
        </w:rPr>
        <w:t>细破</w:t>
      </w:r>
      <w:r>
        <w:rPr>
          <w:rFonts w:hint="eastAsia"/>
          <w:sz w:val="24"/>
          <w:szCs w:val="24"/>
        </w:rPr>
        <w:t>。</w:t>
      </w:r>
    </w:p>
    <w:p w:rsidR="00DB7CC8" w:rsidRDefault="002B5250">
      <w:pPr>
        <w:widowControl/>
        <w:spacing w:line="460" w:lineRule="exact"/>
        <w:ind w:firstLine="480"/>
        <w:jc w:val="both"/>
        <w:textAlignment w:val="auto"/>
        <w:rPr>
          <w:sz w:val="24"/>
          <w:szCs w:val="24"/>
        </w:rPr>
      </w:pPr>
      <w:r>
        <w:rPr>
          <w:sz w:val="24"/>
          <w:szCs w:val="24"/>
        </w:rPr>
        <w:t>排污节点：</w:t>
      </w:r>
      <w:r>
        <w:rPr>
          <w:rFonts w:hint="eastAsia"/>
          <w:sz w:val="24"/>
          <w:szCs w:val="24"/>
        </w:rPr>
        <w:t>颚</w:t>
      </w:r>
      <w:r>
        <w:rPr>
          <w:sz w:val="24"/>
          <w:szCs w:val="24"/>
        </w:rPr>
        <w:t>破</w:t>
      </w:r>
      <w:r>
        <w:rPr>
          <w:rFonts w:hint="eastAsia"/>
          <w:sz w:val="24"/>
          <w:szCs w:val="24"/>
        </w:rPr>
        <w:t>、锤破</w:t>
      </w:r>
      <w:r>
        <w:rPr>
          <w:sz w:val="24"/>
          <w:szCs w:val="24"/>
        </w:rPr>
        <w:t>过程产生的粉尘、噪声以及除尘器收集的除尘灰。</w:t>
      </w:r>
    </w:p>
    <w:p w:rsidR="00DB7CC8" w:rsidRDefault="002B5250">
      <w:pPr>
        <w:widowControl/>
        <w:spacing w:line="460" w:lineRule="exact"/>
        <w:ind w:firstLine="480"/>
        <w:jc w:val="both"/>
        <w:textAlignment w:val="auto"/>
        <w:rPr>
          <w:sz w:val="24"/>
          <w:szCs w:val="24"/>
        </w:rPr>
      </w:pPr>
      <w:r>
        <w:rPr>
          <w:rFonts w:ascii="宋体" w:hAnsi="宋体" w:cs="宋体" w:hint="eastAsia"/>
          <w:sz w:val="24"/>
          <w:szCs w:val="24"/>
        </w:rPr>
        <w:t>③</w:t>
      </w:r>
      <w:r>
        <w:rPr>
          <w:sz w:val="24"/>
          <w:szCs w:val="24"/>
        </w:rPr>
        <w:t>筛分</w:t>
      </w:r>
      <w:r>
        <w:rPr>
          <w:rFonts w:hint="eastAsia"/>
          <w:sz w:val="24"/>
          <w:szCs w:val="24"/>
        </w:rPr>
        <w:t>、</w:t>
      </w:r>
      <w:r>
        <w:rPr>
          <w:rFonts w:hint="eastAsia"/>
          <w:sz w:val="24"/>
          <w:szCs w:val="24"/>
        </w:rPr>
        <w:t>圆锥</w:t>
      </w:r>
      <w:r>
        <w:rPr>
          <w:rFonts w:hint="eastAsia"/>
          <w:sz w:val="24"/>
          <w:szCs w:val="24"/>
        </w:rPr>
        <w:t>破</w:t>
      </w:r>
      <w:r>
        <w:rPr>
          <w:sz w:val="24"/>
          <w:szCs w:val="24"/>
        </w:rPr>
        <w:t>：</w:t>
      </w:r>
      <w:r>
        <w:rPr>
          <w:rFonts w:hint="eastAsia"/>
          <w:sz w:val="24"/>
          <w:szCs w:val="24"/>
        </w:rPr>
        <w:t>经</w:t>
      </w:r>
      <w:r>
        <w:rPr>
          <w:rFonts w:hint="eastAsia"/>
          <w:sz w:val="24"/>
          <w:szCs w:val="24"/>
        </w:rPr>
        <w:t>锤</w:t>
      </w:r>
      <w:r>
        <w:rPr>
          <w:rFonts w:hint="eastAsia"/>
          <w:sz w:val="24"/>
          <w:szCs w:val="24"/>
        </w:rPr>
        <w:t>破</w:t>
      </w:r>
      <w:r>
        <w:rPr>
          <w:sz w:val="24"/>
          <w:szCs w:val="24"/>
        </w:rPr>
        <w:t>后的矿石由皮带送入</w:t>
      </w:r>
      <w:r>
        <w:rPr>
          <w:rFonts w:hint="eastAsia"/>
          <w:sz w:val="24"/>
          <w:szCs w:val="24"/>
        </w:rPr>
        <w:t>振动筛进行筛分，筛上物料</w:t>
      </w:r>
      <w:r>
        <w:rPr>
          <w:sz w:val="24"/>
          <w:szCs w:val="24"/>
        </w:rPr>
        <w:t>（</w:t>
      </w:r>
      <w:r>
        <w:rPr>
          <w:rFonts w:hint="eastAsia"/>
          <w:sz w:val="24"/>
          <w:szCs w:val="24"/>
        </w:rPr>
        <w:t>粒径</w:t>
      </w:r>
      <w:r>
        <w:rPr>
          <w:sz w:val="24"/>
          <w:szCs w:val="24"/>
        </w:rPr>
        <w:t>&gt;</w:t>
      </w:r>
      <w:r>
        <w:rPr>
          <w:rFonts w:hint="eastAsia"/>
          <w:sz w:val="24"/>
          <w:szCs w:val="24"/>
        </w:rPr>
        <w:t>2</w:t>
      </w:r>
      <w:r>
        <w:rPr>
          <w:sz w:val="24"/>
          <w:szCs w:val="24"/>
        </w:rPr>
        <w:t>cm</w:t>
      </w:r>
      <w:r>
        <w:rPr>
          <w:sz w:val="24"/>
          <w:szCs w:val="24"/>
        </w:rPr>
        <w:t>）</w:t>
      </w:r>
      <w:r>
        <w:rPr>
          <w:rFonts w:hint="eastAsia"/>
          <w:sz w:val="24"/>
          <w:szCs w:val="24"/>
        </w:rPr>
        <w:t>经皮带转运至</w:t>
      </w:r>
      <w:r>
        <w:rPr>
          <w:rFonts w:hint="eastAsia"/>
          <w:sz w:val="24"/>
          <w:szCs w:val="24"/>
        </w:rPr>
        <w:t>圆锥</w:t>
      </w:r>
      <w:r>
        <w:rPr>
          <w:rFonts w:hint="eastAsia"/>
          <w:sz w:val="24"/>
          <w:szCs w:val="24"/>
        </w:rPr>
        <w:t>破碎机进一步破碎</w:t>
      </w:r>
      <w:r>
        <w:rPr>
          <w:rFonts w:hint="eastAsia"/>
          <w:sz w:val="24"/>
          <w:szCs w:val="24"/>
        </w:rPr>
        <w:t>，</w:t>
      </w:r>
      <w:r>
        <w:rPr>
          <w:rFonts w:hint="eastAsia"/>
          <w:sz w:val="24"/>
          <w:szCs w:val="24"/>
        </w:rPr>
        <w:t>破碎后直接落入鄂破与振动筛之间的皮带上，返回振动筛进行筛分，筛下物料</w:t>
      </w:r>
      <w:r>
        <w:rPr>
          <w:sz w:val="24"/>
          <w:szCs w:val="24"/>
        </w:rPr>
        <w:t>（</w:t>
      </w:r>
      <w:r>
        <w:rPr>
          <w:rFonts w:hint="eastAsia"/>
          <w:sz w:val="24"/>
          <w:szCs w:val="24"/>
        </w:rPr>
        <w:t>粒径</w:t>
      </w:r>
      <w:r>
        <w:rPr>
          <w:sz w:val="24"/>
          <w:szCs w:val="24"/>
        </w:rPr>
        <w:t>≤</w:t>
      </w:r>
      <w:r>
        <w:rPr>
          <w:rFonts w:hint="eastAsia"/>
          <w:sz w:val="24"/>
          <w:szCs w:val="24"/>
        </w:rPr>
        <w:t>2</w:t>
      </w:r>
      <w:r>
        <w:rPr>
          <w:sz w:val="24"/>
          <w:szCs w:val="24"/>
        </w:rPr>
        <w:t>cm</w:t>
      </w:r>
      <w:r>
        <w:rPr>
          <w:sz w:val="24"/>
          <w:szCs w:val="24"/>
        </w:rPr>
        <w:t>）</w:t>
      </w:r>
      <w:r>
        <w:rPr>
          <w:rFonts w:hint="eastAsia"/>
          <w:sz w:val="24"/>
          <w:szCs w:val="24"/>
        </w:rPr>
        <w:t>进入中转料仓准备进入球磨工序</w:t>
      </w:r>
      <w:r>
        <w:rPr>
          <w:rFonts w:hint="eastAsia"/>
          <w:sz w:val="24"/>
          <w:szCs w:val="24"/>
        </w:rPr>
        <w:t>。</w:t>
      </w:r>
    </w:p>
    <w:p w:rsidR="00DB7CC8" w:rsidRDefault="002B5250">
      <w:pPr>
        <w:widowControl/>
        <w:spacing w:line="460" w:lineRule="exact"/>
        <w:ind w:firstLine="480"/>
        <w:jc w:val="both"/>
        <w:textAlignment w:val="auto"/>
        <w:rPr>
          <w:sz w:val="24"/>
          <w:szCs w:val="24"/>
        </w:rPr>
      </w:pPr>
      <w:r>
        <w:rPr>
          <w:sz w:val="24"/>
          <w:szCs w:val="24"/>
        </w:rPr>
        <w:t>排污节点：</w:t>
      </w:r>
      <w:r>
        <w:rPr>
          <w:rFonts w:hint="eastAsia"/>
          <w:sz w:val="24"/>
          <w:szCs w:val="24"/>
        </w:rPr>
        <w:t>锤破碎</w:t>
      </w:r>
      <w:r>
        <w:rPr>
          <w:rFonts w:hint="eastAsia"/>
          <w:sz w:val="24"/>
          <w:szCs w:val="24"/>
        </w:rPr>
        <w:t>过程产生的粉尘、噪声；，</w:t>
      </w:r>
      <w:r>
        <w:rPr>
          <w:sz w:val="24"/>
          <w:szCs w:val="24"/>
        </w:rPr>
        <w:t>筛分过程产生的粉尘、噪声</w:t>
      </w:r>
      <w:r>
        <w:rPr>
          <w:rFonts w:hint="eastAsia"/>
          <w:sz w:val="24"/>
          <w:szCs w:val="24"/>
        </w:rPr>
        <w:t>；</w:t>
      </w:r>
      <w:r>
        <w:rPr>
          <w:sz w:val="24"/>
          <w:szCs w:val="24"/>
        </w:rPr>
        <w:t>除尘器收集的除尘灰</w:t>
      </w:r>
      <w:r>
        <w:rPr>
          <w:rFonts w:hint="eastAsia"/>
          <w:sz w:val="24"/>
          <w:szCs w:val="24"/>
        </w:rPr>
        <w:t>。</w:t>
      </w:r>
    </w:p>
    <w:p w:rsidR="00DB7CC8" w:rsidRDefault="002B5250">
      <w:pPr>
        <w:widowControl/>
        <w:spacing w:line="460" w:lineRule="exact"/>
        <w:ind w:firstLine="480"/>
        <w:jc w:val="both"/>
        <w:textAlignment w:val="auto"/>
        <w:rPr>
          <w:sz w:val="24"/>
          <w:szCs w:val="24"/>
        </w:rPr>
      </w:pPr>
      <w:r>
        <w:rPr>
          <w:sz w:val="24"/>
          <w:szCs w:val="24"/>
        </w:rPr>
        <w:t>（</w:t>
      </w:r>
      <w:r>
        <w:rPr>
          <w:sz w:val="24"/>
          <w:szCs w:val="24"/>
        </w:rPr>
        <w:t>2</w:t>
      </w:r>
      <w:r>
        <w:rPr>
          <w:sz w:val="24"/>
          <w:szCs w:val="24"/>
        </w:rPr>
        <w:t>）球磨：</w:t>
      </w:r>
      <w:r>
        <w:rPr>
          <w:rFonts w:hint="eastAsia"/>
          <w:sz w:val="24"/>
          <w:szCs w:val="24"/>
        </w:rPr>
        <w:t>破碎车间</w:t>
      </w:r>
      <w:r>
        <w:rPr>
          <w:sz w:val="24"/>
          <w:szCs w:val="24"/>
        </w:rPr>
        <w:t>经破碎筛分后的矿石经</w:t>
      </w:r>
      <w:r>
        <w:rPr>
          <w:rFonts w:hint="eastAsia"/>
          <w:sz w:val="24"/>
          <w:szCs w:val="24"/>
        </w:rPr>
        <w:t>中转</w:t>
      </w:r>
      <w:r>
        <w:rPr>
          <w:sz w:val="24"/>
          <w:szCs w:val="24"/>
        </w:rPr>
        <w:t>仓由皮带给入球磨机</w:t>
      </w:r>
      <w:r>
        <w:rPr>
          <w:rFonts w:hint="eastAsia"/>
          <w:sz w:val="24"/>
          <w:szCs w:val="24"/>
        </w:rPr>
        <w:t>。</w:t>
      </w:r>
      <w:r>
        <w:rPr>
          <w:sz w:val="24"/>
          <w:szCs w:val="24"/>
        </w:rPr>
        <w:t>入料同时加水和钢球，经球磨机进行湿式球磨。球磨后的粉矿浆由矿浆泵输送至一段磁选。</w:t>
      </w:r>
    </w:p>
    <w:p w:rsidR="00DB7CC8" w:rsidRDefault="002B5250">
      <w:pPr>
        <w:widowControl/>
        <w:spacing w:line="460" w:lineRule="exact"/>
        <w:ind w:firstLine="480"/>
        <w:jc w:val="both"/>
        <w:textAlignment w:val="auto"/>
        <w:rPr>
          <w:sz w:val="24"/>
          <w:szCs w:val="24"/>
        </w:rPr>
      </w:pPr>
      <w:r>
        <w:rPr>
          <w:sz w:val="24"/>
          <w:szCs w:val="24"/>
        </w:rPr>
        <w:t>排污节点：球磨机噪声、废钢球。</w:t>
      </w:r>
    </w:p>
    <w:p w:rsidR="00DB7CC8" w:rsidRDefault="002B5250">
      <w:pPr>
        <w:widowControl/>
        <w:spacing w:line="460" w:lineRule="exact"/>
        <w:ind w:firstLine="480"/>
        <w:jc w:val="both"/>
        <w:textAlignment w:val="auto"/>
        <w:rPr>
          <w:sz w:val="24"/>
          <w:szCs w:val="24"/>
        </w:rPr>
      </w:pPr>
      <w:r>
        <w:rPr>
          <w:sz w:val="24"/>
          <w:szCs w:val="24"/>
        </w:rPr>
        <w:t>（</w:t>
      </w:r>
      <w:r>
        <w:rPr>
          <w:sz w:val="24"/>
          <w:szCs w:val="24"/>
        </w:rPr>
        <w:t>3</w:t>
      </w:r>
      <w:r>
        <w:rPr>
          <w:sz w:val="24"/>
          <w:szCs w:val="24"/>
        </w:rPr>
        <w:t>）磁选：经过球磨的粉矿浆进入磁选机磁选，该工序磁选机串联式组合，共四段磁选。粉矿浆首先进入一段湿式磁选，一段磁选的精矿由渣浆泵</w:t>
      </w:r>
      <w:r>
        <w:rPr>
          <w:sz w:val="24"/>
          <w:szCs w:val="24"/>
        </w:rPr>
        <w:t>泵入高频振动筛，筛上物重新返回球磨机球磨，筛下再经二、三段磁选，</w:t>
      </w:r>
      <w:r>
        <w:rPr>
          <w:rFonts w:hint="eastAsia"/>
          <w:sz w:val="24"/>
          <w:szCs w:val="24"/>
        </w:rPr>
        <w:t>三</w:t>
      </w:r>
      <w:r>
        <w:rPr>
          <w:sz w:val="24"/>
          <w:szCs w:val="24"/>
        </w:rPr>
        <w:t>段磁选产生的精矿进入过滤机脱水，得到铁精粉，铁精粉经皮带输送至精粉库，在精粉库内暂存。过滤机脱出的尾矿浆通过渣浆泵输送到</w:t>
      </w:r>
      <w:r>
        <w:rPr>
          <w:rFonts w:hint="eastAsia"/>
          <w:sz w:val="24"/>
          <w:szCs w:val="24"/>
        </w:rPr>
        <w:t>球磨机</w:t>
      </w:r>
      <w:r>
        <w:rPr>
          <w:sz w:val="24"/>
          <w:szCs w:val="24"/>
        </w:rPr>
        <w:t>。</w:t>
      </w:r>
    </w:p>
    <w:p w:rsidR="00DB7CC8" w:rsidRDefault="002B5250">
      <w:pPr>
        <w:widowControl/>
        <w:spacing w:line="460" w:lineRule="exact"/>
        <w:ind w:firstLine="480"/>
        <w:jc w:val="both"/>
        <w:textAlignment w:val="auto"/>
        <w:rPr>
          <w:sz w:val="24"/>
          <w:szCs w:val="24"/>
        </w:rPr>
      </w:pPr>
      <w:r>
        <w:rPr>
          <w:sz w:val="24"/>
          <w:szCs w:val="24"/>
        </w:rPr>
        <w:t>排污节点：磁选过程产生尾矿浆和设备运行噪声。</w:t>
      </w:r>
    </w:p>
    <w:p w:rsidR="00DB7CC8" w:rsidRDefault="002B5250">
      <w:pPr>
        <w:widowControl/>
        <w:spacing w:line="460" w:lineRule="exact"/>
        <w:ind w:firstLine="480"/>
        <w:jc w:val="both"/>
        <w:textAlignment w:val="auto"/>
        <w:rPr>
          <w:sz w:val="24"/>
          <w:szCs w:val="24"/>
        </w:rPr>
      </w:pPr>
      <w:r>
        <w:rPr>
          <w:sz w:val="24"/>
          <w:szCs w:val="24"/>
        </w:rPr>
        <w:t>（</w:t>
      </w:r>
      <w:r>
        <w:rPr>
          <w:sz w:val="24"/>
          <w:szCs w:val="24"/>
        </w:rPr>
        <w:t>4</w:t>
      </w:r>
      <w:r>
        <w:rPr>
          <w:sz w:val="24"/>
          <w:szCs w:val="24"/>
        </w:rPr>
        <w:t>）磁选尾矿脱水</w:t>
      </w:r>
    </w:p>
    <w:p w:rsidR="00DB7CC8" w:rsidRDefault="002B5250">
      <w:pPr>
        <w:widowControl/>
        <w:spacing w:line="460" w:lineRule="exact"/>
        <w:ind w:firstLine="480"/>
        <w:jc w:val="both"/>
        <w:textAlignment w:val="auto"/>
        <w:rPr>
          <w:sz w:val="24"/>
          <w:szCs w:val="24"/>
        </w:rPr>
      </w:pPr>
      <w:r>
        <w:rPr>
          <w:rFonts w:hint="eastAsia"/>
          <w:sz w:val="24"/>
          <w:szCs w:val="24"/>
        </w:rPr>
        <w:t>各磁选环节产生的尾矿浆由渣浆泵输送到沉淀罐进行初步沉淀分离，粗尾矿砂沉淀至罐底，顶部溢流尾矿浆进入浓密池进行沉淀。</w:t>
      </w:r>
    </w:p>
    <w:p w:rsidR="00DB7CC8" w:rsidRDefault="002B5250">
      <w:pPr>
        <w:widowControl/>
        <w:spacing w:line="460" w:lineRule="exact"/>
        <w:ind w:firstLine="480"/>
        <w:jc w:val="both"/>
        <w:textAlignment w:val="auto"/>
        <w:rPr>
          <w:sz w:val="24"/>
          <w:szCs w:val="24"/>
        </w:rPr>
      </w:pPr>
      <w:r>
        <w:rPr>
          <w:rFonts w:hint="eastAsia"/>
          <w:sz w:val="24"/>
          <w:szCs w:val="24"/>
        </w:rPr>
        <w:t>沉淀罐底的粗尾矿砂再经脱水筛分离。筛上粗颗粒外售附近建材企业综合利用；滤液进入浓密池进行沉淀处理。浓密池中上清液自流至清水池回用于生产</w:t>
      </w:r>
      <w:r>
        <w:rPr>
          <w:rFonts w:hint="eastAsia"/>
          <w:sz w:val="24"/>
          <w:szCs w:val="24"/>
        </w:rPr>
        <w:t>，沉淀在浓密池底的细尾矿砂经压滤机压滤脱水处理，形成的细尾矿砂</w:t>
      </w:r>
      <w:bookmarkStart w:id="202" w:name="_Hlk4967768"/>
      <w:r>
        <w:rPr>
          <w:rFonts w:hint="eastAsia"/>
          <w:sz w:val="24"/>
          <w:szCs w:val="24"/>
        </w:rPr>
        <w:t>（泥饼）用于项目周边修路</w:t>
      </w:r>
      <w:bookmarkEnd w:id="202"/>
      <w:r>
        <w:rPr>
          <w:rFonts w:hint="eastAsia"/>
          <w:sz w:val="24"/>
          <w:szCs w:val="24"/>
        </w:rPr>
        <w:t>或填坑造地，压滤机出水进入清水池回用于生产。</w:t>
      </w:r>
    </w:p>
    <w:bookmarkEnd w:id="201"/>
    <w:p w:rsidR="00DB7CC8" w:rsidRDefault="002B5250">
      <w:pPr>
        <w:widowControl/>
        <w:spacing w:line="460" w:lineRule="exact"/>
        <w:ind w:firstLine="480"/>
        <w:jc w:val="both"/>
        <w:textAlignment w:val="auto"/>
        <w:rPr>
          <w:sz w:val="24"/>
          <w:szCs w:val="24"/>
        </w:rPr>
      </w:pPr>
      <w:r>
        <w:rPr>
          <w:rFonts w:hint="eastAsia"/>
          <w:sz w:val="24"/>
          <w:szCs w:val="24"/>
        </w:rPr>
        <w:t>破碎粗选生产工艺流程及产排污环节见图</w:t>
      </w:r>
      <w:r>
        <w:rPr>
          <w:rFonts w:hint="eastAsia"/>
          <w:sz w:val="24"/>
          <w:szCs w:val="24"/>
        </w:rPr>
        <w:t>3.2-1</w:t>
      </w:r>
      <w:r>
        <w:rPr>
          <w:rFonts w:hint="eastAsia"/>
          <w:sz w:val="24"/>
          <w:szCs w:val="24"/>
        </w:rPr>
        <w:t>。</w:t>
      </w:r>
    </w:p>
    <w:p w:rsidR="00DB7CC8" w:rsidRDefault="00DB7CC8">
      <w:pPr>
        <w:ind w:firstLineChars="0" w:firstLine="0"/>
        <w:jc w:val="both"/>
        <w:rPr>
          <w:sz w:val="24"/>
          <w:szCs w:val="24"/>
        </w:rPr>
      </w:pPr>
    </w:p>
    <w:p w:rsidR="00DB7CC8" w:rsidRDefault="00DB7CC8">
      <w:pPr>
        <w:pStyle w:val="29"/>
        <w:ind w:left="560" w:firstLine="480"/>
        <w:rPr>
          <w:sz w:val="24"/>
        </w:rPr>
      </w:pPr>
    </w:p>
    <w:p w:rsidR="00DB7CC8" w:rsidRDefault="00DB7CC8">
      <w:pPr>
        <w:ind w:firstLine="480"/>
        <w:rPr>
          <w:sz w:val="24"/>
          <w:szCs w:val="24"/>
        </w:rPr>
      </w:pPr>
    </w:p>
    <w:p w:rsidR="00DB7CC8" w:rsidRDefault="00DB7CC8">
      <w:pPr>
        <w:pStyle w:val="29"/>
        <w:ind w:left="560" w:firstLine="480"/>
        <w:rPr>
          <w:sz w:val="24"/>
        </w:rPr>
      </w:pPr>
    </w:p>
    <w:p w:rsidR="00DB7CC8" w:rsidRDefault="00DB7CC8">
      <w:pPr>
        <w:ind w:firstLine="480"/>
        <w:rPr>
          <w:sz w:val="24"/>
          <w:szCs w:val="24"/>
        </w:rPr>
      </w:pPr>
    </w:p>
    <w:p w:rsidR="00DB7CC8" w:rsidRDefault="00DB7CC8">
      <w:pPr>
        <w:pStyle w:val="29"/>
        <w:ind w:left="560" w:firstLine="480"/>
        <w:rPr>
          <w:sz w:val="24"/>
        </w:rPr>
      </w:pPr>
    </w:p>
    <w:p w:rsidR="00DB7CC8" w:rsidRDefault="00DB7CC8">
      <w:pPr>
        <w:ind w:firstLine="480"/>
        <w:rPr>
          <w:sz w:val="24"/>
          <w:szCs w:val="24"/>
        </w:rPr>
      </w:pPr>
    </w:p>
    <w:p w:rsidR="00DB7CC8" w:rsidRDefault="002B5250">
      <w:pPr>
        <w:pStyle w:val="29"/>
        <w:ind w:left="560" w:firstLine="480"/>
        <w:rPr>
          <w:sz w:val="24"/>
        </w:rPr>
      </w:pPr>
      <w:r>
        <w:rPr>
          <w:rFonts w:hint="eastAsia"/>
          <w:noProof/>
          <w:sz w:val="24"/>
        </w:rPr>
        <w:drawing>
          <wp:anchor distT="0" distB="0" distL="114300" distR="114300" simplePos="0" relativeHeight="251682816" behindDoc="0" locked="0" layoutInCell="1" allowOverlap="1">
            <wp:simplePos x="0" y="0"/>
            <wp:positionH relativeFrom="column">
              <wp:posOffset>714375</wp:posOffset>
            </wp:positionH>
            <wp:positionV relativeFrom="paragraph">
              <wp:posOffset>119380</wp:posOffset>
            </wp:positionV>
            <wp:extent cx="4184650" cy="7230110"/>
            <wp:effectExtent l="0" t="0" r="6350" b="0"/>
            <wp:wrapNone/>
            <wp:docPr id="217" name="图片 217" descr="168360031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1683600311683"/>
                    <pic:cNvPicPr>
                      <a:picLocks noChangeAspect="1"/>
                    </pic:cNvPicPr>
                  </pic:nvPicPr>
                  <pic:blipFill>
                    <a:blip r:embed="rId33">
                      <a:clrChange>
                        <a:clrFrom>
                          <a:srgbClr val="CFE8CC">
                            <a:alpha val="100000"/>
                          </a:srgbClr>
                        </a:clrFrom>
                        <a:clrTo>
                          <a:srgbClr val="CFE8CC">
                            <a:alpha val="100000"/>
                            <a:alpha val="0"/>
                          </a:srgbClr>
                        </a:clrTo>
                      </a:clrChange>
                    </a:blip>
                    <a:stretch>
                      <a:fillRect/>
                    </a:stretch>
                  </pic:blipFill>
                  <pic:spPr>
                    <a:xfrm>
                      <a:off x="0" y="0"/>
                      <a:ext cx="4184650" cy="7230110"/>
                    </a:xfrm>
                    <a:prstGeom prst="rect">
                      <a:avLst/>
                    </a:prstGeom>
                  </pic:spPr>
                </pic:pic>
              </a:graphicData>
            </a:graphic>
          </wp:anchor>
        </w:drawing>
      </w:r>
    </w:p>
    <w:p w:rsidR="00DB7CC8" w:rsidRDefault="00DB7CC8">
      <w:pPr>
        <w:ind w:firstLine="480"/>
        <w:rPr>
          <w:sz w:val="24"/>
          <w:szCs w:val="24"/>
        </w:rPr>
      </w:pPr>
    </w:p>
    <w:p w:rsidR="00DB7CC8" w:rsidRDefault="00DB7CC8">
      <w:pPr>
        <w:pStyle w:val="29"/>
        <w:ind w:left="560" w:firstLine="480"/>
        <w:rPr>
          <w:sz w:val="24"/>
        </w:rPr>
      </w:pPr>
    </w:p>
    <w:p w:rsidR="00DB7CC8" w:rsidRDefault="002B5250">
      <w:pPr>
        <w:ind w:firstLine="480"/>
        <w:rPr>
          <w:sz w:val="24"/>
          <w:szCs w:val="24"/>
        </w:rPr>
      </w:pPr>
      <w:r>
        <w:rPr>
          <w:noProof/>
          <w:sz w:val="24"/>
        </w:rPr>
        <mc:AlternateContent>
          <mc:Choice Requires="wps">
            <w:drawing>
              <wp:anchor distT="0" distB="0" distL="114300" distR="114300" simplePos="0" relativeHeight="251683840" behindDoc="0" locked="0" layoutInCell="1" allowOverlap="1">
                <wp:simplePos x="0" y="0"/>
                <wp:positionH relativeFrom="column">
                  <wp:posOffset>2435225</wp:posOffset>
                </wp:positionH>
                <wp:positionV relativeFrom="paragraph">
                  <wp:posOffset>133350</wp:posOffset>
                </wp:positionV>
                <wp:extent cx="443230" cy="182880"/>
                <wp:effectExtent l="0" t="0" r="13970" b="7620"/>
                <wp:wrapNone/>
                <wp:docPr id="2" name="文本框 2"/>
                <wp:cNvGraphicFramePr/>
                <a:graphic xmlns:a="http://schemas.openxmlformats.org/drawingml/2006/main">
                  <a:graphicData uri="http://schemas.microsoft.com/office/word/2010/wordprocessingShape">
                    <wps:wsp>
                      <wps:cNvSpPr txBox="1"/>
                      <wps:spPr>
                        <a:xfrm>
                          <a:off x="0" y="0"/>
                          <a:ext cx="443230" cy="182880"/>
                        </a:xfrm>
                        <a:prstGeom prst="rect">
                          <a:avLst/>
                        </a:prstGeom>
                        <a:solidFill>
                          <a:srgbClr val="FFFFFF"/>
                        </a:solidFill>
                        <a:ln>
                          <a:noFill/>
                        </a:ln>
                      </wps:spPr>
                      <wps:txbx>
                        <w:txbxContent>
                          <w:p w:rsidR="00DB7CC8" w:rsidRDefault="002B5250">
                            <w:pPr>
                              <w:widowControl/>
                              <w:spacing w:line="240" w:lineRule="atLeast"/>
                              <w:ind w:firstLineChars="0" w:firstLine="0"/>
                              <w:textAlignment w:val="auto"/>
                              <w:rPr>
                                <w:sz w:val="21"/>
                                <w:szCs w:val="21"/>
                              </w:rPr>
                            </w:pPr>
                            <w:r>
                              <w:rPr>
                                <w:rFonts w:hint="eastAsia"/>
                                <w:sz w:val="21"/>
                                <w:szCs w:val="21"/>
                              </w:rPr>
                              <w:t>原料棚</w:t>
                            </w:r>
                          </w:p>
                        </w:txbxContent>
                      </wps:txbx>
                      <wps:bodyPr lIns="0" tIns="0" rIns="0" bIns="0" upright="1"/>
                    </wps:wsp>
                  </a:graphicData>
                </a:graphic>
              </wp:anchor>
            </w:drawing>
          </mc:Choice>
          <mc:Fallback>
            <w:pict>
              <v:shape id="文本框 2" o:spid="_x0000_s1035" type="#_x0000_t202" style="position:absolute;left:0;text-align:left;margin-left:191.75pt;margin-top:10.5pt;width:34.9pt;height:14.4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" stroked="f">
                <v:textbox inset="0,0,0,0">
                  <w:txbxContent>
                    <w:p w:rsidR="00DB7CC8" w:rsidRDefault="002B5250">
                      <w:pPr>
                        <w:widowControl/>
                        <w:spacing w:line="240" w:lineRule="atLeast"/>
                        <w:ind w:firstLineChars="0" w:firstLine="0"/>
                        <w:textAlignment w:val="auto"/>
                        <w:rPr>
                          <w:sz w:val="21"/>
                          <w:szCs w:val="21"/>
                        </w:rPr>
                      </w:pPr>
                      <w:r>
                        <w:rPr>
                          <w:rFonts w:hint="eastAsia"/>
                          <w:sz w:val="21"/>
                          <w:szCs w:val="21"/>
                        </w:rPr>
                        <w:t>原料棚</w:t>
                      </w:r>
                    </w:p>
                  </w:txbxContent>
                </v:textbox>
              </v:shape>
            </w:pict>
          </mc:Fallback>
        </mc:AlternateContent>
      </w:r>
    </w:p>
    <w:p w:rsidR="00DB7CC8" w:rsidRDefault="00DB7CC8">
      <w:pPr>
        <w:pStyle w:val="29"/>
        <w:ind w:left="560" w:firstLine="480"/>
        <w:rPr>
          <w:sz w:val="24"/>
        </w:rPr>
      </w:pPr>
    </w:p>
    <w:p w:rsidR="00DB7CC8" w:rsidRDefault="00DB7CC8">
      <w:pPr>
        <w:ind w:firstLine="480"/>
        <w:rPr>
          <w:sz w:val="24"/>
          <w:szCs w:val="24"/>
        </w:rPr>
      </w:pPr>
    </w:p>
    <w:p w:rsidR="00DB7CC8" w:rsidRDefault="00DB7CC8">
      <w:pPr>
        <w:pStyle w:val="29"/>
        <w:ind w:left="560" w:firstLine="480"/>
        <w:rPr>
          <w:sz w:val="24"/>
        </w:rPr>
      </w:pPr>
    </w:p>
    <w:p w:rsidR="00DB7CC8" w:rsidRDefault="00DB7CC8">
      <w:pPr>
        <w:ind w:firstLine="480"/>
        <w:rPr>
          <w:sz w:val="24"/>
          <w:szCs w:val="24"/>
        </w:rPr>
      </w:pPr>
    </w:p>
    <w:p w:rsidR="00DB7CC8" w:rsidRDefault="00DB7CC8">
      <w:pPr>
        <w:pStyle w:val="29"/>
        <w:ind w:left="560" w:firstLine="480"/>
        <w:rPr>
          <w:sz w:val="24"/>
        </w:rPr>
      </w:pPr>
    </w:p>
    <w:p w:rsidR="00DB7CC8" w:rsidRDefault="00DB7CC8">
      <w:pPr>
        <w:ind w:firstLine="480"/>
        <w:rPr>
          <w:sz w:val="24"/>
          <w:szCs w:val="24"/>
        </w:rPr>
      </w:pPr>
    </w:p>
    <w:p w:rsidR="00DB7CC8" w:rsidRDefault="00DB7CC8">
      <w:pPr>
        <w:pStyle w:val="29"/>
        <w:ind w:left="560" w:firstLine="480"/>
        <w:rPr>
          <w:sz w:val="24"/>
        </w:rPr>
      </w:pPr>
    </w:p>
    <w:p w:rsidR="00DB7CC8" w:rsidRDefault="00DB7CC8">
      <w:pPr>
        <w:ind w:firstLine="480"/>
        <w:rPr>
          <w:sz w:val="24"/>
          <w:szCs w:val="24"/>
        </w:rPr>
      </w:pPr>
    </w:p>
    <w:p w:rsidR="00DB7CC8" w:rsidRDefault="00DB7CC8">
      <w:pPr>
        <w:pStyle w:val="29"/>
        <w:ind w:left="560" w:firstLine="480"/>
        <w:rPr>
          <w:sz w:val="24"/>
        </w:rPr>
      </w:pPr>
    </w:p>
    <w:p w:rsidR="00DB7CC8" w:rsidRDefault="00DB7CC8">
      <w:pPr>
        <w:ind w:firstLine="480"/>
        <w:rPr>
          <w:sz w:val="24"/>
          <w:szCs w:val="24"/>
        </w:rPr>
      </w:pPr>
    </w:p>
    <w:p w:rsidR="00DB7CC8" w:rsidRDefault="00DB7CC8">
      <w:pPr>
        <w:pStyle w:val="29"/>
        <w:ind w:left="560" w:firstLine="480"/>
        <w:rPr>
          <w:sz w:val="24"/>
        </w:rPr>
      </w:pPr>
    </w:p>
    <w:p w:rsidR="00DB7CC8" w:rsidRDefault="00DB7CC8">
      <w:pPr>
        <w:ind w:firstLine="480"/>
        <w:rPr>
          <w:sz w:val="24"/>
          <w:szCs w:val="24"/>
        </w:rPr>
      </w:pPr>
    </w:p>
    <w:p w:rsidR="00DB7CC8" w:rsidRDefault="00DB7CC8">
      <w:pPr>
        <w:pStyle w:val="29"/>
        <w:ind w:left="560" w:firstLine="480"/>
        <w:rPr>
          <w:sz w:val="24"/>
        </w:rPr>
      </w:pPr>
    </w:p>
    <w:p w:rsidR="00DB7CC8" w:rsidRDefault="00DB7CC8">
      <w:pPr>
        <w:ind w:firstLine="480"/>
        <w:rPr>
          <w:sz w:val="24"/>
          <w:szCs w:val="24"/>
        </w:rPr>
      </w:pPr>
    </w:p>
    <w:p w:rsidR="00DB7CC8" w:rsidRDefault="00DB7CC8">
      <w:pPr>
        <w:pStyle w:val="29"/>
        <w:ind w:left="560" w:firstLine="480"/>
        <w:rPr>
          <w:sz w:val="24"/>
        </w:rPr>
      </w:pPr>
    </w:p>
    <w:p w:rsidR="00DB7CC8" w:rsidRDefault="00DB7CC8">
      <w:pPr>
        <w:ind w:firstLine="480"/>
        <w:rPr>
          <w:sz w:val="24"/>
          <w:szCs w:val="24"/>
        </w:rPr>
      </w:pPr>
    </w:p>
    <w:p w:rsidR="00DB7CC8" w:rsidRDefault="00DB7CC8">
      <w:pPr>
        <w:pStyle w:val="29"/>
        <w:ind w:left="560"/>
      </w:pPr>
    </w:p>
    <w:p w:rsidR="00DB7CC8" w:rsidRDefault="00DB7CC8">
      <w:pPr>
        <w:ind w:firstLine="560"/>
      </w:pPr>
    </w:p>
    <w:p w:rsidR="00DB7CC8" w:rsidRDefault="00DB7CC8">
      <w:pPr>
        <w:pStyle w:val="29"/>
        <w:ind w:left="560"/>
      </w:pPr>
    </w:p>
    <w:p w:rsidR="00DB7CC8" w:rsidRDefault="00DB7CC8">
      <w:pPr>
        <w:ind w:firstLine="560"/>
      </w:pPr>
    </w:p>
    <w:p w:rsidR="00DB7CC8" w:rsidRDefault="00DB7CC8">
      <w:pPr>
        <w:pStyle w:val="29"/>
        <w:ind w:left="560"/>
      </w:pPr>
    </w:p>
    <w:p w:rsidR="00DB7CC8" w:rsidRDefault="00DB7CC8">
      <w:pPr>
        <w:ind w:firstLine="560"/>
      </w:pPr>
    </w:p>
    <w:p w:rsidR="00DB7CC8" w:rsidRDefault="00DB7CC8">
      <w:pPr>
        <w:ind w:firstLineChars="0" w:firstLine="0"/>
        <w:jc w:val="center"/>
        <w:rPr>
          <w:rFonts w:eastAsia="黑体"/>
          <w:kern w:val="2"/>
          <w:sz w:val="21"/>
          <w:szCs w:val="21"/>
        </w:rPr>
      </w:pPr>
    </w:p>
    <w:p w:rsidR="00DB7CC8" w:rsidRDefault="00DB7CC8">
      <w:pPr>
        <w:ind w:firstLineChars="0" w:firstLine="0"/>
        <w:jc w:val="center"/>
        <w:rPr>
          <w:rFonts w:eastAsia="黑体"/>
          <w:kern w:val="2"/>
          <w:sz w:val="21"/>
          <w:szCs w:val="21"/>
        </w:rPr>
      </w:pPr>
    </w:p>
    <w:p w:rsidR="00DB7CC8" w:rsidRDefault="00DB7CC8">
      <w:pPr>
        <w:ind w:firstLineChars="0" w:firstLine="0"/>
        <w:jc w:val="center"/>
        <w:rPr>
          <w:rFonts w:eastAsia="黑体"/>
          <w:kern w:val="2"/>
          <w:sz w:val="21"/>
          <w:szCs w:val="21"/>
        </w:rPr>
      </w:pPr>
    </w:p>
    <w:p w:rsidR="00DB7CC8" w:rsidRDefault="002B5250">
      <w:pPr>
        <w:ind w:firstLineChars="0" w:firstLine="0"/>
        <w:jc w:val="center"/>
        <w:rPr>
          <w:rFonts w:eastAsia="黑体"/>
          <w:kern w:val="2"/>
          <w:sz w:val="21"/>
          <w:szCs w:val="21"/>
        </w:rPr>
      </w:pPr>
      <w:r>
        <w:rPr>
          <w:rFonts w:eastAsia="黑体"/>
          <w:kern w:val="2"/>
          <w:sz w:val="21"/>
          <w:szCs w:val="21"/>
        </w:rPr>
        <w:lastRenderedPageBreak/>
        <w:t>图</w:t>
      </w:r>
      <w:r>
        <w:rPr>
          <w:rFonts w:eastAsia="黑体"/>
          <w:kern w:val="2"/>
          <w:sz w:val="21"/>
          <w:szCs w:val="21"/>
        </w:rPr>
        <w:t>3.</w:t>
      </w:r>
      <w:r>
        <w:rPr>
          <w:rFonts w:eastAsia="黑体" w:hint="eastAsia"/>
          <w:kern w:val="2"/>
          <w:sz w:val="21"/>
          <w:szCs w:val="21"/>
        </w:rPr>
        <w:t>3</w:t>
      </w:r>
      <w:r>
        <w:rPr>
          <w:rFonts w:eastAsia="黑体"/>
          <w:kern w:val="2"/>
          <w:sz w:val="21"/>
          <w:szCs w:val="21"/>
        </w:rPr>
        <w:t xml:space="preserve">-1    </w:t>
      </w:r>
      <w:r>
        <w:rPr>
          <w:rFonts w:eastAsia="黑体" w:hint="eastAsia"/>
          <w:kern w:val="2"/>
          <w:sz w:val="21"/>
          <w:szCs w:val="21"/>
        </w:rPr>
        <w:t>破碎粗选</w:t>
      </w:r>
      <w:r>
        <w:rPr>
          <w:rFonts w:eastAsia="黑体"/>
          <w:kern w:val="2"/>
          <w:sz w:val="21"/>
          <w:szCs w:val="21"/>
        </w:rPr>
        <w:t>生产工艺流程及产排污环节分析</w:t>
      </w:r>
    </w:p>
    <w:p w:rsidR="00DB7CC8" w:rsidRDefault="002B5250">
      <w:pPr>
        <w:widowControl/>
        <w:numPr>
          <w:ilvl w:val="0"/>
          <w:numId w:val="3"/>
        </w:numPr>
        <w:spacing w:line="460" w:lineRule="exact"/>
        <w:ind w:firstLine="480"/>
        <w:jc w:val="both"/>
        <w:textAlignment w:val="auto"/>
        <w:rPr>
          <w:sz w:val="24"/>
          <w:szCs w:val="24"/>
        </w:rPr>
      </w:pPr>
      <w:r>
        <w:rPr>
          <w:rFonts w:hint="eastAsia"/>
          <w:sz w:val="24"/>
          <w:szCs w:val="24"/>
        </w:rPr>
        <w:t>精选生产工艺流程</w:t>
      </w:r>
    </w:p>
    <w:p w:rsidR="00DB7CC8" w:rsidRDefault="002B5250">
      <w:pPr>
        <w:widowControl/>
        <w:spacing w:line="460" w:lineRule="exact"/>
        <w:ind w:firstLine="480"/>
        <w:jc w:val="both"/>
        <w:textAlignment w:val="auto"/>
        <w:rPr>
          <w:sz w:val="24"/>
          <w:szCs w:val="24"/>
        </w:rPr>
      </w:pPr>
      <w:r>
        <w:rPr>
          <w:rFonts w:hint="eastAsia"/>
          <w:sz w:val="24"/>
          <w:szCs w:val="24"/>
        </w:rPr>
        <w:t>（</w:t>
      </w:r>
      <w:r>
        <w:rPr>
          <w:rFonts w:hint="eastAsia"/>
          <w:sz w:val="24"/>
          <w:szCs w:val="24"/>
        </w:rPr>
        <w:t>1</w:t>
      </w:r>
      <w:r>
        <w:rPr>
          <w:rFonts w:hint="eastAsia"/>
          <w:sz w:val="24"/>
          <w:szCs w:val="24"/>
        </w:rPr>
        <w:t>）原料装卸与储存：本项目精选生产线主要处理本项目自产的粗精矿粉，建设单位采用皮带将粗铁粉从粗铁粉原料库输送至精选车间内。</w:t>
      </w:r>
    </w:p>
    <w:p w:rsidR="00DB7CC8" w:rsidRDefault="002B5250">
      <w:pPr>
        <w:widowControl/>
        <w:spacing w:line="460" w:lineRule="exact"/>
        <w:ind w:firstLine="480"/>
        <w:jc w:val="both"/>
        <w:textAlignment w:val="auto"/>
        <w:rPr>
          <w:sz w:val="24"/>
          <w:szCs w:val="24"/>
        </w:rPr>
      </w:pPr>
      <w:r>
        <w:rPr>
          <w:rFonts w:hint="eastAsia"/>
          <w:sz w:val="24"/>
          <w:szCs w:val="24"/>
        </w:rPr>
        <w:t>排污节点：原料卸车、转运、储存过程中产生的扬尘，运输车辆、皮带输送机产生的噪声、扬尘。</w:t>
      </w:r>
    </w:p>
    <w:p w:rsidR="00DB7CC8" w:rsidRDefault="002B5250">
      <w:pPr>
        <w:widowControl/>
        <w:spacing w:line="460" w:lineRule="exact"/>
        <w:ind w:firstLine="480"/>
        <w:jc w:val="both"/>
        <w:textAlignment w:val="auto"/>
        <w:rPr>
          <w:sz w:val="24"/>
          <w:szCs w:val="24"/>
        </w:rPr>
      </w:pPr>
      <w:r>
        <w:rPr>
          <w:rFonts w:hint="eastAsia"/>
          <w:sz w:val="24"/>
          <w:szCs w:val="24"/>
        </w:rPr>
        <w:t>（</w:t>
      </w:r>
      <w:r>
        <w:rPr>
          <w:rFonts w:hint="eastAsia"/>
          <w:sz w:val="24"/>
          <w:szCs w:val="24"/>
        </w:rPr>
        <w:t>2</w:t>
      </w:r>
      <w:r>
        <w:rPr>
          <w:rFonts w:hint="eastAsia"/>
          <w:sz w:val="24"/>
          <w:szCs w:val="24"/>
        </w:rPr>
        <w:t>）加料：生产时通过封闭皮带输送机将粗粉送入受料仓内，受料仓内的粗粉自动落料落至皮带上，由皮带输送至球磨机进行球磨。该项目精选生产线配套受料仓供上料用。</w:t>
      </w:r>
    </w:p>
    <w:p w:rsidR="00DB7CC8" w:rsidRDefault="002B5250">
      <w:pPr>
        <w:widowControl/>
        <w:spacing w:line="460" w:lineRule="exact"/>
        <w:ind w:firstLine="480"/>
        <w:jc w:val="both"/>
        <w:textAlignment w:val="auto"/>
        <w:rPr>
          <w:sz w:val="24"/>
          <w:szCs w:val="24"/>
        </w:rPr>
      </w:pPr>
      <w:r>
        <w:rPr>
          <w:rFonts w:hint="eastAsia"/>
          <w:sz w:val="24"/>
          <w:szCs w:val="24"/>
        </w:rPr>
        <w:t>排污节点：皮带输送机产生的噪声、加料过程产生的扬尘。</w:t>
      </w:r>
    </w:p>
    <w:p w:rsidR="00DB7CC8" w:rsidRDefault="002B5250">
      <w:pPr>
        <w:widowControl/>
        <w:spacing w:line="460" w:lineRule="exact"/>
        <w:ind w:firstLine="480"/>
        <w:jc w:val="both"/>
        <w:textAlignment w:val="auto"/>
        <w:rPr>
          <w:sz w:val="24"/>
          <w:szCs w:val="24"/>
        </w:rPr>
      </w:pPr>
      <w:r>
        <w:rPr>
          <w:rFonts w:hint="eastAsia"/>
          <w:sz w:val="24"/>
          <w:szCs w:val="24"/>
        </w:rPr>
        <w:t>（</w:t>
      </w:r>
      <w:r>
        <w:rPr>
          <w:rFonts w:hint="eastAsia"/>
          <w:sz w:val="24"/>
          <w:szCs w:val="24"/>
        </w:rPr>
        <w:t>3</w:t>
      </w:r>
      <w:r>
        <w:rPr>
          <w:rFonts w:hint="eastAsia"/>
          <w:sz w:val="24"/>
          <w:szCs w:val="24"/>
        </w:rPr>
        <w:t>）球磨：粗粉自料仓通过皮带输送进入球磨机进行球磨，入料同时加水，湿式球磨后的粉矿浆经磨头筛筛分后，粒径符合要求的粉矿浆自流进入下一道工序，不符合要求的粉矿由皮带输送机输送回球磨机进一步球磨。</w:t>
      </w:r>
    </w:p>
    <w:p w:rsidR="00DB7CC8" w:rsidRDefault="002B5250">
      <w:pPr>
        <w:widowControl/>
        <w:spacing w:line="460" w:lineRule="exact"/>
        <w:ind w:firstLine="480"/>
        <w:jc w:val="both"/>
        <w:textAlignment w:val="auto"/>
        <w:rPr>
          <w:sz w:val="24"/>
          <w:szCs w:val="24"/>
        </w:rPr>
      </w:pPr>
      <w:r>
        <w:rPr>
          <w:rFonts w:hint="eastAsia"/>
          <w:sz w:val="24"/>
          <w:szCs w:val="24"/>
        </w:rPr>
        <w:t>排污节点：球磨落料</w:t>
      </w:r>
      <w:r>
        <w:rPr>
          <w:rFonts w:hint="eastAsia"/>
          <w:sz w:val="24"/>
          <w:szCs w:val="24"/>
        </w:rPr>
        <w:t>产生的粉尘、皮带输送机、球磨机产生的噪声。</w:t>
      </w:r>
    </w:p>
    <w:p w:rsidR="00DB7CC8" w:rsidRDefault="002B5250">
      <w:pPr>
        <w:widowControl/>
        <w:spacing w:line="460" w:lineRule="exact"/>
        <w:ind w:firstLine="480"/>
        <w:jc w:val="both"/>
        <w:textAlignment w:val="auto"/>
        <w:rPr>
          <w:sz w:val="24"/>
          <w:szCs w:val="24"/>
        </w:rPr>
      </w:pPr>
      <w:r>
        <w:rPr>
          <w:rFonts w:hint="eastAsia"/>
          <w:sz w:val="24"/>
          <w:szCs w:val="24"/>
        </w:rPr>
        <w:t>（</w:t>
      </w:r>
      <w:r>
        <w:rPr>
          <w:rFonts w:hint="eastAsia"/>
          <w:sz w:val="24"/>
          <w:szCs w:val="24"/>
        </w:rPr>
        <w:t>4</w:t>
      </w:r>
      <w:r>
        <w:rPr>
          <w:rFonts w:hint="eastAsia"/>
          <w:sz w:val="24"/>
          <w:szCs w:val="24"/>
        </w:rPr>
        <w:t>）一级磁选、高频筛：经过球磨的粉矿浆在料箱内中转，由渣浆泵打入一级磁选，粗选出来的粉矿自流至高频筛，高频筛进行筛分，筛下物进入磁团聚，筛上物再经过一道磁选实现含铁成分与不含铁成分的分离，含铁成分返回球磨机进一步球磨，不含铁部分流入打捞机。此工序单条精选线设置</w:t>
      </w:r>
      <w:r>
        <w:rPr>
          <w:rFonts w:hint="eastAsia"/>
          <w:sz w:val="24"/>
          <w:szCs w:val="24"/>
        </w:rPr>
        <w:t>1</w:t>
      </w:r>
      <w:r>
        <w:rPr>
          <w:rFonts w:hint="eastAsia"/>
          <w:sz w:val="24"/>
          <w:szCs w:val="24"/>
        </w:rPr>
        <w:t>台高频筛、</w:t>
      </w:r>
      <w:r>
        <w:rPr>
          <w:rFonts w:hint="eastAsia"/>
          <w:sz w:val="24"/>
          <w:szCs w:val="24"/>
        </w:rPr>
        <w:t>2</w:t>
      </w:r>
      <w:r>
        <w:rPr>
          <w:rFonts w:hint="eastAsia"/>
          <w:sz w:val="24"/>
          <w:szCs w:val="24"/>
        </w:rPr>
        <w:t>台强磁选机。</w:t>
      </w:r>
    </w:p>
    <w:p w:rsidR="00DB7CC8" w:rsidRDefault="002B5250">
      <w:pPr>
        <w:widowControl/>
        <w:spacing w:line="460" w:lineRule="exact"/>
        <w:ind w:firstLine="480"/>
        <w:jc w:val="both"/>
        <w:textAlignment w:val="auto"/>
        <w:rPr>
          <w:sz w:val="24"/>
          <w:szCs w:val="24"/>
        </w:rPr>
      </w:pPr>
      <w:r>
        <w:rPr>
          <w:rFonts w:hint="eastAsia"/>
          <w:sz w:val="24"/>
          <w:szCs w:val="24"/>
        </w:rPr>
        <w:t>排污节点：高频筛、渣浆泵、磁选机运行过程中产生的噪声，一级磁选过程中产生的尾矿浆。</w:t>
      </w:r>
    </w:p>
    <w:p w:rsidR="00DB7CC8" w:rsidRDefault="002B5250">
      <w:pPr>
        <w:widowControl/>
        <w:spacing w:line="460" w:lineRule="exact"/>
        <w:ind w:firstLine="480"/>
        <w:jc w:val="both"/>
        <w:textAlignment w:val="auto"/>
        <w:rPr>
          <w:sz w:val="24"/>
          <w:szCs w:val="24"/>
        </w:rPr>
      </w:pPr>
      <w:r>
        <w:rPr>
          <w:rFonts w:hint="eastAsia"/>
          <w:sz w:val="24"/>
          <w:szCs w:val="24"/>
        </w:rPr>
        <w:t>（</w:t>
      </w:r>
      <w:r>
        <w:rPr>
          <w:rFonts w:hint="eastAsia"/>
          <w:sz w:val="24"/>
          <w:szCs w:val="24"/>
        </w:rPr>
        <w:t>5</w:t>
      </w:r>
      <w:r>
        <w:rPr>
          <w:rFonts w:hint="eastAsia"/>
          <w:sz w:val="24"/>
          <w:szCs w:val="24"/>
        </w:rPr>
        <w:t>）磁团聚：高频筛筛下物自流进入磁团聚。流入磁团聚的粉矿利用铁矿颗粒的综合磁团聚力、剪切力和重力等多种力进行分选，分选时采用高浓度分选制度，一方面可增加磁团聚的磁性诱导作用，降低所必须的磁化强度，提高磁团聚的稳定性与均匀性；另一方面使分选矿浆处于重介质的分选作用下；同时还不断对矿浆施加剪切作用力，以打破磁团聚。这样使铁矿颗粒形成</w:t>
      </w:r>
      <w:r>
        <w:rPr>
          <w:rFonts w:hint="eastAsia"/>
          <w:sz w:val="24"/>
          <w:szCs w:val="24"/>
        </w:rPr>
        <w:t>"</w:t>
      </w:r>
      <w:r>
        <w:rPr>
          <w:rFonts w:hint="eastAsia"/>
          <w:sz w:val="24"/>
          <w:szCs w:val="24"/>
        </w:rPr>
        <w:t>分散—团聚—分散</w:t>
      </w:r>
      <w:r>
        <w:rPr>
          <w:rFonts w:hint="eastAsia"/>
          <w:sz w:val="24"/>
          <w:szCs w:val="24"/>
        </w:rPr>
        <w:t>"</w:t>
      </w:r>
      <w:r>
        <w:rPr>
          <w:rFonts w:hint="eastAsia"/>
          <w:sz w:val="24"/>
          <w:szCs w:val="24"/>
        </w:rPr>
        <w:t>的反复状态，从而使磁团不断得以净化。</w:t>
      </w:r>
    </w:p>
    <w:p w:rsidR="00DB7CC8" w:rsidRDefault="002B5250">
      <w:pPr>
        <w:widowControl/>
        <w:spacing w:line="460" w:lineRule="exact"/>
        <w:ind w:firstLine="480"/>
        <w:jc w:val="both"/>
        <w:textAlignment w:val="auto"/>
        <w:rPr>
          <w:sz w:val="24"/>
          <w:szCs w:val="24"/>
        </w:rPr>
      </w:pPr>
      <w:r>
        <w:rPr>
          <w:rFonts w:hint="eastAsia"/>
          <w:sz w:val="24"/>
          <w:szCs w:val="24"/>
        </w:rPr>
        <w:t>排污节点：磁团聚运行过程中产生的噪声及该过程产生的尾矿浆。</w:t>
      </w:r>
    </w:p>
    <w:p w:rsidR="00DB7CC8" w:rsidRDefault="002B5250">
      <w:pPr>
        <w:widowControl/>
        <w:spacing w:line="460" w:lineRule="exact"/>
        <w:ind w:firstLine="480"/>
        <w:jc w:val="both"/>
        <w:textAlignment w:val="auto"/>
        <w:rPr>
          <w:sz w:val="24"/>
          <w:szCs w:val="24"/>
        </w:rPr>
      </w:pPr>
      <w:r>
        <w:rPr>
          <w:rFonts w:hint="eastAsia"/>
          <w:sz w:val="24"/>
          <w:szCs w:val="24"/>
        </w:rPr>
        <w:t>（</w:t>
      </w:r>
      <w:r>
        <w:rPr>
          <w:rFonts w:hint="eastAsia"/>
          <w:sz w:val="24"/>
          <w:szCs w:val="24"/>
        </w:rPr>
        <w:t>6</w:t>
      </w:r>
      <w:r>
        <w:rPr>
          <w:rFonts w:hint="eastAsia"/>
          <w:sz w:val="24"/>
          <w:szCs w:val="24"/>
        </w:rPr>
        <w:t>）二级磁选、磁团聚：该工序设</w:t>
      </w:r>
      <w:r>
        <w:rPr>
          <w:rFonts w:hint="eastAsia"/>
          <w:sz w:val="24"/>
          <w:szCs w:val="24"/>
        </w:rPr>
        <w:t>1</w:t>
      </w:r>
      <w:r>
        <w:rPr>
          <w:rFonts w:hint="eastAsia"/>
          <w:sz w:val="24"/>
          <w:szCs w:val="24"/>
        </w:rPr>
        <w:t>台磁选机和</w:t>
      </w:r>
      <w:r>
        <w:rPr>
          <w:rFonts w:hint="eastAsia"/>
          <w:sz w:val="24"/>
          <w:szCs w:val="24"/>
        </w:rPr>
        <w:t>1</w:t>
      </w:r>
      <w:r>
        <w:rPr>
          <w:rFonts w:hint="eastAsia"/>
          <w:sz w:val="24"/>
          <w:szCs w:val="24"/>
        </w:rPr>
        <w:t>台磁团聚进行串联</w:t>
      </w:r>
      <w:r>
        <w:rPr>
          <w:rFonts w:hint="eastAsia"/>
          <w:sz w:val="24"/>
          <w:szCs w:val="24"/>
        </w:rPr>
        <w:t>式组合，经上一道工序分选出来的粉矿在该工序中经磁选、磁团聚处理后，进一步实</w:t>
      </w:r>
      <w:r>
        <w:rPr>
          <w:rFonts w:hint="eastAsia"/>
          <w:sz w:val="24"/>
          <w:szCs w:val="24"/>
        </w:rPr>
        <w:lastRenderedPageBreak/>
        <w:t>现铁精矿与尾矿浆的分离。经磁选下来的铁精粉通过管道自流进入三级磁选，磁选后的尾矿浆进入打捞机进一步处理。</w:t>
      </w:r>
    </w:p>
    <w:p w:rsidR="00DB7CC8" w:rsidRDefault="002B5250">
      <w:pPr>
        <w:widowControl/>
        <w:spacing w:line="460" w:lineRule="exact"/>
        <w:ind w:firstLine="480"/>
        <w:jc w:val="both"/>
        <w:textAlignment w:val="auto"/>
        <w:rPr>
          <w:sz w:val="24"/>
          <w:szCs w:val="24"/>
        </w:rPr>
      </w:pPr>
      <w:r>
        <w:rPr>
          <w:rFonts w:hint="eastAsia"/>
          <w:sz w:val="24"/>
          <w:szCs w:val="24"/>
        </w:rPr>
        <w:t>排污节点：磁选机运行过程产生的噪声以及磁选过程产生的尾矿浆。</w:t>
      </w:r>
    </w:p>
    <w:p w:rsidR="00DB7CC8" w:rsidRDefault="002B5250">
      <w:pPr>
        <w:widowControl/>
        <w:spacing w:line="460" w:lineRule="exact"/>
        <w:ind w:firstLine="480"/>
        <w:jc w:val="both"/>
        <w:textAlignment w:val="auto"/>
        <w:rPr>
          <w:sz w:val="24"/>
          <w:szCs w:val="24"/>
        </w:rPr>
      </w:pPr>
      <w:r>
        <w:rPr>
          <w:rFonts w:hint="eastAsia"/>
          <w:sz w:val="24"/>
          <w:szCs w:val="24"/>
        </w:rPr>
        <w:t>三级磁选、过滤：为使铁精矿纯度更高，本项目在二磁、磁团聚后设置一道三级磁选，经三级磁选后的铁精粉自流进过滤机过滤脱水，脱水后即为成品，通过皮带输送至精选成品库；尾矿浆排入打捞机。</w:t>
      </w:r>
    </w:p>
    <w:p w:rsidR="00DB7CC8" w:rsidRDefault="002B5250">
      <w:pPr>
        <w:widowControl/>
        <w:spacing w:line="460" w:lineRule="exact"/>
        <w:ind w:firstLine="480"/>
        <w:jc w:val="both"/>
        <w:textAlignment w:val="auto"/>
        <w:rPr>
          <w:sz w:val="24"/>
          <w:szCs w:val="24"/>
        </w:rPr>
      </w:pPr>
      <w:r>
        <w:rPr>
          <w:rFonts w:hint="eastAsia"/>
          <w:sz w:val="24"/>
          <w:szCs w:val="24"/>
        </w:rPr>
        <w:t>排污节点：磁选机、过滤机运行过程产生的噪声以及该过程产生的尾矿浆。</w:t>
      </w:r>
    </w:p>
    <w:p w:rsidR="00DB7CC8" w:rsidRDefault="002B5250">
      <w:pPr>
        <w:widowControl/>
        <w:spacing w:line="460" w:lineRule="exact"/>
        <w:ind w:firstLine="480"/>
        <w:jc w:val="both"/>
        <w:textAlignment w:val="auto"/>
        <w:rPr>
          <w:sz w:val="24"/>
          <w:szCs w:val="24"/>
        </w:rPr>
      </w:pPr>
      <w:r>
        <w:rPr>
          <w:rFonts w:hint="eastAsia"/>
          <w:sz w:val="24"/>
          <w:szCs w:val="24"/>
        </w:rPr>
        <w:t>（</w:t>
      </w:r>
      <w:r>
        <w:rPr>
          <w:rFonts w:hint="eastAsia"/>
          <w:sz w:val="24"/>
          <w:szCs w:val="24"/>
        </w:rPr>
        <w:t>8</w:t>
      </w:r>
      <w:r>
        <w:rPr>
          <w:rFonts w:hint="eastAsia"/>
          <w:sz w:val="24"/>
          <w:szCs w:val="24"/>
        </w:rPr>
        <w:t>）尾矿加工：经一级</w:t>
      </w:r>
      <w:r>
        <w:rPr>
          <w:rFonts w:hint="eastAsia"/>
          <w:sz w:val="24"/>
          <w:szCs w:val="24"/>
        </w:rPr>
        <w:t>磁选、磁团聚、二级磁选、磁团聚、三级磁选及过滤产生的尾矿浆均自流进入打捞机，打捞机回收的铁粉由渣浆泵通过管道打回到高频筛进一步筛选、磁选，尾矿浆自流进入尾矿干排系统处理。（打捞机原理：打捞机是由主机、卸矿装置、集矿槽、溜槽及机架五大部分组成。其工作原理是矿浆中磁性矿物被磁盘吸附，剩下非磁性矿物的矿浆从另一端流出，将吸附的磁性矿物抛入集矿槽中，由集矿槽收集输出。）</w:t>
      </w:r>
    </w:p>
    <w:p w:rsidR="00DB7CC8" w:rsidRDefault="002B5250">
      <w:pPr>
        <w:widowControl/>
        <w:spacing w:line="460" w:lineRule="exact"/>
        <w:ind w:firstLine="480"/>
        <w:jc w:val="both"/>
        <w:textAlignment w:val="auto"/>
        <w:rPr>
          <w:sz w:val="24"/>
          <w:szCs w:val="24"/>
        </w:rPr>
      </w:pPr>
      <w:r>
        <w:rPr>
          <w:rFonts w:hint="eastAsia"/>
          <w:sz w:val="24"/>
          <w:szCs w:val="24"/>
        </w:rPr>
        <w:t>排污节点：打捞机、渣浆泵运行过程产生的噪声。</w:t>
      </w:r>
    </w:p>
    <w:p w:rsidR="00DB7CC8" w:rsidRDefault="002B5250">
      <w:pPr>
        <w:pStyle w:val="29"/>
        <w:ind w:left="560"/>
        <w:rPr>
          <w:bCs/>
        </w:rPr>
      </w:pPr>
      <w:r>
        <w:rPr>
          <w:bCs/>
        </w:rPr>
        <w:object w:dxaOrig="6600" w:dyaOrig="12705">
          <v:shape id="_x0000_i1026" type="#_x0000_t75" style="width:330pt;height:635.25pt" o:ole="">
            <v:imagedata r:id="rId34" o:title=""/>
            <o:lock v:ext="edit" aspectratio="f"/>
          </v:shape>
          <o:OLEObject Type="Embed" ProgID="Visio.Drawing.15" ShapeID="_x0000_i1026" DrawAspect="Content" ObjectID="_1772523723" r:id="rId35"/>
        </w:object>
      </w:r>
    </w:p>
    <w:p w:rsidR="00DB7CC8" w:rsidRDefault="002B5250">
      <w:pPr>
        <w:ind w:firstLine="420"/>
        <w:jc w:val="center"/>
        <w:rPr>
          <w:rFonts w:eastAsia="黑体"/>
          <w:kern w:val="2"/>
          <w:sz w:val="21"/>
          <w:szCs w:val="21"/>
        </w:rPr>
      </w:pPr>
      <w:r>
        <w:rPr>
          <w:rFonts w:eastAsia="黑体"/>
          <w:kern w:val="2"/>
          <w:sz w:val="21"/>
          <w:szCs w:val="21"/>
        </w:rPr>
        <w:t>图</w:t>
      </w:r>
      <w:r>
        <w:rPr>
          <w:rFonts w:eastAsia="黑体"/>
          <w:kern w:val="2"/>
          <w:sz w:val="21"/>
          <w:szCs w:val="21"/>
        </w:rPr>
        <w:t>3.</w:t>
      </w:r>
      <w:r>
        <w:rPr>
          <w:rFonts w:eastAsia="黑体" w:hint="eastAsia"/>
          <w:kern w:val="2"/>
          <w:sz w:val="21"/>
          <w:szCs w:val="21"/>
        </w:rPr>
        <w:t>3</w:t>
      </w:r>
      <w:r>
        <w:rPr>
          <w:rFonts w:eastAsia="黑体"/>
          <w:kern w:val="2"/>
          <w:sz w:val="21"/>
          <w:szCs w:val="21"/>
        </w:rPr>
        <w:t>-</w:t>
      </w:r>
      <w:r>
        <w:rPr>
          <w:rFonts w:eastAsia="黑体" w:hint="eastAsia"/>
          <w:kern w:val="2"/>
          <w:sz w:val="21"/>
          <w:szCs w:val="21"/>
        </w:rPr>
        <w:t>2</w:t>
      </w:r>
      <w:r>
        <w:rPr>
          <w:rFonts w:eastAsia="黑体"/>
          <w:kern w:val="2"/>
          <w:sz w:val="21"/>
          <w:szCs w:val="21"/>
        </w:rPr>
        <w:t xml:space="preserve">    </w:t>
      </w:r>
      <w:r>
        <w:rPr>
          <w:rFonts w:eastAsia="黑体" w:hint="eastAsia"/>
          <w:kern w:val="2"/>
          <w:sz w:val="21"/>
          <w:szCs w:val="21"/>
        </w:rPr>
        <w:t>精选</w:t>
      </w:r>
      <w:r>
        <w:rPr>
          <w:rFonts w:eastAsia="黑体"/>
          <w:kern w:val="2"/>
          <w:sz w:val="21"/>
          <w:szCs w:val="21"/>
        </w:rPr>
        <w:t>生产工艺流程及产排污环节分析</w:t>
      </w:r>
    </w:p>
    <w:p w:rsidR="00DB7CC8" w:rsidRDefault="002B5250">
      <w:pPr>
        <w:widowControl/>
        <w:numPr>
          <w:ilvl w:val="0"/>
          <w:numId w:val="3"/>
        </w:numPr>
        <w:spacing w:line="460" w:lineRule="exact"/>
        <w:ind w:firstLine="480"/>
        <w:jc w:val="both"/>
        <w:textAlignment w:val="auto"/>
        <w:rPr>
          <w:sz w:val="24"/>
          <w:szCs w:val="24"/>
        </w:rPr>
      </w:pPr>
      <w:r>
        <w:rPr>
          <w:rFonts w:hint="eastAsia"/>
          <w:sz w:val="24"/>
          <w:szCs w:val="24"/>
        </w:rPr>
        <w:t>尾矿干排系统</w:t>
      </w:r>
      <w:r>
        <w:rPr>
          <w:rFonts w:hint="eastAsia"/>
          <w:sz w:val="24"/>
          <w:szCs w:val="24"/>
        </w:rPr>
        <w:t>工艺流程</w:t>
      </w:r>
    </w:p>
    <w:p w:rsidR="00DB7CC8" w:rsidRDefault="002B5250">
      <w:pPr>
        <w:widowControl/>
        <w:spacing w:line="460" w:lineRule="exact"/>
        <w:ind w:firstLine="480"/>
        <w:jc w:val="both"/>
        <w:textAlignment w:val="auto"/>
        <w:rPr>
          <w:sz w:val="24"/>
          <w:szCs w:val="24"/>
        </w:rPr>
      </w:pPr>
      <w:r>
        <w:rPr>
          <w:rFonts w:hint="eastAsia"/>
          <w:sz w:val="24"/>
          <w:szCs w:val="24"/>
        </w:rPr>
        <w:lastRenderedPageBreak/>
        <w:t>尾矿干排系统主要设备有渣浆泵、强力过滤机、刮泥机等，主要设施有浓密池、清水池。打捞机后的废水排入浓缩罐内，浓缩罐的下层浊液进入脱水筛进行筛分脱水，筛分出的尾矿砂由皮带输送机送至库房内暂存待售，过滤机脱出水、脱水筛脱出水及浓缩罐上层清液泵入浓密池。</w:t>
      </w:r>
    </w:p>
    <w:p w:rsidR="00DB7CC8" w:rsidRDefault="002B5250">
      <w:pPr>
        <w:widowControl/>
        <w:spacing w:line="460" w:lineRule="exact"/>
        <w:ind w:firstLine="480"/>
        <w:jc w:val="both"/>
        <w:textAlignment w:val="auto"/>
        <w:rPr>
          <w:sz w:val="24"/>
          <w:szCs w:val="24"/>
        </w:rPr>
      </w:pPr>
      <w:r>
        <w:rPr>
          <w:rFonts w:hint="eastAsia"/>
          <w:sz w:val="24"/>
          <w:szCs w:val="24"/>
        </w:rPr>
        <w:t>工艺简述如下：尾矿浆通过管道由渣浆泵泵入浓密池内，经沉降后，上清液溢流进入清水池循环使用，底泥在刮泥机的作用下由浓密池池底排入强力压滤机进行压滤，压滤后即为泥饼，可用于填坑铺路，泥饼暂存于成品库。</w:t>
      </w:r>
    </w:p>
    <w:p w:rsidR="00DB7CC8" w:rsidRDefault="002B5250">
      <w:pPr>
        <w:pStyle w:val="4"/>
        <w:spacing w:beforeLines="50" w:before="120"/>
      </w:pPr>
      <w:bookmarkStart w:id="203" w:name="_Toc521591765"/>
      <w:bookmarkStart w:id="204" w:name="_Toc23645"/>
      <w:bookmarkStart w:id="205" w:name="_Hlk18932388"/>
      <w:r>
        <w:rPr>
          <w:rFonts w:hint="eastAsia"/>
        </w:rPr>
        <w:t>3</w:t>
      </w:r>
      <w:r>
        <w:t>.</w:t>
      </w:r>
      <w:r>
        <w:rPr>
          <w:rFonts w:hint="eastAsia"/>
        </w:rPr>
        <w:t>3</w:t>
      </w:r>
      <w:r>
        <w:t>.2.2</w:t>
      </w:r>
      <w:r>
        <w:t>产污节点</w:t>
      </w:r>
      <w:bookmarkEnd w:id="203"/>
      <w:bookmarkEnd w:id="204"/>
    </w:p>
    <w:bookmarkEnd w:id="205"/>
    <w:p w:rsidR="00DB7CC8" w:rsidRDefault="002B5250">
      <w:pPr>
        <w:ind w:firstLine="480"/>
      </w:pPr>
      <w:r>
        <w:rPr>
          <w:sz w:val="24"/>
          <w:szCs w:val="24"/>
        </w:rPr>
        <w:t>本项目产污节点见表</w:t>
      </w:r>
      <w:r>
        <w:rPr>
          <w:sz w:val="24"/>
          <w:szCs w:val="24"/>
        </w:rPr>
        <w:t>3.</w:t>
      </w:r>
      <w:r>
        <w:rPr>
          <w:rFonts w:hint="eastAsia"/>
          <w:sz w:val="24"/>
          <w:szCs w:val="24"/>
        </w:rPr>
        <w:t>3</w:t>
      </w:r>
      <w:r>
        <w:rPr>
          <w:sz w:val="24"/>
          <w:szCs w:val="24"/>
        </w:rPr>
        <w:t>-1</w:t>
      </w:r>
      <w:r>
        <w:rPr>
          <w:sz w:val="24"/>
          <w:szCs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3.</w:t>
      </w:r>
      <w:r>
        <w:rPr>
          <w:rFonts w:eastAsia="黑体" w:hint="eastAsia"/>
          <w:kern w:val="2"/>
          <w:sz w:val="21"/>
          <w:szCs w:val="21"/>
        </w:rPr>
        <w:t>3</w:t>
      </w:r>
      <w:r>
        <w:rPr>
          <w:rFonts w:eastAsia="黑体"/>
          <w:kern w:val="2"/>
          <w:sz w:val="21"/>
          <w:szCs w:val="21"/>
        </w:rPr>
        <w:t xml:space="preserve">-1    </w:t>
      </w:r>
      <w:r>
        <w:rPr>
          <w:rFonts w:eastAsia="黑体"/>
          <w:kern w:val="2"/>
          <w:sz w:val="21"/>
          <w:szCs w:val="21"/>
        </w:rPr>
        <w:t>产污节点及治理措施一览表</w:t>
      </w:r>
    </w:p>
    <w:tbl>
      <w:tblPr>
        <w:tblW w:w="852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559"/>
        <w:gridCol w:w="1845"/>
        <w:gridCol w:w="964"/>
        <w:gridCol w:w="4126"/>
        <w:gridCol w:w="1034"/>
      </w:tblGrid>
      <w:tr w:rsidR="00DB7CC8">
        <w:trPr>
          <w:trHeight w:val="340"/>
          <w:jc w:val="center"/>
        </w:trPr>
        <w:tc>
          <w:tcPr>
            <w:tcW w:w="559"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bookmarkStart w:id="206" w:name="_Toc521591766"/>
            <w:bookmarkStart w:id="207" w:name="_Toc30053"/>
            <w:bookmarkStart w:id="208" w:name="_Hlk18932451"/>
            <w:r>
              <w:rPr>
                <w:rFonts w:ascii="宋体" w:hAnsi="宋体" w:cs="宋体" w:hint="eastAsia"/>
                <w:sz w:val="21"/>
                <w:szCs w:val="21"/>
              </w:rPr>
              <w:t>类型</w:t>
            </w: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污染源</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主要污染物</w:t>
            </w: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治理措施</w:t>
            </w:r>
          </w:p>
        </w:tc>
        <w:tc>
          <w:tcPr>
            <w:tcW w:w="103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治理效果</w:t>
            </w:r>
          </w:p>
        </w:tc>
      </w:tr>
      <w:tr w:rsidR="00DB7CC8">
        <w:trPr>
          <w:trHeight w:val="340"/>
          <w:jc w:val="center"/>
        </w:trPr>
        <w:tc>
          <w:tcPr>
            <w:tcW w:w="559" w:type="dxa"/>
            <w:vMerge w:val="restart"/>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废</w:t>
            </w:r>
          </w:p>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气</w:t>
            </w: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车辆运输</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颗粒物</w:t>
            </w: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运输车辆车斗采用苫布苫盖，厂区地面全部硬化，洒水降尘、保持清洁；设置洗车台</w:t>
            </w:r>
          </w:p>
        </w:tc>
        <w:tc>
          <w:tcPr>
            <w:tcW w:w="1034" w:type="dxa"/>
            <w:vMerge w:val="restart"/>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达标</w:t>
            </w:r>
          </w:p>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排放</w:t>
            </w: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鄂式破碎</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颗粒物</w:t>
            </w:r>
          </w:p>
        </w:tc>
        <w:tc>
          <w:tcPr>
            <w:tcW w:w="4126" w:type="dxa"/>
            <w:vMerge w:val="restart"/>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经集气罩收集后送入离线清灰脉冲布袋除尘器处理</w:t>
            </w:r>
            <w:r>
              <w:rPr>
                <w:rFonts w:ascii="宋体" w:hAnsi="宋体" w:cs="宋体" w:hint="eastAsia"/>
                <w:sz w:val="21"/>
                <w:szCs w:val="21"/>
              </w:rPr>
              <w:t>+18m</w:t>
            </w:r>
            <w:r>
              <w:rPr>
                <w:rFonts w:ascii="宋体" w:hAnsi="宋体" w:cs="宋体" w:hint="eastAsia"/>
                <w:sz w:val="21"/>
                <w:szCs w:val="21"/>
              </w:rPr>
              <w:t>排气筒</w:t>
            </w:r>
          </w:p>
        </w:tc>
        <w:tc>
          <w:tcPr>
            <w:tcW w:w="103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锤式破碎</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颗粒物</w:t>
            </w:r>
          </w:p>
        </w:tc>
        <w:tc>
          <w:tcPr>
            <w:tcW w:w="4126"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03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圆锥破碎</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颗粒物</w:t>
            </w:r>
          </w:p>
        </w:tc>
        <w:tc>
          <w:tcPr>
            <w:tcW w:w="4126"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03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筛分</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颗粒物</w:t>
            </w:r>
          </w:p>
        </w:tc>
        <w:tc>
          <w:tcPr>
            <w:tcW w:w="4126"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03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中转仓</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颗粒物</w:t>
            </w:r>
          </w:p>
        </w:tc>
        <w:tc>
          <w:tcPr>
            <w:tcW w:w="4126"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03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受料仓</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颗粒物</w:t>
            </w: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设置喷雾抑尘设施</w:t>
            </w:r>
          </w:p>
        </w:tc>
        <w:tc>
          <w:tcPr>
            <w:tcW w:w="103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输送物料</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颗粒物</w:t>
            </w: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输送皮带封闭</w:t>
            </w:r>
          </w:p>
        </w:tc>
        <w:tc>
          <w:tcPr>
            <w:tcW w:w="103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原料</w:t>
            </w:r>
            <w:r>
              <w:rPr>
                <w:rFonts w:ascii="宋体" w:hAnsi="宋体" w:cs="宋体" w:hint="eastAsia"/>
                <w:sz w:val="21"/>
                <w:szCs w:val="21"/>
              </w:rPr>
              <w:t>棚</w:t>
            </w:r>
          </w:p>
        </w:tc>
        <w:tc>
          <w:tcPr>
            <w:tcW w:w="964" w:type="dxa"/>
            <w:vMerge w:val="restart"/>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颗粒物</w:t>
            </w: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hint="eastAsia"/>
                <w:sz w:val="21"/>
                <w:szCs w:val="21"/>
              </w:rPr>
              <w:t>建设</w:t>
            </w:r>
            <w:r>
              <w:rPr>
                <w:sz w:val="21"/>
                <w:szCs w:val="21"/>
              </w:rPr>
              <w:t>三面围挡并带顶的料棚，料棚进深尺度不小于</w:t>
            </w:r>
            <w:r>
              <w:rPr>
                <w:sz w:val="21"/>
                <w:szCs w:val="21"/>
              </w:rPr>
              <w:t>8</w:t>
            </w:r>
            <w:r>
              <w:rPr>
                <w:sz w:val="21"/>
                <w:szCs w:val="21"/>
              </w:rPr>
              <w:t>米</w:t>
            </w:r>
          </w:p>
        </w:tc>
        <w:tc>
          <w:tcPr>
            <w:tcW w:w="103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成品库</w:t>
            </w:r>
          </w:p>
        </w:tc>
        <w:tc>
          <w:tcPr>
            <w:tcW w:w="96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封闭库房，加装喷淋抑尘装置</w:t>
            </w:r>
          </w:p>
        </w:tc>
        <w:tc>
          <w:tcPr>
            <w:tcW w:w="103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340"/>
          <w:jc w:val="center"/>
        </w:trPr>
        <w:tc>
          <w:tcPr>
            <w:tcW w:w="559" w:type="dxa"/>
            <w:vMerge w:val="restart"/>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废</w:t>
            </w:r>
          </w:p>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水</w:t>
            </w: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磁选</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尾矿浆</w:t>
            </w: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经浓缩罐、脱水筛、浓密池、过滤机脱出清水回用于生产</w:t>
            </w:r>
          </w:p>
        </w:tc>
        <w:tc>
          <w:tcPr>
            <w:tcW w:w="1034" w:type="dxa"/>
            <w:vMerge w:val="restart"/>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循环回用，不外排</w:t>
            </w: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洗车</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废水</w:t>
            </w: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沉淀池沉淀后回用</w:t>
            </w:r>
          </w:p>
        </w:tc>
        <w:tc>
          <w:tcPr>
            <w:tcW w:w="103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喷雾抑尘</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废水</w:t>
            </w: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蒸发损耗</w:t>
            </w:r>
          </w:p>
        </w:tc>
        <w:tc>
          <w:tcPr>
            <w:tcW w:w="103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不外排</w:t>
            </w: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车间冲洗</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废水</w:t>
            </w: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排入事故池沉淀后，用作球磨工序生产用水</w:t>
            </w:r>
          </w:p>
        </w:tc>
        <w:tc>
          <w:tcPr>
            <w:tcW w:w="103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不外排</w:t>
            </w: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职工生活</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盥洗</w:t>
            </w:r>
          </w:p>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废水</w:t>
            </w: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直接泼洒抑尘</w:t>
            </w:r>
          </w:p>
        </w:tc>
        <w:tc>
          <w:tcPr>
            <w:tcW w:w="103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不外排</w:t>
            </w:r>
          </w:p>
        </w:tc>
      </w:tr>
      <w:tr w:rsidR="00DB7CC8">
        <w:trPr>
          <w:trHeight w:val="340"/>
          <w:jc w:val="center"/>
        </w:trPr>
        <w:tc>
          <w:tcPr>
            <w:tcW w:w="559" w:type="dxa"/>
            <w:vMerge w:val="restart"/>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噪</w:t>
            </w:r>
          </w:p>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声</w:t>
            </w: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生产设备</w:t>
            </w:r>
          </w:p>
        </w:tc>
        <w:tc>
          <w:tcPr>
            <w:tcW w:w="964" w:type="dxa"/>
            <w:vMerge w:val="restart"/>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噪声</w:t>
            </w: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基础减震、封闭彩钢车间隔声</w:t>
            </w:r>
          </w:p>
        </w:tc>
        <w:tc>
          <w:tcPr>
            <w:tcW w:w="1034" w:type="dxa"/>
            <w:vMerge w:val="restart"/>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噪声厂界达标</w:t>
            </w: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水泵、渣浆泵</w:t>
            </w:r>
          </w:p>
        </w:tc>
        <w:tc>
          <w:tcPr>
            <w:tcW w:w="96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置于水下，设置软连接等</w:t>
            </w:r>
          </w:p>
        </w:tc>
        <w:tc>
          <w:tcPr>
            <w:tcW w:w="103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运输车辆、铲车</w:t>
            </w:r>
          </w:p>
        </w:tc>
        <w:tc>
          <w:tcPr>
            <w:tcW w:w="96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加强管理，定期检修</w:t>
            </w:r>
          </w:p>
        </w:tc>
        <w:tc>
          <w:tcPr>
            <w:tcW w:w="103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340"/>
          <w:jc w:val="center"/>
        </w:trPr>
        <w:tc>
          <w:tcPr>
            <w:tcW w:w="559" w:type="dxa"/>
            <w:vMerge w:val="restart"/>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固废</w:t>
            </w: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除尘器</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除尘灰</w:t>
            </w:r>
          </w:p>
        </w:tc>
        <w:tc>
          <w:tcPr>
            <w:tcW w:w="4126" w:type="dxa"/>
            <w:vMerge w:val="restart"/>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集中收集，外运综合利用</w:t>
            </w:r>
          </w:p>
        </w:tc>
        <w:tc>
          <w:tcPr>
            <w:tcW w:w="1034" w:type="dxa"/>
            <w:vMerge w:val="restart"/>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妥善</w:t>
            </w:r>
          </w:p>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处置</w:t>
            </w: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vMerge w:val="restart"/>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生产过程</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尾矿砂</w:t>
            </w:r>
          </w:p>
        </w:tc>
        <w:tc>
          <w:tcPr>
            <w:tcW w:w="4126"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03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泥饼</w:t>
            </w: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集中收集，填坑铺路</w:t>
            </w:r>
          </w:p>
        </w:tc>
        <w:tc>
          <w:tcPr>
            <w:tcW w:w="103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vMerge w:val="restart"/>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设备维护</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废机油</w:t>
            </w: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危废暂存间暂存后交有资质单位处理</w:t>
            </w:r>
          </w:p>
        </w:tc>
        <w:tc>
          <w:tcPr>
            <w:tcW w:w="103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340"/>
          <w:jc w:val="center"/>
        </w:trPr>
        <w:tc>
          <w:tcPr>
            <w:tcW w:w="559"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845"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废油桶</w:t>
            </w: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危废间暂存，由厂家回收</w:t>
            </w:r>
          </w:p>
        </w:tc>
        <w:tc>
          <w:tcPr>
            <w:tcW w:w="1034" w:type="dxa"/>
            <w:vMerge/>
            <w:tcBorders>
              <w:tl2br w:val="nil"/>
              <w:tr2bl w:val="nil"/>
            </w:tcBorders>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r>
      <w:tr w:rsidR="00DB7CC8">
        <w:trPr>
          <w:trHeight w:val="340"/>
          <w:jc w:val="center"/>
        </w:trPr>
        <w:tc>
          <w:tcPr>
            <w:tcW w:w="559"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其他</w:t>
            </w:r>
          </w:p>
        </w:tc>
        <w:tc>
          <w:tcPr>
            <w:tcW w:w="1845"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非正常工况</w:t>
            </w:r>
          </w:p>
        </w:tc>
        <w:tc>
          <w:tcPr>
            <w:tcW w:w="96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尾矿</w:t>
            </w:r>
          </w:p>
        </w:tc>
        <w:tc>
          <w:tcPr>
            <w:tcW w:w="4126"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设置</w:t>
            </w:r>
            <w:r>
              <w:rPr>
                <w:sz w:val="21"/>
                <w:szCs w:val="21"/>
              </w:rPr>
              <w:t>25m</w:t>
            </w:r>
            <w:r>
              <w:rPr>
                <w:sz w:val="21"/>
                <w:szCs w:val="21"/>
                <w:vertAlign w:val="superscript"/>
              </w:rPr>
              <w:t>3</w:t>
            </w:r>
            <w:r>
              <w:rPr>
                <w:rFonts w:ascii="宋体" w:hAnsi="宋体" w:cs="宋体" w:hint="eastAsia"/>
                <w:sz w:val="21"/>
                <w:szCs w:val="21"/>
              </w:rPr>
              <w:t>事故池</w:t>
            </w:r>
            <w:r>
              <w:rPr>
                <w:rFonts w:ascii="宋体" w:hAnsi="宋体" w:cs="宋体" w:hint="eastAsia"/>
                <w:sz w:val="21"/>
                <w:szCs w:val="21"/>
              </w:rPr>
              <w:t>2</w:t>
            </w:r>
            <w:r>
              <w:rPr>
                <w:rFonts w:ascii="宋体" w:hAnsi="宋体" w:cs="宋体" w:hint="eastAsia"/>
                <w:sz w:val="21"/>
                <w:szCs w:val="21"/>
              </w:rPr>
              <w:t>座</w:t>
            </w:r>
          </w:p>
        </w:tc>
        <w:tc>
          <w:tcPr>
            <w:tcW w:w="1034" w:type="dxa"/>
            <w:tcBorders>
              <w:tl2br w:val="nil"/>
              <w:tr2bl w:val="nil"/>
            </w:tcBorders>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降低风险影响</w:t>
            </w:r>
          </w:p>
        </w:tc>
      </w:tr>
    </w:tbl>
    <w:p w:rsidR="00DB7CC8" w:rsidRDefault="002B5250">
      <w:pPr>
        <w:pStyle w:val="3"/>
        <w:numPr>
          <w:ilvl w:val="2"/>
          <w:numId w:val="1"/>
        </w:numPr>
        <w:rPr>
          <w:szCs w:val="28"/>
        </w:rPr>
      </w:pPr>
      <w:r>
        <w:rPr>
          <w:szCs w:val="28"/>
        </w:rPr>
        <w:t>物料平衡</w:t>
      </w:r>
      <w:bookmarkEnd w:id="206"/>
      <w:bookmarkEnd w:id="207"/>
    </w:p>
    <w:p w:rsidR="00DB7CC8" w:rsidRDefault="002B5250">
      <w:pPr>
        <w:ind w:firstLine="480"/>
        <w:jc w:val="both"/>
        <w:rPr>
          <w:sz w:val="24"/>
          <w:szCs w:val="24"/>
        </w:rPr>
      </w:pPr>
      <w:r>
        <w:rPr>
          <w:rFonts w:hint="eastAsia"/>
          <w:sz w:val="24"/>
          <w:szCs w:val="24"/>
        </w:rPr>
        <w:t>现有工程年处理铁矿石</w:t>
      </w:r>
      <w:r>
        <w:rPr>
          <w:rFonts w:hint="eastAsia"/>
          <w:sz w:val="24"/>
          <w:szCs w:val="24"/>
        </w:rPr>
        <w:t>70</w:t>
      </w:r>
      <w:r>
        <w:rPr>
          <w:rFonts w:hint="eastAsia"/>
          <w:sz w:val="24"/>
          <w:szCs w:val="24"/>
        </w:rPr>
        <w:t>万吨，本项目新增破碎粗选生产线年处理铁矿石</w:t>
      </w:r>
      <w:r>
        <w:rPr>
          <w:rFonts w:hint="eastAsia"/>
          <w:sz w:val="24"/>
          <w:szCs w:val="24"/>
        </w:rPr>
        <w:t>40</w:t>
      </w:r>
      <w:r>
        <w:rPr>
          <w:rFonts w:hint="eastAsia"/>
          <w:sz w:val="24"/>
          <w:szCs w:val="24"/>
        </w:rPr>
        <w:t>万吨，</w:t>
      </w:r>
      <w:r>
        <w:rPr>
          <w:sz w:val="24"/>
          <w:szCs w:val="24"/>
        </w:rPr>
        <w:t>本项目</w:t>
      </w:r>
      <w:r>
        <w:rPr>
          <w:rFonts w:hint="eastAsia"/>
          <w:sz w:val="24"/>
          <w:szCs w:val="24"/>
        </w:rPr>
        <w:t>实施后全厂</w:t>
      </w:r>
      <w:r>
        <w:rPr>
          <w:sz w:val="24"/>
          <w:szCs w:val="24"/>
        </w:rPr>
        <w:t>物料平衡表见表</w:t>
      </w:r>
      <w:r>
        <w:rPr>
          <w:sz w:val="24"/>
          <w:szCs w:val="24"/>
        </w:rPr>
        <w:t>3.</w:t>
      </w:r>
      <w:r>
        <w:rPr>
          <w:rFonts w:hint="eastAsia"/>
          <w:sz w:val="24"/>
          <w:szCs w:val="24"/>
        </w:rPr>
        <w:t>3</w:t>
      </w:r>
      <w:r>
        <w:rPr>
          <w:sz w:val="24"/>
          <w:szCs w:val="24"/>
        </w:rPr>
        <w:t>-2</w:t>
      </w:r>
      <w:r>
        <w:rPr>
          <w:sz w:val="24"/>
          <w:szCs w:val="24"/>
        </w:rPr>
        <w:t>及图</w:t>
      </w:r>
      <w:r>
        <w:rPr>
          <w:sz w:val="24"/>
          <w:szCs w:val="24"/>
        </w:rPr>
        <w:t>3.</w:t>
      </w:r>
      <w:r>
        <w:rPr>
          <w:rFonts w:hint="eastAsia"/>
          <w:sz w:val="24"/>
          <w:szCs w:val="24"/>
        </w:rPr>
        <w:t>3</w:t>
      </w:r>
      <w:r>
        <w:rPr>
          <w:sz w:val="24"/>
          <w:szCs w:val="24"/>
        </w:rPr>
        <w:t>-3</w:t>
      </w:r>
      <w:r>
        <w:rPr>
          <w:sz w:val="24"/>
          <w:szCs w:val="24"/>
        </w:rPr>
        <w:t>，</w:t>
      </w:r>
      <w:r>
        <w:rPr>
          <w:rFonts w:hint="eastAsia"/>
          <w:sz w:val="24"/>
          <w:szCs w:val="24"/>
        </w:rPr>
        <w:t>全厂</w:t>
      </w:r>
      <w:r>
        <w:rPr>
          <w:sz w:val="24"/>
          <w:szCs w:val="24"/>
        </w:rPr>
        <w:t>铁元素平衡见表</w:t>
      </w:r>
      <w:r>
        <w:rPr>
          <w:sz w:val="24"/>
          <w:szCs w:val="24"/>
        </w:rPr>
        <w:t>3.</w:t>
      </w:r>
      <w:r>
        <w:rPr>
          <w:rFonts w:hint="eastAsia"/>
          <w:sz w:val="24"/>
          <w:szCs w:val="24"/>
        </w:rPr>
        <w:t>3</w:t>
      </w:r>
      <w:r>
        <w:rPr>
          <w:sz w:val="24"/>
          <w:szCs w:val="24"/>
        </w:rPr>
        <w:t>-3</w:t>
      </w:r>
      <w:r>
        <w:rPr>
          <w:sz w:val="24"/>
          <w:szCs w:val="24"/>
        </w:rPr>
        <w:t>及图</w:t>
      </w:r>
      <w:r>
        <w:rPr>
          <w:sz w:val="24"/>
          <w:szCs w:val="24"/>
        </w:rPr>
        <w:t>3.</w:t>
      </w:r>
      <w:r>
        <w:rPr>
          <w:rFonts w:hint="eastAsia"/>
          <w:sz w:val="24"/>
          <w:szCs w:val="24"/>
        </w:rPr>
        <w:t>3</w:t>
      </w:r>
      <w:r>
        <w:rPr>
          <w:sz w:val="24"/>
          <w:szCs w:val="24"/>
        </w:rPr>
        <w:t>-4</w:t>
      </w:r>
      <w:r>
        <w:rPr>
          <w:sz w:val="24"/>
          <w:szCs w:val="24"/>
        </w:rPr>
        <w:t>。</w:t>
      </w:r>
    </w:p>
    <w:p w:rsidR="00DB7CC8" w:rsidRDefault="002B5250">
      <w:pPr>
        <w:spacing w:line="240" w:lineRule="auto"/>
        <w:ind w:firstLineChars="0" w:firstLine="0"/>
        <w:jc w:val="center"/>
        <w:textAlignment w:val="auto"/>
        <w:rPr>
          <w:rFonts w:eastAsia="黑体"/>
          <w:kern w:val="2"/>
          <w:sz w:val="21"/>
          <w:szCs w:val="21"/>
        </w:rPr>
      </w:pPr>
      <w:bookmarkStart w:id="209" w:name="OLE_LINK1"/>
      <w:bookmarkStart w:id="210" w:name="OLE_LINK2"/>
      <w:r>
        <w:rPr>
          <w:rFonts w:eastAsia="黑体"/>
          <w:kern w:val="2"/>
          <w:sz w:val="21"/>
          <w:szCs w:val="21"/>
        </w:rPr>
        <w:t>表</w:t>
      </w:r>
      <w:r>
        <w:rPr>
          <w:rFonts w:eastAsia="黑体"/>
          <w:kern w:val="2"/>
          <w:sz w:val="21"/>
          <w:szCs w:val="21"/>
        </w:rPr>
        <w:t>3.</w:t>
      </w:r>
      <w:r>
        <w:rPr>
          <w:rFonts w:eastAsia="黑体" w:hint="eastAsia"/>
          <w:kern w:val="2"/>
          <w:sz w:val="21"/>
          <w:szCs w:val="21"/>
        </w:rPr>
        <w:t>3</w:t>
      </w:r>
      <w:r>
        <w:rPr>
          <w:rFonts w:eastAsia="黑体"/>
          <w:kern w:val="2"/>
          <w:sz w:val="21"/>
          <w:szCs w:val="21"/>
        </w:rPr>
        <w:t xml:space="preserve">-2   </w:t>
      </w:r>
      <w:r>
        <w:rPr>
          <w:rFonts w:eastAsia="黑体"/>
          <w:kern w:val="2"/>
          <w:sz w:val="21"/>
          <w:szCs w:val="21"/>
        </w:rPr>
        <w:t>物料平衡表</w:t>
      </w:r>
    </w:p>
    <w:tbl>
      <w:tblPr>
        <w:tblW w:w="8522" w:type="dxa"/>
        <w:tblLayout w:type="fixed"/>
        <w:tblLook w:val="04A0" w:firstRow="1" w:lastRow="0" w:firstColumn="1" w:lastColumn="0" w:noHBand="0" w:noVBand="1"/>
      </w:tblPr>
      <w:tblGrid>
        <w:gridCol w:w="1525"/>
        <w:gridCol w:w="1277"/>
        <w:gridCol w:w="992"/>
        <w:gridCol w:w="2195"/>
        <w:gridCol w:w="2533"/>
      </w:tblGrid>
      <w:tr w:rsidR="00DB7CC8">
        <w:trPr>
          <w:trHeight w:val="340"/>
        </w:trPr>
        <w:tc>
          <w:tcPr>
            <w:tcW w:w="1525"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投入</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收入项（</w:t>
            </w:r>
            <w:r>
              <w:rPr>
                <w:sz w:val="21"/>
                <w:szCs w:val="21"/>
              </w:rPr>
              <w:t>t/a</w:t>
            </w:r>
            <w:r>
              <w:rPr>
                <w:sz w:val="21"/>
                <w:szCs w:val="21"/>
              </w:rPr>
              <w:t>）</w:t>
            </w:r>
          </w:p>
        </w:tc>
        <w:tc>
          <w:tcPr>
            <w:tcW w:w="318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产出</w:t>
            </w:r>
          </w:p>
        </w:tc>
        <w:tc>
          <w:tcPr>
            <w:tcW w:w="2533"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支出项（</w:t>
            </w:r>
            <w:r>
              <w:rPr>
                <w:sz w:val="21"/>
                <w:szCs w:val="21"/>
              </w:rPr>
              <w:t>t/a</w:t>
            </w:r>
            <w:r>
              <w:rPr>
                <w:sz w:val="21"/>
                <w:szCs w:val="21"/>
              </w:rPr>
              <w:t>）</w:t>
            </w:r>
          </w:p>
        </w:tc>
      </w:tr>
      <w:tr w:rsidR="00DB7CC8">
        <w:trPr>
          <w:trHeight w:val="340"/>
        </w:trPr>
        <w:tc>
          <w:tcPr>
            <w:tcW w:w="1525"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铁矿石</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110</w:t>
            </w:r>
            <w:r>
              <w:rPr>
                <w:sz w:val="21"/>
                <w:szCs w:val="21"/>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w:t>
            </w:r>
          </w:p>
        </w:tc>
        <w:tc>
          <w:tcPr>
            <w:tcW w:w="2195"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铁精粉</w:t>
            </w:r>
          </w:p>
        </w:tc>
        <w:tc>
          <w:tcPr>
            <w:tcW w:w="2533"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35</w:t>
            </w:r>
            <w:r>
              <w:rPr>
                <w:sz w:val="21"/>
                <w:szCs w:val="21"/>
              </w:rPr>
              <w:t>0000</w:t>
            </w:r>
          </w:p>
        </w:tc>
      </w:tr>
      <w:tr w:rsidR="00DB7CC8">
        <w:trPr>
          <w:trHeight w:val="362"/>
        </w:trPr>
        <w:tc>
          <w:tcPr>
            <w:tcW w:w="1525"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钢球</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2</w:t>
            </w:r>
          </w:p>
        </w:tc>
        <w:tc>
          <w:tcPr>
            <w:tcW w:w="2195"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尾矿砂</w:t>
            </w:r>
          </w:p>
        </w:tc>
        <w:tc>
          <w:tcPr>
            <w:tcW w:w="2533" w:type="dxa"/>
            <w:tcBorders>
              <w:top w:val="single" w:sz="4" w:space="0" w:color="auto"/>
              <w:left w:val="single" w:sz="4" w:space="0" w:color="auto"/>
              <w:bottom w:val="single" w:sz="4" w:space="0" w:color="auto"/>
              <w:right w:val="single" w:sz="4" w:space="0" w:color="auto"/>
            </w:tcBorders>
            <w:shd w:val="clear" w:color="auto" w:fill="auto"/>
            <w:noWrap/>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573388.473</w:t>
            </w:r>
          </w:p>
        </w:tc>
      </w:tr>
      <w:tr w:rsidR="00DB7CC8">
        <w:trPr>
          <w:trHeight w:val="340"/>
        </w:trPr>
        <w:tc>
          <w:tcPr>
            <w:tcW w:w="1525"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DB7CC8">
            <w:pPr>
              <w:widowControl/>
              <w:spacing w:line="240" w:lineRule="auto"/>
              <w:ind w:firstLineChars="0" w:firstLine="0"/>
              <w:jc w:val="center"/>
              <w:textAlignment w:val="auto"/>
              <w:rPr>
                <w:sz w:val="21"/>
                <w:szCs w:val="21"/>
              </w:rPr>
            </w:pP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DB7CC8">
            <w:pPr>
              <w:widowControl/>
              <w:spacing w:line="240" w:lineRule="auto"/>
              <w:ind w:firstLineChars="0" w:firstLine="0"/>
              <w:jc w:val="center"/>
              <w:textAlignment w:val="auto"/>
              <w:rPr>
                <w:sz w:val="21"/>
                <w:szCs w:val="21"/>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3</w:t>
            </w:r>
          </w:p>
        </w:tc>
        <w:tc>
          <w:tcPr>
            <w:tcW w:w="2195"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石碴</w:t>
            </w:r>
          </w:p>
        </w:tc>
        <w:tc>
          <w:tcPr>
            <w:tcW w:w="2533"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117800</w:t>
            </w:r>
          </w:p>
        </w:tc>
      </w:tr>
      <w:tr w:rsidR="00DB7CC8">
        <w:trPr>
          <w:trHeight w:val="340"/>
        </w:trPr>
        <w:tc>
          <w:tcPr>
            <w:tcW w:w="1525"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DB7CC8">
            <w:pPr>
              <w:widowControl/>
              <w:spacing w:line="240" w:lineRule="auto"/>
              <w:ind w:firstLineChars="0" w:firstLine="0"/>
              <w:jc w:val="center"/>
              <w:textAlignment w:val="auto"/>
              <w:rPr>
                <w:sz w:val="21"/>
                <w:szCs w:val="21"/>
              </w:rPr>
            </w:pP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DB7CC8">
            <w:pPr>
              <w:widowControl/>
              <w:spacing w:line="240" w:lineRule="auto"/>
              <w:ind w:firstLineChars="0" w:firstLine="0"/>
              <w:jc w:val="center"/>
              <w:textAlignment w:val="auto"/>
              <w:rPr>
                <w:sz w:val="21"/>
                <w:szCs w:val="21"/>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4</w:t>
            </w:r>
          </w:p>
        </w:tc>
        <w:tc>
          <w:tcPr>
            <w:tcW w:w="2195"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砂子</w:t>
            </w:r>
          </w:p>
        </w:tc>
        <w:tc>
          <w:tcPr>
            <w:tcW w:w="2533"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58900</w:t>
            </w:r>
          </w:p>
        </w:tc>
      </w:tr>
      <w:tr w:rsidR="00DB7CC8">
        <w:trPr>
          <w:trHeight w:val="340"/>
        </w:trPr>
        <w:tc>
          <w:tcPr>
            <w:tcW w:w="1525"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DB7CC8">
            <w:pPr>
              <w:widowControl/>
              <w:spacing w:line="240" w:lineRule="auto"/>
              <w:ind w:firstLineChars="0" w:firstLine="0"/>
              <w:jc w:val="center"/>
              <w:textAlignment w:val="auto"/>
              <w:rPr>
                <w:sz w:val="21"/>
                <w:szCs w:val="21"/>
              </w:rPr>
            </w:pP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DB7CC8">
            <w:pPr>
              <w:widowControl/>
              <w:spacing w:line="240" w:lineRule="auto"/>
              <w:ind w:firstLineChars="0" w:firstLine="0"/>
              <w:jc w:val="center"/>
              <w:textAlignment w:val="auto"/>
              <w:rPr>
                <w:sz w:val="21"/>
                <w:szCs w:val="21"/>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5</w:t>
            </w:r>
          </w:p>
        </w:tc>
        <w:tc>
          <w:tcPr>
            <w:tcW w:w="2195"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粉尘</w:t>
            </w:r>
          </w:p>
        </w:tc>
        <w:tc>
          <w:tcPr>
            <w:tcW w:w="2533"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6.027</w:t>
            </w:r>
          </w:p>
        </w:tc>
      </w:tr>
      <w:tr w:rsidR="00DB7CC8">
        <w:trPr>
          <w:trHeight w:val="340"/>
        </w:trPr>
        <w:tc>
          <w:tcPr>
            <w:tcW w:w="1525"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DB7CC8">
            <w:pPr>
              <w:widowControl/>
              <w:spacing w:line="240" w:lineRule="auto"/>
              <w:ind w:firstLineChars="0" w:firstLine="0"/>
              <w:jc w:val="center"/>
              <w:textAlignment w:val="auto"/>
              <w:rPr>
                <w:sz w:val="21"/>
                <w:szCs w:val="21"/>
              </w:rPr>
            </w:pP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DB7CC8">
            <w:pPr>
              <w:widowControl/>
              <w:spacing w:line="240" w:lineRule="auto"/>
              <w:ind w:firstLineChars="0" w:firstLine="0"/>
              <w:jc w:val="center"/>
              <w:textAlignment w:val="auto"/>
              <w:rPr>
                <w:sz w:val="21"/>
                <w:szCs w:val="21"/>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6</w:t>
            </w:r>
          </w:p>
        </w:tc>
        <w:tc>
          <w:tcPr>
            <w:tcW w:w="2195"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废钢球</w:t>
            </w:r>
          </w:p>
        </w:tc>
        <w:tc>
          <w:tcPr>
            <w:tcW w:w="2533"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10.5</w:t>
            </w:r>
          </w:p>
        </w:tc>
      </w:tr>
      <w:tr w:rsidR="00DB7CC8">
        <w:trPr>
          <w:trHeight w:val="340"/>
        </w:trPr>
        <w:tc>
          <w:tcPr>
            <w:tcW w:w="1525"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合计</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11</w:t>
            </w:r>
            <w:r>
              <w:rPr>
                <w:sz w:val="21"/>
                <w:szCs w:val="21"/>
              </w:rPr>
              <w:t>00105</w:t>
            </w:r>
          </w:p>
        </w:tc>
        <w:tc>
          <w:tcPr>
            <w:tcW w:w="318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合计</w:t>
            </w:r>
          </w:p>
        </w:tc>
        <w:tc>
          <w:tcPr>
            <w:tcW w:w="2533" w:type="dxa"/>
            <w:tcBorders>
              <w:top w:val="single" w:sz="4" w:space="0" w:color="auto"/>
              <w:left w:val="single" w:sz="4" w:space="0" w:color="auto"/>
              <w:bottom w:val="single" w:sz="4" w:space="0" w:color="auto"/>
              <w:right w:val="single" w:sz="4" w:space="0" w:color="auto"/>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11</w:t>
            </w:r>
            <w:r>
              <w:rPr>
                <w:sz w:val="21"/>
                <w:szCs w:val="21"/>
              </w:rPr>
              <w:t>00105</w:t>
            </w:r>
          </w:p>
        </w:tc>
      </w:tr>
    </w:tbl>
    <w:p w:rsidR="00DB7CC8" w:rsidRDefault="00DB7CC8">
      <w:pPr>
        <w:spacing w:line="240" w:lineRule="auto"/>
        <w:ind w:firstLineChars="0" w:firstLine="0"/>
        <w:jc w:val="center"/>
        <w:textAlignment w:val="auto"/>
        <w:rPr>
          <w:rFonts w:eastAsia="黑体"/>
          <w:kern w:val="2"/>
          <w:sz w:val="21"/>
          <w:szCs w:val="21"/>
        </w:rPr>
      </w:pPr>
    </w:p>
    <w:p w:rsidR="00DB7CC8" w:rsidRDefault="00DB7CC8">
      <w:pPr>
        <w:spacing w:line="240" w:lineRule="auto"/>
        <w:ind w:firstLineChars="0" w:firstLine="0"/>
        <w:jc w:val="center"/>
        <w:textAlignment w:val="auto"/>
        <w:rPr>
          <w:rFonts w:eastAsia="黑体"/>
          <w:kern w:val="2"/>
          <w:sz w:val="21"/>
          <w:szCs w:val="21"/>
        </w:rPr>
      </w:pPr>
    </w:p>
    <w:bookmarkEnd w:id="209"/>
    <w:bookmarkEnd w:id="210"/>
    <w:p w:rsidR="00DB7CC8" w:rsidRDefault="002B5250">
      <w:pPr>
        <w:spacing w:line="240" w:lineRule="auto"/>
        <w:ind w:firstLineChars="0" w:firstLine="0"/>
        <w:jc w:val="center"/>
        <w:textAlignment w:val="baseline"/>
        <w:rPr>
          <w:rFonts w:eastAsia="黑体"/>
          <w:bCs/>
          <w:sz w:val="24"/>
        </w:rPr>
      </w:pPr>
      <w:r>
        <w:rPr>
          <w:rFonts w:eastAsia="黑体"/>
          <w:bCs/>
          <w:noProof/>
          <w:sz w:val="24"/>
        </w:rPr>
        <mc:AlternateContent>
          <mc:Choice Requires="wpc">
            <w:drawing>
              <wp:inline distT="0" distB="0" distL="114300" distR="114300">
                <wp:extent cx="5045710" cy="2922905"/>
                <wp:effectExtent l="0" t="0" r="0" b="10795"/>
                <wp:docPr id="79" name="画布 100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a:noFill/>
                        </a:ln>
                      </wpc:whole>
                      <wps:wsp>
                        <wps:cNvPr id="57" name="文本框 83"/>
                        <wps:cNvSpPr txBox="1"/>
                        <wps:spPr>
                          <a:xfrm>
                            <a:off x="343535" y="503359"/>
                            <a:ext cx="1190625" cy="38163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DB7CC8" w:rsidRDefault="002B5250">
                              <w:pPr>
                                <w:ind w:firstLineChars="0" w:firstLine="0"/>
                                <w:rPr>
                                  <w:sz w:val="21"/>
                                  <w:szCs w:val="21"/>
                                </w:rPr>
                              </w:pPr>
                              <w:r>
                                <w:rPr>
                                  <w:rFonts w:hint="eastAsia"/>
                                  <w:sz w:val="21"/>
                                  <w:szCs w:val="21"/>
                                </w:rPr>
                                <w:t>铁矿石</w:t>
                              </w:r>
                              <w:r>
                                <w:rPr>
                                  <w:rFonts w:hint="eastAsia"/>
                                  <w:sz w:val="21"/>
                                  <w:szCs w:val="21"/>
                                </w:rPr>
                                <w:t>11</w:t>
                              </w:r>
                              <w:r>
                                <w:rPr>
                                  <w:rFonts w:hint="eastAsia"/>
                                  <w:sz w:val="21"/>
                                  <w:szCs w:val="21"/>
                                </w:rPr>
                                <w:t>00000</w:t>
                              </w:r>
                            </w:p>
                          </w:txbxContent>
                        </wps:txbx>
                        <wps:bodyPr upright="1"/>
                      </wps:wsp>
                      <wps:wsp>
                        <wps:cNvPr id="62" name="自选图形 89"/>
                        <wps:cNvCnPr/>
                        <wps:spPr>
                          <a:xfrm>
                            <a:off x="1542415" y="677984"/>
                            <a:ext cx="448310" cy="635"/>
                          </a:xfrm>
                          <a:prstGeom prst="straightConnector1">
                            <a:avLst/>
                          </a:prstGeom>
                          <a:ln w="9525" cap="flat" cmpd="sng">
                            <a:solidFill>
                              <a:srgbClr val="000000"/>
                            </a:solidFill>
                            <a:prstDash val="solid"/>
                            <a:headEnd type="none" w="med" len="med"/>
                            <a:tailEnd type="triangle" w="med" len="med"/>
                          </a:ln>
                        </wps:spPr>
                        <wps:bodyPr/>
                      </wps:wsp>
                      <wps:wsp>
                        <wps:cNvPr id="63" name="自选图形 91"/>
                        <wps:cNvCnPr/>
                        <wps:spPr>
                          <a:xfrm>
                            <a:off x="1971675" y="240469"/>
                            <a:ext cx="448310" cy="635"/>
                          </a:xfrm>
                          <a:prstGeom prst="straightConnector1">
                            <a:avLst/>
                          </a:prstGeom>
                          <a:ln w="9525" cap="flat" cmpd="sng">
                            <a:solidFill>
                              <a:srgbClr val="000000"/>
                            </a:solidFill>
                            <a:prstDash val="solid"/>
                            <a:headEnd type="none" w="med" len="med"/>
                            <a:tailEnd type="triangle" w="med" len="med"/>
                          </a:ln>
                        </wps:spPr>
                        <wps:bodyPr/>
                      </wps:wsp>
                      <wps:wsp>
                        <wps:cNvPr id="64" name="自选图形 93"/>
                        <wps:cNvCnPr/>
                        <wps:spPr>
                          <a:xfrm>
                            <a:off x="1971675" y="721799"/>
                            <a:ext cx="448310" cy="635"/>
                          </a:xfrm>
                          <a:prstGeom prst="straightConnector1">
                            <a:avLst/>
                          </a:prstGeom>
                          <a:ln w="9525" cap="flat" cmpd="sng">
                            <a:solidFill>
                              <a:srgbClr val="000000"/>
                            </a:solidFill>
                            <a:prstDash val="solid"/>
                            <a:headEnd type="none" w="med" len="med"/>
                            <a:tailEnd type="triangle" w="med" len="med"/>
                          </a:ln>
                        </wps:spPr>
                        <wps:bodyPr/>
                      </wps:wsp>
                      <wps:wsp>
                        <wps:cNvPr id="65" name="文本框 88"/>
                        <wps:cNvSpPr txBox="1"/>
                        <wps:spPr>
                          <a:xfrm>
                            <a:off x="2430145" y="35999"/>
                            <a:ext cx="1190625" cy="38163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DB7CC8" w:rsidRDefault="002B5250">
                              <w:pPr>
                                <w:ind w:firstLineChars="0" w:firstLine="0"/>
                                <w:rPr>
                                  <w:sz w:val="21"/>
                                  <w:szCs w:val="21"/>
                                </w:rPr>
                              </w:pPr>
                              <w:r>
                                <w:rPr>
                                  <w:rFonts w:hint="eastAsia"/>
                                  <w:sz w:val="21"/>
                                  <w:szCs w:val="21"/>
                                </w:rPr>
                                <w:t>铁精粉</w:t>
                              </w:r>
                              <w:r>
                                <w:rPr>
                                  <w:rFonts w:hint="eastAsia"/>
                                  <w:sz w:val="21"/>
                                  <w:szCs w:val="21"/>
                                </w:rPr>
                                <w:t>35</w:t>
                              </w:r>
                              <w:r>
                                <w:rPr>
                                  <w:sz w:val="21"/>
                                  <w:szCs w:val="21"/>
                                </w:rPr>
                                <w:t>0</w:t>
                              </w:r>
                              <w:r>
                                <w:rPr>
                                  <w:rFonts w:hint="eastAsia"/>
                                  <w:sz w:val="21"/>
                                  <w:szCs w:val="21"/>
                                </w:rPr>
                                <w:t>000</w:t>
                              </w:r>
                            </w:p>
                          </w:txbxContent>
                        </wps:txbx>
                        <wps:bodyPr upright="1"/>
                      </wps:wsp>
                      <wps:wsp>
                        <wps:cNvPr id="66" name="文本框 95"/>
                        <wps:cNvSpPr txBox="1"/>
                        <wps:spPr>
                          <a:xfrm>
                            <a:off x="2430145" y="560509"/>
                            <a:ext cx="1265555" cy="38163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DB7CC8" w:rsidRDefault="002B5250">
                              <w:pPr>
                                <w:ind w:firstLineChars="0" w:firstLine="0"/>
                                <w:rPr>
                                  <w:sz w:val="21"/>
                                  <w:szCs w:val="21"/>
                                </w:rPr>
                              </w:pPr>
                              <w:r>
                                <w:rPr>
                                  <w:rFonts w:hint="eastAsia"/>
                                  <w:sz w:val="21"/>
                                  <w:szCs w:val="21"/>
                                </w:rPr>
                                <w:t>尾矿砂</w:t>
                              </w:r>
                              <w:r>
                                <w:rPr>
                                  <w:rFonts w:hint="eastAsia"/>
                                  <w:color w:val="000000" w:themeColor="text1"/>
                                  <w:sz w:val="21"/>
                                  <w:szCs w:val="21"/>
                                </w:rPr>
                                <w:t>573388.473</w:t>
                              </w:r>
                            </w:p>
                          </w:txbxContent>
                        </wps:txbx>
                        <wps:bodyPr upright="1"/>
                      </wps:wsp>
                      <wps:wsp>
                        <wps:cNvPr id="67" name="自选图形 97"/>
                        <wps:cNvCnPr/>
                        <wps:spPr>
                          <a:xfrm>
                            <a:off x="1981835" y="2183569"/>
                            <a:ext cx="448310" cy="635"/>
                          </a:xfrm>
                          <a:prstGeom prst="straightConnector1">
                            <a:avLst/>
                          </a:prstGeom>
                          <a:ln w="9525" cap="flat" cmpd="sng">
                            <a:solidFill>
                              <a:srgbClr val="000000"/>
                            </a:solidFill>
                            <a:prstDash val="solid"/>
                            <a:headEnd type="none" w="med" len="med"/>
                            <a:tailEnd type="triangle" w="med" len="med"/>
                          </a:ln>
                        </wps:spPr>
                        <wps:bodyPr/>
                      </wps:wsp>
                      <wps:wsp>
                        <wps:cNvPr id="68" name="文本框 96"/>
                        <wps:cNvSpPr txBox="1"/>
                        <wps:spPr>
                          <a:xfrm>
                            <a:off x="2430780" y="2008309"/>
                            <a:ext cx="1190625" cy="38163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DB7CC8" w:rsidRDefault="002B5250">
                              <w:pPr>
                                <w:ind w:firstLineChars="0" w:firstLine="0"/>
                                <w:rPr>
                                  <w:sz w:val="21"/>
                                  <w:szCs w:val="21"/>
                                </w:rPr>
                              </w:pPr>
                              <w:r>
                                <w:rPr>
                                  <w:rFonts w:hint="eastAsia"/>
                                  <w:sz w:val="21"/>
                                  <w:szCs w:val="21"/>
                                </w:rPr>
                                <w:t>粉尘</w:t>
                              </w:r>
                              <w:r>
                                <w:rPr>
                                  <w:rFonts w:hint="eastAsia"/>
                                  <w:sz w:val="21"/>
                                  <w:szCs w:val="21"/>
                                </w:rPr>
                                <w:t>6.027</w:t>
                              </w:r>
                            </w:p>
                          </w:txbxContent>
                        </wps:txbx>
                        <wps:bodyPr upright="1"/>
                      </wps:wsp>
                      <wps:wsp>
                        <wps:cNvPr id="69" name="自选图形 93"/>
                        <wps:cNvCnPr/>
                        <wps:spPr>
                          <a:xfrm>
                            <a:off x="1990725" y="1217099"/>
                            <a:ext cx="448310" cy="635"/>
                          </a:xfrm>
                          <a:prstGeom prst="straightConnector1">
                            <a:avLst/>
                          </a:prstGeom>
                          <a:ln w="9525" cap="flat" cmpd="sng">
                            <a:solidFill>
                              <a:srgbClr val="000000"/>
                            </a:solidFill>
                            <a:prstDash val="solid"/>
                            <a:headEnd type="none" w="med" len="med"/>
                            <a:tailEnd type="triangle" w="med" len="med"/>
                          </a:ln>
                        </wps:spPr>
                        <wps:bodyPr/>
                      </wps:wsp>
                      <wps:wsp>
                        <wps:cNvPr id="71" name="文本框 95"/>
                        <wps:cNvSpPr txBox="1"/>
                        <wps:spPr>
                          <a:xfrm>
                            <a:off x="2449195" y="1065334"/>
                            <a:ext cx="1246505" cy="38163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DB7CC8" w:rsidRDefault="002B5250">
                              <w:pPr>
                                <w:ind w:firstLineChars="0" w:firstLine="0"/>
                                <w:rPr>
                                  <w:sz w:val="21"/>
                                  <w:szCs w:val="21"/>
                                </w:rPr>
                              </w:pPr>
                              <w:r>
                                <w:rPr>
                                  <w:rFonts w:hint="eastAsia"/>
                                  <w:sz w:val="21"/>
                                  <w:szCs w:val="21"/>
                                </w:rPr>
                                <w:t>石碴</w:t>
                              </w:r>
                              <w:r>
                                <w:rPr>
                                  <w:rFonts w:hint="eastAsia"/>
                                  <w:sz w:val="21"/>
                                  <w:szCs w:val="21"/>
                                </w:rPr>
                                <w:t>1</w:t>
                              </w:r>
                              <w:r>
                                <w:rPr>
                                  <w:sz w:val="21"/>
                                  <w:szCs w:val="21"/>
                                </w:rPr>
                                <w:t>17800</w:t>
                              </w:r>
                            </w:p>
                          </w:txbxContent>
                        </wps:txbx>
                        <wps:bodyPr upright="1"/>
                      </wps:wsp>
                      <wps:wsp>
                        <wps:cNvPr id="72" name="文本框 83"/>
                        <wps:cNvSpPr txBox="1"/>
                        <wps:spPr>
                          <a:xfrm>
                            <a:off x="343535" y="1316159"/>
                            <a:ext cx="1190625" cy="38163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DB7CC8" w:rsidRDefault="002B5250">
                              <w:pPr>
                                <w:ind w:firstLineChars="0" w:firstLine="0"/>
                                <w:rPr>
                                  <w:sz w:val="21"/>
                                  <w:szCs w:val="21"/>
                                </w:rPr>
                              </w:pPr>
                              <w:r>
                                <w:rPr>
                                  <w:rFonts w:hint="eastAsia"/>
                                  <w:sz w:val="21"/>
                                  <w:szCs w:val="21"/>
                                </w:rPr>
                                <w:t>钢球</w:t>
                              </w:r>
                              <w:r>
                                <w:rPr>
                                  <w:rFonts w:hint="eastAsia"/>
                                  <w:sz w:val="21"/>
                                  <w:szCs w:val="21"/>
                                </w:rPr>
                                <w:t>1</w:t>
                              </w:r>
                              <w:r>
                                <w:rPr>
                                  <w:sz w:val="21"/>
                                  <w:szCs w:val="21"/>
                                </w:rPr>
                                <w:t>05</w:t>
                              </w:r>
                            </w:p>
                          </w:txbxContent>
                        </wps:txbx>
                        <wps:bodyPr upright="1"/>
                      </wps:wsp>
                      <wps:wsp>
                        <wps:cNvPr id="73" name="自选图形 89"/>
                        <wps:cNvCnPr/>
                        <wps:spPr>
                          <a:xfrm>
                            <a:off x="1542415" y="1526344"/>
                            <a:ext cx="448310" cy="635"/>
                          </a:xfrm>
                          <a:prstGeom prst="straightConnector1">
                            <a:avLst/>
                          </a:prstGeom>
                          <a:ln w="9525" cap="flat" cmpd="sng">
                            <a:solidFill>
                              <a:srgbClr val="000000"/>
                            </a:solidFill>
                            <a:prstDash val="solid"/>
                            <a:headEnd type="none" w="med" len="med"/>
                            <a:tailEnd type="triangle" w="med" len="med"/>
                          </a:ln>
                        </wps:spPr>
                        <wps:bodyPr/>
                      </wps:wsp>
                      <wps:wsp>
                        <wps:cNvPr id="74" name="自选图形 1061"/>
                        <wps:cNvCnPr/>
                        <wps:spPr>
                          <a:xfrm>
                            <a:off x="1970405" y="246184"/>
                            <a:ext cx="635" cy="2458720"/>
                          </a:xfrm>
                          <a:prstGeom prst="straightConnector1">
                            <a:avLst/>
                          </a:prstGeom>
                          <a:ln w="9525" cap="flat" cmpd="sng">
                            <a:solidFill>
                              <a:srgbClr val="000000"/>
                            </a:solidFill>
                            <a:prstDash val="solid"/>
                            <a:headEnd type="none" w="med" len="med"/>
                            <a:tailEnd type="none" w="med" len="med"/>
                          </a:ln>
                        </wps:spPr>
                        <wps:bodyPr/>
                      </wps:wsp>
                      <wps:wsp>
                        <wps:cNvPr id="75" name="自选图形 93"/>
                        <wps:cNvCnPr/>
                        <wps:spPr>
                          <a:xfrm>
                            <a:off x="1962150" y="1674299"/>
                            <a:ext cx="448310" cy="635"/>
                          </a:xfrm>
                          <a:prstGeom prst="straightConnector1">
                            <a:avLst/>
                          </a:prstGeom>
                          <a:ln w="9525" cap="flat" cmpd="sng">
                            <a:solidFill>
                              <a:srgbClr val="000000"/>
                            </a:solidFill>
                            <a:prstDash val="solid"/>
                            <a:headEnd type="none" w="med" len="med"/>
                            <a:tailEnd type="triangle" w="med" len="med"/>
                          </a:ln>
                        </wps:spPr>
                        <wps:bodyPr/>
                      </wps:wsp>
                      <wps:wsp>
                        <wps:cNvPr id="76" name="文本框 95"/>
                        <wps:cNvSpPr txBox="1"/>
                        <wps:spPr>
                          <a:xfrm>
                            <a:off x="2430145" y="1522534"/>
                            <a:ext cx="970280" cy="38163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DB7CC8" w:rsidRDefault="002B5250">
                              <w:pPr>
                                <w:ind w:firstLineChars="0" w:firstLine="0"/>
                                <w:rPr>
                                  <w:sz w:val="21"/>
                                  <w:szCs w:val="21"/>
                                </w:rPr>
                              </w:pPr>
                              <w:r>
                                <w:rPr>
                                  <w:rFonts w:hint="eastAsia"/>
                                  <w:sz w:val="21"/>
                                  <w:szCs w:val="21"/>
                                </w:rPr>
                                <w:t>砂子</w:t>
                              </w:r>
                              <w:r>
                                <w:rPr>
                                  <w:rFonts w:hint="eastAsia"/>
                                  <w:sz w:val="21"/>
                                  <w:szCs w:val="21"/>
                                </w:rPr>
                                <w:t>5</w:t>
                              </w:r>
                              <w:r>
                                <w:rPr>
                                  <w:sz w:val="21"/>
                                  <w:szCs w:val="21"/>
                                </w:rPr>
                                <w:t>8900</w:t>
                              </w:r>
                            </w:p>
                          </w:txbxContent>
                        </wps:txbx>
                        <wps:bodyPr upright="1"/>
                      </wps:wsp>
                      <wps:wsp>
                        <wps:cNvPr id="77" name="自选图形 97"/>
                        <wps:cNvCnPr/>
                        <wps:spPr>
                          <a:xfrm>
                            <a:off x="1972310" y="2678869"/>
                            <a:ext cx="448310" cy="635"/>
                          </a:xfrm>
                          <a:prstGeom prst="straightConnector1">
                            <a:avLst/>
                          </a:prstGeom>
                          <a:ln w="9525" cap="flat" cmpd="sng">
                            <a:solidFill>
                              <a:srgbClr val="000000"/>
                            </a:solidFill>
                            <a:prstDash val="solid"/>
                            <a:headEnd type="none" w="med" len="med"/>
                            <a:tailEnd type="triangle" w="med" len="med"/>
                          </a:ln>
                        </wps:spPr>
                        <wps:bodyPr/>
                      </wps:wsp>
                      <wps:wsp>
                        <wps:cNvPr id="78" name="文本框 96"/>
                        <wps:cNvSpPr txBox="1"/>
                        <wps:spPr>
                          <a:xfrm>
                            <a:off x="2411730" y="2541709"/>
                            <a:ext cx="1190625" cy="38163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DB7CC8" w:rsidRDefault="002B5250">
                              <w:pPr>
                                <w:ind w:firstLineChars="0" w:firstLine="0"/>
                                <w:rPr>
                                  <w:sz w:val="21"/>
                                  <w:szCs w:val="21"/>
                                </w:rPr>
                              </w:pPr>
                              <w:r>
                                <w:rPr>
                                  <w:rFonts w:hint="eastAsia"/>
                                  <w:sz w:val="21"/>
                                  <w:szCs w:val="21"/>
                                </w:rPr>
                                <w:t>废钢球</w:t>
                              </w:r>
                              <w:r>
                                <w:rPr>
                                  <w:rFonts w:hint="eastAsia"/>
                                  <w:sz w:val="21"/>
                                  <w:szCs w:val="21"/>
                                </w:rPr>
                                <w:t>1</w:t>
                              </w:r>
                              <w:r>
                                <w:rPr>
                                  <w:sz w:val="21"/>
                                  <w:szCs w:val="21"/>
                                </w:rPr>
                                <w:t>0.5</w:t>
                              </w:r>
                            </w:p>
                          </w:txbxContent>
                        </wps:txbx>
                        <wps:bodyPr upright="1"/>
                      </wps:wsp>
                    </wpc:wpc>
                  </a:graphicData>
                </a:graphic>
              </wp:inline>
            </w:drawing>
          </mc:Choice>
          <mc:Fallback>
            <w:pict>
              <v:group id="画布 1000" o:spid="_x0000_s1036" editas="canvas" style="width:397.3pt;height:230.15pt;mso-position-horizontal-relative:char;mso-position-vertical-relative:line" coordsize="50457,29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">
                <v:shape id="_x0000_s1037" type="#_x0000_t75" style="position:absolute;width:50457;height:29229;visibility:visible;mso-wrap-style:square">
                  <v:fill o:detectmouseclick="t"/>
                  <v:path o:connecttype="none"/>
                </v:shape>
                <v:shape id="文本框 83" o:spid="_x0000_s1038" type="#_x0000_t202" style="position:absolute;left:3435;top:5033;width:11906;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">
                  <v:textbox>
                    <w:txbxContent>
                      <w:p w:rsidR="00DB7CC8" w:rsidRDefault="002B5250">
                        <w:pPr>
                          <w:ind w:firstLineChars="0" w:firstLine="0"/>
                          <w:rPr>
                            <w:sz w:val="21"/>
                            <w:szCs w:val="21"/>
                          </w:rPr>
                        </w:pPr>
                        <w:r>
                          <w:rPr>
                            <w:rFonts w:hint="eastAsia"/>
                            <w:sz w:val="21"/>
                            <w:szCs w:val="21"/>
                          </w:rPr>
                          <w:t>铁矿石</w:t>
                        </w:r>
                        <w:r>
                          <w:rPr>
                            <w:rFonts w:hint="eastAsia"/>
                            <w:sz w:val="21"/>
                            <w:szCs w:val="21"/>
                          </w:rPr>
                          <w:t>11</w:t>
                        </w:r>
                        <w:r>
                          <w:rPr>
                            <w:rFonts w:hint="eastAsia"/>
                            <w:sz w:val="21"/>
                            <w:szCs w:val="21"/>
                          </w:rPr>
                          <w:t>00000</w:t>
                        </w:r>
                      </w:p>
                    </w:txbxContent>
                  </v:textbox>
                </v:shape>
                <v:shape id="自选图形 89" o:spid="_x0000_s1039" type="#_x0000_t32" style="position:absolute;left:15424;top:6779;width:4483;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">
                  <v:stroke endarrow="block"/>
                </v:shape>
                <v:shape id="自选图形 91" o:spid="_x0000_s1040" type="#_x0000_t32" style="position:absolute;left:19716;top:2404;width:4483;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">
                  <v:stroke endarrow="block"/>
                </v:shape>
                <v:shape id="自选图形 93" o:spid="_x0000_s1041" type="#_x0000_t32" style="position:absolute;left:19716;top:7217;width:4483;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">
                  <v:stroke endarrow="block"/>
                </v:shape>
                <v:shape id="文本框 88" o:spid="_x0000_s1042" type="#_x0000_t202" style="position:absolute;left:24301;top:359;width:11906;height:3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">
                  <v:textbox>
                    <w:txbxContent>
                      <w:p w:rsidR="00DB7CC8" w:rsidRDefault="002B5250">
                        <w:pPr>
                          <w:ind w:firstLineChars="0" w:firstLine="0"/>
                          <w:rPr>
                            <w:sz w:val="21"/>
                            <w:szCs w:val="21"/>
                          </w:rPr>
                        </w:pPr>
                        <w:r>
                          <w:rPr>
                            <w:rFonts w:hint="eastAsia"/>
                            <w:sz w:val="21"/>
                            <w:szCs w:val="21"/>
                          </w:rPr>
                          <w:t>铁精粉</w:t>
                        </w:r>
                        <w:r>
                          <w:rPr>
                            <w:rFonts w:hint="eastAsia"/>
                            <w:sz w:val="21"/>
                            <w:szCs w:val="21"/>
                          </w:rPr>
                          <w:t>35</w:t>
                        </w:r>
                        <w:r>
                          <w:rPr>
                            <w:sz w:val="21"/>
                            <w:szCs w:val="21"/>
                          </w:rPr>
                          <w:t>0</w:t>
                        </w:r>
                        <w:r>
                          <w:rPr>
                            <w:rFonts w:hint="eastAsia"/>
                            <w:sz w:val="21"/>
                            <w:szCs w:val="21"/>
                          </w:rPr>
                          <w:t>000</w:t>
                        </w:r>
                      </w:p>
                    </w:txbxContent>
                  </v:textbox>
                </v:shape>
                <v:shape id="文本框 95" o:spid="_x0000_s1043" type="#_x0000_t202" style="position:absolute;left:24301;top:5605;width:12656;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">
                  <v:textbox>
                    <w:txbxContent>
                      <w:p w:rsidR="00DB7CC8" w:rsidRDefault="002B5250">
                        <w:pPr>
                          <w:ind w:firstLineChars="0" w:firstLine="0"/>
                          <w:rPr>
                            <w:sz w:val="21"/>
                            <w:szCs w:val="21"/>
                          </w:rPr>
                        </w:pPr>
                        <w:r>
                          <w:rPr>
                            <w:rFonts w:hint="eastAsia"/>
                            <w:sz w:val="21"/>
                            <w:szCs w:val="21"/>
                          </w:rPr>
                          <w:t>尾矿砂</w:t>
                        </w:r>
                        <w:r>
                          <w:rPr>
                            <w:rFonts w:hint="eastAsia"/>
                            <w:color w:val="000000" w:themeColor="text1"/>
                            <w:sz w:val="21"/>
                            <w:szCs w:val="21"/>
                          </w:rPr>
                          <w:t>573388.473</w:t>
                        </w:r>
                      </w:p>
                    </w:txbxContent>
                  </v:textbox>
                </v:shape>
                <v:shape id="自选图形 97" o:spid="_x0000_s1044" type="#_x0000_t32" style="position:absolute;left:19818;top:21835;width:4483;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">
                  <v:stroke endarrow="block"/>
                </v:shape>
                <v:shape id="文本框 96" o:spid="_x0000_s1045" type="#_x0000_t202" style="position:absolute;left:24307;top:20083;width:11907;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">
                  <v:textbox>
                    <w:txbxContent>
                      <w:p w:rsidR="00DB7CC8" w:rsidRDefault="002B5250">
                        <w:pPr>
                          <w:ind w:firstLineChars="0" w:firstLine="0"/>
                          <w:rPr>
                            <w:sz w:val="21"/>
                            <w:szCs w:val="21"/>
                          </w:rPr>
                        </w:pPr>
                        <w:r>
                          <w:rPr>
                            <w:rFonts w:hint="eastAsia"/>
                            <w:sz w:val="21"/>
                            <w:szCs w:val="21"/>
                          </w:rPr>
                          <w:t>粉尘</w:t>
                        </w:r>
                        <w:r>
                          <w:rPr>
                            <w:rFonts w:hint="eastAsia"/>
                            <w:sz w:val="21"/>
                            <w:szCs w:val="21"/>
                          </w:rPr>
                          <w:t>6.027</w:t>
                        </w:r>
                      </w:p>
                    </w:txbxContent>
                  </v:textbox>
                </v:shape>
                <v:shape id="自选图形 93" o:spid="_x0000_s1046" type="#_x0000_t32" style="position:absolute;left:19907;top:12170;width:4483;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">
                  <v:stroke endarrow="block"/>
                </v:shape>
                <v:shape id="文本框 95" o:spid="_x0000_s1047" type="#_x0000_t202" style="position:absolute;left:24491;top:10653;width:12466;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">
                  <v:textbox>
                    <w:txbxContent>
                      <w:p w:rsidR="00DB7CC8" w:rsidRDefault="002B5250">
                        <w:pPr>
                          <w:ind w:firstLineChars="0" w:firstLine="0"/>
                          <w:rPr>
                            <w:sz w:val="21"/>
                            <w:szCs w:val="21"/>
                          </w:rPr>
                        </w:pPr>
                        <w:r>
                          <w:rPr>
                            <w:rFonts w:hint="eastAsia"/>
                            <w:sz w:val="21"/>
                            <w:szCs w:val="21"/>
                          </w:rPr>
                          <w:t>石碴</w:t>
                        </w:r>
                        <w:r>
                          <w:rPr>
                            <w:rFonts w:hint="eastAsia"/>
                            <w:sz w:val="21"/>
                            <w:szCs w:val="21"/>
                          </w:rPr>
                          <w:t>1</w:t>
                        </w:r>
                        <w:r>
                          <w:rPr>
                            <w:sz w:val="21"/>
                            <w:szCs w:val="21"/>
                          </w:rPr>
                          <w:t>17800</w:t>
                        </w:r>
                      </w:p>
                    </w:txbxContent>
                  </v:textbox>
                </v:shape>
                <v:shape id="文本框 83" o:spid="_x0000_s1048" type="#_x0000_t202" style="position:absolute;left:3435;top:13161;width:11906;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">
                  <v:textbox>
                    <w:txbxContent>
                      <w:p w:rsidR="00DB7CC8" w:rsidRDefault="002B5250">
                        <w:pPr>
                          <w:ind w:firstLineChars="0" w:firstLine="0"/>
                          <w:rPr>
                            <w:sz w:val="21"/>
                            <w:szCs w:val="21"/>
                          </w:rPr>
                        </w:pPr>
                        <w:r>
                          <w:rPr>
                            <w:rFonts w:hint="eastAsia"/>
                            <w:sz w:val="21"/>
                            <w:szCs w:val="21"/>
                          </w:rPr>
                          <w:t>钢球</w:t>
                        </w:r>
                        <w:r>
                          <w:rPr>
                            <w:rFonts w:hint="eastAsia"/>
                            <w:sz w:val="21"/>
                            <w:szCs w:val="21"/>
                          </w:rPr>
                          <w:t>1</w:t>
                        </w:r>
                        <w:r>
                          <w:rPr>
                            <w:sz w:val="21"/>
                            <w:szCs w:val="21"/>
                          </w:rPr>
                          <w:t>05</w:t>
                        </w:r>
                      </w:p>
                    </w:txbxContent>
                  </v:textbox>
                </v:shape>
                <v:shape id="自选图形 89" o:spid="_x0000_s1049" type="#_x0000_t32" style="position:absolute;left:15424;top:15263;width:4483;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">
                  <v:stroke endarrow="block"/>
                </v:shape>
                <v:shape id="自选图形 1061" o:spid="_x0000_s1050" type="#_x0000_t32" style="position:absolute;left:19704;top:2461;width:6;height:245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"/>
                <v:shape id="自选图形 93" o:spid="_x0000_s1051" type="#_x0000_t32" style="position:absolute;left:19621;top:16742;width:4483;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">
                  <v:stroke endarrow="block"/>
                </v:shape>
                <v:shape id="文本框 95" o:spid="_x0000_s1052" type="#_x0000_t202" style="position:absolute;left:24301;top:15225;width:9703;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">
                  <v:textbox>
                    <w:txbxContent>
                      <w:p w:rsidR="00DB7CC8" w:rsidRDefault="002B5250">
                        <w:pPr>
                          <w:ind w:firstLineChars="0" w:firstLine="0"/>
                          <w:rPr>
                            <w:sz w:val="21"/>
                            <w:szCs w:val="21"/>
                          </w:rPr>
                        </w:pPr>
                        <w:r>
                          <w:rPr>
                            <w:rFonts w:hint="eastAsia"/>
                            <w:sz w:val="21"/>
                            <w:szCs w:val="21"/>
                          </w:rPr>
                          <w:t>砂子</w:t>
                        </w:r>
                        <w:r>
                          <w:rPr>
                            <w:rFonts w:hint="eastAsia"/>
                            <w:sz w:val="21"/>
                            <w:szCs w:val="21"/>
                          </w:rPr>
                          <w:t>5</w:t>
                        </w:r>
                        <w:r>
                          <w:rPr>
                            <w:sz w:val="21"/>
                            <w:szCs w:val="21"/>
                          </w:rPr>
                          <w:t>8900</w:t>
                        </w:r>
                      </w:p>
                    </w:txbxContent>
                  </v:textbox>
                </v:shape>
                <v:shape id="自选图形 97" o:spid="_x0000_s1053" type="#_x0000_t32" style="position:absolute;left:19723;top:26788;width:4483;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">
                  <v:stroke endarrow="block"/>
                </v:shape>
                <v:shape id="文本框 96" o:spid="_x0000_s1054" type="#_x0000_t202" style="position:absolute;left:24117;top:25417;width:11906;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">
                  <v:textbox>
                    <w:txbxContent>
                      <w:p w:rsidR="00DB7CC8" w:rsidRDefault="002B5250">
                        <w:pPr>
                          <w:ind w:firstLineChars="0" w:firstLine="0"/>
                          <w:rPr>
                            <w:sz w:val="21"/>
                            <w:szCs w:val="21"/>
                          </w:rPr>
                        </w:pPr>
                        <w:r>
                          <w:rPr>
                            <w:rFonts w:hint="eastAsia"/>
                            <w:sz w:val="21"/>
                            <w:szCs w:val="21"/>
                          </w:rPr>
                          <w:t>废钢球</w:t>
                        </w:r>
                        <w:r>
                          <w:rPr>
                            <w:rFonts w:hint="eastAsia"/>
                            <w:sz w:val="21"/>
                            <w:szCs w:val="21"/>
                          </w:rPr>
                          <w:t>1</w:t>
                        </w:r>
                        <w:r>
                          <w:rPr>
                            <w:sz w:val="21"/>
                            <w:szCs w:val="21"/>
                          </w:rPr>
                          <w:t>0.5</w:t>
                        </w:r>
                      </w:p>
                    </w:txbxContent>
                  </v:textbox>
                </v:shape>
                <w10:anchorlock/>
              </v:group>
            </w:pict>
          </mc:Fallback>
        </mc:AlternateConten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图</w:t>
      </w:r>
      <w:r>
        <w:rPr>
          <w:rFonts w:eastAsia="黑体"/>
          <w:kern w:val="2"/>
          <w:sz w:val="21"/>
          <w:szCs w:val="21"/>
        </w:rPr>
        <w:t>3.</w:t>
      </w:r>
      <w:r>
        <w:rPr>
          <w:rFonts w:eastAsia="黑体" w:hint="eastAsia"/>
          <w:kern w:val="2"/>
          <w:sz w:val="21"/>
          <w:szCs w:val="21"/>
        </w:rPr>
        <w:t>3</w:t>
      </w:r>
      <w:r>
        <w:rPr>
          <w:rFonts w:eastAsia="黑体"/>
          <w:kern w:val="2"/>
          <w:sz w:val="21"/>
          <w:szCs w:val="21"/>
        </w:rPr>
        <w:t>-3</w:t>
      </w:r>
      <w:r>
        <w:rPr>
          <w:rFonts w:eastAsia="黑体" w:hint="eastAsia"/>
          <w:kern w:val="2"/>
          <w:sz w:val="21"/>
          <w:szCs w:val="21"/>
        </w:rPr>
        <w:t xml:space="preserve">   </w:t>
      </w:r>
      <w:r>
        <w:rPr>
          <w:rFonts w:eastAsia="黑体"/>
          <w:kern w:val="2"/>
          <w:sz w:val="21"/>
          <w:szCs w:val="21"/>
        </w:rPr>
        <w:t>物料平衡图单位：</w:t>
      </w:r>
      <w:r>
        <w:rPr>
          <w:rFonts w:eastAsia="黑体"/>
          <w:kern w:val="2"/>
          <w:sz w:val="21"/>
          <w:szCs w:val="21"/>
        </w:rPr>
        <w:t>t/a</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3.</w:t>
      </w:r>
      <w:r>
        <w:rPr>
          <w:rFonts w:eastAsia="黑体" w:hint="eastAsia"/>
          <w:kern w:val="2"/>
          <w:sz w:val="21"/>
          <w:szCs w:val="21"/>
        </w:rPr>
        <w:t>3</w:t>
      </w:r>
      <w:r>
        <w:rPr>
          <w:rFonts w:eastAsia="黑体"/>
          <w:kern w:val="2"/>
          <w:sz w:val="21"/>
          <w:szCs w:val="21"/>
        </w:rPr>
        <w:t xml:space="preserve">-3    </w:t>
      </w:r>
      <w:r>
        <w:rPr>
          <w:rFonts w:eastAsia="黑体"/>
          <w:kern w:val="2"/>
          <w:sz w:val="21"/>
          <w:szCs w:val="21"/>
        </w:rPr>
        <w:t>铁元素平衡计算表（</w:t>
      </w:r>
      <w:r>
        <w:rPr>
          <w:rFonts w:eastAsia="黑体"/>
          <w:kern w:val="2"/>
          <w:sz w:val="21"/>
          <w:szCs w:val="21"/>
        </w:rPr>
        <w:t>t/a</w:t>
      </w:r>
      <w:r>
        <w:rPr>
          <w:rFonts w:eastAsia="黑体"/>
          <w:kern w:val="2"/>
          <w:sz w:val="21"/>
          <w:szCs w:val="21"/>
        </w:rPr>
        <w:t>）</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701"/>
        <w:gridCol w:w="2693"/>
        <w:gridCol w:w="2035"/>
      </w:tblGrid>
      <w:tr w:rsidR="00DB7CC8">
        <w:trPr>
          <w:trHeight w:val="270"/>
        </w:trPr>
        <w:tc>
          <w:tcPr>
            <w:tcW w:w="6487" w:type="dxa"/>
            <w:gridSpan w:val="3"/>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元素名称</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铁</w:t>
            </w:r>
          </w:p>
        </w:tc>
      </w:tr>
      <w:tr w:rsidR="00DB7CC8">
        <w:trPr>
          <w:trHeight w:val="270"/>
        </w:trPr>
        <w:tc>
          <w:tcPr>
            <w:tcW w:w="2093" w:type="dxa"/>
            <w:vMerge w:val="restart"/>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投入部分</w:t>
            </w:r>
          </w:p>
        </w:tc>
        <w:tc>
          <w:tcPr>
            <w:tcW w:w="1701" w:type="dxa"/>
            <w:vMerge w:val="restart"/>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矿石</w:t>
            </w: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11</w:t>
            </w:r>
            <w:r>
              <w:rPr>
                <w:sz w:val="21"/>
                <w:szCs w:val="21"/>
              </w:rPr>
              <w:t>00000</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平均品位</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2</w:t>
            </w:r>
            <w:r>
              <w:rPr>
                <w:rFonts w:hint="eastAsia"/>
                <w:sz w:val="21"/>
                <w:szCs w:val="21"/>
              </w:rPr>
              <w:t>2</w:t>
            </w:r>
            <w:r>
              <w:rPr>
                <w:sz w:val="21"/>
                <w:szCs w:val="21"/>
              </w:rPr>
              <w:t>.73%</w:t>
            </w:r>
          </w:p>
        </w:tc>
      </w:tr>
      <w:tr w:rsidR="00DB7CC8">
        <w:trPr>
          <w:trHeight w:val="293"/>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元素质量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250030</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val="restart"/>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sz w:val="22"/>
                <w:szCs w:val="22"/>
              </w:rPr>
            </w:pPr>
            <w:r>
              <w:rPr>
                <w:sz w:val="22"/>
                <w:szCs w:val="22"/>
              </w:rPr>
              <w:t>钢球</w:t>
            </w: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105</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tcBorders>
              <w:tl2br w:val="nil"/>
              <w:tr2bl w:val="nil"/>
            </w:tcBorders>
            <w:vAlign w:val="center"/>
          </w:tcPr>
          <w:p w:rsidR="00DB7CC8" w:rsidRDefault="00DB7CC8">
            <w:pPr>
              <w:widowControl/>
              <w:spacing w:line="240" w:lineRule="auto"/>
              <w:ind w:firstLineChars="0" w:firstLine="0"/>
              <w:textAlignment w:val="auto"/>
              <w:rPr>
                <w:sz w:val="22"/>
                <w:szCs w:val="22"/>
              </w:rPr>
            </w:pP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平均品位</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100%</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tcBorders>
              <w:tl2br w:val="nil"/>
              <w:tr2bl w:val="nil"/>
            </w:tcBorders>
            <w:vAlign w:val="center"/>
          </w:tcPr>
          <w:p w:rsidR="00DB7CC8" w:rsidRDefault="00DB7CC8">
            <w:pPr>
              <w:widowControl/>
              <w:spacing w:line="240" w:lineRule="auto"/>
              <w:ind w:firstLineChars="0" w:firstLine="0"/>
              <w:textAlignment w:val="auto"/>
              <w:rPr>
                <w:sz w:val="22"/>
                <w:szCs w:val="22"/>
              </w:rPr>
            </w:pP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元素质量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105</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合计</w:t>
            </w: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元素质量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250135</w:t>
            </w:r>
          </w:p>
        </w:tc>
      </w:tr>
      <w:tr w:rsidR="00DB7CC8">
        <w:trPr>
          <w:trHeight w:val="270"/>
        </w:trPr>
        <w:tc>
          <w:tcPr>
            <w:tcW w:w="2093" w:type="dxa"/>
            <w:vMerge w:val="restart"/>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lastRenderedPageBreak/>
              <w:t>产出部分</w:t>
            </w:r>
          </w:p>
        </w:tc>
        <w:tc>
          <w:tcPr>
            <w:tcW w:w="1701" w:type="dxa"/>
            <w:vMerge w:val="restart"/>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铁精粉</w:t>
            </w: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35</w:t>
            </w:r>
            <w:r>
              <w:rPr>
                <w:sz w:val="21"/>
                <w:szCs w:val="21"/>
              </w:rPr>
              <w:t>0000</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平均品位</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66</w:t>
            </w:r>
            <w:r>
              <w:rPr>
                <w:sz w:val="21"/>
                <w:szCs w:val="21"/>
              </w:rPr>
              <w:t>%</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元素质量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231000</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val="restart"/>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尾矿砂</w:t>
            </w: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573388.473</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平均品位</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2.90</w:t>
            </w:r>
            <w:r>
              <w:rPr>
                <w:sz w:val="21"/>
                <w:szCs w:val="21"/>
              </w:rPr>
              <w:t>%</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元素质量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16659.23</w:t>
            </w:r>
            <w:r>
              <w:rPr>
                <w:sz w:val="21"/>
                <w:szCs w:val="21"/>
              </w:rPr>
              <w:t xml:space="preserve"> </w:t>
            </w:r>
          </w:p>
        </w:tc>
      </w:tr>
      <w:tr w:rsidR="00DB7CC8">
        <w:trPr>
          <w:trHeight w:val="9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val="restart"/>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石碴</w:t>
            </w: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117800</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平均品位</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1.39%</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元素质量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 xml:space="preserve">1642.60 </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val="restart"/>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sz w:val="22"/>
                <w:szCs w:val="22"/>
              </w:rPr>
            </w:pPr>
            <w:r>
              <w:rPr>
                <w:sz w:val="22"/>
                <w:szCs w:val="22"/>
              </w:rPr>
              <w:t>砂子</w:t>
            </w: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58900</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tcBorders>
              <w:tl2br w:val="nil"/>
              <w:tr2bl w:val="nil"/>
            </w:tcBorders>
            <w:vAlign w:val="center"/>
          </w:tcPr>
          <w:p w:rsidR="00DB7CC8" w:rsidRDefault="00DB7CC8">
            <w:pPr>
              <w:widowControl/>
              <w:spacing w:line="240" w:lineRule="auto"/>
              <w:ind w:firstLineChars="0" w:firstLine="0"/>
              <w:textAlignment w:val="auto"/>
              <w:rPr>
                <w:sz w:val="22"/>
                <w:szCs w:val="22"/>
              </w:rPr>
            </w:pP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平均品位</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1.39%</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tcBorders>
              <w:tl2br w:val="nil"/>
              <w:tr2bl w:val="nil"/>
            </w:tcBorders>
            <w:vAlign w:val="center"/>
          </w:tcPr>
          <w:p w:rsidR="00DB7CC8" w:rsidRDefault="00DB7CC8">
            <w:pPr>
              <w:widowControl/>
              <w:spacing w:line="240" w:lineRule="auto"/>
              <w:ind w:firstLineChars="0" w:firstLine="0"/>
              <w:textAlignment w:val="auto"/>
              <w:rPr>
                <w:sz w:val="22"/>
                <w:szCs w:val="22"/>
              </w:rPr>
            </w:pP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元素质量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 xml:space="preserve">821.30 </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val="restart"/>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粉尘</w:t>
            </w: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6.027</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平均品位</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2</w:t>
            </w:r>
            <w:r>
              <w:rPr>
                <w:rFonts w:hint="eastAsia"/>
                <w:sz w:val="21"/>
                <w:szCs w:val="21"/>
              </w:rPr>
              <w:t>2</w:t>
            </w:r>
            <w:r>
              <w:rPr>
                <w:sz w:val="21"/>
                <w:szCs w:val="21"/>
              </w:rPr>
              <w:t>.73%</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元素质量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1.370</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val="restart"/>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废钢球</w:t>
            </w: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10.5</w:t>
            </w:r>
          </w:p>
        </w:tc>
      </w:tr>
      <w:tr w:rsidR="00DB7CC8">
        <w:trPr>
          <w:trHeight w:val="270"/>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平均品位</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100%</w:t>
            </w:r>
          </w:p>
        </w:tc>
      </w:tr>
      <w:tr w:rsidR="00DB7CC8">
        <w:trPr>
          <w:trHeight w:val="296"/>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元素质量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 xml:space="preserve">10.5 </w:t>
            </w:r>
          </w:p>
        </w:tc>
      </w:tr>
      <w:tr w:rsidR="00DB7CC8">
        <w:trPr>
          <w:trHeight w:val="287"/>
        </w:trPr>
        <w:tc>
          <w:tcPr>
            <w:tcW w:w="2093"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1701"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合计</w:t>
            </w:r>
          </w:p>
        </w:tc>
        <w:tc>
          <w:tcPr>
            <w:tcW w:w="2693"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元素质量</w:t>
            </w:r>
          </w:p>
        </w:tc>
        <w:tc>
          <w:tcPr>
            <w:tcW w:w="203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250135</w:t>
            </w:r>
          </w:p>
        </w:tc>
      </w:tr>
    </w:tbl>
    <w:p w:rsidR="00DB7CC8" w:rsidRDefault="00DB7CC8">
      <w:pPr>
        <w:spacing w:line="240" w:lineRule="auto"/>
        <w:ind w:firstLineChars="0" w:firstLine="0"/>
        <w:jc w:val="center"/>
        <w:textAlignment w:val="auto"/>
        <w:rPr>
          <w:rFonts w:eastAsia="黑体"/>
          <w:kern w:val="2"/>
          <w:sz w:val="21"/>
          <w:szCs w:val="21"/>
        </w:rPr>
      </w:pPr>
    </w:p>
    <w:p w:rsidR="00DB7CC8" w:rsidRDefault="002B5250">
      <w:pPr>
        <w:spacing w:line="240" w:lineRule="auto"/>
        <w:ind w:firstLineChars="0" w:firstLine="0"/>
        <w:jc w:val="center"/>
        <w:textAlignment w:val="auto"/>
        <w:rPr>
          <w:rFonts w:eastAsia="黑体"/>
          <w:kern w:val="2"/>
          <w:sz w:val="21"/>
          <w:szCs w:val="21"/>
        </w:rPr>
      </w:pPr>
      <w:r>
        <w:rPr>
          <w:rFonts w:eastAsia="黑体"/>
          <w:bCs/>
          <w:noProof/>
          <w:sz w:val="24"/>
        </w:rPr>
        <mc:AlternateContent>
          <mc:Choice Requires="wpc">
            <w:drawing>
              <wp:inline distT="0" distB="0" distL="114300" distR="114300">
                <wp:extent cx="4162425" cy="3055620"/>
                <wp:effectExtent l="0" t="0" r="0" b="0"/>
                <wp:docPr id="97" name="画布 8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a:noFill/>
                        </a:ln>
                      </wpc:whole>
                      <wps:wsp>
                        <wps:cNvPr id="80" name="文本框 83"/>
                        <wps:cNvSpPr txBox="1"/>
                        <wps:spPr>
                          <a:xfrm>
                            <a:off x="343535" y="514350"/>
                            <a:ext cx="1190625" cy="56197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DB7CC8" w:rsidRDefault="002B5250">
                              <w:pPr>
                                <w:ind w:firstLineChars="0" w:firstLine="0"/>
                                <w:rPr>
                                  <w:sz w:val="21"/>
                                  <w:szCs w:val="21"/>
                                </w:rPr>
                              </w:pPr>
                              <w:r>
                                <w:rPr>
                                  <w:rFonts w:hint="eastAsia"/>
                                  <w:sz w:val="21"/>
                                  <w:szCs w:val="21"/>
                                </w:rPr>
                                <w:t>原料含铁元素</w:t>
                              </w:r>
                            </w:p>
                            <w:p w:rsidR="00DB7CC8" w:rsidRDefault="002B5250">
                              <w:pPr>
                                <w:ind w:firstLineChars="0" w:firstLine="0"/>
                                <w:rPr>
                                  <w:sz w:val="21"/>
                                  <w:szCs w:val="21"/>
                                </w:rPr>
                              </w:pPr>
                              <w:r>
                                <w:rPr>
                                  <w:rFonts w:hint="eastAsia"/>
                                  <w:sz w:val="21"/>
                                  <w:szCs w:val="21"/>
                                </w:rPr>
                                <w:t>250030</w:t>
                              </w:r>
                            </w:p>
                          </w:txbxContent>
                        </wps:txbx>
                        <wps:bodyPr upright="1"/>
                      </wps:wsp>
                      <wps:wsp>
                        <wps:cNvPr id="81" name="自选图形 89"/>
                        <wps:cNvCnPr/>
                        <wps:spPr>
                          <a:xfrm>
                            <a:off x="1542415" y="688975"/>
                            <a:ext cx="448310" cy="635"/>
                          </a:xfrm>
                          <a:prstGeom prst="straightConnector1">
                            <a:avLst/>
                          </a:prstGeom>
                          <a:ln w="9525" cap="flat" cmpd="sng">
                            <a:solidFill>
                              <a:srgbClr val="000000"/>
                            </a:solidFill>
                            <a:prstDash val="solid"/>
                            <a:headEnd type="none" w="med" len="med"/>
                            <a:tailEnd type="triangle" w="med" len="med"/>
                          </a:ln>
                        </wps:spPr>
                        <wps:bodyPr/>
                      </wps:wsp>
                      <wps:wsp>
                        <wps:cNvPr id="82" name="自选图形 91"/>
                        <wps:cNvCnPr/>
                        <wps:spPr>
                          <a:xfrm>
                            <a:off x="1971675" y="251460"/>
                            <a:ext cx="448310" cy="635"/>
                          </a:xfrm>
                          <a:prstGeom prst="straightConnector1">
                            <a:avLst/>
                          </a:prstGeom>
                          <a:ln w="9525" cap="flat" cmpd="sng">
                            <a:solidFill>
                              <a:srgbClr val="000000"/>
                            </a:solidFill>
                            <a:prstDash val="solid"/>
                            <a:headEnd type="none" w="med" len="med"/>
                            <a:tailEnd type="triangle" w="med" len="med"/>
                          </a:ln>
                        </wps:spPr>
                        <wps:bodyPr/>
                      </wps:wsp>
                      <wps:wsp>
                        <wps:cNvPr id="83" name="自选图形 93"/>
                        <wps:cNvCnPr/>
                        <wps:spPr>
                          <a:xfrm>
                            <a:off x="1971675" y="732790"/>
                            <a:ext cx="448310" cy="635"/>
                          </a:xfrm>
                          <a:prstGeom prst="straightConnector1">
                            <a:avLst/>
                          </a:prstGeom>
                          <a:ln w="9525" cap="flat" cmpd="sng">
                            <a:solidFill>
                              <a:srgbClr val="000000"/>
                            </a:solidFill>
                            <a:prstDash val="solid"/>
                            <a:headEnd type="none" w="med" len="med"/>
                            <a:tailEnd type="triangle" w="med" len="med"/>
                          </a:ln>
                        </wps:spPr>
                        <wps:bodyPr/>
                      </wps:wsp>
                      <wps:wsp>
                        <wps:cNvPr id="84" name="文本框 88"/>
                        <wps:cNvSpPr txBox="1"/>
                        <wps:spPr>
                          <a:xfrm>
                            <a:off x="2430145" y="46990"/>
                            <a:ext cx="1190625" cy="38163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DB7CC8" w:rsidRDefault="002B5250">
                              <w:pPr>
                                <w:ind w:firstLineChars="0" w:firstLine="0"/>
                                <w:rPr>
                                  <w:sz w:val="21"/>
                                  <w:szCs w:val="21"/>
                                </w:rPr>
                              </w:pPr>
                              <w:r>
                                <w:rPr>
                                  <w:rFonts w:hint="eastAsia"/>
                                  <w:sz w:val="21"/>
                                  <w:szCs w:val="21"/>
                                </w:rPr>
                                <w:t>铁精粉</w:t>
                              </w:r>
                              <w:r>
                                <w:rPr>
                                  <w:rFonts w:hint="eastAsia"/>
                                  <w:sz w:val="21"/>
                                  <w:szCs w:val="21"/>
                                </w:rPr>
                                <w:t>231</w:t>
                              </w:r>
                              <w:r>
                                <w:rPr>
                                  <w:rFonts w:hint="eastAsia"/>
                                  <w:sz w:val="21"/>
                                  <w:szCs w:val="21"/>
                                </w:rPr>
                                <w:t>00</w:t>
                              </w:r>
                              <w:r>
                                <w:rPr>
                                  <w:sz w:val="21"/>
                                  <w:szCs w:val="21"/>
                                </w:rPr>
                                <w:t>0</w:t>
                              </w:r>
                            </w:p>
                          </w:txbxContent>
                        </wps:txbx>
                        <wps:bodyPr upright="1"/>
                      </wps:wsp>
                      <wps:wsp>
                        <wps:cNvPr id="85" name="文本框 95"/>
                        <wps:cNvSpPr txBox="1"/>
                        <wps:spPr>
                          <a:xfrm>
                            <a:off x="2430145" y="571500"/>
                            <a:ext cx="1265555" cy="38163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DB7CC8" w:rsidRDefault="002B5250">
                              <w:pPr>
                                <w:ind w:firstLineChars="0" w:firstLine="0"/>
                                <w:rPr>
                                  <w:sz w:val="21"/>
                                  <w:szCs w:val="21"/>
                                </w:rPr>
                              </w:pPr>
                              <w:r>
                                <w:rPr>
                                  <w:rFonts w:hint="eastAsia"/>
                                  <w:sz w:val="21"/>
                                  <w:szCs w:val="21"/>
                                </w:rPr>
                                <w:t>尾矿砂</w:t>
                              </w:r>
                              <w:r>
                                <w:rPr>
                                  <w:rFonts w:hint="eastAsia"/>
                                  <w:color w:val="000000"/>
                                  <w:sz w:val="21"/>
                                  <w:szCs w:val="21"/>
                                </w:rPr>
                                <w:t>16659.23</w:t>
                              </w:r>
                            </w:p>
                          </w:txbxContent>
                        </wps:txbx>
                        <wps:bodyPr upright="1"/>
                      </wps:wsp>
                      <wps:wsp>
                        <wps:cNvPr id="86" name="自选图形 97"/>
                        <wps:cNvCnPr/>
                        <wps:spPr>
                          <a:xfrm>
                            <a:off x="1981835" y="2194560"/>
                            <a:ext cx="448310" cy="635"/>
                          </a:xfrm>
                          <a:prstGeom prst="straightConnector1">
                            <a:avLst/>
                          </a:prstGeom>
                          <a:ln w="9525" cap="flat" cmpd="sng">
                            <a:solidFill>
                              <a:srgbClr val="000000"/>
                            </a:solidFill>
                            <a:prstDash val="solid"/>
                            <a:headEnd type="none" w="med" len="med"/>
                            <a:tailEnd type="triangle" w="med" len="med"/>
                          </a:ln>
                        </wps:spPr>
                        <wps:bodyPr/>
                      </wps:wsp>
                      <wps:wsp>
                        <wps:cNvPr id="87" name="自选图形 93"/>
                        <wps:cNvCnPr/>
                        <wps:spPr>
                          <a:xfrm>
                            <a:off x="1990725" y="1228090"/>
                            <a:ext cx="448310" cy="635"/>
                          </a:xfrm>
                          <a:prstGeom prst="straightConnector1">
                            <a:avLst/>
                          </a:prstGeom>
                          <a:ln w="9525" cap="flat" cmpd="sng">
                            <a:solidFill>
                              <a:srgbClr val="000000"/>
                            </a:solidFill>
                            <a:prstDash val="solid"/>
                            <a:headEnd type="none" w="med" len="med"/>
                            <a:tailEnd type="triangle" w="med" len="med"/>
                          </a:ln>
                        </wps:spPr>
                        <wps:bodyPr/>
                      </wps:wsp>
                      <wps:wsp>
                        <wps:cNvPr id="88" name="文本框 95"/>
                        <wps:cNvSpPr txBox="1"/>
                        <wps:spPr>
                          <a:xfrm>
                            <a:off x="2449195" y="1076325"/>
                            <a:ext cx="1172210" cy="38163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DB7CC8" w:rsidRDefault="002B5250">
                              <w:pPr>
                                <w:ind w:firstLineChars="0" w:firstLine="0"/>
                                <w:rPr>
                                  <w:sz w:val="21"/>
                                  <w:szCs w:val="21"/>
                                </w:rPr>
                              </w:pPr>
                              <w:r>
                                <w:rPr>
                                  <w:rFonts w:hint="eastAsia"/>
                                  <w:sz w:val="21"/>
                                  <w:szCs w:val="21"/>
                                </w:rPr>
                                <w:t>石碴</w:t>
                              </w:r>
                              <w:r>
                                <w:rPr>
                                  <w:color w:val="000000"/>
                                  <w:sz w:val="21"/>
                                  <w:szCs w:val="21"/>
                                </w:rPr>
                                <w:t>1642.60</w:t>
                              </w:r>
                            </w:p>
                          </w:txbxContent>
                        </wps:txbx>
                        <wps:bodyPr upright="1"/>
                      </wps:wsp>
                      <wps:wsp>
                        <wps:cNvPr id="89" name="文本框 83"/>
                        <wps:cNvSpPr txBox="1"/>
                        <wps:spPr>
                          <a:xfrm>
                            <a:off x="343535" y="1327150"/>
                            <a:ext cx="1190625" cy="38163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DB7CC8" w:rsidRDefault="002B5250">
                              <w:pPr>
                                <w:ind w:firstLineChars="0" w:firstLine="0"/>
                                <w:rPr>
                                  <w:sz w:val="21"/>
                                  <w:szCs w:val="21"/>
                                </w:rPr>
                              </w:pPr>
                              <w:r>
                                <w:rPr>
                                  <w:rFonts w:hint="eastAsia"/>
                                  <w:sz w:val="21"/>
                                  <w:szCs w:val="21"/>
                                </w:rPr>
                                <w:t>钢球</w:t>
                              </w:r>
                              <w:r>
                                <w:rPr>
                                  <w:rFonts w:hint="eastAsia"/>
                                  <w:sz w:val="21"/>
                                  <w:szCs w:val="21"/>
                                </w:rPr>
                                <w:t>1</w:t>
                              </w:r>
                              <w:r>
                                <w:rPr>
                                  <w:sz w:val="21"/>
                                  <w:szCs w:val="21"/>
                                </w:rPr>
                                <w:t>05</w:t>
                              </w:r>
                            </w:p>
                          </w:txbxContent>
                        </wps:txbx>
                        <wps:bodyPr upright="1"/>
                      </wps:wsp>
                      <wps:wsp>
                        <wps:cNvPr id="90" name="自选图形 89"/>
                        <wps:cNvCnPr/>
                        <wps:spPr>
                          <a:xfrm>
                            <a:off x="1542415" y="1537335"/>
                            <a:ext cx="448310" cy="635"/>
                          </a:xfrm>
                          <a:prstGeom prst="straightConnector1">
                            <a:avLst/>
                          </a:prstGeom>
                          <a:ln w="9525" cap="flat" cmpd="sng">
                            <a:solidFill>
                              <a:srgbClr val="000000"/>
                            </a:solidFill>
                            <a:prstDash val="solid"/>
                            <a:headEnd type="none" w="med" len="med"/>
                            <a:tailEnd type="triangle" w="med" len="med"/>
                          </a:ln>
                        </wps:spPr>
                        <wps:bodyPr/>
                      </wps:wsp>
                      <wps:wsp>
                        <wps:cNvPr id="91" name="自选图形 1081"/>
                        <wps:cNvCnPr/>
                        <wps:spPr>
                          <a:xfrm>
                            <a:off x="1970405" y="257175"/>
                            <a:ext cx="635" cy="2458720"/>
                          </a:xfrm>
                          <a:prstGeom prst="straightConnector1">
                            <a:avLst/>
                          </a:prstGeom>
                          <a:ln w="9525" cap="flat" cmpd="sng">
                            <a:solidFill>
                              <a:srgbClr val="000000"/>
                            </a:solidFill>
                            <a:prstDash val="solid"/>
                            <a:headEnd type="none" w="med" len="med"/>
                            <a:tailEnd type="none" w="med" len="med"/>
                          </a:ln>
                        </wps:spPr>
                        <wps:bodyPr/>
                      </wps:wsp>
                      <wps:wsp>
                        <wps:cNvPr id="92" name="自选图形 93"/>
                        <wps:cNvCnPr/>
                        <wps:spPr>
                          <a:xfrm>
                            <a:off x="1962150" y="1685290"/>
                            <a:ext cx="448310" cy="635"/>
                          </a:xfrm>
                          <a:prstGeom prst="straightConnector1">
                            <a:avLst/>
                          </a:prstGeom>
                          <a:ln w="9525" cap="flat" cmpd="sng">
                            <a:solidFill>
                              <a:srgbClr val="000000"/>
                            </a:solidFill>
                            <a:prstDash val="solid"/>
                            <a:headEnd type="none" w="med" len="med"/>
                            <a:tailEnd type="triangle" w="med" len="med"/>
                          </a:ln>
                        </wps:spPr>
                        <wps:bodyPr/>
                      </wps:wsp>
                      <wps:wsp>
                        <wps:cNvPr id="93" name="文本框 95"/>
                        <wps:cNvSpPr txBox="1"/>
                        <wps:spPr>
                          <a:xfrm>
                            <a:off x="2430145" y="1533525"/>
                            <a:ext cx="970280" cy="38163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DB7CC8" w:rsidRDefault="002B5250">
                              <w:pPr>
                                <w:ind w:firstLineChars="0" w:firstLine="0"/>
                                <w:rPr>
                                  <w:sz w:val="21"/>
                                  <w:szCs w:val="21"/>
                                </w:rPr>
                              </w:pPr>
                              <w:r>
                                <w:rPr>
                                  <w:rFonts w:hint="eastAsia"/>
                                  <w:sz w:val="21"/>
                                  <w:szCs w:val="21"/>
                                </w:rPr>
                                <w:t>砂子</w:t>
                              </w:r>
                              <w:r>
                                <w:rPr>
                                  <w:color w:val="000000"/>
                                  <w:sz w:val="21"/>
                                  <w:szCs w:val="21"/>
                                </w:rPr>
                                <w:t>821.30</w:t>
                              </w:r>
                            </w:p>
                          </w:txbxContent>
                        </wps:txbx>
                        <wps:bodyPr upright="1"/>
                      </wps:wsp>
                      <wps:wsp>
                        <wps:cNvPr id="94" name="自选图形 97"/>
                        <wps:cNvCnPr/>
                        <wps:spPr>
                          <a:xfrm>
                            <a:off x="1972310" y="2689860"/>
                            <a:ext cx="448310" cy="635"/>
                          </a:xfrm>
                          <a:prstGeom prst="straightConnector1">
                            <a:avLst/>
                          </a:prstGeom>
                          <a:ln w="9525" cap="flat" cmpd="sng">
                            <a:solidFill>
                              <a:srgbClr val="000000"/>
                            </a:solidFill>
                            <a:prstDash val="solid"/>
                            <a:headEnd type="none" w="med" len="med"/>
                            <a:tailEnd type="triangle" w="med" len="med"/>
                          </a:ln>
                        </wps:spPr>
                        <wps:bodyPr/>
                      </wps:wsp>
                      <wps:wsp>
                        <wps:cNvPr id="95" name="文本框 96"/>
                        <wps:cNvSpPr txBox="1"/>
                        <wps:spPr>
                          <a:xfrm>
                            <a:off x="2411730" y="2552700"/>
                            <a:ext cx="1190625" cy="38163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DB7CC8" w:rsidRDefault="002B5250">
                              <w:pPr>
                                <w:ind w:firstLineChars="0" w:firstLine="0"/>
                                <w:rPr>
                                  <w:sz w:val="21"/>
                                  <w:szCs w:val="21"/>
                                </w:rPr>
                              </w:pPr>
                              <w:r>
                                <w:rPr>
                                  <w:rFonts w:hint="eastAsia"/>
                                  <w:sz w:val="21"/>
                                  <w:szCs w:val="21"/>
                                </w:rPr>
                                <w:t>废钢球</w:t>
                              </w:r>
                              <w:r>
                                <w:rPr>
                                  <w:rFonts w:hint="eastAsia"/>
                                  <w:sz w:val="21"/>
                                  <w:szCs w:val="21"/>
                                </w:rPr>
                                <w:t>1</w:t>
                              </w:r>
                              <w:r>
                                <w:rPr>
                                  <w:sz w:val="21"/>
                                  <w:szCs w:val="21"/>
                                </w:rPr>
                                <w:t>0.5</w:t>
                              </w:r>
                            </w:p>
                          </w:txbxContent>
                        </wps:txbx>
                        <wps:bodyPr upright="1"/>
                      </wps:wsp>
                      <wps:wsp>
                        <wps:cNvPr id="96" name="文本框 96"/>
                        <wps:cNvSpPr txBox="1"/>
                        <wps:spPr>
                          <a:xfrm>
                            <a:off x="2430780" y="2044700"/>
                            <a:ext cx="1190625" cy="38163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DB7CC8" w:rsidRDefault="002B5250">
                              <w:pPr>
                                <w:ind w:firstLineChars="0" w:firstLine="0"/>
                                <w:rPr>
                                  <w:sz w:val="21"/>
                                  <w:szCs w:val="21"/>
                                </w:rPr>
                              </w:pPr>
                              <w:r>
                                <w:rPr>
                                  <w:rFonts w:hint="eastAsia"/>
                                  <w:sz w:val="21"/>
                                  <w:szCs w:val="21"/>
                                </w:rPr>
                                <w:t>粉尘</w:t>
                              </w:r>
                              <w:r>
                                <w:rPr>
                                  <w:sz w:val="21"/>
                                  <w:szCs w:val="21"/>
                                </w:rPr>
                                <w:t>1.</w:t>
                              </w:r>
                              <w:r>
                                <w:rPr>
                                  <w:rFonts w:hint="eastAsia"/>
                                  <w:sz w:val="21"/>
                                  <w:szCs w:val="21"/>
                                </w:rPr>
                                <w:t>37</w:t>
                              </w:r>
                            </w:p>
                          </w:txbxContent>
                        </wps:txbx>
                        <wps:bodyPr upright="1"/>
                      </wps:wsp>
                    </wpc:wpc>
                  </a:graphicData>
                </a:graphic>
              </wp:inline>
            </w:drawing>
          </mc:Choice>
          <mc:Fallback>
            <w:pict>
              <v:group id="画布 86" o:spid="_x0000_s1055" editas="canvas" style="width:327.75pt;height:240.6pt;mso-position-horizontal-relative:char;mso-position-vertical-relative:line" coordsize="41624,30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">
                <v:shape id="_x0000_s1056" type="#_x0000_t75" style="position:absolute;width:41624;height:30556;visibility:visible;mso-wrap-style:square">
                  <v:fill o:detectmouseclick="t"/>
                  <v:path o:connecttype="none"/>
                </v:shape>
                <v:shape id="文本框 83" o:spid="_x0000_s1057" type="#_x0000_t202" style="position:absolute;left:3435;top:5143;width:11906;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">
                  <v:textbox>
                    <w:txbxContent>
                      <w:p w:rsidR="00DB7CC8" w:rsidRDefault="002B5250">
                        <w:pPr>
                          <w:ind w:firstLineChars="0" w:firstLine="0"/>
                          <w:rPr>
                            <w:sz w:val="21"/>
                            <w:szCs w:val="21"/>
                          </w:rPr>
                        </w:pPr>
                        <w:r>
                          <w:rPr>
                            <w:rFonts w:hint="eastAsia"/>
                            <w:sz w:val="21"/>
                            <w:szCs w:val="21"/>
                          </w:rPr>
                          <w:t>原料含铁元素</w:t>
                        </w:r>
                      </w:p>
                      <w:p w:rsidR="00DB7CC8" w:rsidRDefault="002B5250">
                        <w:pPr>
                          <w:ind w:firstLineChars="0" w:firstLine="0"/>
                          <w:rPr>
                            <w:sz w:val="21"/>
                            <w:szCs w:val="21"/>
                          </w:rPr>
                        </w:pPr>
                        <w:r>
                          <w:rPr>
                            <w:rFonts w:hint="eastAsia"/>
                            <w:sz w:val="21"/>
                            <w:szCs w:val="21"/>
                          </w:rPr>
                          <w:t>250030</w:t>
                        </w:r>
                      </w:p>
                    </w:txbxContent>
                  </v:textbox>
                </v:shape>
                <v:shape id="自选图形 89" o:spid="_x0000_s1058" type="#_x0000_t32" style="position:absolute;left:15424;top:6889;width:4483;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">
                  <v:stroke endarrow="block"/>
                </v:shape>
                <v:shape id="自选图形 91" o:spid="_x0000_s1059" type="#_x0000_t32" style="position:absolute;left:19716;top:2514;width:4483;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">
                  <v:stroke endarrow="block"/>
                </v:shape>
                <v:shape id="自选图形 93" o:spid="_x0000_s1060" type="#_x0000_t32" style="position:absolute;left:19716;top:7327;width:4483;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">
                  <v:stroke endarrow="block"/>
                </v:shape>
                <v:shape id="文本框 88" o:spid="_x0000_s1061" type="#_x0000_t202" style="position:absolute;left:24301;top:469;width:11906;height:3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">
                  <v:textbox>
                    <w:txbxContent>
                      <w:p w:rsidR="00DB7CC8" w:rsidRDefault="002B5250">
                        <w:pPr>
                          <w:ind w:firstLineChars="0" w:firstLine="0"/>
                          <w:rPr>
                            <w:sz w:val="21"/>
                            <w:szCs w:val="21"/>
                          </w:rPr>
                        </w:pPr>
                        <w:r>
                          <w:rPr>
                            <w:rFonts w:hint="eastAsia"/>
                            <w:sz w:val="21"/>
                            <w:szCs w:val="21"/>
                          </w:rPr>
                          <w:t>铁精粉</w:t>
                        </w:r>
                        <w:r>
                          <w:rPr>
                            <w:rFonts w:hint="eastAsia"/>
                            <w:sz w:val="21"/>
                            <w:szCs w:val="21"/>
                          </w:rPr>
                          <w:t>231</w:t>
                        </w:r>
                        <w:r>
                          <w:rPr>
                            <w:rFonts w:hint="eastAsia"/>
                            <w:sz w:val="21"/>
                            <w:szCs w:val="21"/>
                          </w:rPr>
                          <w:t>00</w:t>
                        </w:r>
                        <w:r>
                          <w:rPr>
                            <w:sz w:val="21"/>
                            <w:szCs w:val="21"/>
                          </w:rPr>
                          <w:t>0</w:t>
                        </w:r>
                      </w:p>
                    </w:txbxContent>
                  </v:textbox>
                </v:shape>
                <v:shape id="文本框 95" o:spid="_x0000_s1062" type="#_x0000_t202" style="position:absolute;left:24301;top:5715;width:12656;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">
                  <v:textbox>
                    <w:txbxContent>
                      <w:p w:rsidR="00DB7CC8" w:rsidRDefault="002B5250">
                        <w:pPr>
                          <w:ind w:firstLineChars="0" w:firstLine="0"/>
                          <w:rPr>
                            <w:sz w:val="21"/>
                            <w:szCs w:val="21"/>
                          </w:rPr>
                        </w:pPr>
                        <w:r>
                          <w:rPr>
                            <w:rFonts w:hint="eastAsia"/>
                            <w:sz w:val="21"/>
                            <w:szCs w:val="21"/>
                          </w:rPr>
                          <w:t>尾矿砂</w:t>
                        </w:r>
                        <w:r>
                          <w:rPr>
                            <w:rFonts w:hint="eastAsia"/>
                            <w:color w:val="000000"/>
                            <w:sz w:val="21"/>
                            <w:szCs w:val="21"/>
                          </w:rPr>
                          <w:t>16659.23</w:t>
                        </w:r>
                      </w:p>
                    </w:txbxContent>
                  </v:textbox>
                </v:shape>
                <v:shape id="自选图形 97" o:spid="_x0000_s1063" type="#_x0000_t32" style="position:absolute;left:19818;top:21945;width:4483;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">
                  <v:stroke endarrow="block"/>
                </v:shape>
                <v:shape id="自选图形 93" o:spid="_x0000_s1064" type="#_x0000_t32" style="position:absolute;left:19907;top:12280;width:4483;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">
                  <v:stroke endarrow="block"/>
                </v:shape>
                <v:shape id="文本框 95" o:spid="_x0000_s1065" type="#_x0000_t202" style="position:absolute;left:24491;top:10763;width:11723;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">
                  <v:textbox>
                    <w:txbxContent>
                      <w:p w:rsidR="00DB7CC8" w:rsidRDefault="002B5250">
                        <w:pPr>
                          <w:ind w:firstLineChars="0" w:firstLine="0"/>
                          <w:rPr>
                            <w:sz w:val="21"/>
                            <w:szCs w:val="21"/>
                          </w:rPr>
                        </w:pPr>
                        <w:r>
                          <w:rPr>
                            <w:rFonts w:hint="eastAsia"/>
                            <w:sz w:val="21"/>
                            <w:szCs w:val="21"/>
                          </w:rPr>
                          <w:t>石碴</w:t>
                        </w:r>
                        <w:r>
                          <w:rPr>
                            <w:color w:val="000000"/>
                            <w:sz w:val="21"/>
                            <w:szCs w:val="21"/>
                          </w:rPr>
                          <w:t>1642.60</w:t>
                        </w:r>
                      </w:p>
                    </w:txbxContent>
                  </v:textbox>
                </v:shape>
                <v:shape id="文本框 83" o:spid="_x0000_s1066" type="#_x0000_t202" style="position:absolute;left:3435;top:13271;width:11906;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">
                  <v:textbox>
                    <w:txbxContent>
                      <w:p w:rsidR="00DB7CC8" w:rsidRDefault="002B5250">
                        <w:pPr>
                          <w:ind w:firstLineChars="0" w:firstLine="0"/>
                          <w:rPr>
                            <w:sz w:val="21"/>
                            <w:szCs w:val="21"/>
                          </w:rPr>
                        </w:pPr>
                        <w:r>
                          <w:rPr>
                            <w:rFonts w:hint="eastAsia"/>
                            <w:sz w:val="21"/>
                            <w:szCs w:val="21"/>
                          </w:rPr>
                          <w:t>钢球</w:t>
                        </w:r>
                        <w:r>
                          <w:rPr>
                            <w:rFonts w:hint="eastAsia"/>
                            <w:sz w:val="21"/>
                            <w:szCs w:val="21"/>
                          </w:rPr>
                          <w:t>1</w:t>
                        </w:r>
                        <w:r>
                          <w:rPr>
                            <w:sz w:val="21"/>
                            <w:szCs w:val="21"/>
                          </w:rPr>
                          <w:t>05</w:t>
                        </w:r>
                      </w:p>
                    </w:txbxContent>
                  </v:textbox>
                </v:shape>
                <v:shape id="自选图形 89" o:spid="_x0000_s1067" type="#_x0000_t32" style="position:absolute;left:15424;top:15373;width:4483;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">
                  <v:stroke endarrow="block"/>
                </v:shape>
                <v:shape id="自选图形 1081" o:spid="_x0000_s1068" type="#_x0000_t32" style="position:absolute;left:19704;top:2571;width:6;height:245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"/>
                <v:shape id="自选图形 93" o:spid="_x0000_s1069" type="#_x0000_t32" style="position:absolute;left:19621;top:16852;width:4483;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">
                  <v:stroke endarrow="block"/>
                </v:shape>
                <v:shape id="文本框 95" o:spid="_x0000_s1070" type="#_x0000_t202" style="position:absolute;left:24301;top:15335;width:9703;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">
                  <v:textbox>
                    <w:txbxContent>
                      <w:p w:rsidR="00DB7CC8" w:rsidRDefault="002B5250">
                        <w:pPr>
                          <w:ind w:firstLineChars="0" w:firstLine="0"/>
                          <w:rPr>
                            <w:sz w:val="21"/>
                            <w:szCs w:val="21"/>
                          </w:rPr>
                        </w:pPr>
                        <w:r>
                          <w:rPr>
                            <w:rFonts w:hint="eastAsia"/>
                            <w:sz w:val="21"/>
                            <w:szCs w:val="21"/>
                          </w:rPr>
                          <w:t>砂子</w:t>
                        </w:r>
                        <w:r>
                          <w:rPr>
                            <w:color w:val="000000"/>
                            <w:sz w:val="21"/>
                            <w:szCs w:val="21"/>
                          </w:rPr>
                          <w:t>821.30</w:t>
                        </w:r>
                      </w:p>
                    </w:txbxContent>
                  </v:textbox>
                </v:shape>
                <v:shape id="自选图形 97" o:spid="_x0000_s1071" type="#_x0000_t32" style="position:absolute;left:19723;top:26898;width:4483;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">
                  <v:stroke endarrow="block"/>
                </v:shape>
                <v:shape id="文本框 96" o:spid="_x0000_s1072" type="#_x0000_t202" style="position:absolute;left:24117;top:25527;width:11906;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">
                  <v:textbox>
                    <w:txbxContent>
                      <w:p w:rsidR="00DB7CC8" w:rsidRDefault="002B5250">
                        <w:pPr>
                          <w:ind w:firstLineChars="0" w:firstLine="0"/>
                          <w:rPr>
                            <w:sz w:val="21"/>
                            <w:szCs w:val="21"/>
                          </w:rPr>
                        </w:pPr>
                        <w:r>
                          <w:rPr>
                            <w:rFonts w:hint="eastAsia"/>
                            <w:sz w:val="21"/>
                            <w:szCs w:val="21"/>
                          </w:rPr>
                          <w:t>废钢球</w:t>
                        </w:r>
                        <w:r>
                          <w:rPr>
                            <w:rFonts w:hint="eastAsia"/>
                            <w:sz w:val="21"/>
                            <w:szCs w:val="21"/>
                          </w:rPr>
                          <w:t>1</w:t>
                        </w:r>
                        <w:r>
                          <w:rPr>
                            <w:sz w:val="21"/>
                            <w:szCs w:val="21"/>
                          </w:rPr>
                          <w:t>0.5</w:t>
                        </w:r>
                      </w:p>
                    </w:txbxContent>
                  </v:textbox>
                </v:shape>
                <v:shape id="文本框 96" o:spid="_x0000_s1073" type="#_x0000_t202" style="position:absolute;left:24307;top:20447;width:11907;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">
                  <v:textbox>
                    <w:txbxContent>
                      <w:p w:rsidR="00DB7CC8" w:rsidRDefault="002B5250">
                        <w:pPr>
                          <w:ind w:firstLineChars="0" w:firstLine="0"/>
                          <w:rPr>
                            <w:sz w:val="21"/>
                            <w:szCs w:val="21"/>
                          </w:rPr>
                        </w:pPr>
                        <w:r>
                          <w:rPr>
                            <w:rFonts w:hint="eastAsia"/>
                            <w:sz w:val="21"/>
                            <w:szCs w:val="21"/>
                          </w:rPr>
                          <w:t>粉尘</w:t>
                        </w:r>
                        <w:r>
                          <w:rPr>
                            <w:sz w:val="21"/>
                            <w:szCs w:val="21"/>
                          </w:rPr>
                          <w:t>1.</w:t>
                        </w:r>
                        <w:r>
                          <w:rPr>
                            <w:rFonts w:hint="eastAsia"/>
                            <w:sz w:val="21"/>
                            <w:szCs w:val="21"/>
                          </w:rPr>
                          <w:t>37</w:t>
                        </w:r>
                      </w:p>
                    </w:txbxContent>
                  </v:textbox>
                </v:shape>
                <w10:anchorlock/>
              </v:group>
            </w:pict>
          </mc:Fallback>
        </mc:AlternateContent>
      </w:r>
    </w:p>
    <w:p w:rsidR="00DB7CC8" w:rsidRDefault="002B5250">
      <w:pPr>
        <w:spacing w:beforeLines="50" w:before="120" w:line="240" w:lineRule="auto"/>
        <w:ind w:firstLineChars="0" w:firstLine="0"/>
        <w:jc w:val="center"/>
        <w:textAlignment w:val="auto"/>
        <w:rPr>
          <w:rFonts w:eastAsia="黑体"/>
          <w:kern w:val="2"/>
          <w:sz w:val="21"/>
          <w:szCs w:val="21"/>
        </w:rPr>
      </w:pPr>
      <w:r>
        <w:rPr>
          <w:rFonts w:eastAsia="黑体"/>
          <w:kern w:val="2"/>
          <w:sz w:val="21"/>
          <w:szCs w:val="21"/>
        </w:rPr>
        <w:t>图</w:t>
      </w:r>
      <w:r>
        <w:rPr>
          <w:rFonts w:eastAsia="黑体"/>
          <w:kern w:val="2"/>
          <w:sz w:val="21"/>
          <w:szCs w:val="21"/>
        </w:rPr>
        <w:t>3.</w:t>
      </w:r>
      <w:r>
        <w:rPr>
          <w:rFonts w:eastAsia="黑体" w:hint="eastAsia"/>
          <w:kern w:val="2"/>
          <w:sz w:val="21"/>
          <w:szCs w:val="21"/>
        </w:rPr>
        <w:t>3</w:t>
      </w:r>
      <w:r>
        <w:rPr>
          <w:rFonts w:eastAsia="黑体"/>
          <w:kern w:val="2"/>
          <w:sz w:val="21"/>
          <w:szCs w:val="21"/>
        </w:rPr>
        <w:t>-4</w:t>
      </w:r>
      <w:r>
        <w:rPr>
          <w:rFonts w:eastAsia="黑体" w:hint="eastAsia"/>
          <w:kern w:val="2"/>
          <w:sz w:val="21"/>
          <w:szCs w:val="21"/>
        </w:rPr>
        <w:t xml:space="preserve">   </w:t>
      </w:r>
      <w:r>
        <w:rPr>
          <w:rFonts w:eastAsia="黑体"/>
          <w:kern w:val="2"/>
          <w:sz w:val="21"/>
          <w:szCs w:val="21"/>
        </w:rPr>
        <w:t>铁元素平衡图单位：</w:t>
      </w:r>
      <w:r>
        <w:rPr>
          <w:rFonts w:eastAsia="黑体"/>
          <w:kern w:val="2"/>
          <w:sz w:val="21"/>
          <w:szCs w:val="21"/>
        </w:rPr>
        <w:t>t/a</w:t>
      </w:r>
      <w:bookmarkEnd w:id="208"/>
    </w:p>
    <w:p w:rsidR="00DB7CC8" w:rsidRDefault="00DB7CC8">
      <w:pPr>
        <w:spacing w:beforeLines="50" w:before="120" w:line="240" w:lineRule="auto"/>
        <w:ind w:firstLineChars="0" w:firstLine="0"/>
        <w:jc w:val="center"/>
        <w:textAlignment w:val="auto"/>
        <w:rPr>
          <w:rFonts w:eastAsia="黑体"/>
          <w:kern w:val="2"/>
          <w:sz w:val="21"/>
          <w:szCs w:val="21"/>
        </w:rPr>
      </w:pP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211" w:name="_Toc24701"/>
      <w:bookmarkStart w:id="212" w:name="_Toc521591767"/>
      <w:bookmarkStart w:id="213" w:name="_Toc22360"/>
      <w:bookmarkStart w:id="214" w:name="_Toc9834"/>
      <w:bookmarkStart w:id="215" w:name="_Toc524284667"/>
      <w:bookmarkStart w:id="216" w:name="_Toc8835"/>
      <w:r>
        <w:rPr>
          <w:rFonts w:ascii="Times New Roman" w:eastAsia="宋体" w:hAnsi="Times New Roman"/>
          <w:bCs w:val="0"/>
          <w:snapToGrid w:val="0"/>
          <w:kern w:val="0"/>
          <w:sz w:val="28"/>
          <w:szCs w:val="28"/>
        </w:rPr>
        <w:t>污染源源强核算</w:t>
      </w:r>
      <w:bookmarkEnd w:id="211"/>
      <w:bookmarkEnd w:id="212"/>
      <w:bookmarkEnd w:id="213"/>
      <w:bookmarkEnd w:id="214"/>
      <w:bookmarkEnd w:id="215"/>
      <w:bookmarkEnd w:id="216"/>
    </w:p>
    <w:p w:rsidR="00DB7CC8" w:rsidRDefault="002B5250">
      <w:pPr>
        <w:pStyle w:val="3"/>
        <w:numPr>
          <w:ilvl w:val="2"/>
          <w:numId w:val="1"/>
        </w:numPr>
      </w:pPr>
      <w:bookmarkStart w:id="217" w:name="_Toc27951"/>
      <w:r>
        <w:rPr>
          <w:szCs w:val="28"/>
        </w:rPr>
        <w:t>施工期污染源强核算</w:t>
      </w:r>
      <w:bookmarkEnd w:id="217"/>
    </w:p>
    <w:p w:rsidR="00DB7CC8" w:rsidRDefault="002B5250">
      <w:pPr>
        <w:pStyle w:val="4"/>
        <w:rPr>
          <w:rFonts w:eastAsiaTheme="minorEastAsia"/>
          <w:b/>
        </w:rPr>
      </w:pPr>
      <w:r>
        <w:rPr>
          <w:rFonts w:eastAsiaTheme="minorEastAsia"/>
          <w:b/>
        </w:rPr>
        <w:t>3.</w:t>
      </w:r>
      <w:r>
        <w:rPr>
          <w:rFonts w:eastAsiaTheme="minorEastAsia" w:hint="eastAsia"/>
          <w:b/>
        </w:rPr>
        <w:t>4</w:t>
      </w:r>
      <w:r>
        <w:rPr>
          <w:rFonts w:eastAsiaTheme="minorEastAsia"/>
          <w:b/>
        </w:rPr>
        <w:t>.1.1</w:t>
      </w:r>
      <w:r>
        <w:rPr>
          <w:rFonts w:eastAsiaTheme="minorEastAsia"/>
          <w:b/>
        </w:rPr>
        <w:t>大气污染源</w:t>
      </w:r>
    </w:p>
    <w:p w:rsidR="00DB7CC8" w:rsidRDefault="002B5250">
      <w:pPr>
        <w:ind w:firstLine="480"/>
        <w:jc w:val="both"/>
        <w:rPr>
          <w:bCs/>
          <w:sz w:val="24"/>
          <w:szCs w:val="24"/>
        </w:rPr>
      </w:pPr>
      <w:r>
        <w:rPr>
          <w:bCs/>
          <w:sz w:val="24"/>
          <w:szCs w:val="24"/>
        </w:rPr>
        <w:t>本项目施工期大气污染源主要为土建及场地平整等过程产生的扬尘，以及运输车辆、施工机械产生的燃油废气。</w:t>
      </w:r>
    </w:p>
    <w:p w:rsidR="00DB7CC8" w:rsidRDefault="002B5250">
      <w:pPr>
        <w:ind w:firstLine="480"/>
        <w:jc w:val="both"/>
        <w:rPr>
          <w:bCs/>
          <w:sz w:val="24"/>
          <w:szCs w:val="24"/>
        </w:rPr>
      </w:pPr>
      <w:r>
        <w:rPr>
          <w:bCs/>
          <w:sz w:val="24"/>
          <w:szCs w:val="24"/>
        </w:rPr>
        <w:t>（</w:t>
      </w:r>
      <w:r>
        <w:rPr>
          <w:bCs/>
          <w:sz w:val="24"/>
          <w:szCs w:val="24"/>
        </w:rPr>
        <w:t>1</w:t>
      </w:r>
      <w:r>
        <w:rPr>
          <w:bCs/>
          <w:sz w:val="24"/>
          <w:szCs w:val="24"/>
        </w:rPr>
        <w:t>）扬尘</w:t>
      </w:r>
    </w:p>
    <w:p w:rsidR="00DB7CC8" w:rsidRDefault="002B5250">
      <w:pPr>
        <w:ind w:firstLine="480"/>
        <w:jc w:val="both"/>
        <w:rPr>
          <w:bCs/>
          <w:sz w:val="24"/>
          <w:szCs w:val="24"/>
        </w:rPr>
      </w:pPr>
      <w:r>
        <w:rPr>
          <w:bCs/>
          <w:sz w:val="24"/>
          <w:szCs w:val="24"/>
        </w:rPr>
        <w:lastRenderedPageBreak/>
        <w:t>施工过程中场地平整等过程产生的扬尘使周边空气环境中的</w:t>
      </w:r>
      <w:r>
        <w:rPr>
          <w:bCs/>
          <w:sz w:val="24"/>
          <w:szCs w:val="24"/>
        </w:rPr>
        <w:t>TSP</w:t>
      </w:r>
      <w:r>
        <w:rPr>
          <w:bCs/>
          <w:sz w:val="24"/>
          <w:szCs w:val="24"/>
        </w:rPr>
        <w:t>浓度增加。根据类比资料，施工扬尘的起尘量与许多因素有关。影响起尘量的因素包括：基础施工起尘量、施工渣土堆场起尘量、进出车辆夹带泥砂量、弃土外运装载起尘量以及起尘高度、采取的防护措施、空气湿度、风速等因素有关。施工现场周围扬尘浓度与源强大小及距离有关。根据类似项目的现场测定，施工扬尘一般在洒水情况下，扬尘量会小于土方量的</w:t>
      </w:r>
      <w:r>
        <w:rPr>
          <w:bCs/>
          <w:sz w:val="24"/>
          <w:szCs w:val="24"/>
        </w:rPr>
        <w:t>0.1</w:t>
      </w:r>
      <w:r>
        <w:rPr>
          <w:bCs/>
          <w:sz w:val="24"/>
          <w:szCs w:val="24"/>
        </w:rPr>
        <w:t>％；在干燥情况下，可以达到土方量的</w:t>
      </w:r>
      <w:r>
        <w:rPr>
          <w:bCs/>
          <w:sz w:val="24"/>
          <w:szCs w:val="24"/>
        </w:rPr>
        <w:t>1%</w:t>
      </w:r>
      <w:r>
        <w:rPr>
          <w:bCs/>
          <w:sz w:val="24"/>
          <w:szCs w:val="24"/>
        </w:rPr>
        <w:t>以上，影响距离不大于</w:t>
      </w:r>
      <w:r>
        <w:rPr>
          <w:bCs/>
          <w:sz w:val="24"/>
          <w:szCs w:val="24"/>
        </w:rPr>
        <w:t>100m</w:t>
      </w:r>
      <w:r>
        <w:rPr>
          <w:bCs/>
          <w:sz w:val="24"/>
          <w:szCs w:val="24"/>
        </w:rPr>
        <w:t>；在洒水和避免大风日施工情况下，下风向</w:t>
      </w:r>
      <w:r>
        <w:rPr>
          <w:bCs/>
          <w:sz w:val="24"/>
          <w:szCs w:val="24"/>
        </w:rPr>
        <w:t>50m</w:t>
      </w:r>
      <w:r>
        <w:rPr>
          <w:bCs/>
          <w:sz w:val="24"/>
          <w:szCs w:val="24"/>
        </w:rPr>
        <w:t>处</w:t>
      </w:r>
      <w:r>
        <w:rPr>
          <w:bCs/>
          <w:sz w:val="24"/>
          <w:szCs w:val="24"/>
        </w:rPr>
        <w:t>TSP</w:t>
      </w:r>
      <w:r>
        <w:rPr>
          <w:bCs/>
          <w:sz w:val="24"/>
          <w:szCs w:val="24"/>
        </w:rPr>
        <w:t>预测浓度会</w:t>
      </w:r>
      <w:r>
        <w:rPr>
          <w:bCs/>
          <w:sz w:val="24"/>
          <w:szCs w:val="24"/>
        </w:rPr>
        <w:t>小于</w:t>
      </w:r>
      <w:r>
        <w:rPr>
          <w:bCs/>
          <w:sz w:val="24"/>
          <w:szCs w:val="24"/>
        </w:rPr>
        <w:t>0.3mg/m</w:t>
      </w:r>
      <w:r>
        <w:rPr>
          <w:bCs/>
          <w:sz w:val="24"/>
          <w:szCs w:val="24"/>
          <w:vertAlign w:val="superscript"/>
        </w:rPr>
        <w:t>3</w:t>
      </w:r>
      <w:r>
        <w:rPr>
          <w:bCs/>
          <w:sz w:val="24"/>
          <w:szCs w:val="24"/>
        </w:rPr>
        <w:t>。</w:t>
      </w:r>
    </w:p>
    <w:p w:rsidR="00DB7CC8" w:rsidRDefault="002B5250">
      <w:pPr>
        <w:ind w:firstLine="480"/>
        <w:jc w:val="both"/>
        <w:rPr>
          <w:bCs/>
          <w:sz w:val="24"/>
          <w:szCs w:val="24"/>
        </w:rPr>
      </w:pPr>
      <w:r>
        <w:rPr>
          <w:bCs/>
          <w:sz w:val="24"/>
          <w:szCs w:val="24"/>
        </w:rPr>
        <w:t>（</w:t>
      </w:r>
      <w:r>
        <w:rPr>
          <w:bCs/>
          <w:sz w:val="24"/>
          <w:szCs w:val="24"/>
        </w:rPr>
        <w:t>2</w:t>
      </w:r>
      <w:r>
        <w:rPr>
          <w:bCs/>
          <w:sz w:val="24"/>
          <w:szCs w:val="24"/>
        </w:rPr>
        <w:t>）施工机械、机动车辆排放的尾气</w:t>
      </w:r>
    </w:p>
    <w:p w:rsidR="00DB7CC8" w:rsidRDefault="002B5250">
      <w:pPr>
        <w:ind w:firstLine="480"/>
        <w:jc w:val="both"/>
        <w:rPr>
          <w:bCs/>
          <w:sz w:val="24"/>
          <w:szCs w:val="24"/>
        </w:rPr>
      </w:pPr>
      <w:r>
        <w:rPr>
          <w:bCs/>
          <w:sz w:val="24"/>
          <w:szCs w:val="24"/>
        </w:rPr>
        <w:t>施工中将会有各种工程及运输用车来往于施工现场，主要有运输卡车、翻斗车、挖掘机、铲车、推土机等。一般燃汽油和柴油卡车排放的尾气中均含有颗粒物、</w:t>
      </w:r>
      <w:r>
        <w:rPr>
          <w:bCs/>
          <w:sz w:val="24"/>
          <w:szCs w:val="24"/>
        </w:rPr>
        <w:t>CO</w:t>
      </w:r>
      <w:r>
        <w:rPr>
          <w:bCs/>
          <w:sz w:val="24"/>
          <w:szCs w:val="24"/>
        </w:rPr>
        <w:t>、</w:t>
      </w:r>
      <w:r>
        <w:rPr>
          <w:bCs/>
          <w:sz w:val="24"/>
          <w:szCs w:val="24"/>
        </w:rPr>
        <w:t>NOx</w:t>
      </w:r>
      <w:r>
        <w:rPr>
          <w:bCs/>
          <w:sz w:val="24"/>
          <w:szCs w:val="24"/>
        </w:rPr>
        <w:t>等有害物质。</w:t>
      </w:r>
    </w:p>
    <w:p w:rsidR="00DB7CC8" w:rsidRDefault="002B5250">
      <w:pPr>
        <w:ind w:firstLine="480"/>
        <w:jc w:val="both"/>
        <w:rPr>
          <w:bCs/>
          <w:sz w:val="24"/>
          <w:szCs w:val="24"/>
        </w:rPr>
      </w:pPr>
      <w:r>
        <w:rPr>
          <w:bCs/>
          <w:sz w:val="24"/>
          <w:szCs w:val="24"/>
        </w:rPr>
        <w:t>施工现场汽车尾气对大气环境的影响有如下几个特点：</w:t>
      </w:r>
    </w:p>
    <w:p w:rsidR="00DB7CC8" w:rsidRDefault="002B5250">
      <w:pPr>
        <w:ind w:firstLine="480"/>
        <w:jc w:val="both"/>
        <w:rPr>
          <w:bCs/>
          <w:sz w:val="24"/>
          <w:szCs w:val="24"/>
        </w:rPr>
      </w:pPr>
      <w:r>
        <w:rPr>
          <w:rFonts w:ascii="宋体" w:hAnsi="宋体" w:cs="宋体" w:hint="eastAsia"/>
          <w:bCs/>
          <w:sz w:val="24"/>
          <w:szCs w:val="24"/>
        </w:rPr>
        <w:t>①</w:t>
      </w:r>
      <w:r>
        <w:rPr>
          <w:bCs/>
          <w:sz w:val="24"/>
          <w:szCs w:val="24"/>
        </w:rPr>
        <w:t>车辆在施工现场范围内活动，尾气呈面源污染形式；</w:t>
      </w:r>
    </w:p>
    <w:p w:rsidR="00DB7CC8" w:rsidRDefault="002B5250">
      <w:pPr>
        <w:ind w:firstLine="480"/>
        <w:jc w:val="both"/>
        <w:rPr>
          <w:bCs/>
          <w:sz w:val="24"/>
          <w:szCs w:val="24"/>
        </w:rPr>
      </w:pPr>
      <w:r>
        <w:rPr>
          <w:rFonts w:ascii="宋体" w:hAnsi="宋体" w:cs="宋体" w:hint="eastAsia"/>
          <w:bCs/>
          <w:sz w:val="24"/>
          <w:szCs w:val="24"/>
        </w:rPr>
        <w:t>②</w:t>
      </w:r>
      <w:r>
        <w:rPr>
          <w:bCs/>
          <w:sz w:val="24"/>
          <w:szCs w:val="24"/>
        </w:rPr>
        <w:t>汽车排气筒高度较低，尾气扩散范围不大，对周围地区影响较小；</w:t>
      </w:r>
    </w:p>
    <w:p w:rsidR="00DB7CC8" w:rsidRDefault="002B5250">
      <w:pPr>
        <w:ind w:firstLine="480"/>
        <w:jc w:val="both"/>
        <w:rPr>
          <w:bCs/>
          <w:sz w:val="24"/>
          <w:szCs w:val="24"/>
        </w:rPr>
      </w:pPr>
      <w:r>
        <w:rPr>
          <w:rFonts w:ascii="宋体" w:hAnsi="宋体" w:cs="宋体" w:hint="eastAsia"/>
          <w:bCs/>
          <w:sz w:val="24"/>
          <w:szCs w:val="24"/>
        </w:rPr>
        <w:t>③</w:t>
      </w:r>
      <w:r>
        <w:rPr>
          <w:bCs/>
          <w:sz w:val="24"/>
          <w:szCs w:val="24"/>
        </w:rPr>
        <w:t>车辆为非连续行驶状态，污染物排放时间及排放量相对较小。</w:t>
      </w:r>
    </w:p>
    <w:p w:rsidR="00DB7CC8" w:rsidRDefault="002B5250">
      <w:pPr>
        <w:ind w:firstLine="480"/>
        <w:jc w:val="both"/>
        <w:rPr>
          <w:bCs/>
          <w:sz w:val="24"/>
          <w:szCs w:val="24"/>
        </w:rPr>
      </w:pPr>
      <w:r>
        <w:rPr>
          <w:bCs/>
          <w:sz w:val="24"/>
          <w:szCs w:val="24"/>
        </w:rPr>
        <w:t>因此建议尽量选用低能耗、低污染排放的施工机械、车辆，对于排放废气较多的车辆，应安装尾气净化装置。另外，应尽量选用质量高、对大气环境影响小的燃料。要加强机械、车辆的管理和维修，尽量减少因机械、车辆状况不佳造成的空气污染。</w:t>
      </w:r>
    </w:p>
    <w:p w:rsidR="00DB7CC8" w:rsidRDefault="002B5250">
      <w:pPr>
        <w:pStyle w:val="4"/>
        <w:rPr>
          <w:rFonts w:eastAsiaTheme="minorEastAsia"/>
          <w:b/>
        </w:rPr>
      </w:pPr>
      <w:r>
        <w:rPr>
          <w:rFonts w:eastAsiaTheme="minorEastAsia"/>
          <w:b/>
        </w:rPr>
        <w:t>3.</w:t>
      </w:r>
      <w:r>
        <w:rPr>
          <w:rFonts w:eastAsiaTheme="minorEastAsia" w:hint="eastAsia"/>
          <w:b/>
        </w:rPr>
        <w:t>4</w:t>
      </w:r>
      <w:r>
        <w:rPr>
          <w:rFonts w:eastAsiaTheme="minorEastAsia"/>
          <w:b/>
        </w:rPr>
        <w:t>.1.2</w:t>
      </w:r>
      <w:r>
        <w:rPr>
          <w:rFonts w:eastAsiaTheme="minorEastAsia"/>
          <w:b/>
        </w:rPr>
        <w:t>水污染源</w:t>
      </w:r>
    </w:p>
    <w:p w:rsidR="00DB7CC8" w:rsidRDefault="002B5250">
      <w:pPr>
        <w:ind w:firstLine="480"/>
        <w:jc w:val="both"/>
        <w:rPr>
          <w:bCs/>
          <w:sz w:val="24"/>
          <w:szCs w:val="24"/>
          <w:lang w:val="en-GB"/>
        </w:rPr>
      </w:pPr>
      <w:r>
        <w:rPr>
          <w:bCs/>
          <w:sz w:val="24"/>
          <w:szCs w:val="24"/>
        </w:rPr>
        <w:t>本项目施工期间产生的废水主要为施工作业废水和施工人员的生活污水。</w:t>
      </w:r>
    </w:p>
    <w:p w:rsidR="00DB7CC8" w:rsidRDefault="002B5250">
      <w:pPr>
        <w:ind w:firstLine="480"/>
        <w:jc w:val="both"/>
        <w:rPr>
          <w:bCs/>
          <w:sz w:val="24"/>
          <w:szCs w:val="24"/>
        </w:rPr>
      </w:pPr>
      <w:r>
        <w:rPr>
          <w:bCs/>
          <w:sz w:val="24"/>
          <w:szCs w:val="24"/>
        </w:rPr>
        <w:t>（</w:t>
      </w:r>
      <w:r>
        <w:rPr>
          <w:bCs/>
          <w:sz w:val="24"/>
          <w:szCs w:val="24"/>
        </w:rPr>
        <w:t>1</w:t>
      </w:r>
      <w:r>
        <w:rPr>
          <w:bCs/>
          <w:sz w:val="24"/>
          <w:szCs w:val="24"/>
        </w:rPr>
        <w:t>）施工废水</w:t>
      </w:r>
    </w:p>
    <w:p w:rsidR="00DB7CC8" w:rsidRDefault="002B5250">
      <w:pPr>
        <w:ind w:firstLine="480"/>
        <w:jc w:val="both"/>
        <w:rPr>
          <w:bCs/>
          <w:sz w:val="24"/>
          <w:szCs w:val="24"/>
        </w:rPr>
      </w:pPr>
      <w:r>
        <w:rPr>
          <w:bCs/>
          <w:sz w:val="24"/>
          <w:szCs w:val="24"/>
        </w:rPr>
        <w:t>本项目施工期废水来源主要为路面喷洒降尘、施工设备和运输车辆冲洗、混凝土养护等。这部分废水排放量较少，含有的主要污染物质为泥沙，不含有害物质和其他有机物。</w:t>
      </w:r>
    </w:p>
    <w:p w:rsidR="00DB7CC8" w:rsidRDefault="002B5250">
      <w:pPr>
        <w:ind w:firstLine="480"/>
        <w:jc w:val="both"/>
        <w:rPr>
          <w:bCs/>
          <w:sz w:val="24"/>
          <w:szCs w:val="24"/>
        </w:rPr>
      </w:pPr>
      <w:r>
        <w:rPr>
          <w:bCs/>
          <w:sz w:val="24"/>
          <w:szCs w:val="24"/>
        </w:rPr>
        <w:t>施工废水中的主要水质污染指标为</w:t>
      </w:r>
      <w:r>
        <w:rPr>
          <w:bCs/>
          <w:sz w:val="24"/>
          <w:szCs w:val="24"/>
        </w:rPr>
        <w:t>S</w:t>
      </w:r>
      <w:r>
        <w:rPr>
          <w:bCs/>
          <w:sz w:val="24"/>
          <w:szCs w:val="24"/>
        </w:rPr>
        <w:t>S</w:t>
      </w:r>
      <w:r>
        <w:rPr>
          <w:bCs/>
          <w:sz w:val="24"/>
          <w:szCs w:val="24"/>
        </w:rPr>
        <w:t>，根据同类项目作类比分析，不经处理的废水中</w:t>
      </w:r>
      <w:r>
        <w:rPr>
          <w:bCs/>
          <w:sz w:val="24"/>
          <w:szCs w:val="24"/>
        </w:rPr>
        <w:t>SS</w:t>
      </w:r>
      <w:r>
        <w:rPr>
          <w:bCs/>
          <w:sz w:val="24"/>
          <w:szCs w:val="24"/>
        </w:rPr>
        <w:t>浓度最高可达</w:t>
      </w:r>
      <w:r>
        <w:rPr>
          <w:bCs/>
          <w:sz w:val="24"/>
          <w:szCs w:val="24"/>
        </w:rPr>
        <w:t>10000mg/L</w:t>
      </w:r>
      <w:r>
        <w:rPr>
          <w:bCs/>
          <w:sz w:val="24"/>
          <w:szCs w:val="24"/>
        </w:rPr>
        <w:t>左右。此部分废水水质单一，采用沉淀池预处理后重复使用，不外排。</w:t>
      </w:r>
    </w:p>
    <w:p w:rsidR="00DB7CC8" w:rsidRDefault="002B5250">
      <w:pPr>
        <w:ind w:firstLine="480"/>
        <w:jc w:val="both"/>
        <w:rPr>
          <w:bCs/>
          <w:sz w:val="24"/>
          <w:szCs w:val="24"/>
        </w:rPr>
      </w:pPr>
      <w:r>
        <w:rPr>
          <w:bCs/>
          <w:sz w:val="24"/>
          <w:szCs w:val="24"/>
        </w:rPr>
        <w:t>此外，动力、运输设备的清洗废水主要含有石油类和悬浮物，施工场地设置</w:t>
      </w:r>
      <w:r>
        <w:rPr>
          <w:bCs/>
          <w:sz w:val="24"/>
          <w:szCs w:val="24"/>
        </w:rPr>
        <w:lastRenderedPageBreak/>
        <w:t>简易防渗沉淀池和隔油池，将废水引入沉淀池和隔油池内沉淀、隔油后，上层清水可用于施工现场降尘、车辆清洗等作业，不外排，回收浮油进行无害化集中处理。</w:t>
      </w:r>
    </w:p>
    <w:p w:rsidR="00DB7CC8" w:rsidRDefault="002B5250">
      <w:pPr>
        <w:ind w:firstLine="480"/>
        <w:jc w:val="both"/>
        <w:rPr>
          <w:bCs/>
          <w:sz w:val="24"/>
          <w:szCs w:val="24"/>
        </w:rPr>
      </w:pPr>
      <w:r>
        <w:rPr>
          <w:bCs/>
          <w:sz w:val="24"/>
          <w:szCs w:val="24"/>
        </w:rPr>
        <w:t>（</w:t>
      </w:r>
      <w:r>
        <w:rPr>
          <w:bCs/>
          <w:sz w:val="24"/>
          <w:szCs w:val="24"/>
        </w:rPr>
        <w:t>2</w:t>
      </w:r>
      <w:r>
        <w:rPr>
          <w:bCs/>
          <w:sz w:val="24"/>
          <w:szCs w:val="24"/>
        </w:rPr>
        <w:t>）施工人员生活污水</w:t>
      </w:r>
    </w:p>
    <w:p w:rsidR="00DB7CC8" w:rsidRDefault="002B5250">
      <w:pPr>
        <w:ind w:firstLine="480"/>
        <w:jc w:val="both"/>
        <w:rPr>
          <w:bCs/>
          <w:sz w:val="24"/>
          <w:szCs w:val="24"/>
        </w:rPr>
      </w:pPr>
      <w:r>
        <w:rPr>
          <w:bCs/>
          <w:sz w:val="24"/>
          <w:szCs w:val="24"/>
        </w:rPr>
        <w:t>施工工人生活污水主要水污染物为</w:t>
      </w:r>
      <w:r>
        <w:rPr>
          <w:bCs/>
          <w:sz w:val="24"/>
          <w:szCs w:val="24"/>
        </w:rPr>
        <w:t>COD</w:t>
      </w:r>
      <w:r>
        <w:rPr>
          <w:bCs/>
          <w:sz w:val="24"/>
          <w:szCs w:val="24"/>
          <w:vertAlign w:val="subscript"/>
        </w:rPr>
        <w:t>Cr</w:t>
      </w:r>
      <w:r>
        <w:rPr>
          <w:bCs/>
          <w:sz w:val="24"/>
          <w:szCs w:val="24"/>
        </w:rPr>
        <w:t>、</w:t>
      </w:r>
      <w:r>
        <w:rPr>
          <w:bCs/>
          <w:sz w:val="24"/>
          <w:szCs w:val="24"/>
        </w:rPr>
        <w:t>BOD</w:t>
      </w:r>
      <w:r>
        <w:rPr>
          <w:bCs/>
          <w:sz w:val="24"/>
          <w:szCs w:val="24"/>
          <w:vertAlign w:val="subscript"/>
        </w:rPr>
        <w:t>5</w:t>
      </w:r>
      <w:r>
        <w:rPr>
          <w:bCs/>
          <w:sz w:val="24"/>
          <w:szCs w:val="24"/>
        </w:rPr>
        <w:t>、</w:t>
      </w:r>
      <w:r>
        <w:rPr>
          <w:bCs/>
          <w:sz w:val="24"/>
          <w:szCs w:val="24"/>
        </w:rPr>
        <w:t>SS</w:t>
      </w:r>
      <w:r>
        <w:rPr>
          <w:bCs/>
          <w:sz w:val="24"/>
          <w:szCs w:val="24"/>
        </w:rPr>
        <w:t>、</w:t>
      </w:r>
      <w:r>
        <w:rPr>
          <w:bCs/>
          <w:sz w:val="24"/>
          <w:szCs w:val="24"/>
        </w:rPr>
        <w:t>NH</w:t>
      </w:r>
      <w:r>
        <w:rPr>
          <w:bCs/>
          <w:sz w:val="24"/>
          <w:szCs w:val="24"/>
          <w:vertAlign w:val="subscript"/>
        </w:rPr>
        <w:t>3</w:t>
      </w:r>
      <w:r>
        <w:rPr>
          <w:bCs/>
          <w:sz w:val="24"/>
          <w:szCs w:val="24"/>
        </w:rPr>
        <w:t>-N</w:t>
      </w:r>
      <w:r>
        <w:rPr>
          <w:bCs/>
          <w:sz w:val="24"/>
          <w:szCs w:val="24"/>
        </w:rPr>
        <w:t>。项目施工期间日均施工人数为</w:t>
      </w:r>
      <w:r>
        <w:rPr>
          <w:bCs/>
          <w:sz w:val="24"/>
          <w:szCs w:val="24"/>
        </w:rPr>
        <w:t>10</w:t>
      </w:r>
      <w:r>
        <w:rPr>
          <w:bCs/>
          <w:sz w:val="24"/>
          <w:szCs w:val="24"/>
        </w:rPr>
        <w:t>人，施工期为</w:t>
      </w:r>
      <w:r>
        <w:rPr>
          <w:bCs/>
          <w:sz w:val="24"/>
          <w:szCs w:val="24"/>
        </w:rPr>
        <w:t>3</w:t>
      </w:r>
      <w:r>
        <w:rPr>
          <w:bCs/>
          <w:sz w:val="24"/>
          <w:szCs w:val="24"/>
        </w:rPr>
        <w:t>个月，工人生活用水量</w:t>
      </w:r>
      <w:r>
        <w:rPr>
          <w:bCs/>
          <w:sz w:val="24"/>
          <w:szCs w:val="24"/>
        </w:rPr>
        <w:t>按</w:t>
      </w:r>
      <w:r>
        <w:rPr>
          <w:bCs/>
          <w:sz w:val="24"/>
          <w:szCs w:val="24"/>
        </w:rPr>
        <w:t>30L/</w:t>
      </w:r>
      <w:r>
        <w:rPr>
          <w:bCs/>
          <w:sz w:val="24"/>
          <w:szCs w:val="24"/>
        </w:rPr>
        <w:t>（人</w:t>
      </w:r>
      <w:r>
        <w:rPr>
          <w:bCs/>
          <w:sz w:val="24"/>
          <w:szCs w:val="24"/>
        </w:rPr>
        <w:t>·</w:t>
      </w:r>
      <w:r>
        <w:rPr>
          <w:bCs/>
          <w:sz w:val="24"/>
          <w:szCs w:val="24"/>
        </w:rPr>
        <w:t>天）计，则本项目施工期生活用水量约</w:t>
      </w:r>
      <w:r>
        <w:rPr>
          <w:bCs/>
          <w:sz w:val="24"/>
          <w:szCs w:val="24"/>
        </w:rPr>
        <w:t>27m</w:t>
      </w:r>
      <w:r>
        <w:rPr>
          <w:bCs/>
          <w:sz w:val="24"/>
          <w:szCs w:val="24"/>
          <w:vertAlign w:val="superscript"/>
        </w:rPr>
        <w:t>3</w:t>
      </w:r>
      <w:r>
        <w:rPr>
          <w:bCs/>
          <w:sz w:val="24"/>
          <w:szCs w:val="24"/>
        </w:rPr>
        <w:t>。</w:t>
      </w:r>
    </w:p>
    <w:p w:rsidR="00DB7CC8" w:rsidRDefault="002B5250">
      <w:pPr>
        <w:ind w:firstLine="480"/>
        <w:jc w:val="both"/>
        <w:rPr>
          <w:bCs/>
          <w:sz w:val="24"/>
          <w:szCs w:val="24"/>
        </w:rPr>
      </w:pPr>
      <w:r>
        <w:rPr>
          <w:bCs/>
          <w:sz w:val="24"/>
          <w:szCs w:val="24"/>
        </w:rPr>
        <w:t>生活污水为施工工人的盥洗废水，经收集后，用于厂区道路洒水抑尘，不外排；</w:t>
      </w:r>
      <w:r>
        <w:rPr>
          <w:sz w:val="24"/>
          <w:szCs w:val="24"/>
        </w:rPr>
        <w:t>厂区设防渗旱厕，定期清掏用于肥田，不外排。</w:t>
      </w:r>
    </w:p>
    <w:p w:rsidR="00DB7CC8" w:rsidRDefault="002B5250">
      <w:pPr>
        <w:pStyle w:val="4"/>
        <w:rPr>
          <w:rFonts w:eastAsiaTheme="minorEastAsia"/>
          <w:b/>
        </w:rPr>
      </w:pPr>
      <w:r>
        <w:rPr>
          <w:rFonts w:eastAsiaTheme="minorEastAsia"/>
          <w:b/>
        </w:rPr>
        <w:t>3.</w:t>
      </w:r>
      <w:r>
        <w:rPr>
          <w:rFonts w:eastAsiaTheme="minorEastAsia" w:hint="eastAsia"/>
          <w:b/>
        </w:rPr>
        <w:t>4</w:t>
      </w:r>
      <w:r>
        <w:rPr>
          <w:rFonts w:eastAsiaTheme="minorEastAsia"/>
          <w:b/>
        </w:rPr>
        <w:t>.1.3</w:t>
      </w:r>
      <w:r>
        <w:rPr>
          <w:rFonts w:eastAsiaTheme="minorEastAsia"/>
          <w:b/>
        </w:rPr>
        <w:t>噪声</w:t>
      </w:r>
    </w:p>
    <w:p w:rsidR="00DB7CC8" w:rsidRDefault="002B5250">
      <w:pPr>
        <w:ind w:firstLine="480"/>
        <w:jc w:val="both"/>
        <w:rPr>
          <w:bCs/>
          <w:sz w:val="24"/>
          <w:szCs w:val="24"/>
        </w:rPr>
      </w:pPr>
      <w:r>
        <w:rPr>
          <w:bCs/>
          <w:sz w:val="24"/>
          <w:szCs w:val="24"/>
        </w:rPr>
        <w:t>施工期噪声主要为施工现场的各类机械设备噪声以及物料运输过程中的交通噪声。</w:t>
      </w:r>
    </w:p>
    <w:p w:rsidR="00DB7CC8" w:rsidRDefault="002B5250">
      <w:pPr>
        <w:ind w:firstLine="480"/>
        <w:jc w:val="both"/>
        <w:rPr>
          <w:bCs/>
          <w:sz w:val="24"/>
          <w:szCs w:val="24"/>
        </w:rPr>
      </w:pPr>
      <w:r>
        <w:rPr>
          <w:bCs/>
          <w:sz w:val="24"/>
          <w:szCs w:val="24"/>
        </w:rPr>
        <w:t>施工现场噪声通常以施工机械噪声为主。根据本项目施工的特点，施工场地的主要噪声源为各类高噪声机械设备，如挖掘机、装载机等。施工机械的噪声特点是间歇或阵发性的，并具有流动性、噪声较高的特征，噪声值一般均高于</w:t>
      </w:r>
      <w:r>
        <w:rPr>
          <w:bCs/>
          <w:sz w:val="24"/>
          <w:szCs w:val="24"/>
        </w:rPr>
        <w:t>80dB</w:t>
      </w:r>
      <w:r>
        <w:rPr>
          <w:bCs/>
          <w:sz w:val="24"/>
          <w:szCs w:val="24"/>
        </w:rPr>
        <w:t>（</w:t>
      </w:r>
      <w:r>
        <w:rPr>
          <w:bCs/>
          <w:sz w:val="24"/>
          <w:szCs w:val="24"/>
        </w:rPr>
        <w:t>A</w:t>
      </w:r>
      <w:r>
        <w:rPr>
          <w:bCs/>
          <w:sz w:val="24"/>
          <w:szCs w:val="24"/>
        </w:rPr>
        <w:t>）。</w:t>
      </w:r>
    </w:p>
    <w:p w:rsidR="00DB7CC8" w:rsidRDefault="002B5250">
      <w:pPr>
        <w:ind w:firstLine="480"/>
        <w:jc w:val="both"/>
        <w:rPr>
          <w:bCs/>
          <w:sz w:val="24"/>
          <w:szCs w:val="24"/>
        </w:rPr>
      </w:pPr>
      <w:r>
        <w:rPr>
          <w:bCs/>
          <w:sz w:val="24"/>
          <w:szCs w:val="24"/>
        </w:rPr>
        <w:t>施工期间另一个重要的噪</w:t>
      </w:r>
      <w:r>
        <w:rPr>
          <w:bCs/>
          <w:sz w:val="24"/>
          <w:szCs w:val="24"/>
        </w:rPr>
        <w:t>声源是施工运输车辆产生的交通噪声，一般声级可达到</w:t>
      </w:r>
      <w:r>
        <w:rPr>
          <w:bCs/>
          <w:sz w:val="24"/>
          <w:szCs w:val="24"/>
        </w:rPr>
        <w:t>85-90dB</w:t>
      </w:r>
      <w:r>
        <w:rPr>
          <w:bCs/>
          <w:sz w:val="24"/>
          <w:szCs w:val="24"/>
        </w:rPr>
        <w:t>（</w:t>
      </w:r>
      <w:r>
        <w:rPr>
          <w:bCs/>
          <w:sz w:val="24"/>
          <w:szCs w:val="24"/>
        </w:rPr>
        <w:t>A</w:t>
      </w:r>
      <w:r>
        <w:rPr>
          <w:bCs/>
          <w:sz w:val="24"/>
          <w:szCs w:val="24"/>
        </w:rPr>
        <w:t>）。</w:t>
      </w:r>
    </w:p>
    <w:p w:rsidR="00DB7CC8" w:rsidRDefault="002B5250">
      <w:pPr>
        <w:pStyle w:val="4"/>
        <w:rPr>
          <w:rFonts w:eastAsiaTheme="minorEastAsia"/>
          <w:b/>
        </w:rPr>
      </w:pPr>
      <w:r>
        <w:rPr>
          <w:rFonts w:eastAsiaTheme="minorEastAsia"/>
          <w:b/>
        </w:rPr>
        <w:t>3.</w:t>
      </w:r>
      <w:r>
        <w:rPr>
          <w:rFonts w:eastAsiaTheme="minorEastAsia" w:hint="eastAsia"/>
          <w:b/>
        </w:rPr>
        <w:t>4</w:t>
      </w:r>
      <w:r>
        <w:rPr>
          <w:rFonts w:eastAsiaTheme="minorEastAsia"/>
          <w:b/>
        </w:rPr>
        <w:t>.1.4</w:t>
      </w:r>
      <w:r>
        <w:rPr>
          <w:rFonts w:eastAsiaTheme="minorEastAsia"/>
          <w:b/>
        </w:rPr>
        <w:t>固体废物</w:t>
      </w:r>
    </w:p>
    <w:p w:rsidR="00DB7CC8" w:rsidRDefault="002B5250">
      <w:pPr>
        <w:ind w:firstLine="480"/>
        <w:jc w:val="both"/>
        <w:rPr>
          <w:bCs/>
          <w:sz w:val="24"/>
          <w:szCs w:val="24"/>
        </w:rPr>
      </w:pPr>
      <w:bookmarkStart w:id="218" w:name="_Hlk535599747"/>
      <w:r>
        <w:rPr>
          <w:bCs/>
          <w:sz w:val="24"/>
          <w:szCs w:val="24"/>
        </w:rPr>
        <w:t>本项目施工期产生的固体废物主要为工程施工产生的建筑垃圾、废弃土石方和施工人员产生的生活垃圾。</w:t>
      </w:r>
    </w:p>
    <w:p w:rsidR="00DB7CC8" w:rsidRDefault="002B5250">
      <w:pPr>
        <w:snapToGrid w:val="0"/>
        <w:ind w:firstLine="480"/>
        <w:jc w:val="both"/>
        <w:rPr>
          <w:bCs/>
          <w:sz w:val="24"/>
          <w:szCs w:val="24"/>
        </w:rPr>
      </w:pPr>
      <w:r>
        <w:rPr>
          <w:bCs/>
          <w:sz w:val="24"/>
          <w:szCs w:val="24"/>
        </w:rPr>
        <w:t>（</w:t>
      </w:r>
      <w:r>
        <w:rPr>
          <w:bCs/>
          <w:sz w:val="24"/>
          <w:szCs w:val="24"/>
        </w:rPr>
        <w:t>1</w:t>
      </w:r>
      <w:r>
        <w:rPr>
          <w:bCs/>
          <w:sz w:val="24"/>
          <w:szCs w:val="24"/>
        </w:rPr>
        <w:t>）建筑垃圾</w:t>
      </w:r>
    </w:p>
    <w:p w:rsidR="00DB7CC8" w:rsidRDefault="002B5250">
      <w:pPr>
        <w:snapToGrid w:val="0"/>
        <w:ind w:firstLine="480"/>
        <w:jc w:val="both"/>
        <w:rPr>
          <w:bCs/>
          <w:sz w:val="24"/>
          <w:szCs w:val="24"/>
        </w:rPr>
      </w:pPr>
      <w:r>
        <w:rPr>
          <w:bCs/>
          <w:sz w:val="24"/>
          <w:szCs w:val="24"/>
        </w:rPr>
        <w:t>项目工程施工过程中产生的建筑垃圾主要为废砂浆混凝土、下脚料、废施工材料等，总产生量约为</w:t>
      </w:r>
      <w:r>
        <w:rPr>
          <w:bCs/>
          <w:sz w:val="24"/>
          <w:szCs w:val="24"/>
        </w:rPr>
        <w:t>0.5</w:t>
      </w:r>
      <w:r>
        <w:rPr>
          <w:bCs/>
          <w:sz w:val="24"/>
          <w:szCs w:val="24"/>
        </w:rPr>
        <w:t>万</w:t>
      </w:r>
      <w:r>
        <w:rPr>
          <w:bCs/>
          <w:sz w:val="24"/>
          <w:szCs w:val="24"/>
        </w:rPr>
        <w:t>m</w:t>
      </w:r>
      <w:r>
        <w:rPr>
          <w:bCs/>
          <w:sz w:val="24"/>
          <w:szCs w:val="24"/>
          <w:vertAlign w:val="superscript"/>
        </w:rPr>
        <w:t>3</w:t>
      </w:r>
      <w:r>
        <w:rPr>
          <w:bCs/>
          <w:sz w:val="24"/>
          <w:szCs w:val="24"/>
        </w:rPr>
        <w:t>。</w:t>
      </w:r>
    </w:p>
    <w:p w:rsidR="00DB7CC8" w:rsidRDefault="002B5250">
      <w:pPr>
        <w:ind w:firstLine="480"/>
        <w:jc w:val="both"/>
        <w:rPr>
          <w:bCs/>
          <w:sz w:val="24"/>
          <w:szCs w:val="24"/>
        </w:rPr>
      </w:pPr>
      <w:r>
        <w:rPr>
          <w:bCs/>
          <w:sz w:val="24"/>
          <w:szCs w:val="24"/>
        </w:rPr>
        <w:t>（</w:t>
      </w:r>
      <w:r>
        <w:rPr>
          <w:bCs/>
          <w:sz w:val="24"/>
          <w:szCs w:val="24"/>
        </w:rPr>
        <w:t>2</w:t>
      </w:r>
      <w:r>
        <w:rPr>
          <w:bCs/>
          <w:sz w:val="24"/>
          <w:szCs w:val="24"/>
        </w:rPr>
        <w:t>）废弃土石方</w:t>
      </w:r>
    </w:p>
    <w:p w:rsidR="00DB7CC8" w:rsidRDefault="002B5250">
      <w:pPr>
        <w:ind w:firstLine="480"/>
        <w:jc w:val="both"/>
        <w:rPr>
          <w:bCs/>
          <w:sz w:val="24"/>
          <w:szCs w:val="24"/>
        </w:rPr>
      </w:pPr>
      <w:r>
        <w:rPr>
          <w:bCs/>
          <w:sz w:val="24"/>
          <w:szCs w:val="24"/>
        </w:rPr>
        <w:t>废弃土石方主要来自场地平整过程中的土石盈余。对产生的废弃土方运至</w:t>
      </w:r>
      <w:r>
        <w:rPr>
          <w:rFonts w:hint="eastAsia"/>
          <w:bCs/>
          <w:sz w:val="24"/>
        </w:rPr>
        <w:t>全部运往遵化</w:t>
      </w:r>
      <w:r>
        <w:rPr>
          <w:bCs/>
          <w:sz w:val="24"/>
        </w:rPr>
        <w:t>市垃圾渣土管理部门</w:t>
      </w:r>
      <w:r>
        <w:rPr>
          <w:rFonts w:hint="eastAsia"/>
          <w:bCs/>
          <w:sz w:val="24"/>
        </w:rPr>
        <w:t>指</w:t>
      </w:r>
      <w:r>
        <w:rPr>
          <w:bCs/>
          <w:sz w:val="24"/>
        </w:rPr>
        <w:t>定的渣土消纳场进行正规消纳处理</w:t>
      </w:r>
      <w:r>
        <w:rPr>
          <w:bCs/>
          <w:sz w:val="24"/>
          <w:szCs w:val="24"/>
        </w:rPr>
        <w:t>。</w:t>
      </w:r>
    </w:p>
    <w:p w:rsidR="00DB7CC8" w:rsidRDefault="002B5250">
      <w:pPr>
        <w:ind w:firstLine="480"/>
        <w:jc w:val="both"/>
        <w:rPr>
          <w:bCs/>
          <w:sz w:val="24"/>
          <w:szCs w:val="24"/>
        </w:rPr>
      </w:pPr>
      <w:r>
        <w:rPr>
          <w:bCs/>
          <w:sz w:val="24"/>
          <w:szCs w:val="24"/>
        </w:rPr>
        <w:t>（</w:t>
      </w:r>
      <w:r>
        <w:rPr>
          <w:bCs/>
          <w:sz w:val="24"/>
          <w:szCs w:val="24"/>
        </w:rPr>
        <w:t>3</w:t>
      </w:r>
      <w:r>
        <w:rPr>
          <w:bCs/>
          <w:sz w:val="24"/>
          <w:szCs w:val="24"/>
        </w:rPr>
        <w:t>）生活垃圾</w:t>
      </w:r>
    </w:p>
    <w:p w:rsidR="00DB7CC8" w:rsidRDefault="002B5250">
      <w:pPr>
        <w:ind w:firstLine="480"/>
        <w:jc w:val="both"/>
        <w:rPr>
          <w:bCs/>
          <w:sz w:val="24"/>
          <w:szCs w:val="24"/>
        </w:rPr>
      </w:pPr>
      <w:r>
        <w:rPr>
          <w:bCs/>
          <w:sz w:val="24"/>
          <w:szCs w:val="24"/>
        </w:rPr>
        <w:t>施工期的生活垃圾为施工人员休息、就餐时产生，主要为废纸、废包装物、剩饭剩菜、饭盒等。项目施工人数为</w:t>
      </w:r>
      <w:r>
        <w:rPr>
          <w:bCs/>
          <w:sz w:val="24"/>
          <w:szCs w:val="24"/>
        </w:rPr>
        <w:t>10</w:t>
      </w:r>
      <w:r>
        <w:rPr>
          <w:bCs/>
          <w:sz w:val="24"/>
          <w:szCs w:val="24"/>
        </w:rPr>
        <w:t>人，每人每天产生垃圾按</w:t>
      </w:r>
      <w:r>
        <w:rPr>
          <w:bCs/>
          <w:sz w:val="24"/>
          <w:szCs w:val="24"/>
        </w:rPr>
        <w:t>0.2kg</w:t>
      </w:r>
      <w:r>
        <w:rPr>
          <w:bCs/>
          <w:sz w:val="24"/>
          <w:szCs w:val="24"/>
        </w:rPr>
        <w:t>计，施</w:t>
      </w:r>
      <w:r>
        <w:rPr>
          <w:bCs/>
          <w:sz w:val="24"/>
          <w:szCs w:val="24"/>
        </w:rPr>
        <w:lastRenderedPageBreak/>
        <w:t>工期</w:t>
      </w:r>
      <w:r>
        <w:rPr>
          <w:bCs/>
          <w:sz w:val="24"/>
          <w:szCs w:val="24"/>
        </w:rPr>
        <w:t>3</w:t>
      </w:r>
      <w:r>
        <w:rPr>
          <w:bCs/>
          <w:sz w:val="24"/>
          <w:szCs w:val="24"/>
        </w:rPr>
        <w:t>个月，则生活垃圾总量约为</w:t>
      </w:r>
      <w:r>
        <w:rPr>
          <w:bCs/>
          <w:sz w:val="24"/>
          <w:szCs w:val="24"/>
        </w:rPr>
        <w:t>0.18</w:t>
      </w:r>
      <w:r>
        <w:rPr>
          <w:bCs/>
          <w:sz w:val="24"/>
          <w:szCs w:val="24"/>
        </w:rPr>
        <w:t>吨。</w:t>
      </w:r>
    </w:p>
    <w:bookmarkEnd w:id="218"/>
    <w:p w:rsidR="00DB7CC8" w:rsidRDefault="002B5250">
      <w:pPr>
        <w:pStyle w:val="4"/>
        <w:rPr>
          <w:rFonts w:eastAsiaTheme="majorEastAsia"/>
          <w:b/>
        </w:rPr>
      </w:pPr>
      <w:r>
        <w:rPr>
          <w:rFonts w:eastAsiaTheme="majorEastAsia"/>
          <w:b/>
        </w:rPr>
        <w:t>3.</w:t>
      </w:r>
      <w:r>
        <w:rPr>
          <w:rFonts w:eastAsiaTheme="majorEastAsia" w:hint="eastAsia"/>
          <w:b/>
        </w:rPr>
        <w:t>4</w:t>
      </w:r>
      <w:r>
        <w:rPr>
          <w:rFonts w:eastAsiaTheme="majorEastAsia"/>
          <w:b/>
        </w:rPr>
        <w:t>.1.5</w:t>
      </w:r>
      <w:r>
        <w:rPr>
          <w:rFonts w:eastAsiaTheme="majorEastAsia"/>
          <w:b/>
        </w:rPr>
        <w:t>生态环境影响</w:t>
      </w:r>
    </w:p>
    <w:p w:rsidR="00DB7CC8" w:rsidRDefault="002B5250">
      <w:pPr>
        <w:ind w:firstLine="480"/>
        <w:jc w:val="both"/>
        <w:rPr>
          <w:bCs/>
          <w:sz w:val="24"/>
          <w:szCs w:val="24"/>
        </w:rPr>
      </w:pPr>
      <w:r>
        <w:rPr>
          <w:bCs/>
          <w:sz w:val="24"/>
          <w:szCs w:val="24"/>
        </w:rPr>
        <w:t>本项目在现有场地内进行施工，不会改变原有土地性质。环评建议施工与绿化同步，围挡布置尽量与周围景观环境相协调，并要求建筑施工工地必须严格按照项目环境影响评价确定的施工全过程污染防治实施方案要求，组织落实各项污染防治措施，有效控制建设项目施工期间对生态环境造成的影响。</w:t>
      </w:r>
    </w:p>
    <w:p w:rsidR="00DB7CC8" w:rsidRDefault="002B5250">
      <w:pPr>
        <w:ind w:firstLine="480"/>
      </w:pPr>
      <w:r>
        <w:rPr>
          <w:bCs/>
          <w:sz w:val="24"/>
          <w:szCs w:val="24"/>
        </w:rPr>
        <w:t>上述施工过程中产生的污染都是暂时的</w:t>
      </w:r>
      <w:r>
        <w:rPr>
          <w:bCs/>
          <w:sz w:val="24"/>
          <w:szCs w:val="24"/>
        </w:rPr>
        <w:t>、局部的，且随着施工过程的结束，该污染也将消失。</w:t>
      </w:r>
    </w:p>
    <w:p w:rsidR="00DB7CC8" w:rsidRDefault="002B5250">
      <w:pPr>
        <w:pStyle w:val="3"/>
        <w:numPr>
          <w:ilvl w:val="2"/>
          <w:numId w:val="1"/>
        </w:numPr>
        <w:rPr>
          <w:szCs w:val="28"/>
        </w:rPr>
      </w:pPr>
      <w:bookmarkStart w:id="219" w:name="_Toc521591769"/>
      <w:bookmarkStart w:id="220" w:name="_Toc24781"/>
      <w:r>
        <w:rPr>
          <w:szCs w:val="28"/>
        </w:rPr>
        <w:t>运营期环境影响因素及污染源强核算</w:t>
      </w:r>
      <w:bookmarkEnd w:id="219"/>
      <w:bookmarkEnd w:id="220"/>
    </w:p>
    <w:p w:rsidR="00DB7CC8" w:rsidRDefault="002B5250">
      <w:pPr>
        <w:pStyle w:val="4"/>
        <w:rPr>
          <w:rFonts w:eastAsia="宋体"/>
          <w:b/>
        </w:rPr>
      </w:pPr>
      <w:bookmarkStart w:id="221" w:name="_Hlk18932817"/>
      <w:r>
        <w:rPr>
          <w:rFonts w:eastAsia="宋体"/>
          <w:b/>
        </w:rPr>
        <w:t>3.</w:t>
      </w:r>
      <w:r>
        <w:rPr>
          <w:rFonts w:eastAsia="宋体" w:hint="eastAsia"/>
          <w:b/>
        </w:rPr>
        <w:t>4</w:t>
      </w:r>
      <w:r>
        <w:rPr>
          <w:rFonts w:eastAsia="宋体"/>
          <w:b/>
        </w:rPr>
        <w:t>.2.1</w:t>
      </w:r>
      <w:bookmarkStart w:id="222" w:name="_Hlk18932793"/>
      <w:bookmarkEnd w:id="221"/>
      <w:r>
        <w:rPr>
          <w:rFonts w:eastAsia="宋体"/>
          <w:b/>
        </w:rPr>
        <w:t>大气污染物分析及源强核算</w:t>
      </w:r>
    </w:p>
    <w:p w:rsidR="00DB7CC8" w:rsidRDefault="002B5250">
      <w:pPr>
        <w:ind w:firstLine="480"/>
        <w:jc w:val="both"/>
        <w:rPr>
          <w:bCs/>
          <w:sz w:val="24"/>
          <w:szCs w:val="24"/>
        </w:rPr>
      </w:pPr>
      <w:r>
        <w:rPr>
          <w:bCs/>
          <w:sz w:val="24"/>
          <w:szCs w:val="24"/>
        </w:rPr>
        <w:t>（</w:t>
      </w:r>
      <w:r>
        <w:rPr>
          <w:bCs/>
          <w:sz w:val="24"/>
          <w:szCs w:val="24"/>
        </w:rPr>
        <w:t>1</w:t>
      </w:r>
      <w:r>
        <w:rPr>
          <w:bCs/>
          <w:sz w:val="24"/>
          <w:szCs w:val="24"/>
        </w:rPr>
        <w:t>）有组织排放颗粒物</w:t>
      </w:r>
    </w:p>
    <w:p w:rsidR="00DB7CC8" w:rsidRDefault="002B5250">
      <w:pPr>
        <w:ind w:firstLine="480"/>
        <w:jc w:val="both"/>
        <w:rPr>
          <w:bCs/>
          <w:sz w:val="24"/>
          <w:szCs w:val="24"/>
        </w:rPr>
      </w:pPr>
      <w:r>
        <w:rPr>
          <w:bCs/>
          <w:sz w:val="24"/>
          <w:szCs w:val="24"/>
        </w:rPr>
        <w:t>本项目在矿石破碎、筛分等生产过程中会产生颗粒物，各工序产尘点源强估算如下：</w:t>
      </w:r>
    </w:p>
    <w:p w:rsidR="00DB7CC8" w:rsidRDefault="002B5250">
      <w:pPr>
        <w:ind w:firstLine="480"/>
        <w:jc w:val="both"/>
        <w:rPr>
          <w:bCs/>
          <w:sz w:val="24"/>
          <w:szCs w:val="24"/>
        </w:rPr>
      </w:pPr>
      <w:r>
        <w:rPr>
          <w:rFonts w:hint="eastAsia"/>
          <w:bCs/>
          <w:sz w:val="24"/>
          <w:szCs w:val="24"/>
        </w:rPr>
        <w:t>①</w:t>
      </w:r>
      <w:r>
        <w:rPr>
          <w:bCs/>
          <w:sz w:val="24"/>
          <w:szCs w:val="24"/>
        </w:rPr>
        <w:t>破碎过程产生的源强参照《工业污染源核算》（毛应准，中国环境科学出版社，</w:t>
      </w:r>
      <w:r>
        <w:rPr>
          <w:bCs/>
          <w:sz w:val="24"/>
          <w:szCs w:val="24"/>
        </w:rPr>
        <w:t>2007</w:t>
      </w:r>
      <w:r>
        <w:rPr>
          <w:bCs/>
          <w:sz w:val="24"/>
          <w:szCs w:val="24"/>
        </w:rPr>
        <w:t>）的相关参数。其中，鄂式破碎工序颗粒物产生量为</w:t>
      </w:r>
      <w:r>
        <w:rPr>
          <w:bCs/>
          <w:sz w:val="24"/>
          <w:szCs w:val="24"/>
        </w:rPr>
        <w:t>0.2kg/t</w:t>
      </w:r>
      <w:r>
        <w:rPr>
          <w:bCs/>
          <w:sz w:val="24"/>
          <w:szCs w:val="24"/>
        </w:rPr>
        <w:t>矿石，圆锥</w:t>
      </w:r>
      <w:r>
        <w:rPr>
          <w:rFonts w:hint="eastAsia"/>
          <w:bCs/>
          <w:sz w:val="24"/>
          <w:szCs w:val="24"/>
        </w:rPr>
        <w:t>、锤式</w:t>
      </w:r>
      <w:r>
        <w:rPr>
          <w:bCs/>
          <w:sz w:val="24"/>
          <w:szCs w:val="24"/>
        </w:rPr>
        <w:t>破碎工序颗粒物产生量为</w:t>
      </w:r>
      <w:r>
        <w:rPr>
          <w:bCs/>
          <w:sz w:val="24"/>
          <w:szCs w:val="24"/>
        </w:rPr>
        <w:t>0.5kg/t</w:t>
      </w:r>
      <w:r>
        <w:rPr>
          <w:bCs/>
          <w:sz w:val="24"/>
          <w:szCs w:val="24"/>
        </w:rPr>
        <w:t>矿石。</w:t>
      </w:r>
    </w:p>
    <w:p w:rsidR="00DB7CC8" w:rsidRDefault="002B5250">
      <w:pPr>
        <w:ind w:firstLine="480"/>
        <w:jc w:val="both"/>
        <w:rPr>
          <w:bCs/>
          <w:sz w:val="24"/>
          <w:szCs w:val="24"/>
        </w:rPr>
      </w:pPr>
      <w:r>
        <w:rPr>
          <w:rFonts w:hint="eastAsia"/>
          <w:bCs/>
          <w:sz w:val="24"/>
          <w:szCs w:val="24"/>
        </w:rPr>
        <w:t>②筛分过程产生的颗粒物参照《采石场大气污染物源强分析研究》（资源调查与环境，</w:t>
      </w:r>
      <w:r>
        <w:rPr>
          <w:rFonts w:hint="eastAsia"/>
          <w:bCs/>
          <w:sz w:val="24"/>
          <w:szCs w:val="24"/>
        </w:rPr>
        <w:t>2003</w:t>
      </w:r>
      <w:r>
        <w:rPr>
          <w:rFonts w:hint="eastAsia"/>
          <w:bCs/>
          <w:sz w:val="24"/>
          <w:szCs w:val="24"/>
        </w:rPr>
        <w:t>年，</w:t>
      </w:r>
      <w:r>
        <w:rPr>
          <w:rFonts w:hint="eastAsia"/>
          <w:bCs/>
          <w:sz w:val="24"/>
          <w:szCs w:val="24"/>
        </w:rPr>
        <w:t>第</w:t>
      </w:r>
      <w:r>
        <w:rPr>
          <w:rFonts w:hint="eastAsia"/>
          <w:bCs/>
          <w:sz w:val="24"/>
          <w:szCs w:val="24"/>
        </w:rPr>
        <w:t>24</w:t>
      </w:r>
      <w:r>
        <w:rPr>
          <w:rFonts w:hint="eastAsia"/>
          <w:bCs/>
          <w:sz w:val="24"/>
          <w:szCs w:val="24"/>
        </w:rPr>
        <w:t>卷第</w:t>
      </w:r>
      <w:r>
        <w:rPr>
          <w:rFonts w:hint="eastAsia"/>
          <w:bCs/>
          <w:sz w:val="24"/>
          <w:szCs w:val="24"/>
        </w:rPr>
        <w:t>4</w:t>
      </w:r>
      <w:r>
        <w:rPr>
          <w:rFonts w:hint="eastAsia"/>
          <w:bCs/>
          <w:sz w:val="24"/>
          <w:szCs w:val="24"/>
        </w:rPr>
        <w:t>期），筛分工序颗粒物产生量为筛分物料的</w:t>
      </w:r>
      <w:r>
        <w:rPr>
          <w:rFonts w:hint="eastAsia"/>
          <w:bCs/>
          <w:sz w:val="24"/>
          <w:szCs w:val="24"/>
        </w:rPr>
        <w:t>0.0</w:t>
      </w:r>
      <w:r>
        <w:rPr>
          <w:rFonts w:hint="eastAsia"/>
          <w:bCs/>
          <w:sz w:val="24"/>
          <w:szCs w:val="24"/>
        </w:rPr>
        <w:t>5</w:t>
      </w:r>
      <w:r>
        <w:rPr>
          <w:rFonts w:hint="eastAsia"/>
          <w:bCs/>
          <w:sz w:val="24"/>
          <w:szCs w:val="24"/>
        </w:rPr>
        <w:t>%</w:t>
      </w:r>
      <w:r>
        <w:rPr>
          <w:rFonts w:hint="eastAsia"/>
          <w:bCs/>
          <w:sz w:val="24"/>
          <w:szCs w:val="24"/>
        </w:rPr>
        <w:t>，考虑到本项目筛分过程喷淋加水抑尘，抑尘效果按</w:t>
      </w:r>
      <w:r>
        <w:rPr>
          <w:rFonts w:hint="eastAsia"/>
          <w:bCs/>
          <w:sz w:val="24"/>
          <w:szCs w:val="24"/>
        </w:rPr>
        <w:t>60%</w:t>
      </w:r>
      <w:r>
        <w:rPr>
          <w:rFonts w:hint="eastAsia"/>
          <w:bCs/>
          <w:sz w:val="24"/>
          <w:szCs w:val="24"/>
        </w:rPr>
        <w:t>计，故本项目筛分工序产尘系数为</w:t>
      </w:r>
      <w:r>
        <w:rPr>
          <w:rFonts w:hint="eastAsia"/>
          <w:bCs/>
          <w:sz w:val="24"/>
          <w:szCs w:val="24"/>
        </w:rPr>
        <w:t>筛分物料的</w:t>
      </w:r>
      <w:r>
        <w:rPr>
          <w:rFonts w:hint="eastAsia"/>
          <w:bCs/>
          <w:sz w:val="24"/>
          <w:szCs w:val="24"/>
        </w:rPr>
        <w:t>0.0</w:t>
      </w:r>
      <w:r>
        <w:rPr>
          <w:rFonts w:hint="eastAsia"/>
          <w:bCs/>
          <w:sz w:val="24"/>
          <w:szCs w:val="24"/>
        </w:rPr>
        <w:t>2</w:t>
      </w:r>
      <w:r>
        <w:rPr>
          <w:rFonts w:hint="eastAsia"/>
          <w:bCs/>
          <w:sz w:val="24"/>
          <w:szCs w:val="24"/>
        </w:rPr>
        <w:t>%</w:t>
      </w:r>
      <w:r>
        <w:rPr>
          <w:rFonts w:hint="eastAsia"/>
          <w:bCs/>
          <w:sz w:val="24"/>
          <w:szCs w:val="24"/>
        </w:rPr>
        <w:t>。</w:t>
      </w:r>
    </w:p>
    <w:p w:rsidR="00DB7CC8" w:rsidRDefault="002B5250">
      <w:pPr>
        <w:ind w:firstLine="480"/>
        <w:jc w:val="both"/>
        <w:rPr>
          <w:bCs/>
          <w:sz w:val="24"/>
          <w:szCs w:val="24"/>
        </w:rPr>
      </w:pPr>
      <w:r>
        <w:rPr>
          <w:rFonts w:hint="eastAsia"/>
          <w:bCs/>
          <w:sz w:val="24"/>
          <w:szCs w:val="24"/>
        </w:rPr>
        <w:t>③</w:t>
      </w:r>
      <w:r>
        <w:rPr>
          <w:bCs/>
          <w:sz w:val="24"/>
          <w:szCs w:val="24"/>
        </w:rPr>
        <w:t>类比其他资料，中转仓入料、出料过程产生的颗粒物为原料量为</w:t>
      </w:r>
      <w:r>
        <w:rPr>
          <w:bCs/>
          <w:sz w:val="24"/>
          <w:szCs w:val="24"/>
        </w:rPr>
        <w:t>0.01%</w:t>
      </w:r>
      <w:r>
        <w:rPr>
          <w:bCs/>
          <w:sz w:val="24"/>
          <w:szCs w:val="24"/>
        </w:rPr>
        <w:t>。干选颗粒物产生量类比中转仓入料、出料过程。</w:t>
      </w:r>
    </w:p>
    <w:p w:rsidR="00DB7CC8" w:rsidRDefault="002B5250">
      <w:pPr>
        <w:ind w:firstLine="480"/>
        <w:jc w:val="both"/>
        <w:rPr>
          <w:bCs/>
          <w:sz w:val="24"/>
          <w:szCs w:val="24"/>
        </w:rPr>
      </w:pPr>
      <w:r>
        <w:rPr>
          <w:bCs/>
          <w:sz w:val="24"/>
          <w:szCs w:val="24"/>
        </w:rPr>
        <w:t>本项目设有</w:t>
      </w:r>
      <w:r>
        <w:rPr>
          <w:rFonts w:hint="eastAsia"/>
          <w:bCs/>
          <w:sz w:val="24"/>
          <w:szCs w:val="24"/>
        </w:rPr>
        <w:t>1</w:t>
      </w:r>
      <w:r>
        <w:rPr>
          <w:rFonts w:hint="eastAsia"/>
          <w:bCs/>
          <w:sz w:val="24"/>
          <w:szCs w:val="24"/>
        </w:rPr>
        <w:t>座</w:t>
      </w:r>
      <w:r>
        <w:rPr>
          <w:rFonts w:hint="eastAsia"/>
          <w:bCs/>
          <w:sz w:val="24"/>
          <w:szCs w:val="24"/>
        </w:rPr>
        <w:t>3#</w:t>
      </w:r>
      <w:r>
        <w:rPr>
          <w:bCs/>
          <w:sz w:val="24"/>
          <w:szCs w:val="24"/>
        </w:rPr>
        <w:t>破碎车间，</w:t>
      </w:r>
      <w:r>
        <w:rPr>
          <w:rFonts w:hint="eastAsia"/>
          <w:bCs/>
          <w:sz w:val="24"/>
          <w:szCs w:val="24"/>
        </w:rPr>
        <w:t>配套</w:t>
      </w:r>
      <w:r>
        <w:rPr>
          <w:bCs/>
          <w:sz w:val="24"/>
          <w:szCs w:val="24"/>
        </w:rPr>
        <w:t>设置</w:t>
      </w:r>
      <w:r>
        <w:rPr>
          <w:bCs/>
          <w:sz w:val="24"/>
          <w:szCs w:val="24"/>
        </w:rPr>
        <w:t>1</w:t>
      </w:r>
      <w:r>
        <w:rPr>
          <w:bCs/>
          <w:sz w:val="24"/>
          <w:szCs w:val="24"/>
        </w:rPr>
        <w:t>套脉冲布袋除尘器，颗粒物经除尘器处理后由</w:t>
      </w:r>
      <w:r>
        <w:rPr>
          <w:bCs/>
          <w:sz w:val="24"/>
          <w:szCs w:val="24"/>
        </w:rPr>
        <w:t>1</w:t>
      </w:r>
      <w:r>
        <w:rPr>
          <w:rFonts w:hint="eastAsia"/>
          <w:bCs/>
          <w:sz w:val="24"/>
          <w:szCs w:val="24"/>
        </w:rPr>
        <w:t>8</w:t>
      </w:r>
      <w:r>
        <w:rPr>
          <w:bCs/>
          <w:sz w:val="24"/>
          <w:szCs w:val="24"/>
        </w:rPr>
        <w:t>m</w:t>
      </w:r>
      <w:r>
        <w:rPr>
          <w:bCs/>
          <w:sz w:val="24"/>
          <w:szCs w:val="24"/>
        </w:rPr>
        <w:t>高的排气筒排放。</w:t>
      </w:r>
    </w:p>
    <w:p w:rsidR="00DB7CC8" w:rsidRDefault="002B5250">
      <w:pPr>
        <w:ind w:firstLine="480"/>
        <w:jc w:val="both"/>
        <w:rPr>
          <w:bCs/>
          <w:sz w:val="24"/>
          <w:szCs w:val="24"/>
        </w:rPr>
      </w:pPr>
      <w:r>
        <w:rPr>
          <w:bCs/>
          <w:sz w:val="24"/>
          <w:szCs w:val="24"/>
        </w:rPr>
        <w:t>本项目</w:t>
      </w:r>
      <w:r>
        <w:rPr>
          <w:bCs/>
          <w:sz w:val="24"/>
          <w:szCs w:val="24"/>
        </w:rPr>
        <w:t>破碎筛分生产线处理铁矿石规模为</w:t>
      </w:r>
      <w:r>
        <w:rPr>
          <w:rFonts w:hint="eastAsia"/>
          <w:bCs/>
          <w:sz w:val="24"/>
          <w:szCs w:val="24"/>
        </w:rPr>
        <w:t>4</w:t>
      </w:r>
      <w:r>
        <w:rPr>
          <w:bCs/>
          <w:sz w:val="24"/>
          <w:szCs w:val="24"/>
        </w:rPr>
        <w:t>0</w:t>
      </w:r>
      <w:r>
        <w:rPr>
          <w:bCs/>
          <w:sz w:val="24"/>
          <w:szCs w:val="24"/>
        </w:rPr>
        <w:t>万</w:t>
      </w:r>
      <w:r>
        <w:rPr>
          <w:bCs/>
          <w:sz w:val="24"/>
          <w:szCs w:val="24"/>
        </w:rPr>
        <w:t>t/a</w:t>
      </w:r>
      <w:r>
        <w:rPr>
          <w:bCs/>
          <w:sz w:val="24"/>
          <w:szCs w:val="24"/>
        </w:rPr>
        <w:t>，</w:t>
      </w:r>
      <w:r>
        <w:rPr>
          <w:bCs/>
          <w:sz w:val="24"/>
          <w:szCs w:val="24"/>
        </w:rPr>
        <w:t>主要产尘节点包括：鄂破机入料、破碎、出料过程，</w:t>
      </w:r>
      <w:r>
        <w:rPr>
          <w:rFonts w:hint="eastAsia"/>
          <w:bCs/>
          <w:sz w:val="24"/>
          <w:szCs w:val="24"/>
        </w:rPr>
        <w:t>锤式</w:t>
      </w:r>
      <w:r>
        <w:rPr>
          <w:bCs/>
          <w:sz w:val="24"/>
          <w:szCs w:val="24"/>
        </w:rPr>
        <w:t>破碎机入料、破碎、出料过程，</w:t>
      </w:r>
      <w:r>
        <w:rPr>
          <w:rFonts w:hint="eastAsia"/>
          <w:bCs/>
          <w:sz w:val="24"/>
          <w:szCs w:val="24"/>
        </w:rPr>
        <w:t>圆锥</w:t>
      </w:r>
      <w:r>
        <w:rPr>
          <w:bCs/>
          <w:sz w:val="24"/>
          <w:szCs w:val="24"/>
        </w:rPr>
        <w:t>破碎机入料、破碎、出料过程，振动筛筛分、入料、出料过程，中转仓入料、出料过程。</w:t>
      </w:r>
    </w:p>
    <w:p w:rsidR="00DB7CC8" w:rsidRDefault="002B5250">
      <w:pPr>
        <w:ind w:firstLineChars="0" w:firstLine="0"/>
        <w:jc w:val="both"/>
        <w:rPr>
          <w:bCs/>
          <w:sz w:val="24"/>
          <w:szCs w:val="24"/>
        </w:rPr>
      </w:pPr>
      <w:r>
        <w:rPr>
          <w:bCs/>
          <w:sz w:val="24"/>
          <w:szCs w:val="24"/>
        </w:rPr>
        <w:t>除尘器的设计风量参照《唐山市人民政府关于对采石场实施环节保护专项整治行动的通知》（唐政【</w:t>
      </w:r>
      <w:r>
        <w:rPr>
          <w:bCs/>
          <w:sz w:val="24"/>
          <w:szCs w:val="24"/>
        </w:rPr>
        <w:t>2013</w:t>
      </w:r>
      <w:r>
        <w:rPr>
          <w:bCs/>
          <w:sz w:val="24"/>
          <w:szCs w:val="24"/>
        </w:rPr>
        <w:t>】</w:t>
      </w:r>
      <w:r>
        <w:rPr>
          <w:bCs/>
          <w:sz w:val="24"/>
          <w:szCs w:val="24"/>
        </w:rPr>
        <w:t>128</w:t>
      </w:r>
      <w:r>
        <w:rPr>
          <w:bCs/>
          <w:sz w:val="24"/>
          <w:szCs w:val="24"/>
        </w:rPr>
        <w:t>号）中</w:t>
      </w:r>
      <w:r>
        <w:rPr>
          <w:bCs/>
          <w:sz w:val="24"/>
          <w:szCs w:val="24"/>
        </w:rPr>
        <w:t>“</w:t>
      </w:r>
      <w:r>
        <w:rPr>
          <w:bCs/>
          <w:sz w:val="24"/>
          <w:szCs w:val="24"/>
        </w:rPr>
        <w:t>采石场环境保护专项整治标准</w:t>
      </w:r>
      <w:r>
        <w:rPr>
          <w:bCs/>
          <w:sz w:val="24"/>
          <w:szCs w:val="24"/>
        </w:rPr>
        <w:t>”</w:t>
      </w:r>
      <w:r>
        <w:rPr>
          <w:bCs/>
          <w:sz w:val="24"/>
          <w:szCs w:val="24"/>
        </w:rPr>
        <w:t>第八条</w:t>
      </w:r>
      <w:r>
        <w:rPr>
          <w:bCs/>
          <w:sz w:val="24"/>
          <w:szCs w:val="24"/>
        </w:rPr>
        <w:t>“</w:t>
      </w:r>
      <w:r>
        <w:rPr>
          <w:bCs/>
          <w:sz w:val="24"/>
          <w:szCs w:val="24"/>
        </w:rPr>
        <w:t>单台破碎、筛分设备的除尘设计风量按大于</w:t>
      </w:r>
      <w:r>
        <w:rPr>
          <w:bCs/>
          <w:sz w:val="24"/>
          <w:szCs w:val="24"/>
        </w:rPr>
        <w:t>12000m</w:t>
      </w:r>
      <w:r>
        <w:rPr>
          <w:bCs/>
          <w:sz w:val="24"/>
          <w:szCs w:val="24"/>
          <w:vertAlign w:val="superscript"/>
        </w:rPr>
        <w:t>3</w:t>
      </w:r>
      <w:r>
        <w:rPr>
          <w:bCs/>
          <w:sz w:val="24"/>
          <w:szCs w:val="24"/>
        </w:rPr>
        <w:t>/h</w:t>
      </w:r>
      <w:r>
        <w:rPr>
          <w:bCs/>
          <w:sz w:val="24"/>
          <w:szCs w:val="24"/>
        </w:rPr>
        <w:t>计算</w:t>
      </w:r>
      <w:r>
        <w:rPr>
          <w:bCs/>
          <w:sz w:val="24"/>
          <w:szCs w:val="24"/>
        </w:rPr>
        <w:t>”</w:t>
      </w:r>
      <w:r>
        <w:rPr>
          <w:bCs/>
          <w:sz w:val="24"/>
          <w:szCs w:val="24"/>
        </w:rPr>
        <w:t>。</w:t>
      </w:r>
      <w:r>
        <w:rPr>
          <w:sz w:val="24"/>
          <w:szCs w:val="24"/>
        </w:rPr>
        <w:t>因此，</w:t>
      </w:r>
      <w:r>
        <w:rPr>
          <w:bCs/>
          <w:sz w:val="24"/>
          <w:szCs w:val="24"/>
        </w:rPr>
        <w:t>破碎筛分生</w:t>
      </w:r>
      <w:r>
        <w:rPr>
          <w:bCs/>
          <w:sz w:val="24"/>
          <w:szCs w:val="24"/>
        </w:rPr>
        <w:lastRenderedPageBreak/>
        <w:t>产线</w:t>
      </w:r>
      <w:r>
        <w:rPr>
          <w:sz w:val="24"/>
          <w:szCs w:val="24"/>
        </w:rPr>
        <w:t>除尘器设计风量为</w:t>
      </w:r>
      <w:r>
        <w:rPr>
          <w:rFonts w:hint="eastAsia"/>
          <w:sz w:val="24"/>
          <w:szCs w:val="24"/>
        </w:rPr>
        <w:t>50</w:t>
      </w:r>
      <w:r>
        <w:rPr>
          <w:sz w:val="24"/>
          <w:szCs w:val="24"/>
        </w:rPr>
        <w:t>000m</w:t>
      </w:r>
      <w:r>
        <w:rPr>
          <w:sz w:val="24"/>
          <w:szCs w:val="24"/>
          <w:vertAlign w:val="superscript"/>
        </w:rPr>
        <w:t>3</w:t>
      </w:r>
      <w:r>
        <w:rPr>
          <w:sz w:val="24"/>
          <w:szCs w:val="24"/>
        </w:rPr>
        <w:t>/h</w:t>
      </w:r>
      <w:r>
        <w:rPr>
          <w:sz w:val="24"/>
          <w:szCs w:val="24"/>
        </w:rPr>
        <w:t>，</w:t>
      </w:r>
      <w:r>
        <w:rPr>
          <w:bCs/>
          <w:sz w:val="24"/>
          <w:szCs w:val="24"/>
        </w:rPr>
        <w:t>集气罩集气效率按</w:t>
      </w:r>
      <w:r>
        <w:rPr>
          <w:bCs/>
          <w:sz w:val="24"/>
          <w:szCs w:val="24"/>
        </w:rPr>
        <w:t>95%</w:t>
      </w:r>
      <w:r>
        <w:rPr>
          <w:bCs/>
          <w:sz w:val="24"/>
          <w:szCs w:val="24"/>
        </w:rPr>
        <w:t>计，离线清灰脉冲除尘器除尘效率按</w:t>
      </w:r>
      <w:r>
        <w:rPr>
          <w:bCs/>
          <w:sz w:val="24"/>
          <w:szCs w:val="24"/>
        </w:rPr>
        <w:t>99.</w:t>
      </w:r>
      <w:r>
        <w:rPr>
          <w:rFonts w:hint="eastAsia"/>
          <w:bCs/>
          <w:sz w:val="24"/>
          <w:szCs w:val="24"/>
        </w:rPr>
        <w:t>6</w:t>
      </w:r>
      <w:r>
        <w:rPr>
          <w:bCs/>
          <w:sz w:val="24"/>
          <w:szCs w:val="24"/>
        </w:rPr>
        <w:t>%</w:t>
      </w:r>
      <w:r>
        <w:rPr>
          <w:bCs/>
          <w:sz w:val="24"/>
          <w:szCs w:val="24"/>
        </w:rPr>
        <w:t>计。</w:t>
      </w:r>
    </w:p>
    <w:p w:rsidR="00DB7CC8" w:rsidRDefault="002B5250">
      <w:pPr>
        <w:ind w:firstLine="480"/>
        <w:jc w:val="both"/>
        <w:rPr>
          <w:bCs/>
          <w:sz w:val="24"/>
          <w:szCs w:val="24"/>
        </w:rPr>
      </w:pPr>
      <w:r>
        <w:rPr>
          <w:bCs/>
          <w:sz w:val="24"/>
          <w:szCs w:val="24"/>
        </w:rPr>
        <w:t>本项目</w:t>
      </w:r>
      <w:r>
        <w:rPr>
          <w:rFonts w:hint="eastAsia"/>
          <w:bCs/>
          <w:sz w:val="24"/>
          <w:szCs w:val="24"/>
        </w:rPr>
        <w:t>3#</w:t>
      </w:r>
      <w:r>
        <w:rPr>
          <w:rFonts w:hint="eastAsia"/>
          <w:bCs/>
          <w:sz w:val="24"/>
          <w:szCs w:val="24"/>
        </w:rPr>
        <w:t>破碎粗选</w:t>
      </w:r>
      <w:r>
        <w:rPr>
          <w:bCs/>
          <w:sz w:val="24"/>
          <w:szCs w:val="24"/>
        </w:rPr>
        <w:t>车间颗粒物产生量情况见表</w:t>
      </w:r>
      <w:r>
        <w:rPr>
          <w:bCs/>
          <w:sz w:val="24"/>
          <w:szCs w:val="24"/>
        </w:rPr>
        <w:t>3.</w:t>
      </w:r>
      <w:r>
        <w:rPr>
          <w:rFonts w:hint="eastAsia"/>
          <w:bCs/>
          <w:sz w:val="24"/>
          <w:szCs w:val="24"/>
        </w:rPr>
        <w:t>4</w:t>
      </w:r>
      <w:r>
        <w:rPr>
          <w:bCs/>
          <w:sz w:val="24"/>
          <w:szCs w:val="24"/>
        </w:rPr>
        <w:t>-1</w:t>
      </w:r>
      <w:r>
        <w:rPr>
          <w:bCs/>
          <w:sz w:val="24"/>
          <w:szCs w:val="24"/>
        </w:rPr>
        <w:t>，车间除尘器配置情况及颗粒物达标分析见</w:t>
      </w:r>
      <w:r>
        <w:rPr>
          <w:bCs/>
          <w:sz w:val="24"/>
          <w:szCs w:val="24"/>
        </w:rPr>
        <w:t>表</w:t>
      </w:r>
      <w:r>
        <w:rPr>
          <w:bCs/>
          <w:sz w:val="24"/>
          <w:szCs w:val="24"/>
        </w:rPr>
        <w:t>3.</w:t>
      </w:r>
      <w:r>
        <w:rPr>
          <w:rFonts w:hint="eastAsia"/>
          <w:bCs/>
          <w:sz w:val="24"/>
          <w:szCs w:val="24"/>
        </w:rPr>
        <w:t>4</w:t>
      </w:r>
      <w:r>
        <w:rPr>
          <w:bCs/>
          <w:sz w:val="24"/>
          <w:szCs w:val="24"/>
        </w:rPr>
        <w:t>-2</w:t>
      </w:r>
      <w:r>
        <w:rPr>
          <w:bCs/>
          <w:sz w:val="24"/>
          <w:szCs w:val="24"/>
        </w:rPr>
        <w:t>。</w:t>
      </w:r>
    </w:p>
    <w:p w:rsidR="00DB7CC8" w:rsidRDefault="002B5250">
      <w:pPr>
        <w:spacing w:line="240" w:lineRule="auto"/>
        <w:ind w:firstLineChars="0" w:firstLine="420"/>
        <w:jc w:val="center"/>
        <w:textAlignment w:val="baseline"/>
        <w:rPr>
          <w:rFonts w:eastAsia="黑体"/>
          <w:bCs/>
          <w:kern w:val="2"/>
          <w:sz w:val="21"/>
          <w:szCs w:val="21"/>
        </w:rPr>
      </w:pPr>
      <w:r>
        <w:rPr>
          <w:rFonts w:eastAsia="黑体"/>
          <w:bCs/>
          <w:kern w:val="2"/>
          <w:sz w:val="21"/>
          <w:szCs w:val="21"/>
        </w:rPr>
        <w:t>表</w:t>
      </w:r>
      <w:r>
        <w:rPr>
          <w:rFonts w:eastAsia="黑体"/>
          <w:bCs/>
          <w:kern w:val="2"/>
          <w:sz w:val="21"/>
          <w:szCs w:val="21"/>
        </w:rPr>
        <w:t>3.</w:t>
      </w:r>
      <w:r>
        <w:rPr>
          <w:rFonts w:eastAsia="黑体" w:hint="eastAsia"/>
          <w:bCs/>
          <w:kern w:val="2"/>
          <w:sz w:val="21"/>
          <w:szCs w:val="21"/>
        </w:rPr>
        <w:t>4</w:t>
      </w:r>
      <w:r>
        <w:rPr>
          <w:rFonts w:eastAsia="黑体"/>
          <w:bCs/>
          <w:kern w:val="2"/>
          <w:sz w:val="21"/>
          <w:szCs w:val="21"/>
        </w:rPr>
        <w:t>-1</w:t>
      </w:r>
      <w:r>
        <w:rPr>
          <w:rFonts w:eastAsia="黑体" w:hint="eastAsia"/>
          <w:bCs/>
          <w:kern w:val="2"/>
          <w:sz w:val="21"/>
          <w:szCs w:val="21"/>
        </w:rPr>
        <w:t xml:space="preserve">   </w:t>
      </w:r>
      <w:r>
        <w:rPr>
          <w:rFonts w:eastAsia="黑体"/>
          <w:bCs/>
          <w:kern w:val="2"/>
          <w:sz w:val="21"/>
          <w:szCs w:val="21"/>
        </w:rPr>
        <w:t>破碎筛分生产线有组织废气排放情况表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4"/>
        <w:gridCol w:w="2386"/>
        <w:gridCol w:w="1534"/>
        <w:gridCol w:w="1534"/>
        <w:gridCol w:w="1534"/>
      </w:tblGrid>
      <w:tr w:rsidR="00DB7CC8">
        <w:trPr>
          <w:trHeight w:val="780"/>
        </w:trPr>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ascii="宋体" w:hAnsi="宋体" w:hint="eastAsia"/>
                <w:sz w:val="21"/>
                <w:szCs w:val="21"/>
              </w:rPr>
              <w:t>生产线</w:t>
            </w:r>
          </w:p>
        </w:tc>
        <w:tc>
          <w:tcPr>
            <w:tcW w:w="2386"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ascii="宋体" w:hAnsi="宋体" w:hint="eastAsia"/>
                <w:sz w:val="21"/>
                <w:szCs w:val="21"/>
              </w:rPr>
              <w:t>产尘点</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ascii="宋体" w:hAnsi="宋体" w:hint="eastAsia"/>
                <w:sz w:val="21"/>
                <w:szCs w:val="21"/>
              </w:rPr>
              <w:t>物料处理量（万</w:t>
            </w:r>
            <w:r>
              <w:rPr>
                <w:sz w:val="21"/>
                <w:szCs w:val="21"/>
              </w:rPr>
              <w:t>t/a</w:t>
            </w:r>
            <w:r>
              <w:rPr>
                <w:rFonts w:ascii="宋体" w:hAnsi="宋体" w:hint="eastAsia"/>
                <w:sz w:val="21"/>
                <w:szCs w:val="21"/>
              </w:rPr>
              <w:t>）</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ascii="宋体" w:hAnsi="宋体" w:hint="eastAsia"/>
                <w:sz w:val="21"/>
                <w:szCs w:val="21"/>
              </w:rPr>
              <w:t>产尘系数</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ascii="宋体" w:hAnsi="宋体" w:hint="eastAsia"/>
                <w:sz w:val="21"/>
                <w:szCs w:val="21"/>
              </w:rPr>
              <w:t>颗粒物产生量（</w:t>
            </w:r>
            <w:r>
              <w:rPr>
                <w:sz w:val="21"/>
                <w:szCs w:val="21"/>
              </w:rPr>
              <w:t>t/a</w:t>
            </w:r>
            <w:r>
              <w:rPr>
                <w:rFonts w:ascii="宋体" w:hAnsi="宋体" w:hint="eastAsia"/>
                <w:sz w:val="21"/>
                <w:szCs w:val="21"/>
              </w:rPr>
              <w:t>）</w:t>
            </w:r>
          </w:p>
        </w:tc>
      </w:tr>
      <w:tr w:rsidR="00DB7CC8">
        <w:trPr>
          <w:trHeight w:val="300"/>
        </w:trPr>
        <w:tc>
          <w:tcPr>
            <w:tcW w:w="1534" w:type="dxa"/>
            <w:vMerge w:val="restart"/>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ascii="宋体" w:hAnsi="宋体"/>
                <w:sz w:val="21"/>
                <w:szCs w:val="21"/>
              </w:rPr>
            </w:pPr>
            <w:r>
              <w:rPr>
                <w:rFonts w:ascii="宋体" w:hAnsi="宋体" w:hint="eastAsia"/>
                <w:sz w:val="21"/>
                <w:szCs w:val="21"/>
              </w:rPr>
              <w:t>3#</w:t>
            </w:r>
            <w:r>
              <w:rPr>
                <w:rFonts w:ascii="宋体" w:hAnsi="宋体" w:hint="eastAsia"/>
                <w:sz w:val="21"/>
                <w:szCs w:val="21"/>
              </w:rPr>
              <w:t>破碎</w:t>
            </w:r>
            <w:r>
              <w:rPr>
                <w:rFonts w:ascii="宋体" w:hAnsi="宋体" w:hint="eastAsia"/>
                <w:sz w:val="21"/>
                <w:szCs w:val="21"/>
              </w:rPr>
              <w:t>粗选</w:t>
            </w:r>
          </w:p>
          <w:p w:rsidR="00DB7CC8" w:rsidRDefault="002B5250">
            <w:pPr>
              <w:widowControl/>
              <w:spacing w:line="240" w:lineRule="auto"/>
              <w:ind w:firstLineChars="0" w:firstLine="0"/>
              <w:jc w:val="center"/>
              <w:textAlignment w:val="auto"/>
              <w:rPr>
                <w:sz w:val="21"/>
                <w:szCs w:val="21"/>
              </w:rPr>
            </w:pPr>
            <w:r>
              <w:rPr>
                <w:rFonts w:ascii="宋体" w:hAnsi="宋体" w:hint="eastAsia"/>
                <w:sz w:val="21"/>
                <w:szCs w:val="21"/>
              </w:rPr>
              <w:t>生产线</w:t>
            </w:r>
          </w:p>
        </w:tc>
        <w:tc>
          <w:tcPr>
            <w:tcW w:w="2386"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ascii="宋体" w:hAnsi="宋体" w:hint="eastAsia"/>
                <w:sz w:val="21"/>
                <w:szCs w:val="21"/>
              </w:rPr>
              <w:t>颚式破碎机</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40</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0.2kg/t</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80</w:t>
            </w:r>
          </w:p>
        </w:tc>
      </w:tr>
      <w:tr w:rsidR="00DB7CC8">
        <w:trPr>
          <w:trHeight w:val="320"/>
        </w:trPr>
        <w:tc>
          <w:tcPr>
            <w:tcW w:w="1534"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2386"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ascii="宋体" w:hAnsi="宋体" w:hint="eastAsia"/>
                <w:sz w:val="21"/>
                <w:szCs w:val="21"/>
              </w:rPr>
              <w:t>锤式破碎机</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40</w:t>
            </w:r>
          </w:p>
        </w:tc>
        <w:tc>
          <w:tcPr>
            <w:tcW w:w="1534"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sz w:val="21"/>
                <w:szCs w:val="21"/>
              </w:rPr>
            </w:pPr>
            <w:r>
              <w:rPr>
                <w:sz w:val="21"/>
                <w:szCs w:val="21"/>
              </w:rPr>
              <w:t>0.5kg/t</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200</w:t>
            </w:r>
          </w:p>
        </w:tc>
      </w:tr>
      <w:tr w:rsidR="00DB7CC8">
        <w:trPr>
          <w:trHeight w:val="270"/>
        </w:trPr>
        <w:tc>
          <w:tcPr>
            <w:tcW w:w="1534"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2386"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ascii="宋体" w:hAnsi="宋体" w:hint="eastAsia"/>
                <w:sz w:val="21"/>
                <w:szCs w:val="21"/>
              </w:rPr>
              <w:t>圆锥</w:t>
            </w:r>
            <w:r>
              <w:rPr>
                <w:rFonts w:ascii="宋体" w:hAnsi="宋体" w:hint="eastAsia"/>
                <w:sz w:val="21"/>
                <w:szCs w:val="21"/>
              </w:rPr>
              <w:t>破碎机</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28</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0.5kg/t</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140</w:t>
            </w:r>
          </w:p>
        </w:tc>
      </w:tr>
      <w:tr w:rsidR="00DB7CC8">
        <w:trPr>
          <w:trHeight w:val="300"/>
        </w:trPr>
        <w:tc>
          <w:tcPr>
            <w:tcW w:w="1534"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2386"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ascii="宋体" w:hAnsi="宋体" w:hint="eastAsia"/>
                <w:sz w:val="21"/>
                <w:szCs w:val="21"/>
              </w:rPr>
              <w:t>振动筛</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40</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0.02%</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80</w:t>
            </w:r>
          </w:p>
        </w:tc>
      </w:tr>
      <w:tr w:rsidR="00DB7CC8">
        <w:trPr>
          <w:trHeight w:val="300"/>
        </w:trPr>
        <w:tc>
          <w:tcPr>
            <w:tcW w:w="1534"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2386"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中转料仓</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40</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sz w:val="21"/>
                <w:szCs w:val="21"/>
              </w:rPr>
              <w:t>0.01%</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40</w:t>
            </w:r>
          </w:p>
        </w:tc>
      </w:tr>
      <w:tr w:rsidR="00DB7CC8">
        <w:trPr>
          <w:trHeight w:val="300"/>
        </w:trPr>
        <w:tc>
          <w:tcPr>
            <w:tcW w:w="1534" w:type="dxa"/>
            <w:vMerge/>
            <w:tcBorders>
              <w:tl2br w:val="nil"/>
              <w:tr2bl w:val="nil"/>
            </w:tcBorders>
            <w:vAlign w:val="center"/>
          </w:tcPr>
          <w:p w:rsidR="00DB7CC8" w:rsidRDefault="00DB7CC8">
            <w:pPr>
              <w:widowControl/>
              <w:spacing w:line="240" w:lineRule="auto"/>
              <w:ind w:firstLineChars="0" w:firstLine="0"/>
              <w:textAlignment w:val="auto"/>
              <w:rPr>
                <w:sz w:val="21"/>
                <w:szCs w:val="21"/>
              </w:rPr>
            </w:pPr>
          </w:p>
        </w:tc>
        <w:tc>
          <w:tcPr>
            <w:tcW w:w="5454" w:type="dxa"/>
            <w:gridSpan w:val="3"/>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ascii="宋体" w:hAnsi="宋体" w:cs="宋体" w:hint="eastAsia"/>
                <w:sz w:val="21"/>
                <w:szCs w:val="21"/>
              </w:rPr>
              <w:t>合计</w:t>
            </w:r>
          </w:p>
        </w:tc>
        <w:tc>
          <w:tcPr>
            <w:tcW w:w="1534"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540</w:t>
            </w:r>
          </w:p>
        </w:tc>
      </w:tr>
    </w:tbl>
    <w:p w:rsidR="00DB7CC8" w:rsidRDefault="00DB7CC8">
      <w:pPr>
        <w:spacing w:line="240" w:lineRule="auto"/>
        <w:ind w:firstLineChars="0" w:firstLine="420"/>
        <w:jc w:val="center"/>
        <w:textAlignment w:val="baseline"/>
        <w:rPr>
          <w:rFonts w:eastAsia="黑体"/>
          <w:bCs/>
          <w:kern w:val="2"/>
          <w:sz w:val="21"/>
          <w:szCs w:val="21"/>
        </w:rPr>
      </w:pPr>
    </w:p>
    <w:p w:rsidR="00DB7CC8" w:rsidRDefault="00DB7CC8">
      <w:pPr>
        <w:ind w:firstLine="480"/>
        <w:jc w:val="both"/>
        <w:rPr>
          <w:bCs/>
          <w:sz w:val="24"/>
          <w:szCs w:val="24"/>
        </w:rPr>
        <w:sectPr w:rsidR="00DB7CC8">
          <w:pgSz w:w="11906" w:h="16838"/>
          <w:pgMar w:top="1440" w:right="1800" w:bottom="1276" w:left="1800" w:header="851" w:footer="992" w:gutter="0"/>
          <w:cols w:space="720"/>
          <w:docGrid w:linePitch="312"/>
        </w:sectPr>
      </w:pPr>
    </w:p>
    <w:p w:rsidR="00DB7CC8" w:rsidRDefault="002B5250">
      <w:pPr>
        <w:spacing w:line="240" w:lineRule="auto"/>
        <w:ind w:firstLineChars="0" w:firstLine="0"/>
        <w:jc w:val="center"/>
        <w:rPr>
          <w:rFonts w:eastAsia="黑体"/>
          <w:bCs/>
          <w:kern w:val="2"/>
          <w:sz w:val="21"/>
          <w:szCs w:val="21"/>
        </w:rPr>
      </w:pPr>
      <w:r>
        <w:rPr>
          <w:rFonts w:eastAsia="黑体"/>
          <w:bCs/>
          <w:kern w:val="2"/>
          <w:sz w:val="21"/>
          <w:szCs w:val="21"/>
        </w:rPr>
        <w:lastRenderedPageBreak/>
        <w:t>表</w:t>
      </w:r>
      <w:r>
        <w:rPr>
          <w:rFonts w:eastAsia="黑体"/>
          <w:bCs/>
          <w:kern w:val="2"/>
          <w:sz w:val="21"/>
          <w:szCs w:val="21"/>
        </w:rPr>
        <w:t>3.</w:t>
      </w:r>
      <w:r>
        <w:rPr>
          <w:rFonts w:eastAsia="黑体" w:hint="eastAsia"/>
          <w:bCs/>
          <w:kern w:val="2"/>
          <w:sz w:val="21"/>
          <w:szCs w:val="21"/>
        </w:rPr>
        <w:t>4</w:t>
      </w:r>
      <w:r>
        <w:rPr>
          <w:rFonts w:eastAsia="黑体"/>
          <w:bCs/>
          <w:kern w:val="2"/>
          <w:sz w:val="21"/>
          <w:szCs w:val="21"/>
        </w:rPr>
        <w:t xml:space="preserve">-2  </w:t>
      </w:r>
      <w:r>
        <w:rPr>
          <w:rFonts w:eastAsia="黑体"/>
          <w:bCs/>
          <w:kern w:val="2"/>
          <w:sz w:val="21"/>
          <w:szCs w:val="21"/>
        </w:rPr>
        <w:t>生产过程废气（颗粒物）产排污节点一览表</w:t>
      </w:r>
    </w:p>
    <w:tbl>
      <w:tblPr>
        <w:tblW w:w="14066" w:type="dxa"/>
        <w:tblInd w:w="108" w:type="dxa"/>
        <w:tblBorders>
          <w:top w:val="single" w:sz="8" w:space="0" w:color="auto"/>
          <w:left w:val="single" w:sz="8" w:space="0" w:color="auto"/>
          <w:bottom w:val="single" w:sz="8" w:space="0" w:color="auto"/>
          <w:right w:val="single" w:sz="8" w:space="0" w:color="auto"/>
          <w:insideH w:val="single" w:sz="8" w:space="0" w:color="auto"/>
          <w:insideV w:val="single" w:sz="4" w:space="0" w:color="auto"/>
        </w:tblBorders>
        <w:tblLayout w:type="fixed"/>
        <w:tblLook w:val="04A0" w:firstRow="1" w:lastRow="0" w:firstColumn="1" w:lastColumn="0" w:noHBand="0" w:noVBand="1"/>
      </w:tblPr>
      <w:tblGrid>
        <w:gridCol w:w="1024"/>
        <w:gridCol w:w="1000"/>
        <w:gridCol w:w="1315"/>
        <w:gridCol w:w="669"/>
        <w:gridCol w:w="2229"/>
        <w:gridCol w:w="1560"/>
        <w:gridCol w:w="1499"/>
        <w:gridCol w:w="831"/>
        <w:gridCol w:w="1036"/>
        <w:gridCol w:w="831"/>
        <w:gridCol w:w="1036"/>
        <w:gridCol w:w="1036"/>
      </w:tblGrid>
      <w:tr w:rsidR="00DB7CC8">
        <w:trPr>
          <w:trHeight w:val="283"/>
          <w:tblHeader/>
        </w:trPr>
        <w:tc>
          <w:tcPr>
            <w:tcW w:w="2024" w:type="dxa"/>
            <w:gridSpan w:val="2"/>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工序</w:t>
            </w:r>
          </w:p>
        </w:tc>
        <w:tc>
          <w:tcPr>
            <w:tcW w:w="1315"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节点</w:t>
            </w:r>
          </w:p>
        </w:tc>
        <w:tc>
          <w:tcPr>
            <w:tcW w:w="669"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排放</w:t>
            </w:r>
          </w:p>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特征</w:t>
            </w:r>
          </w:p>
        </w:tc>
        <w:tc>
          <w:tcPr>
            <w:tcW w:w="2229"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颗粒物收集方式</w:t>
            </w:r>
          </w:p>
        </w:tc>
        <w:tc>
          <w:tcPr>
            <w:tcW w:w="1560"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废气处理方式</w:t>
            </w:r>
          </w:p>
        </w:tc>
        <w:tc>
          <w:tcPr>
            <w:tcW w:w="1499"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废气处理量及处理效率</w:t>
            </w:r>
          </w:p>
        </w:tc>
        <w:tc>
          <w:tcPr>
            <w:tcW w:w="831"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产生量</w:t>
            </w:r>
          </w:p>
        </w:tc>
        <w:tc>
          <w:tcPr>
            <w:tcW w:w="1036"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产生浓度</w:t>
            </w:r>
          </w:p>
        </w:tc>
        <w:tc>
          <w:tcPr>
            <w:tcW w:w="831"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排放量</w:t>
            </w:r>
          </w:p>
        </w:tc>
        <w:tc>
          <w:tcPr>
            <w:tcW w:w="1036"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排放浓度</w:t>
            </w:r>
          </w:p>
        </w:tc>
        <w:tc>
          <w:tcPr>
            <w:tcW w:w="1036"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排放标准</w:t>
            </w:r>
          </w:p>
        </w:tc>
      </w:tr>
      <w:tr w:rsidR="00DB7CC8">
        <w:trPr>
          <w:trHeight w:val="283"/>
          <w:tblHeader/>
        </w:trPr>
        <w:tc>
          <w:tcPr>
            <w:tcW w:w="2024" w:type="dxa"/>
            <w:gridSpan w:val="2"/>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1315"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66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222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156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149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831"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sz w:val="21"/>
                <w:szCs w:val="21"/>
              </w:rPr>
              <w:t>t/a</w:t>
            </w:r>
          </w:p>
        </w:tc>
        <w:tc>
          <w:tcPr>
            <w:tcW w:w="1036"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sz w:val="21"/>
                <w:szCs w:val="21"/>
              </w:rPr>
              <w:t>mg/m</w:t>
            </w:r>
            <w:r>
              <w:rPr>
                <w:sz w:val="21"/>
                <w:szCs w:val="21"/>
                <w:vertAlign w:val="superscript"/>
              </w:rPr>
              <w:t>3</w:t>
            </w:r>
          </w:p>
        </w:tc>
        <w:tc>
          <w:tcPr>
            <w:tcW w:w="831"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sz w:val="21"/>
                <w:szCs w:val="21"/>
              </w:rPr>
              <w:t>t/a</w:t>
            </w:r>
          </w:p>
        </w:tc>
        <w:tc>
          <w:tcPr>
            <w:tcW w:w="1036"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sz w:val="21"/>
                <w:szCs w:val="21"/>
              </w:rPr>
              <w:t>mg/m</w:t>
            </w:r>
            <w:r>
              <w:rPr>
                <w:sz w:val="21"/>
                <w:szCs w:val="21"/>
                <w:vertAlign w:val="superscript"/>
              </w:rPr>
              <w:t>3</w:t>
            </w:r>
          </w:p>
        </w:tc>
        <w:tc>
          <w:tcPr>
            <w:tcW w:w="1036"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sz w:val="21"/>
                <w:szCs w:val="21"/>
              </w:rPr>
              <w:t>mg/m</w:t>
            </w:r>
            <w:r>
              <w:rPr>
                <w:sz w:val="21"/>
                <w:szCs w:val="21"/>
                <w:vertAlign w:val="superscript"/>
              </w:rPr>
              <w:t>3</w:t>
            </w:r>
          </w:p>
        </w:tc>
      </w:tr>
      <w:tr w:rsidR="00DB7CC8">
        <w:trPr>
          <w:trHeight w:val="283"/>
        </w:trPr>
        <w:tc>
          <w:tcPr>
            <w:tcW w:w="1024"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3</w:t>
            </w:r>
            <w:r>
              <w:rPr>
                <w:sz w:val="21"/>
                <w:szCs w:val="21"/>
              </w:rPr>
              <w:t>#</w:t>
            </w:r>
            <w:r>
              <w:rPr>
                <w:rFonts w:ascii="宋体" w:hAnsi="宋体" w:hint="eastAsia"/>
                <w:sz w:val="21"/>
                <w:szCs w:val="21"/>
              </w:rPr>
              <w:t>破碎</w:t>
            </w:r>
            <w:r>
              <w:rPr>
                <w:rFonts w:ascii="宋体" w:hAnsi="宋体" w:hint="eastAsia"/>
                <w:sz w:val="21"/>
                <w:szCs w:val="21"/>
              </w:rPr>
              <w:t>粗选</w:t>
            </w:r>
            <w:r>
              <w:rPr>
                <w:rFonts w:ascii="宋体" w:hAnsi="宋体" w:hint="eastAsia"/>
                <w:sz w:val="21"/>
                <w:szCs w:val="21"/>
              </w:rPr>
              <w:t>生产线</w:t>
            </w:r>
          </w:p>
        </w:tc>
        <w:tc>
          <w:tcPr>
            <w:tcW w:w="1000"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鄂破工序（</w:t>
            </w:r>
            <w:r>
              <w:rPr>
                <w:sz w:val="21"/>
                <w:szCs w:val="21"/>
              </w:rPr>
              <w:t>1</w:t>
            </w:r>
            <w:r>
              <w:rPr>
                <w:rFonts w:ascii="宋体" w:hAnsi="宋体" w:cs="宋体" w:hint="eastAsia"/>
                <w:sz w:val="21"/>
                <w:szCs w:val="21"/>
              </w:rPr>
              <w:t>台）</w:t>
            </w:r>
          </w:p>
        </w:tc>
        <w:tc>
          <w:tcPr>
            <w:tcW w:w="1315"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鄂破入料</w:t>
            </w:r>
          </w:p>
        </w:tc>
        <w:tc>
          <w:tcPr>
            <w:tcW w:w="669"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sz w:val="21"/>
                <w:szCs w:val="21"/>
              </w:rPr>
              <w:t>—</w:t>
            </w:r>
          </w:p>
        </w:tc>
        <w:tc>
          <w:tcPr>
            <w:tcW w:w="2229"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入料口设置皮质软帘封闭</w:t>
            </w:r>
            <w:r>
              <w:rPr>
                <w:sz w:val="21"/>
                <w:szCs w:val="21"/>
              </w:rPr>
              <w:t>+</w:t>
            </w:r>
            <w:r>
              <w:rPr>
                <w:rFonts w:ascii="宋体" w:hAnsi="宋体" w:cs="宋体" w:hint="eastAsia"/>
                <w:sz w:val="21"/>
                <w:szCs w:val="21"/>
              </w:rPr>
              <w:t>喷雾抑尘</w:t>
            </w:r>
          </w:p>
        </w:tc>
        <w:tc>
          <w:tcPr>
            <w:tcW w:w="1560" w:type="dxa"/>
            <w:vMerge w:val="restart"/>
            <w:tcBorders>
              <w:tl2br w:val="nil"/>
              <w:tr2bl w:val="nil"/>
            </w:tcBorders>
            <w:shd w:val="clear" w:color="auto" w:fill="auto"/>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sz w:val="21"/>
                <w:szCs w:val="21"/>
              </w:rPr>
              <w:t>1</w:t>
            </w:r>
            <w:r>
              <w:rPr>
                <w:rFonts w:ascii="宋体" w:hAnsi="宋体" w:hint="eastAsia"/>
                <w:sz w:val="21"/>
                <w:szCs w:val="21"/>
              </w:rPr>
              <w:t>套脉冲布袋除尘器</w:t>
            </w:r>
            <w:r>
              <w:rPr>
                <w:sz w:val="21"/>
                <w:szCs w:val="21"/>
              </w:rPr>
              <w:t>+1</w:t>
            </w:r>
            <w:r>
              <w:rPr>
                <w:rFonts w:hint="eastAsia"/>
                <w:sz w:val="21"/>
                <w:szCs w:val="21"/>
              </w:rPr>
              <w:t>8</w:t>
            </w:r>
            <w:r>
              <w:rPr>
                <w:sz w:val="21"/>
                <w:szCs w:val="21"/>
              </w:rPr>
              <w:t>m</w:t>
            </w:r>
            <w:r>
              <w:rPr>
                <w:rFonts w:ascii="宋体" w:hAnsi="宋体" w:hint="eastAsia"/>
                <w:sz w:val="21"/>
                <w:szCs w:val="21"/>
              </w:rPr>
              <w:t>高排气筒</w:t>
            </w:r>
          </w:p>
        </w:tc>
        <w:tc>
          <w:tcPr>
            <w:tcW w:w="1499" w:type="dxa"/>
            <w:vMerge w:val="restart"/>
            <w:tcBorders>
              <w:tl2br w:val="nil"/>
              <w:tr2bl w:val="nil"/>
            </w:tcBorders>
            <w:shd w:val="clear" w:color="auto" w:fill="auto"/>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50</w:t>
            </w:r>
            <w:r>
              <w:rPr>
                <w:sz w:val="21"/>
                <w:szCs w:val="21"/>
              </w:rPr>
              <w:t>000m</w:t>
            </w:r>
            <w:r>
              <w:rPr>
                <w:sz w:val="21"/>
                <w:szCs w:val="21"/>
                <w:vertAlign w:val="superscript"/>
              </w:rPr>
              <w:t>3</w:t>
            </w:r>
            <w:r>
              <w:rPr>
                <w:sz w:val="21"/>
                <w:szCs w:val="21"/>
              </w:rPr>
              <w:t>/h</w:t>
            </w:r>
            <w:r>
              <w:rPr>
                <w:rFonts w:ascii="宋体" w:hAnsi="宋体" w:hint="eastAsia"/>
                <w:sz w:val="21"/>
                <w:szCs w:val="21"/>
              </w:rPr>
              <w:t>，</w:t>
            </w:r>
            <w:r>
              <w:rPr>
                <w:sz w:val="21"/>
                <w:szCs w:val="21"/>
              </w:rPr>
              <w:t>99.</w:t>
            </w:r>
            <w:r>
              <w:rPr>
                <w:rFonts w:hint="eastAsia"/>
                <w:sz w:val="21"/>
                <w:szCs w:val="21"/>
              </w:rPr>
              <w:t>9</w:t>
            </w:r>
            <w:r>
              <w:rPr>
                <w:sz w:val="21"/>
                <w:szCs w:val="21"/>
              </w:rPr>
              <w:t>%</w:t>
            </w:r>
          </w:p>
        </w:tc>
        <w:tc>
          <w:tcPr>
            <w:tcW w:w="831"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80</w:t>
            </w:r>
          </w:p>
        </w:tc>
        <w:tc>
          <w:tcPr>
            <w:tcW w:w="1036"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1425</w:t>
            </w:r>
            <w:r>
              <w:rPr>
                <w:sz w:val="21"/>
                <w:szCs w:val="21"/>
              </w:rPr>
              <w:t xml:space="preserve"> </w:t>
            </w:r>
          </w:p>
        </w:tc>
        <w:tc>
          <w:tcPr>
            <w:tcW w:w="831"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2.052</w:t>
            </w:r>
            <w:r>
              <w:rPr>
                <w:sz w:val="21"/>
                <w:szCs w:val="21"/>
              </w:rPr>
              <w:t xml:space="preserve"> </w:t>
            </w:r>
          </w:p>
        </w:tc>
        <w:tc>
          <w:tcPr>
            <w:tcW w:w="1036"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5.7</w:t>
            </w:r>
            <w:r>
              <w:rPr>
                <w:sz w:val="21"/>
                <w:szCs w:val="21"/>
              </w:rPr>
              <w:t xml:space="preserve"> </w:t>
            </w:r>
          </w:p>
        </w:tc>
        <w:tc>
          <w:tcPr>
            <w:tcW w:w="1036"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sz w:val="21"/>
                <w:szCs w:val="21"/>
              </w:rPr>
              <w:t>10</w:t>
            </w:r>
          </w:p>
        </w:tc>
      </w:tr>
      <w:tr w:rsidR="00DB7CC8">
        <w:trPr>
          <w:trHeight w:val="283"/>
        </w:trPr>
        <w:tc>
          <w:tcPr>
            <w:tcW w:w="1024"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0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1315"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破碎过程</w:t>
            </w:r>
          </w:p>
        </w:tc>
        <w:tc>
          <w:tcPr>
            <w:tcW w:w="669"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有组织</w:t>
            </w:r>
          </w:p>
        </w:tc>
        <w:tc>
          <w:tcPr>
            <w:tcW w:w="2229"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出料口设置皮带封（</w:t>
            </w:r>
            <w:r>
              <w:rPr>
                <w:sz w:val="21"/>
                <w:szCs w:val="21"/>
              </w:rPr>
              <w:t>1.0m×1.0m</w:t>
            </w:r>
            <w:r>
              <w:rPr>
                <w:rFonts w:ascii="宋体" w:hAnsi="宋体" w:cs="宋体" w:hint="eastAsia"/>
                <w:sz w:val="21"/>
                <w:szCs w:val="21"/>
              </w:rPr>
              <w:t>）</w:t>
            </w:r>
            <w:r>
              <w:rPr>
                <w:sz w:val="21"/>
                <w:szCs w:val="21"/>
              </w:rPr>
              <w:t>+</w:t>
            </w:r>
            <w:r>
              <w:rPr>
                <w:rFonts w:ascii="宋体" w:hAnsi="宋体" w:cs="宋体" w:hint="eastAsia"/>
                <w:sz w:val="21"/>
                <w:szCs w:val="21"/>
              </w:rPr>
              <w:t>集尘管道</w:t>
            </w:r>
          </w:p>
        </w:tc>
        <w:tc>
          <w:tcPr>
            <w:tcW w:w="156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49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r>
      <w:tr w:rsidR="00DB7CC8">
        <w:trPr>
          <w:trHeight w:val="283"/>
        </w:trPr>
        <w:tc>
          <w:tcPr>
            <w:tcW w:w="1024"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0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1315"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鄂破出料</w:t>
            </w:r>
          </w:p>
        </w:tc>
        <w:tc>
          <w:tcPr>
            <w:tcW w:w="669"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有组织</w:t>
            </w:r>
          </w:p>
        </w:tc>
        <w:tc>
          <w:tcPr>
            <w:tcW w:w="222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156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49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r>
      <w:tr w:rsidR="00DB7CC8">
        <w:trPr>
          <w:trHeight w:val="414"/>
        </w:trPr>
        <w:tc>
          <w:tcPr>
            <w:tcW w:w="1024"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00"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锤破工序（</w:t>
            </w:r>
            <w:r>
              <w:rPr>
                <w:sz w:val="21"/>
                <w:szCs w:val="21"/>
              </w:rPr>
              <w:t>1</w:t>
            </w:r>
            <w:r>
              <w:rPr>
                <w:rFonts w:ascii="宋体" w:hAnsi="宋体" w:cs="宋体" w:hint="eastAsia"/>
                <w:sz w:val="21"/>
                <w:szCs w:val="21"/>
              </w:rPr>
              <w:t>台）</w:t>
            </w:r>
          </w:p>
        </w:tc>
        <w:tc>
          <w:tcPr>
            <w:tcW w:w="1315" w:type="dxa"/>
            <w:tcBorders>
              <w:bottom w:val="single" w:sz="4" w:space="0" w:color="auto"/>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锤破入料</w:t>
            </w:r>
          </w:p>
        </w:tc>
        <w:tc>
          <w:tcPr>
            <w:tcW w:w="669"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有组织</w:t>
            </w:r>
          </w:p>
        </w:tc>
        <w:tc>
          <w:tcPr>
            <w:tcW w:w="2229"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进出</w:t>
            </w:r>
            <w:r>
              <w:rPr>
                <w:rFonts w:ascii="宋体" w:hAnsi="宋体" w:cs="宋体" w:hint="eastAsia"/>
                <w:sz w:val="21"/>
                <w:szCs w:val="21"/>
              </w:rPr>
              <w:t>料口上方设置集气罩</w:t>
            </w:r>
            <w:r>
              <w:rPr>
                <w:rFonts w:ascii="宋体" w:hAnsi="宋体" w:cs="宋体" w:hint="eastAsia"/>
                <w:sz w:val="21"/>
                <w:szCs w:val="21"/>
              </w:rPr>
              <w:t>+</w:t>
            </w:r>
            <w:r>
              <w:rPr>
                <w:rFonts w:ascii="宋体" w:hAnsi="宋体" w:cs="宋体" w:hint="eastAsia"/>
                <w:sz w:val="21"/>
                <w:szCs w:val="21"/>
              </w:rPr>
              <w:t>集尘管道，集气罩大于设备敞口</w:t>
            </w:r>
            <w:r>
              <w:rPr>
                <w:rFonts w:ascii="宋体" w:hAnsi="宋体" w:cs="宋体" w:hint="eastAsia"/>
                <w:sz w:val="21"/>
                <w:szCs w:val="21"/>
              </w:rPr>
              <w:t>15~20cm</w:t>
            </w:r>
            <w:r>
              <w:rPr>
                <w:rFonts w:ascii="宋体" w:hAnsi="宋体" w:cs="宋体" w:hint="eastAsia"/>
                <w:sz w:val="21"/>
                <w:szCs w:val="21"/>
              </w:rPr>
              <w:t>设置</w:t>
            </w:r>
          </w:p>
        </w:tc>
        <w:tc>
          <w:tcPr>
            <w:tcW w:w="156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49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200</w:t>
            </w: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r>
      <w:tr w:rsidR="00DB7CC8">
        <w:trPr>
          <w:trHeight w:val="670"/>
        </w:trPr>
        <w:tc>
          <w:tcPr>
            <w:tcW w:w="1024"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00" w:type="dxa"/>
            <w:vMerge/>
            <w:tcBorders>
              <w:tl2br w:val="nil"/>
              <w:tr2bl w:val="nil"/>
            </w:tcBorders>
            <w:shd w:val="clear" w:color="auto" w:fill="auto"/>
            <w:noWrap/>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1315" w:type="dxa"/>
            <w:tcBorders>
              <w:top w:val="single" w:sz="4" w:space="0" w:color="auto"/>
              <w:bottom w:val="single" w:sz="4" w:space="0" w:color="auto"/>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破碎过程</w:t>
            </w:r>
          </w:p>
        </w:tc>
        <w:tc>
          <w:tcPr>
            <w:tcW w:w="669" w:type="dxa"/>
            <w:vMerge/>
            <w:tcBorders>
              <w:tl2br w:val="nil"/>
              <w:tr2bl w:val="nil"/>
            </w:tcBorders>
            <w:shd w:val="clear" w:color="auto" w:fill="auto"/>
            <w:noWrap/>
            <w:tcMar>
              <w:left w:w="0" w:type="dxa"/>
              <w:right w:w="0" w:type="dxa"/>
            </w:tcMar>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2229" w:type="dxa"/>
            <w:vMerge/>
            <w:tcBorders>
              <w:tl2br w:val="nil"/>
              <w:tr2bl w:val="nil"/>
            </w:tcBorders>
            <w:shd w:val="clear" w:color="auto" w:fill="auto"/>
            <w:noWrap/>
            <w:tcMar>
              <w:left w:w="0" w:type="dxa"/>
              <w:right w:w="0" w:type="dxa"/>
            </w:tcMar>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56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49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shd w:val="clear" w:color="auto" w:fill="auto"/>
            <w:noWrap/>
            <w:tcMar>
              <w:left w:w="0" w:type="dxa"/>
              <w:right w:w="0" w:type="dxa"/>
            </w:tcMar>
            <w:vAlign w:val="center"/>
          </w:tcPr>
          <w:p w:rsidR="00DB7CC8" w:rsidRDefault="00DB7CC8">
            <w:pPr>
              <w:widowControl/>
              <w:spacing w:line="240" w:lineRule="auto"/>
              <w:ind w:firstLineChars="0" w:firstLine="0"/>
              <w:jc w:val="center"/>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r>
      <w:tr w:rsidR="00DB7CC8">
        <w:trPr>
          <w:trHeight w:val="248"/>
        </w:trPr>
        <w:tc>
          <w:tcPr>
            <w:tcW w:w="1024"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00" w:type="dxa"/>
            <w:vMerge/>
            <w:tcBorders>
              <w:tl2br w:val="nil"/>
              <w:tr2bl w:val="nil"/>
            </w:tcBorders>
            <w:shd w:val="clear" w:color="auto" w:fill="auto"/>
            <w:noWrap/>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1315" w:type="dxa"/>
            <w:tcBorders>
              <w:top w:val="single" w:sz="4" w:space="0" w:color="auto"/>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锤破出料</w:t>
            </w:r>
          </w:p>
        </w:tc>
        <w:tc>
          <w:tcPr>
            <w:tcW w:w="669" w:type="dxa"/>
            <w:vMerge/>
            <w:tcBorders>
              <w:tl2br w:val="nil"/>
              <w:tr2bl w:val="nil"/>
            </w:tcBorders>
            <w:shd w:val="clear" w:color="auto" w:fill="auto"/>
            <w:noWrap/>
            <w:tcMar>
              <w:left w:w="0" w:type="dxa"/>
              <w:right w:w="0" w:type="dxa"/>
            </w:tcMar>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2229" w:type="dxa"/>
            <w:vMerge/>
            <w:tcBorders>
              <w:tl2br w:val="nil"/>
              <w:tr2bl w:val="nil"/>
            </w:tcBorders>
            <w:shd w:val="clear" w:color="auto" w:fill="auto"/>
            <w:noWrap/>
            <w:tcMar>
              <w:left w:w="0" w:type="dxa"/>
              <w:right w:w="0" w:type="dxa"/>
            </w:tcMar>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56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49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shd w:val="clear" w:color="auto" w:fill="auto"/>
            <w:noWrap/>
            <w:tcMar>
              <w:left w:w="0" w:type="dxa"/>
              <w:right w:w="0" w:type="dxa"/>
            </w:tcMar>
            <w:vAlign w:val="center"/>
          </w:tcPr>
          <w:p w:rsidR="00DB7CC8" w:rsidRDefault="00DB7CC8">
            <w:pPr>
              <w:widowControl/>
              <w:spacing w:line="240" w:lineRule="auto"/>
              <w:ind w:firstLineChars="0" w:firstLine="0"/>
              <w:jc w:val="center"/>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r>
      <w:tr w:rsidR="00DB7CC8">
        <w:trPr>
          <w:trHeight w:val="283"/>
        </w:trPr>
        <w:tc>
          <w:tcPr>
            <w:tcW w:w="1024"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00"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圆锥</w:t>
            </w:r>
            <w:r>
              <w:rPr>
                <w:rFonts w:ascii="宋体" w:hAnsi="宋体" w:cs="宋体" w:hint="eastAsia"/>
                <w:sz w:val="21"/>
                <w:szCs w:val="21"/>
              </w:rPr>
              <w:t>破工序（</w:t>
            </w:r>
            <w:r>
              <w:rPr>
                <w:sz w:val="21"/>
                <w:szCs w:val="21"/>
              </w:rPr>
              <w:t>1</w:t>
            </w:r>
            <w:r>
              <w:rPr>
                <w:rFonts w:ascii="宋体" w:hAnsi="宋体" w:cs="宋体" w:hint="eastAsia"/>
                <w:sz w:val="21"/>
                <w:szCs w:val="21"/>
              </w:rPr>
              <w:t>台）</w:t>
            </w:r>
          </w:p>
        </w:tc>
        <w:tc>
          <w:tcPr>
            <w:tcW w:w="1315"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圆锥</w:t>
            </w:r>
            <w:r>
              <w:rPr>
                <w:rFonts w:ascii="宋体" w:hAnsi="宋体" w:cs="宋体" w:hint="eastAsia"/>
                <w:sz w:val="21"/>
                <w:szCs w:val="21"/>
              </w:rPr>
              <w:t>破入料</w:t>
            </w:r>
          </w:p>
        </w:tc>
        <w:tc>
          <w:tcPr>
            <w:tcW w:w="669"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有组织</w:t>
            </w:r>
          </w:p>
        </w:tc>
        <w:tc>
          <w:tcPr>
            <w:tcW w:w="2229"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进出</w:t>
            </w:r>
            <w:r>
              <w:rPr>
                <w:rFonts w:ascii="宋体" w:hAnsi="宋体" w:cs="宋体" w:hint="eastAsia"/>
                <w:sz w:val="21"/>
                <w:szCs w:val="21"/>
              </w:rPr>
              <w:t>料口上方设置集气罩</w:t>
            </w:r>
            <w:r>
              <w:rPr>
                <w:rFonts w:ascii="宋体" w:hAnsi="宋体" w:cs="宋体" w:hint="eastAsia"/>
                <w:sz w:val="21"/>
                <w:szCs w:val="21"/>
              </w:rPr>
              <w:t>+</w:t>
            </w:r>
            <w:r>
              <w:rPr>
                <w:rFonts w:ascii="宋体" w:hAnsi="宋体" w:cs="宋体" w:hint="eastAsia"/>
                <w:sz w:val="21"/>
                <w:szCs w:val="21"/>
              </w:rPr>
              <w:t>集尘管道，集气罩大于设备敞口</w:t>
            </w:r>
            <w:r>
              <w:rPr>
                <w:rFonts w:ascii="宋体" w:hAnsi="宋体" w:cs="宋体" w:hint="eastAsia"/>
                <w:sz w:val="21"/>
                <w:szCs w:val="21"/>
              </w:rPr>
              <w:t>15~20cm</w:t>
            </w:r>
            <w:r>
              <w:rPr>
                <w:rFonts w:ascii="宋体" w:hAnsi="宋体" w:cs="宋体" w:hint="eastAsia"/>
                <w:sz w:val="21"/>
                <w:szCs w:val="21"/>
              </w:rPr>
              <w:t>设置</w:t>
            </w:r>
          </w:p>
        </w:tc>
        <w:tc>
          <w:tcPr>
            <w:tcW w:w="156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49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140</w:t>
            </w: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r>
      <w:tr w:rsidR="00DB7CC8">
        <w:trPr>
          <w:trHeight w:val="283"/>
        </w:trPr>
        <w:tc>
          <w:tcPr>
            <w:tcW w:w="1024"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0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1315"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破碎过程</w:t>
            </w:r>
          </w:p>
        </w:tc>
        <w:tc>
          <w:tcPr>
            <w:tcW w:w="669" w:type="dxa"/>
            <w:vMerge/>
            <w:tcBorders>
              <w:tl2br w:val="nil"/>
              <w:tr2bl w:val="nil"/>
            </w:tcBorders>
            <w:shd w:val="clear" w:color="auto" w:fill="auto"/>
            <w:noWrap/>
            <w:tcMar>
              <w:left w:w="0" w:type="dxa"/>
              <w:right w:w="0" w:type="dxa"/>
            </w:tcMar>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2229" w:type="dxa"/>
            <w:vMerge/>
            <w:tcBorders>
              <w:tl2br w:val="nil"/>
              <w:tr2bl w:val="nil"/>
            </w:tcBorders>
            <w:shd w:val="clear" w:color="auto" w:fill="auto"/>
            <w:noWrap/>
            <w:tcMar>
              <w:left w:w="0" w:type="dxa"/>
              <w:right w:w="0" w:type="dxa"/>
            </w:tcMar>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156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49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r>
      <w:tr w:rsidR="00DB7CC8">
        <w:trPr>
          <w:trHeight w:val="283"/>
        </w:trPr>
        <w:tc>
          <w:tcPr>
            <w:tcW w:w="1024"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0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1315"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圆锥</w:t>
            </w:r>
            <w:r>
              <w:rPr>
                <w:rFonts w:ascii="宋体" w:hAnsi="宋体" w:cs="宋体" w:hint="eastAsia"/>
                <w:sz w:val="21"/>
                <w:szCs w:val="21"/>
              </w:rPr>
              <w:t>破出料</w:t>
            </w:r>
          </w:p>
        </w:tc>
        <w:tc>
          <w:tcPr>
            <w:tcW w:w="669" w:type="dxa"/>
            <w:vMerge/>
            <w:tcBorders>
              <w:tl2br w:val="nil"/>
              <w:tr2bl w:val="nil"/>
            </w:tcBorders>
            <w:shd w:val="clear" w:color="auto" w:fill="auto"/>
            <w:noWrap/>
            <w:tcMar>
              <w:left w:w="0" w:type="dxa"/>
              <w:right w:w="0" w:type="dxa"/>
            </w:tcMar>
            <w:vAlign w:val="center"/>
          </w:tcPr>
          <w:p w:rsidR="00DB7CC8" w:rsidRDefault="00DB7CC8">
            <w:pPr>
              <w:widowControl/>
              <w:spacing w:line="240" w:lineRule="auto"/>
              <w:ind w:firstLineChars="0" w:firstLine="0"/>
              <w:jc w:val="center"/>
              <w:textAlignment w:val="auto"/>
              <w:rPr>
                <w:rFonts w:ascii="宋体" w:hAnsi="宋体" w:cs="宋体"/>
                <w:sz w:val="21"/>
                <w:szCs w:val="21"/>
              </w:rPr>
            </w:pPr>
          </w:p>
        </w:tc>
        <w:tc>
          <w:tcPr>
            <w:tcW w:w="222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156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49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r>
      <w:tr w:rsidR="00DB7CC8">
        <w:trPr>
          <w:trHeight w:val="283"/>
        </w:trPr>
        <w:tc>
          <w:tcPr>
            <w:tcW w:w="1024"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00"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振动筛</w:t>
            </w:r>
          </w:p>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w:t>
            </w:r>
            <w:r>
              <w:rPr>
                <w:sz w:val="21"/>
                <w:szCs w:val="21"/>
              </w:rPr>
              <w:t>1</w:t>
            </w:r>
            <w:r>
              <w:rPr>
                <w:rFonts w:ascii="宋体" w:hAnsi="宋体" w:cs="宋体" w:hint="eastAsia"/>
                <w:sz w:val="21"/>
                <w:szCs w:val="21"/>
              </w:rPr>
              <w:t>台）</w:t>
            </w:r>
          </w:p>
        </w:tc>
        <w:tc>
          <w:tcPr>
            <w:tcW w:w="1315"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筛分入料</w:t>
            </w:r>
          </w:p>
        </w:tc>
        <w:tc>
          <w:tcPr>
            <w:tcW w:w="669"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有组织</w:t>
            </w:r>
          </w:p>
        </w:tc>
        <w:tc>
          <w:tcPr>
            <w:tcW w:w="2229"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入料口、筛面封闭</w:t>
            </w:r>
            <w:r>
              <w:rPr>
                <w:sz w:val="21"/>
                <w:szCs w:val="21"/>
              </w:rPr>
              <w:t>+</w:t>
            </w:r>
            <w:r>
              <w:rPr>
                <w:rFonts w:ascii="宋体" w:hAnsi="宋体" w:cs="宋体" w:hint="eastAsia"/>
                <w:sz w:val="21"/>
                <w:szCs w:val="21"/>
              </w:rPr>
              <w:t>集尘管道</w:t>
            </w:r>
          </w:p>
        </w:tc>
        <w:tc>
          <w:tcPr>
            <w:tcW w:w="156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49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80</w:t>
            </w: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r>
      <w:tr w:rsidR="00DB7CC8">
        <w:trPr>
          <w:trHeight w:val="283"/>
        </w:trPr>
        <w:tc>
          <w:tcPr>
            <w:tcW w:w="1024"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0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1315"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筛分</w:t>
            </w:r>
          </w:p>
        </w:tc>
        <w:tc>
          <w:tcPr>
            <w:tcW w:w="669"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有组织</w:t>
            </w:r>
          </w:p>
        </w:tc>
        <w:tc>
          <w:tcPr>
            <w:tcW w:w="222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156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49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r>
      <w:tr w:rsidR="00DB7CC8">
        <w:trPr>
          <w:trHeight w:val="283"/>
        </w:trPr>
        <w:tc>
          <w:tcPr>
            <w:tcW w:w="1024"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0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1315"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筛分出料</w:t>
            </w:r>
          </w:p>
        </w:tc>
        <w:tc>
          <w:tcPr>
            <w:tcW w:w="669"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有组织</w:t>
            </w:r>
          </w:p>
        </w:tc>
        <w:tc>
          <w:tcPr>
            <w:tcW w:w="2229"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出料口设置皮带封（</w:t>
            </w:r>
            <w:r>
              <w:rPr>
                <w:sz w:val="21"/>
                <w:szCs w:val="21"/>
              </w:rPr>
              <w:t>1.0m×1.0m</w:t>
            </w:r>
            <w:r>
              <w:rPr>
                <w:rFonts w:ascii="宋体" w:hAnsi="宋体" w:cs="宋体" w:hint="eastAsia"/>
                <w:sz w:val="21"/>
                <w:szCs w:val="21"/>
              </w:rPr>
              <w:t>）</w:t>
            </w:r>
            <w:r>
              <w:rPr>
                <w:sz w:val="21"/>
                <w:szCs w:val="21"/>
              </w:rPr>
              <w:t>+</w:t>
            </w:r>
            <w:r>
              <w:rPr>
                <w:rFonts w:ascii="宋体" w:hAnsi="宋体" w:cs="宋体" w:hint="eastAsia"/>
                <w:sz w:val="21"/>
                <w:szCs w:val="21"/>
              </w:rPr>
              <w:t>集尘管道</w:t>
            </w:r>
          </w:p>
        </w:tc>
        <w:tc>
          <w:tcPr>
            <w:tcW w:w="156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49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r>
      <w:tr w:rsidR="00DB7CC8">
        <w:trPr>
          <w:trHeight w:val="283"/>
        </w:trPr>
        <w:tc>
          <w:tcPr>
            <w:tcW w:w="1024"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00"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中转料仓</w:t>
            </w:r>
            <w:r>
              <w:rPr>
                <w:rFonts w:ascii="宋体" w:hAnsi="宋体" w:cs="宋体" w:hint="eastAsia"/>
                <w:sz w:val="21"/>
                <w:szCs w:val="21"/>
              </w:rPr>
              <w:t>（</w:t>
            </w:r>
            <w:r>
              <w:rPr>
                <w:sz w:val="21"/>
                <w:szCs w:val="21"/>
              </w:rPr>
              <w:t>1</w:t>
            </w:r>
            <w:r>
              <w:rPr>
                <w:rFonts w:ascii="宋体" w:hAnsi="宋体" w:cs="宋体" w:hint="eastAsia"/>
                <w:sz w:val="21"/>
                <w:szCs w:val="21"/>
              </w:rPr>
              <w:t>个）</w:t>
            </w:r>
          </w:p>
        </w:tc>
        <w:tc>
          <w:tcPr>
            <w:tcW w:w="1315"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入料</w:t>
            </w:r>
          </w:p>
        </w:tc>
        <w:tc>
          <w:tcPr>
            <w:tcW w:w="669"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有组织</w:t>
            </w:r>
          </w:p>
        </w:tc>
        <w:tc>
          <w:tcPr>
            <w:tcW w:w="2229"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料斗顶部封闭</w:t>
            </w:r>
            <w:r>
              <w:rPr>
                <w:sz w:val="21"/>
                <w:szCs w:val="21"/>
              </w:rPr>
              <w:t>+</w:t>
            </w:r>
            <w:r>
              <w:rPr>
                <w:rFonts w:ascii="宋体" w:hAnsi="宋体" w:cs="宋体" w:hint="eastAsia"/>
                <w:sz w:val="21"/>
                <w:szCs w:val="21"/>
              </w:rPr>
              <w:t>集尘管道，留有皮带落料口</w:t>
            </w:r>
          </w:p>
        </w:tc>
        <w:tc>
          <w:tcPr>
            <w:tcW w:w="156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49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val="restart"/>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40</w:t>
            </w: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r>
      <w:tr w:rsidR="00DB7CC8">
        <w:trPr>
          <w:trHeight w:val="1256"/>
        </w:trPr>
        <w:tc>
          <w:tcPr>
            <w:tcW w:w="1024"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0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rFonts w:ascii="宋体" w:hAnsi="宋体" w:cs="宋体"/>
                <w:sz w:val="21"/>
                <w:szCs w:val="21"/>
              </w:rPr>
            </w:pPr>
          </w:p>
        </w:tc>
        <w:tc>
          <w:tcPr>
            <w:tcW w:w="1315"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出料</w:t>
            </w:r>
          </w:p>
        </w:tc>
        <w:tc>
          <w:tcPr>
            <w:tcW w:w="669"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有组织</w:t>
            </w:r>
          </w:p>
        </w:tc>
        <w:tc>
          <w:tcPr>
            <w:tcW w:w="2229" w:type="dxa"/>
            <w:tcBorders>
              <w:tl2br w:val="nil"/>
              <w:tr2bl w:val="nil"/>
            </w:tcBorders>
            <w:shd w:val="clear" w:color="auto" w:fill="auto"/>
            <w:noWrap/>
            <w:tcMar>
              <w:left w:w="0" w:type="dxa"/>
              <w:right w:w="0" w:type="dxa"/>
            </w:tcMar>
            <w:vAlign w:val="center"/>
          </w:tcPr>
          <w:p w:rsidR="00DB7CC8" w:rsidRDefault="002B5250">
            <w:pPr>
              <w:widowControl/>
              <w:spacing w:line="240" w:lineRule="auto"/>
              <w:ind w:firstLineChars="0" w:firstLine="0"/>
              <w:jc w:val="center"/>
              <w:textAlignment w:val="auto"/>
              <w:rPr>
                <w:rFonts w:ascii="宋体" w:hAnsi="宋体" w:cs="宋体"/>
                <w:sz w:val="21"/>
                <w:szCs w:val="21"/>
              </w:rPr>
            </w:pPr>
            <w:r>
              <w:rPr>
                <w:rFonts w:ascii="宋体" w:hAnsi="宋体" w:cs="宋体" w:hint="eastAsia"/>
                <w:sz w:val="21"/>
                <w:szCs w:val="21"/>
              </w:rPr>
              <w:t>出料口设置皮带封（</w:t>
            </w:r>
            <w:r>
              <w:rPr>
                <w:sz w:val="21"/>
                <w:szCs w:val="21"/>
              </w:rPr>
              <w:t>0.8m×0.8m</w:t>
            </w:r>
            <w:r>
              <w:rPr>
                <w:rFonts w:ascii="宋体" w:hAnsi="宋体" w:cs="宋体" w:hint="eastAsia"/>
                <w:sz w:val="21"/>
                <w:szCs w:val="21"/>
              </w:rPr>
              <w:t>）</w:t>
            </w:r>
            <w:r>
              <w:rPr>
                <w:sz w:val="21"/>
                <w:szCs w:val="21"/>
              </w:rPr>
              <w:t>+</w:t>
            </w:r>
            <w:r>
              <w:rPr>
                <w:rFonts w:ascii="宋体" w:hAnsi="宋体" w:cs="宋体" w:hint="eastAsia"/>
                <w:sz w:val="21"/>
                <w:szCs w:val="21"/>
              </w:rPr>
              <w:t>集尘管道</w:t>
            </w:r>
          </w:p>
        </w:tc>
        <w:tc>
          <w:tcPr>
            <w:tcW w:w="1560"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499"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831"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c>
          <w:tcPr>
            <w:tcW w:w="1036" w:type="dxa"/>
            <w:vMerge/>
            <w:tcBorders>
              <w:tl2br w:val="nil"/>
              <w:tr2bl w:val="nil"/>
            </w:tcBorders>
            <w:tcMar>
              <w:left w:w="0" w:type="dxa"/>
              <w:right w:w="0" w:type="dxa"/>
            </w:tcMar>
            <w:vAlign w:val="center"/>
          </w:tcPr>
          <w:p w:rsidR="00DB7CC8" w:rsidRDefault="00DB7CC8">
            <w:pPr>
              <w:widowControl/>
              <w:spacing w:line="240" w:lineRule="auto"/>
              <w:ind w:firstLineChars="0" w:firstLine="0"/>
              <w:textAlignment w:val="auto"/>
              <w:rPr>
                <w:sz w:val="21"/>
                <w:szCs w:val="21"/>
              </w:rPr>
            </w:pPr>
          </w:p>
        </w:tc>
      </w:tr>
    </w:tbl>
    <w:p w:rsidR="00DB7CC8" w:rsidRDefault="00DB7CC8">
      <w:pPr>
        <w:ind w:firstLineChars="0" w:firstLine="0"/>
        <w:jc w:val="both"/>
        <w:rPr>
          <w:bCs/>
          <w:sz w:val="24"/>
          <w:szCs w:val="24"/>
        </w:rPr>
        <w:sectPr w:rsidR="00DB7CC8">
          <w:footerReference w:type="default" r:id="rId36"/>
          <w:pgSz w:w="16838" w:h="11906" w:orient="landscape"/>
          <w:pgMar w:top="1800" w:right="1440" w:bottom="1800" w:left="1440" w:header="851" w:footer="992" w:gutter="0"/>
          <w:cols w:space="720"/>
          <w:docGrid w:linePitch="381"/>
        </w:sectPr>
      </w:pPr>
    </w:p>
    <w:p w:rsidR="00DB7CC8" w:rsidRDefault="002B5250">
      <w:pPr>
        <w:ind w:firstLine="480"/>
        <w:jc w:val="both"/>
        <w:rPr>
          <w:bCs/>
          <w:sz w:val="24"/>
          <w:szCs w:val="24"/>
        </w:rPr>
      </w:pPr>
      <w:r>
        <w:rPr>
          <w:bCs/>
          <w:sz w:val="24"/>
          <w:szCs w:val="24"/>
        </w:rPr>
        <w:lastRenderedPageBreak/>
        <w:t>（</w:t>
      </w:r>
      <w:r>
        <w:rPr>
          <w:bCs/>
          <w:sz w:val="24"/>
          <w:szCs w:val="24"/>
        </w:rPr>
        <w:t>2</w:t>
      </w:r>
      <w:r>
        <w:rPr>
          <w:bCs/>
          <w:sz w:val="24"/>
          <w:szCs w:val="24"/>
        </w:rPr>
        <w:t>）无组织排放颗粒物</w:t>
      </w:r>
    </w:p>
    <w:p w:rsidR="00DB7CC8" w:rsidRDefault="002B5250">
      <w:pPr>
        <w:ind w:firstLine="480"/>
        <w:jc w:val="both"/>
        <w:rPr>
          <w:bCs/>
          <w:sz w:val="24"/>
          <w:szCs w:val="24"/>
        </w:rPr>
      </w:pPr>
      <w:r>
        <w:rPr>
          <w:rFonts w:ascii="宋体" w:hAnsi="宋体" w:cs="宋体" w:hint="eastAsia"/>
          <w:bCs/>
          <w:sz w:val="24"/>
          <w:szCs w:val="24"/>
        </w:rPr>
        <w:t>①</w:t>
      </w:r>
      <w:r>
        <w:rPr>
          <w:bCs/>
          <w:sz w:val="24"/>
          <w:szCs w:val="24"/>
        </w:rPr>
        <w:t>上料粉尘</w:t>
      </w:r>
    </w:p>
    <w:p w:rsidR="00DB7CC8" w:rsidRDefault="002B5250">
      <w:pPr>
        <w:ind w:firstLine="480"/>
        <w:jc w:val="both"/>
        <w:rPr>
          <w:bCs/>
          <w:sz w:val="24"/>
          <w:szCs w:val="24"/>
        </w:rPr>
      </w:pPr>
      <w:r>
        <w:rPr>
          <w:bCs/>
          <w:sz w:val="24"/>
          <w:szCs w:val="24"/>
        </w:rPr>
        <w:t>本项目</w:t>
      </w:r>
      <w:r>
        <w:rPr>
          <w:rFonts w:hint="eastAsia"/>
          <w:bCs/>
          <w:sz w:val="24"/>
          <w:szCs w:val="24"/>
        </w:rPr>
        <w:t>原矿石</w:t>
      </w:r>
      <w:r>
        <w:rPr>
          <w:bCs/>
          <w:sz w:val="24"/>
          <w:szCs w:val="24"/>
        </w:rPr>
        <w:t>上料口设置在</w:t>
      </w:r>
      <w:r>
        <w:rPr>
          <w:rFonts w:hint="eastAsia"/>
          <w:bCs/>
          <w:sz w:val="24"/>
          <w:szCs w:val="24"/>
        </w:rPr>
        <w:t>进深不小于</w:t>
      </w:r>
      <w:r>
        <w:rPr>
          <w:rFonts w:hint="eastAsia"/>
          <w:bCs/>
          <w:sz w:val="24"/>
          <w:szCs w:val="24"/>
        </w:rPr>
        <w:t>8</w:t>
      </w:r>
      <w:r>
        <w:rPr>
          <w:rFonts w:hint="eastAsia"/>
          <w:bCs/>
          <w:sz w:val="24"/>
          <w:szCs w:val="24"/>
        </w:rPr>
        <w:t>米的原料棚内</w:t>
      </w:r>
      <w:r>
        <w:rPr>
          <w:bCs/>
          <w:sz w:val="24"/>
          <w:szCs w:val="24"/>
        </w:rPr>
        <w:t>，设置喷淋抑尘装置。根据同类企业实际运行效果，采取以上方式后，上料粉尘产生量很少。</w:t>
      </w:r>
    </w:p>
    <w:p w:rsidR="00DB7CC8" w:rsidRDefault="002B5250">
      <w:pPr>
        <w:ind w:firstLine="480"/>
        <w:jc w:val="both"/>
        <w:rPr>
          <w:bCs/>
          <w:sz w:val="24"/>
          <w:szCs w:val="24"/>
        </w:rPr>
      </w:pPr>
      <w:r>
        <w:rPr>
          <w:rFonts w:ascii="宋体" w:hAnsi="宋体" w:cs="宋体" w:hint="eastAsia"/>
          <w:bCs/>
          <w:sz w:val="24"/>
          <w:szCs w:val="24"/>
        </w:rPr>
        <w:t>②</w:t>
      </w:r>
      <w:r>
        <w:rPr>
          <w:bCs/>
          <w:sz w:val="24"/>
          <w:szCs w:val="24"/>
        </w:rPr>
        <w:t>堆场粉尘</w:t>
      </w:r>
    </w:p>
    <w:p w:rsidR="00DB7CC8" w:rsidRDefault="002B5250">
      <w:pPr>
        <w:ind w:firstLine="480"/>
        <w:jc w:val="both"/>
        <w:rPr>
          <w:bCs/>
          <w:sz w:val="24"/>
          <w:szCs w:val="24"/>
        </w:rPr>
      </w:pPr>
      <w:r>
        <w:rPr>
          <w:bCs/>
          <w:sz w:val="24"/>
          <w:szCs w:val="24"/>
        </w:rPr>
        <w:t>本项目</w:t>
      </w:r>
      <w:r>
        <w:rPr>
          <w:rFonts w:hint="eastAsia"/>
          <w:bCs/>
          <w:sz w:val="24"/>
          <w:szCs w:val="24"/>
        </w:rPr>
        <w:t>物料堆存涉及粗精粉库、</w:t>
      </w:r>
      <w:r>
        <w:rPr>
          <w:bCs/>
          <w:sz w:val="24"/>
          <w:szCs w:val="24"/>
        </w:rPr>
        <w:t>成品库、尾矿砂</w:t>
      </w:r>
      <w:r>
        <w:rPr>
          <w:rFonts w:hint="eastAsia"/>
          <w:bCs/>
          <w:sz w:val="24"/>
          <w:szCs w:val="24"/>
        </w:rPr>
        <w:t>库</w:t>
      </w:r>
      <w:r>
        <w:rPr>
          <w:bCs/>
          <w:sz w:val="24"/>
          <w:szCs w:val="24"/>
        </w:rPr>
        <w:t>；原料为铁矿石，含水率较低；精粉（产品）和尾矿砂含水率较高，平均为</w:t>
      </w:r>
      <w:r>
        <w:rPr>
          <w:bCs/>
          <w:sz w:val="24"/>
          <w:szCs w:val="24"/>
        </w:rPr>
        <w:t>10%</w:t>
      </w:r>
      <w:r>
        <w:rPr>
          <w:bCs/>
          <w:sz w:val="24"/>
          <w:szCs w:val="24"/>
        </w:rPr>
        <w:t>，均堆存在封闭车间内，同时设有喷淋装置，精粉和尾矿砂堆存过程中的粉尘产生量很少，忽略不计。</w:t>
      </w:r>
    </w:p>
    <w:p w:rsidR="00DB7CC8" w:rsidRDefault="002B5250">
      <w:pPr>
        <w:ind w:firstLine="480"/>
        <w:jc w:val="both"/>
        <w:rPr>
          <w:bCs/>
          <w:sz w:val="24"/>
          <w:szCs w:val="24"/>
        </w:rPr>
      </w:pPr>
      <w:r>
        <w:rPr>
          <w:bCs/>
          <w:sz w:val="24"/>
          <w:szCs w:val="24"/>
        </w:rPr>
        <w:t>原料装卸过程颗粒物产生量参照环境保护部发布的《大气可吸入颗粒物一次源排放清单编制技术指南（试行）》等</w:t>
      </w:r>
      <w:r>
        <w:rPr>
          <w:bCs/>
          <w:sz w:val="24"/>
          <w:szCs w:val="24"/>
        </w:rPr>
        <w:t>5</w:t>
      </w:r>
      <w:r>
        <w:rPr>
          <w:bCs/>
          <w:sz w:val="24"/>
          <w:szCs w:val="24"/>
        </w:rPr>
        <w:t>项技术指南的公告（公告</w:t>
      </w:r>
      <w:r>
        <w:rPr>
          <w:bCs/>
          <w:sz w:val="24"/>
          <w:szCs w:val="24"/>
        </w:rPr>
        <w:t>2014</w:t>
      </w:r>
      <w:r>
        <w:rPr>
          <w:bCs/>
          <w:sz w:val="24"/>
          <w:szCs w:val="24"/>
        </w:rPr>
        <w:t>年第</w:t>
      </w:r>
      <w:r>
        <w:rPr>
          <w:bCs/>
          <w:sz w:val="24"/>
          <w:szCs w:val="24"/>
        </w:rPr>
        <w:t xml:space="preserve">92 </w:t>
      </w:r>
      <w:r>
        <w:rPr>
          <w:bCs/>
          <w:sz w:val="24"/>
          <w:szCs w:val="24"/>
        </w:rPr>
        <w:t>号）中《扬尘源颗粒物排放清单编制技术指南》的堆场扬尘源排放量计算方法进行计算。</w:t>
      </w:r>
    </w:p>
    <w:p w:rsidR="00DB7CC8" w:rsidRDefault="002B5250">
      <w:pPr>
        <w:ind w:firstLine="480"/>
        <w:jc w:val="both"/>
        <w:rPr>
          <w:bCs/>
          <w:sz w:val="24"/>
          <w:szCs w:val="24"/>
        </w:rPr>
      </w:pPr>
      <w:r>
        <w:rPr>
          <w:bCs/>
          <w:sz w:val="24"/>
          <w:szCs w:val="24"/>
        </w:rPr>
        <w:t>计算公式如下：</w:t>
      </w:r>
    </w:p>
    <w:p w:rsidR="00DB7CC8" w:rsidRDefault="002B5250">
      <w:pPr>
        <w:ind w:firstLine="480"/>
        <w:jc w:val="both"/>
        <w:rPr>
          <w:bCs/>
          <w:sz w:val="24"/>
          <w:szCs w:val="24"/>
        </w:rPr>
      </w:pPr>
      <w:r>
        <w:rPr>
          <w:bCs/>
          <w:sz w:val="24"/>
          <w:szCs w:val="24"/>
        </w:rPr>
        <w:t>堆场风蚀扬尘排放系数</w:t>
      </w:r>
      <w:r>
        <w:rPr>
          <w:bCs/>
          <w:sz w:val="24"/>
          <w:szCs w:val="24"/>
        </w:rPr>
        <w:t>E</w:t>
      </w:r>
      <w:r>
        <w:rPr>
          <w:bCs/>
          <w:sz w:val="24"/>
          <w:szCs w:val="24"/>
          <w:vertAlign w:val="subscript"/>
        </w:rPr>
        <w:t>w</w:t>
      </w:r>
      <w:r>
        <w:rPr>
          <w:bCs/>
          <w:sz w:val="24"/>
          <w:szCs w:val="24"/>
        </w:rPr>
        <w:t>的计算方法用下式计算：</w:t>
      </w:r>
    </w:p>
    <w:p w:rsidR="00DB7CC8" w:rsidRDefault="002B5250">
      <w:pPr>
        <w:ind w:leftChars="100" w:left="280" w:firstLineChars="100" w:firstLine="240"/>
        <w:jc w:val="both"/>
        <w:rPr>
          <w:bCs/>
          <w:sz w:val="24"/>
          <w:szCs w:val="24"/>
        </w:rPr>
      </w:pPr>
      <w:r>
        <w:rPr>
          <w:noProof/>
          <w:sz w:val="24"/>
          <w:szCs w:val="24"/>
        </w:rPr>
        <w:drawing>
          <wp:inline distT="0" distB="0" distL="0" distR="0">
            <wp:extent cx="2438400" cy="510540"/>
            <wp:effectExtent l="19050" t="0" r="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noChangeArrowheads="1"/>
                    </pic:cNvPicPr>
                  </pic:nvPicPr>
                  <pic:blipFill>
                    <a:blip r:embed="rId37" cstate="print"/>
                    <a:srcRect/>
                    <a:stretch>
                      <a:fillRect/>
                    </a:stretch>
                  </pic:blipFill>
                  <pic:spPr>
                    <a:xfrm>
                      <a:off x="0" y="0"/>
                      <a:ext cx="2438400" cy="510540"/>
                    </a:xfrm>
                    <a:prstGeom prst="rect">
                      <a:avLst/>
                    </a:prstGeom>
                    <a:noFill/>
                    <a:ln w="9525">
                      <a:noFill/>
                      <a:miter lim="800000"/>
                      <a:headEnd/>
                      <a:tailEnd/>
                    </a:ln>
                  </pic:spPr>
                </pic:pic>
              </a:graphicData>
            </a:graphic>
          </wp:inline>
        </w:drawing>
      </w:r>
      <w:r>
        <w:rPr>
          <w:sz w:val="24"/>
          <w:szCs w:val="24"/>
        </w:rPr>
        <w:t>（</w:t>
      </w:r>
      <w:r>
        <w:rPr>
          <w:sz w:val="24"/>
          <w:szCs w:val="24"/>
        </w:rPr>
        <w:t>1</w:t>
      </w:r>
      <w:r>
        <w:rPr>
          <w:sz w:val="24"/>
          <w:szCs w:val="24"/>
        </w:rPr>
        <w:t>）</w:t>
      </w:r>
    </w:p>
    <w:p w:rsidR="00DB7CC8" w:rsidRDefault="002B5250">
      <w:pPr>
        <w:ind w:firstLine="480"/>
        <w:jc w:val="both"/>
        <w:rPr>
          <w:bCs/>
          <w:sz w:val="24"/>
          <w:szCs w:val="24"/>
        </w:rPr>
      </w:pPr>
      <w:r>
        <w:rPr>
          <w:noProof/>
          <w:sz w:val="24"/>
          <w:szCs w:val="24"/>
        </w:rPr>
        <w:drawing>
          <wp:inline distT="0" distB="0" distL="0" distR="0">
            <wp:extent cx="3931920" cy="868680"/>
            <wp:effectExtent l="19050" t="0" r="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noChangeArrowheads="1"/>
                    </pic:cNvPicPr>
                  </pic:nvPicPr>
                  <pic:blipFill>
                    <a:blip r:embed="rId38" cstate="print"/>
                    <a:srcRect/>
                    <a:stretch>
                      <a:fillRect/>
                    </a:stretch>
                  </pic:blipFill>
                  <pic:spPr>
                    <a:xfrm>
                      <a:off x="0" y="0"/>
                      <a:ext cx="3931920" cy="868680"/>
                    </a:xfrm>
                    <a:prstGeom prst="rect">
                      <a:avLst/>
                    </a:prstGeom>
                    <a:noFill/>
                    <a:ln w="9525">
                      <a:noFill/>
                      <a:miter lim="800000"/>
                      <a:headEnd/>
                      <a:tailEnd/>
                    </a:ln>
                  </pic:spPr>
                </pic:pic>
              </a:graphicData>
            </a:graphic>
          </wp:inline>
        </w:drawing>
      </w:r>
      <w:r>
        <w:rPr>
          <w:sz w:val="24"/>
          <w:szCs w:val="24"/>
        </w:rPr>
        <w:t>（</w:t>
      </w:r>
      <w:r>
        <w:rPr>
          <w:sz w:val="24"/>
          <w:szCs w:val="24"/>
        </w:rPr>
        <w:t>2</w:t>
      </w:r>
      <w:r>
        <w:rPr>
          <w:sz w:val="24"/>
          <w:szCs w:val="24"/>
        </w:rPr>
        <w:t>）</w:t>
      </w:r>
    </w:p>
    <w:p w:rsidR="00DB7CC8" w:rsidRDefault="002B5250">
      <w:pPr>
        <w:ind w:firstLine="480"/>
        <w:jc w:val="both"/>
        <w:rPr>
          <w:bCs/>
          <w:sz w:val="24"/>
          <w:szCs w:val="24"/>
        </w:rPr>
      </w:pPr>
      <w:r>
        <w:rPr>
          <w:bCs/>
          <w:sz w:val="24"/>
          <w:szCs w:val="24"/>
        </w:rPr>
        <w:t>式中：</w:t>
      </w:r>
    </w:p>
    <w:p w:rsidR="00DB7CC8" w:rsidRDefault="002B5250">
      <w:pPr>
        <w:ind w:firstLine="480"/>
        <w:jc w:val="both"/>
        <w:rPr>
          <w:bCs/>
          <w:sz w:val="24"/>
          <w:szCs w:val="24"/>
        </w:rPr>
      </w:pPr>
      <w:r>
        <w:rPr>
          <w:bCs/>
          <w:sz w:val="24"/>
          <w:szCs w:val="24"/>
        </w:rPr>
        <w:t>E</w:t>
      </w:r>
      <w:r>
        <w:rPr>
          <w:bCs/>
          <w:sz w:val="24"/>
          <w:szCs w:val="24"/>
          <w:vertAlign w:val="subscript"/>
        </w:rPr>
        <w:t>w</w:t>
      </w:r>
      <w:r>
        <w:rPr>
          <w:bCs/>
          <w:sz w:val="24"/>
          <w:szCs w:val="24"/>
        </w:rPr>
        <w:t>——</w:t>
      </w:r>
      <w:r>
        <w:rPr>
          <w:bCs/>
          <w:sz w:val="24"/>
          <w:szCs w:val="24"/>
        </w:rPr>
        <w:t>堆场风蚀扬尘的排放系数，</w:t>
      </w:r>
      <w:r>
        <w:rPr>
          <w:bCs/>
          <w:sz w:val="24"/>
          <w:szCs w:val="24"/>
        </w:rPr>
        <w:t>kg/m</w:t>
      </w:r>
      <w:r>
        <w:rPr>
          <w:bCs/>
          <w:sz w:val="24"/>
          <w:szCs w:val="24"/>
          <w:vertAlign w:val="superscript"/>
        </w:rPr>
        <w:t>2</w:t>
      </w:r>
      <w:r>
        <w:rPr>
          <w:bCs/>
          <w:sz w:val="24"/>
          <w:szCs w:val="24"/>
        </w:rPr>
        <w:t>。</w:t>
      </w:r>
    </w:p>
    <w:p w:rsidR="00DB7CC8" w:rsidRDefault="002B5250">
      <w:pPr>
        <w:ind w:firstLine="480"/>
        <w:jc w:val="both"/>
        <w:rPr>
          <w:bCs/>
          <w:sz w:val="24"/>
          <w:szCs w:val="24"/>
        </w:rPr>
      </w:pPr>
      <w:r>
        <w:rPr>
          <w:bCs/>
          <w:sz w:val="24"/>
          <w:szCs w:val="24"/>
        </w:rPr>
        <w:t>k</w:t>
      </w:r>
      <w:r>
        <w:rPr>
          <w:bCs/>
          <w:sz w:val="24"/>
          <w:szCs w:val="24"/>
          <w:vertAlign w:val="subscript"/>
        </w:rPr>
        <w:t>i</w:t>
      </w:r>
      <w:r>
        <w:rPr>
          <w:bCs/>
          <w:sz w:val="24"/>
          <w:szCs w:val="24"/>
        </w:rPr>
        <w:t>——</w:t>
      </w:r>
      <w:r>
        <w:rPr>
          <w:bCs/>
          <w:sz w:val="24"/>
          <w:szCs w:val="24"/>
        </w:rPr>
        <w:t>物料的粒度乘数。</w:t>
      </w:r>
    </w:p>
    <w:p w:rsidR="00DB7CC8" w:rsidRDefault="002B5250">
      <w:pPr>
        <w:ind w:firstLine="480"/>
        <w:jc w:val="both"/>
        <w:rPr>
          <w:bCs/>
          <w:sz w:val="24"/>
          <w:szCs w:val="24"/>
        </w:rPr>
      </w:pPr>
      <w:r>
        <w:rPr>
          <w:bCs/>
          <w:sz w:val="24"/>
          <w:szCs w:val="24"/>
        </w:rPr>
        <w:t>n——</w:t>
      </w:r>
      <w:r>
        <w:rPr>
          <w:bCs/>
          <w:sz w:val="24"/>
          <w:szCs w:val="24"/>
        </w:rPr>
        <w:t>料堆每年受扰动的次数。</w:t>
      </w:r>
    </w:p>
    <w:p w:rsidR="00DB7CC8" w:rsidRDefault="002B5250">
      <w:pPr>
        <w:ind w:firstLine="480"/>
        <w:jc w:val="both"/>
        <w:rPr>
          <w:bCs/>
          <w:sz w:val="24"/>
          <w:szCs w:val="24"/>
        </w:rPr>
      </w:pPr>
      <w:r>
        <w:rPr>
          <w:bCs/>
          <w:sz w:val="24"/>
          <w:szCs w:val="24"/>
        </w:rPr>
        <w:t>P</w:t>
      </w:r>
      <w:r>
        <w:rPr>
          <w:bCs/>
          <w:sz w:val="24"/>
          <w:szCs w:val="24"/>
          <w:vertAlign w:val="subscript"/>
        </w:rPr>
        <w:t>i</w:t>
      </w:r>
      <w:r>
        <w:rPr>
          <w:bCs/>
          <w:sz w:val="24"/>
          <w:szCs w:val="24"/>
        </w:rPr>
        <w:t>——</w:t>
      </w:r>
      <w:r>
        <w:rPr>
          <w:bCs/>
          <w:sz w:val="24"/>
          <w:szCs w:val="24"/>
        </w:rPr>
        <w:t>第</w:t>
      </w:r>
      <w:r>
        <w:rPr>
          <w:bCs/>
          <w:sz w:val="24"/>
          <w:szCs w:val="24"/>
        </w:rPr>
        <w:t xml:space="preserve">i </w:t>
      </w:r>
      <w:r>
        <w:rPr>
          <w:bCs/>
          <w:sz w:val="24"/>
          <w:szCs w:val="24"/>
        </w:rPr>
        <w:t>次扰动中观测的最大风速的风蚀潜势，</w:t>
      </w:r>
      <w:r>
        <w:rPr>
          <w:bCs/>
          <w:sz w:val="24"/>
          <w:szCs w:val="24"/>
        </w:rPr>
        <w:t>g/m</w:t>
      </w:r>
      <w:r>
        <w:rPr>
          <w:bCs/>
          <w:sz w:val="24"/>
          <w:szCs w:val="24"/>
          <w:vertAlign w:val="superscript"/>
        </w:rPr>
        <w:t>2</w:t>
      </w:r>
      <w:r>
        <w:rPr>
          <w:bCs/>
          <w:sz w:val="24"/>
          <w:szCs w:val="24"/>
        </w:rPr>
        <w:t>，通过公式（</w:t>
      </w:r>
      <w:r>
        <w:rPr>
          <w:bCs/>
          <w:sz w:val="24"/>
          <w:szCs w:val="24"/>
        </w:rPr>
        <w:t>2</w:t>
      </w:r>
      <w:r>
        <w:rPr>
          <w:bCs/>
          <w:sz w:val="24"/>
          <w:szCs w:val="24"/>
        </w:rPr>
        <w:t>）求得。</w:t>
      </w:r>
    </w:p>
    <w:p w:rsidR="00DB7CC8" w:rsidRDefault="002B5250">
      <w:pPr>
        <w:ind w:firstLine="480"/>
        <w:jc w:val="both"/>
        <w:rPr>
          <w:bCs/>
          <w:sz w:val="24"/>
          <w:szCs w:val="24"/>
        </w:rPr>
      </w:pPr>
      <w:r>
        <w:rPr>
          <w:bCs/>
          <w:sz w:val="24"/>
          <w:szCs w:val="24"/>
        </w:rPr>
        <w:t>η——</w:t>
      </w:r>
      <w:r>
        <w:rPr>
          <w:bCs/>
          <w:sz w:val="24"/>
          <w:szCs w:val="24"/>
        </w:rPr>
        <w:t>污染控制技</w:t>
      </w:r>
      <w:r>
        <w:rPr>
          <w:bCs/>
          <w:sz w:val="24"/>
          <w:szCs w:val="24"/>
        </w:rPr>
        <w:t>术对扬尘的去除效率，</w:t>
      </w:r>
      <w:r>
        <w:rPr>
          <w:bCs/>
          <w:sz w:val="24"/>
          <w:szCs w:val="24"/>
        </w:rPr>
        <w:t>%</w:t>
      </w:r>
      <w:r>
        <w:rPr>
          <w:bCs/>
          <w:sz w:val="24"/>
          <w:szCs w:val="24"/>
        </w:rPr>
        <w:t>。</w:t>
      </w:r>
    </w:p>
    <w:p w:rsidR="00DB7CC8" w:rsidRDefault="002B5250">
      <w:pPr>
        <w:ind w:firstLine="480"/>
        <w:jc w:val="both"/>
        <w:rPr>
          <w:bCs/>
          <w:sz w:val="24"/>
          <w:szCs w:val="24"/>
        </w:rPr>
      </w:pPr>
      <w:r>
        <w:rPr>
          <w:bCs/>
          <w:sz w:val="24"/>
          <w:szCs w:val="24"/>
        </w:rPr>
        <w:t>u*——</w:t>
      </w:r>
      <w:r>
        <w:rPr>
          <w:bCs/>
          <w:sz w:val="24"/>
          <w:szCs w:val="24"/>
        </w:rPr>
        <w:t>摩擦风速，</w:t>
      </w:r>
      <w:r>
        <w:rPr>
          <w:bCs/>
          <w:sz w:val="24"/>
          <w:szCs w:val="24"/>
        </w:rPr>
        <w:t>m/s</w:t>
      </w:r>
      <w:r>
        <w:rPr>
          <w:bCs/>
          <w:sz w:val="24"/>
          <w:szCs w:val="24"/>
        </w:rPr>
        <w:t>。计算方法见公式</w:t>
      </w:r>
      <w:r>
        <w:rPr>
          <w:bCs/>
          <w:sz w:val="24"/>
          <w:szCs w:val="24"/>
        </w:rPr>
        <w:t>(3)</w:t>
      </w:r>
      <w:r>
        <w:rPr>
          <w:bCs/>
          <w:sz w:val="24"/>
          <w:szCs w:val="24"/>
        </w:rPr>
        <w:t>。</w:t>
      </w:r>
    </w:p>
    <w:p w:rsidR="00DB7CC8" w:rsidRDefault="002B5250">
      <w:pPr>
        <w:ind w:firstLine="480"/>
        <w:jc w:val="both"/>
        <w:rPr>
          <w:bCs/>
          <w:sz w:val="24"/>
          <w:szCs w:val="24"/>
        </w:rPr>
      </w:pPr>
      <w:r>
        <w:rPr>
          <w:bCs/>
          <w:sz w:val="24"/>
          <w:szCs w:val="24"/>
        </w:rPr>
        <w:t>u</w:t>
      </w:r>
      <w:r>
        <w:rPr>
          <w:bCs/>
          <w:sz w:val="24"/>
          <w:szCs w:val="24"/>
          <w:vertAlign w:val="subscript"/>
        </w:rPr>
        <w:t>t</w:t>
      </w:r>
      <w:r>
        <w:rPr>
          <w:bCs/>
          <w:sz w:val="24"/>
          <w:szCs w:val="24"/>
        </w:rPr>
        <w:t>*——</w:t>
      </w:r>
      <w:r>
        <w:rPr>
          <w:bCs/>
          <w:sz w:val="24"/>
          <w:szCs w:val="24"/>
        </w:rPr>
        <w:t>阈值摩擦风速，即起尘的临界摩擦风速，</w:t>
      </w:r>
      <w:r>
        <w:rPr>
          <w:bCs/>
          <w:sz w:val="24"/>
          <w:szCs w:val="24"/>
        </w:rPr>
        <w:t>m/s</w:t>
      </w:r>
      <w:r>
        <w:rPr>
          <w:bCs/>
          <w:sz w:val="24"/>
          <w:szCs w:val="24"/>
        </w:rPr>
        <w:t>，参考《扬尘源颗粒物排放清单编制技术指南》中的表</w:t>
      </w:r>
      <w:r>
        <w:rPr>
          <w:bCs/>
          <w:sz w:val="24"/>
          <w:szCs w:val="24"/>
        </w:rPr>
        <w:t>15</w:t>
      </w:r>
      <w:r>
        <w:rPr>
          <w:bCs/>
          <w:sz w:val="24"/>
          <w:szCs w:val="24"/>
        </w:rPr>
        <w:t>中铁渣、矿渣的阈值摩擦风速，为</w:t>
      </w:r>
      <w:r>
        <w:rPr>
          <w:bCs/>
          <w:sz w:val="24"/>
          <w:szCs w:val="24"/>
        </w:rPr>
        <w:t>1.33m/s</w:t>
      </w:r>
      <w:r>
        <w:rPr>
          <w:bCs/>
          <w:sz w:val="24"/>
          <w:szCs w:val="24"/>
        </w:rPr>
        <w:t>。</w:t>
      </w:r>
    </w:p>
    <w:p w:rsidR="00DB7CC8" w:rsidRDefault="002B5250">
      <w:pPr>
        <w:ind w:firstLine="480"/>
        <w:jc w:val="both"/>
        <w:rPr>
          <w:bCs/>
          <w:sz w:val="24"/>
          <w:szCs w:val="24"/>
        </w:rPr>
      </w:pPr>
      <w:r>
        <w:rPr>
          <w:noProof/>
          <w:sz w:val="24"/>
          <w:szCs w:val="24"/>
        </w:rPr>
        <w:lastRenderedPageBreak/>
        <w:drawing>
          <wp:inline distT="0" distB="0" distL="0" distR="0">
            <wp:extent cx="2887980" cy="426720"/>
            <wp:effectExtent l="19050" t="0" r="762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noChangeArrowheads="1"/>
                    </pic:cNvPicPr>
                  </pic:nvPicPr>
                  <pic:blipFill>
                    <a:blip r:embed="rId39" cstate="print"/>
                    <a:srcRect/>
                    <a:stretch>
                      <a:fillRect/>
                    </a:stretch>
                  </pic:blipFill>
                  <pic:spPr>
                    <a:xfrm>
                      <a:off x="0" y="0"/>
                      <a:ext cx="2887980" cy="426720"/>
                    </a:xfrm>
                    <a:prstGeom prst="rect">
                      <a:avLst/>
                    </a:prstGeom>
                    <a:noFill/>
                    <a:ln w="9525">
                      <a:noFill/>
                      <a:miter lim="800000"/>
                      <a:headEnd/>
                      <a:tailEnd/>
                    </a:ln>
                  </pic:spPr>
                </pic:pic>
              </a:graphicData>
            </a:graphic>
          </wp:inline>
        </w:drawing>
      </w:r>
      <w:r>
        <w:rPr>
          <w:sz w:val="24"/>
          <w:szCs w:val="24"/>
        </w:rPr>
        <w:t>（</w:t>
      </w:r>
      <w:r>
        <w:rPr>
          <w:sz w:val="24"/>
          <w:szCs w:val="24"/>
        </w:rPr>
        <w:t>3</w:t>
      </w:r>
      <w:r>
        <w:rPr>
          <w:sz w:val="24"/>
          <w:szCs w:val="24"/>
        </w:rPr>
        <w:t>）</w:t>
      </w:r>
    </w:p>
    <w:p w:rsidR="00DB7CC8" w:rsidRDefault="002B5250">
      <w:pPr>
        <w:ind w:firstLine="480"/>
        <w:jc w:val="both"/>
        <w:rPr>
          <w:bCs/>
          <w:sz w:val="24"/>
          <w:szCs w:val="24"/>
        </w:rPr>
      </w:pPr>
      <w:r>
        <w:rPr>
          <w:bCs/>
          <w:sz w:val="24"/>
          <w:szCs w:val="24"/>
        </w:rPr>
        <w:t>式中：</w:t>
      </w:r>
    </w:p>
    <w:p w:rsidR="00DB7CC8" w:rsidRDefault="002B5250">
      <w:pPr>
        <w:ind w:firstLine="480"/>
        <w:jc w:val="both"/>
        <w:rPr>
          <w:bCs/>
          <w:sz w:val="24"/>
          <w:szCs w:val="24"/>
        </w:rPr>
      </w:pPr>
      <w:r>
        <w:rPr>
          <w:bCs/>
          <w:sz w:val="24"/>
          <w:szCs w:val="24"/>
        </w:rPr>
        <w:t>u(z)——</w:t>
      </w:r>
      <w:r>
        <w:rPr>
          <w:bCs/>
          <w:sz w:val="24"/>
          <w:szCs w:val="24"/>
        </w:rPr>
        <w:t>地面风速，</w:t>
      </w:r>
      <w:r>
        <w:rPr>
          <w:bCs/>
          <w:sz w:val="24"/>
          <w:szCs w:val="24"/>
        </w:rPr>
        <w:t>m/s</w:t>
      </w:r>
      <w:r>
        <w:rPr>
          <w:bCs/>
          <w:sz w:val="24"/>
          <w:szCs w:val="24"/>
        </w:rPr>
        <w:t>。</w:t>
      </w:r>
    </w:p>
    <w:p w:rsidR="00DB7CC8" w:rsidRDefault="002B5250">
      <w:pPr>
        <w:ind w:firstLine="480"/>
        <w:jc w:val="both"/>
        <w:rPr>
          <w:bCs/>
          <w:sz w:val="24"/>
          <w:szCs w:val="24"/>
        </w:rPr>
      </w:pPr>
      <w:r>
        <w:rPr>
          <w:bCs/>
          <w:sz w:val="24"/>
          <w:szCs w:val="24"/>
        </w:rPr>
        <w:t>z——</w:t>
      </w:r>
      <w:r>
        <w:rPr>
          <w:bCs/>
          <w:sz w:val="24"/>
          <w:szCs w:val="24"/>
        </w:rPr>
        <w:t>地面风速检测高度，</w:t>
      </w:r>
      <w:r>
        <w:rPr>
          <w:bCs/>
          <w:sz w:val="24"/>
          <w:szCs w:val="24"/>
        </w:rPr>
        <w:t>m</w:t>
      </w:r>
      <w:r>
        <w:rPr>
          <w:bCs/>
          <w:sz w:val="24"/>
          <w:szCs w:val="24"/>
        </w:rPr>
        <w:t>，为</w:t>
      </w:r>
      <w:r>
        <w:rPr>
          <w:bCs/>
          <w:sz w:val="24"/>
          <w:szCs w:val="24"/>
        </w:rPr>
        <w:t>10m</w:t>
      </w:r>
      <w:r>
        <w:rPr>
          <w:bCs/>
          <w:sz w:val="24"/>
          <w:szCs w:val="24"/>
        </w:rPr>
        <w:t>。</w:t>
      </w:r>
    </w:p>
    <w:p w:rsidR="00DB7CC8" w:rsidRDefault="002B5250">
      <w:pPr>
        <w:ind w:firstLine="480"/>
        <w:jc w:val="both"/>
        <w:rPr>
          <w:bCs/>
          <w:sz w:val="24"/>
          <w:szCs w:val="24"/>
        </w:rPr>
      </w:pPr>
      <w:r>
        <w:rPr>
          <w:bCs/>
          <w:sz w:val="24"/>
          <w:szCs w:val="24"/>
        </w:rPr>
        <w:t>z</w:t>
      </w:r>
      <w:r>
        <w:rPr>
          <w:bCs/>
          <w:sz w:val="24"/>
          <w:szCs w:val="24"/>
          <w:vertAlign w:val="subscript"/>
        </w:rPr>
        <w:t>0</w:t>
      </w:r>
      <w:r>
        <w:rPr>
          <w:bCs/>
          <w:sz w:val="24"/>
          <w:szCs w:val="24"/>
        </w:rPr>
        <w:t>——</w:t>
      </w:r>
      <w:r>
        <w:rPr>
          <w:bCs/>
          <w:sz w:val="24"/>
          <w:szCs w:val="24"/>
        </w:rPr>
        <w:t>地面粗糙度，</w:t>
      </w:r>
      <w:r>
        <w:rPr>
          <w:bCs/>
          <w:sz w:val="24"/>
          <w:szCs w:val="24"/>
        </w:rPr>
        <w:t>m</w:t>
      </w:r>
      <w:r>
        <w:rPr>
          <w:bCs/>
          <w:sz w:val="24"/>
          <w:szCs w:val="24"/>
        </w:rPr>
        <w:t>，城市取值</w:t>
      </w:r>
      <w:r>
        <w:rPr>
          <w:bCs/>
          <w:sz w:val="24"/>
          <w:szCs w:val="24"/>
        </w:rPr>
        <w:t>0.6</w:t>
      </w:r>
      <w:r>
        <w:rPr>
          <w:bCs/>
          <w:sz w:val="24"/>
          <w:szCs w:val="24"/>
        </w:rPr>
        <w:t>，郊区取值</w:t>
      </w:r>
      <w:r>
        <w:rPr>
          <w:bCs/>
          <w:sz w:val="24"/>
          <w:szCs w:val="24"/>
        </w:rPr>
        <w:t>0.2</w:t>
      </w:r>
      <w:r>
        <w:rPr>
          <w:bCs/>
          <w:sz w:val="24"/>
          <w:szCs w:val="24"/>
        </w:rPr>
        <w:t>。本次计算取</w:t>
      </w:r>
      <w:r>
        <w:rPr>
          <w:bCs/>
          <w:sz w:val="24"/>
          <w:szCs w:val="24"/>
        </w:rPr>
        <w:t>0.2</w:t>
      </w:r>
      <w:r>
        <w:rPr>
          <w:bCs/>
          <w:sz w:val="24"/>
          <w:szCs w:val="24"/>
        </w:rPr>
        <w:t>。</w:t>
      </w:r>
    </w:p>
    <w:p w:rsidR="00DB7CC8" w:rsidRDefault="002B5250">
      <w:pPr>
        <w:ind w:firstLine="480"/>
        <w:jc w:val="both"/>
        <w:rPr>
          <w:bCs/>
          <w:sz w:val="24"/>
          <w:szCs w:val="24"/>
        </w:rPr>
      </w:pPr>
      <w:r>
        <w:rPr>
          <w:bCs/>
          <w:sz w:val="24"/>
          <w:szCs w:val="24"/>
        </w:rPr>
        <w:t>项目</w:t>
      </w:r>
      <w:r>
        <w:rPr>
          <w:rFonts w:hint="eastAsia"/>
          <w:bCs/>
          <w:sz w:val="24"/>
          <w:szCs w:val="24"/>
        </w:rPr>
        <w:t>物料</w:t>
      </w:r>
      <w:r>
        <w:rPr>
          <w:bCs/>
          <w:sz w:val="24"/>
          <w:szCs w:val="24"/>
        </w:rPr>
        <w:t>堆存过程颗粒物排放系数</w:t>
      </w:r>
      <w:r>
        <w:rPr>
          <w:bCs/>
          <w:sz w:val="24"/>
          <w:szCs w:val="24"/>
        </w:rPr>
        <w:t>E</w:t>
      </w:r>
      <w:r>
        <w:rPr>
          <w:bCs/>
          <w:sz w:val="24"/>
          <w:szCs w:val="24"/>
          <w:vertAlign w:val="subscript"/>
        </w:rPr>
        <w:t>w</w:t>
      </w:r>
      <w:r>
        <w:rPr>
          <w:bCs/>
          <w:sz w:val="24"/>
          <w:szCs w:val="24"/>
        </w:rPr>
        <w:t>计算参数及结果见表</w:t>
      </w:r>
      <w:r>
        <w:rPr>
          <w:bCs/>
          <w:sz w:val="24"/>
          <w:szCs w:val="24"/>
        </w:rPr>
        <w:t>3.</w:t>
      </w:r>
      <w:r>
        <w:rPr>
          <w:rFonts w:hint="eastAsia"/>
          <w:bCs/>
          <w:sz w:val="24"/>
          <w:szCs w:val="24"/>
        </w:rPr>
        <w:t>4</w:t>
      </w:r>
      <w:r>
        <w:rPr>
          <w:bCs/>
          <w:sz w:val="24"/>
          <w:szCs w:val="24"/>
        </w:rPr>
        <w:t>-3</w:t>
      </w:r>
      <w:r>
        <w:rPr>
          <w:bCs/>
          <w:sz w:val="24"/>
          <w:szCs w:val="24"/>
        </w:rPr>
        <w:t>。</w:t>
      </w:r>
    </w:p>
    <w:p w:rsidR="00DB7CC8" w:rsidRDefault="002B5250">
      <w:pPr>
        <w:spacing w:line="240" w:lineRule="auto"/>
        <w:ind w:firstLineChars="0" w:firstLine="420"/>
        <w:jc w:val="center"/>
        <w:textAlignment w:val="baseline"/>
        <w:rPr>
          <w:rFonts w:eastAsia="黑体"/>
          <w:bCs/>
          <w:kern w:val="2"/>
          <w:sz w:val="21"/>
          <w:szCs w:val="21"/>
        </w:rPr>
      </w:pPr>
      <w:r>
        <w:rPr>
          <w:rFonts w:eastAsia="黑体"/>
          <w:bCs/>
          <w:kern w:val="2"/>
          <w:sz w:val="21"/>
          <w:szCs w:val="21"/>
        </w:rPr>
        <w:t>表</w:t>
      </w:r>
      <w:r>
        <w:rPr>
          <w:rFonts w:eastAsia="黑体"/>
          <w:bCs/>
          <w:kern w:val="2"/>
          <w:sz w:val="21"/>
          <w:szCs w:val="21"/>
        </w:rPr>
        <w:t>3.</w:t>
      </w:r>
      <w:r>
        <w:rPr>
          <w:rFonts w:eastAsia="黑体" w:hint="eastAsia"/>
          <w:bCs/>
          <w:kern w:val="2"/>
          <w:sz w:val="21"/>
          <w:szCs w:val="21"/>
        </w:rPr>
        <w:t>4</w:t>
      </w:r>
      <w:r>
        <w:rPr>
          <w:rFonts w:eastAsia="黑体"/>
          <w:bCs/>
          <w:kern w:val="2"/>
          <w:sz w:val="21"/>
          <w:szCs w:val="21"/>
        </w:rPr>
        <w:t>-3</w:t>
      </w:r>
      <w:r>
        <w:rPr>
          <w:rFonts w:eastAsia="黑体" w:hint="eastAsia"/>
          <w:bCs/>
          <w:kern w:val="2"/>
          <w:sz w:val="21"/>
          <w:szCs w:val="21"/>
        </w:rPr>
        <w:t xml:space="preserve">   </w:t>
      </w:r>
      <w:r>
        <w:rPr>
          <w:rFonts w:eastAsia="黑体"/>
          <w:bCs/>
          <w:kern w:val="2"/>
          <w:sz w:val="21"/>
          <w:szCs w:val="21"/>
        </w:rPr>
        <w:t>颗粒物排放系数</w:t>
      </w:r>
      <w:r>
        <w:rPr>
          <w:rFonts w:eastAsia="黑体"/>
          <w:bCs/>
          <w:kern w:val="2"/>
          <w:sz w:val="21"/>
          <w:szCs w:val="21"/>
        </w:rPr>
        <w:t>E</w:t>
      </w:r>
      <w:r>
        <w:rPr>
          <w:rFonts w:eastAsia="黑体"/>
          <w:bCs/>
          <w:kern w:val="2"/>
          <w:sz w:val="21"/>
          <w:szCs w:val="21"/>
          <w:vertAlign w:val="subscript"/>
        </w:rPr>
        <w:t>w</w:t>
      </w:r>
      <w:r>
        <w:rPr>
          <w:rFonts w:eastAsia="黑体"/>
          <w:bCs/>
          <w:kern w:val="2"/>
          <w:sz w:val="21"/>
          <w:szCs w:val="21"/>
        </w:rPr>
        <w:t>计算参数及结果</w:t>
      </w:r>
    </w:p>
    <w:tbl>
      <w:tblPr>
        <w:tblW w:w="8522"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233"/>
        <w:gridCol w:w="1295"/>
        <w:gridCol w:w="623"/>
        <w:gridCol w:w="722"/>
        <w:gridCol w:w="1123"/>
        <w:gridCol w:w="1176"/>
        <w:gridCol w:w="1082"/>
        <w:gridCol w:w="1268"/>
      </w:tblGrid>
      <w:tr w:rsidR="00DB7CC8">
        <w:trPr>
          <w:trHeight w:val="357"/>
          <w:jc w:val="center"/>
        </w:trPr>
        <w:tc>
          <w:tcPr>
            <w:tcW w:w="1233" w:type="dxa"/>
            <w:tcBorders>
              <w:left w:val="single" w:sz="4" w:space="0" w:color="auto"/>
            </w:tcBorders>
            <w:vAlign w:val="center"/>
          </w:tcPr>
          <w:p w:rsidR="00DB7CC8" w:rsidRDefault="002B5250">
            <w:pPr>
              <w:spacing w:line="360" w:lineRule="exact"/>
              <w:ind w:firstLineChars="0" w:firstLine="0"/>
              <w:jc w:val="center"/>
              <w:textAlignment w:val="auto"/>
              <w:rPr>
                <w:kern w:val="2"/>
                <w:sz w:val="21"/>
                <w:szCs w:val="21"/>
              </w:rPr>
            </w:pPr>
            <w:r>
              <w:rPr>
                <w:kern w:val="2"/>
                <w:sz w:val="21"/>
                <w:szCs w:val="21"/>
              </w:rPr>
              <w:t>项目</w:t>
            </w:r>
          </w:p>
        </w:tc>
        <w:tc>
          <w:tcPr>
            <w:tcW w:w="1295" w:type="dxa"/>
            <w:vAlign w:val="center"/>
          </w:tcPr>
          <w:p w:rsidR="00DB7CC8" w:rsidRDefault="002B5250">
            <w:pPr>
              <w:spacing w:line="360" w:lineRule="exact"/>
              <w:ind w:firstLineChars="0" w:firstLine="0"/>
              <w:jc w:val="center"/>
              <w:textAlignment w:val="auto"/>
              <w:rPr>
                <w:kern w:val="2"/>
                <w:sz w:val="21"/>
                <w:szCs w:val="21"/>
              </w:rPr>
            </w:pPr>
            <w:r>
              <w:rPr>
                <w:bCs/>
                <w:sz w:val="24"/>
                <w:szCs w:val="24"/>
              </w:rPr>
              <w:t>u(z)(m/s)</w:t>
            </w:r>
          </w:p>
        </w:tc>
        <w:tc>
          <w:tcPr>
            <w:tcW w:w="623" w:type="dxa"/>
            <w:vAlign w:val="center"/>
          </w:tcPr>
          <w:p w:rsidR="00DB7CC8" w:rsidRDefault="002B5250">
            <w:pPr>
              <w:spacing w:line="360" w:lineRule="exact"/>
              <w:ind w:firstLineChars="0" w:firstLine="0"/>
              <w:jc w:val="center"/>
              <w:textAlignment w:val="auto"/>
              <w:rPr>
                <w:spacing w:val="-20"/>
                <w:kern w:val="2"/>
                <w:sz w:val="21"/>
                <w:szCs w:val="21"/>
              </w:rPr>
            </w:pPr>
            <w:r>
              <w:rPr>
                <w:spacing w:val="-20"/>
                <w:kern w:val="2"/>
                <w:sz w:val="21"/>
                <w:szCs w:val="21"/>
              </w:rPr>
              <w:t>z(m)</w:t>
            </w:r>
          </w:p>
        </w:tc>
        <w:tc>
          <w:tcPr>
            <w:tcW w:w="722" w:type="dxa"/>
            <w:vAlign w:val="center"/>
          </w:tcPr>
          <w:p w:rsidR="00DB7CC8" w:rsidRDefault="002B5250">
            <w:pPr>
              <w:spacing w:line="360" w:lineRule="exact"/>
              <w:ind w:firstLineChars="0" w:firstLine="0"/>
              <w:jc w:val="center"/>
              <w:textAlignment w:val="auto"/>
              <w:rPr>
                <w:kern w:val="2"/>
                <w:sz w:val="21"/>
                <w:szCs w:val="21"/>
              </w:rPr>
            </w:pPr>
            <w:r>
              <w:rPr>
                <w:spacing w:val="-20"/>
                <w:kern w:val="2"/>
                <w:sz w:val="21"/>
                <w:szCs w:val="21"/>
              </w:rPr>
              <w:t>Z</w:t>
            </w:r>
            <w:r>
              <w:rPr>
                <w:spacing w:val="-20"/>
                <w:kern w:val="2"/>
                <w:sz w:val="21"/>
                <w:szCs w:val="21"/>
                <w:vertAlign w:val="subscript"/>
              </w:rPr>
              <w:t>0</w:t>
            </w:r>
            <w:r>
              <w:rPr>
                <w:spacing w:val="-20"/>
                <w:kern w:val="2"/>
                <w:sz w:val="21"/>
                <w:szCs w:val="21"/>
              </w:rPr>
              <w:t>(m)</w:t>
            </w:r>
          </w:p>
        </w:tc>
        <w:tc>
          <w:tcPr>
            <w:tcW w:w="1123" w:type="dxa"/>
            <w:vAlign w:val="center"/>
          </w:tcPr>
          <w:p w:rsidR="00DB7CC8" w:rsidRDefault="002B5250">
            <w:pPr>
              <w:spacing w:line="360" w:lineRule="exact"/>
              <w:ind w:firstLineChars="0" w:firstLine="0"/>
              <w:jc w:val="center"/>
              <w:textAlignment w:val="auto"/>
              <w:rPr>
                <w:kern w:val="2"/>
                <w:sz w:val="21"/>
                <w:szCs w:val="21"/>
              </w:rPr>
            </w:pPr>
            <w:r>
              <w:rPr>
                <w:bCs/>
                <w:sz w:val="24"/>
                <w:szCs w:val="24"/>
              </w:rPr>
              <w:t>u*(m/s)</w:t>
            </w:r>
          </w:p>
        </w:tc>
        <w:tc>
          <w:tcPr>
            <w:tcW w:w="1176" w:type="dxa"/>
            <w:vAlign w:val="center"/>
          </w:tcPr>
          <w:p w:rsidR="00DB7CC8" w:rsidRDefault="002B5250">
            <w:pPr>
              <w:spacing w:line="360" w:lineRule="exact"/>
              <w:ind w:firstLineChars="0" w:firstLine="0"/>
              <w:jc w:val="center"/>
              <w:textAlignment w:val="auto"/>
              <w:rPr>
                <w:kern w:val="2"/>
                <w:sz w:val="21"/>
                <w:szCs w:val="21"/>
              </w:rPr>
            </w:pPr>
            <w:r>
              <w:rPr>
                <w:bCs/>
                <w:sz w:val="24"/>
                <w:szCs w:val="24"/>
              </w:rPr>
              <w:t>u</w:t>
            </w:r>
            <w:r>
              <w:rPr>
                <w:bCs/>
                <w:sz w:val="24"/>
                <w:szCs w:val="24"/>
                <w:vertAlign w:val="subscript"/>
              </w:rPr>
              <w:t>t</w:t>
            </w:r>
            <w:r>
              <w:rPr>
                <w:bCs/>
                <w:sz w:val="24"/>
                <w:szCs w:val="24"/>
              </w:rPr>
              <w:t>*(m/s)</w:t>
            </w:r>
          </w:p>
        </w:tc>
        <w:tc>
          <w:tcPr>
            <w:tcW w:w="1082"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Pi(g/m</w:t>
            </w:r>
            <w:r>
              <w:rPr>
                <w:kern w:val="2"/>
                <w:sz w:val="21"/>
                <w:szCs w:val="21"/>
                <w:vertAlign w:val="superscript"/>
              </w:rPr>
              <w:t>2</w:t>
            </w:r>
            <w:r>
              <w:rPr>
                <w:kern w:val="2"/>
                <w:sz w:val="21"/>
                <w:szCs w:val="21"/>
              </w:rPr>
              <w:t>)</w:t>
            </w:r>
          </w:p>
        </w:tc>
        <w:tc>
          <w:tcPr>
            <w:tcW w:w="1268" w:type="dxa"/>
            <w:tcBorders>
              <w:right w:val="single" w:sz="4" w:space="0" w:color="auto"/>
            </w:tcBorders>
            <w:vAlign w:val="center"/>
          </w:tcPr>
          <w:p w:rsidR="00DB7CC8" w:rsidRDefault="002B5250">
            <w:pPr>
              <w:spacing w:line="360" w:lineRule="exact"/>
              <w:ind w:firstLineChars="0" w:firstLine="0"/>
              <w:jc w:val="center"/>
              <w:textAlignment w:val="auto"/>
              <w:rPr>
                <w:kern w:val="2"/>
                <w:sz w:val="21"/>
                <w:szCs w:val="21"/>
              </w:rPr>
            </w:pPr>
            <w:r>
              <w:rPr>
                <w:kern w:val="2"/>
                <w:sz w:val="21"/>
                <w:szCs w:val="21"/>
              </w:rPr>
              <w:t>E</w:t>
            </w:r>
            <w:r>
              <w:rPr>
                <w:kern w:val="2"/>
                <w:sz w:val="21"/>
                <w:szCs w:val="21"/>
                <w:vertAlign w:val="subscript"/>
              </w:rPr>
              <w:t>w</w:t>
            </w:r>
            <w:r>
              <w:rPr>
                <w:kern w:val="2"/>
                <w:sz w:val="21"/>
                <w:szCs w:val="21"/>
              </w:rPr>
              <w:t>(kg/m</w:t>
            </w:r>
            <w:r>
              <w:rPr>
                <w:kern w:val="2"/>
                <w:sz w:val="21"/>
                <w:szCs w:val="21"/>
                <w:vertAlign w:val="superscript"/>
              </w:rPr>
              <w:t>2</w:t>
            </w:r>
            <w:r>
              <w:rPr>
                <w:kern w:val="2"/>
                <w:sz w:val="21"/>
                <w:szCs w:val="21"/>
              </w:rPr>
              <w:t>)</w:t>
            </w:r>
          </w:p>
        </w:tc>
      </w:tr>
      <w:tr w:rsidR="00DB7CC8">
        <w:trPr>
          <w:trHeight w:val="70"/>
          <w:jc w:val="center"/>
        </w:trPr>
        <w:tc>
          <w:tcPr>
            <w:tcW w:w="1233" w:type="dxa"/>
            <w:tcBorders>
              <w:left w:val="single" w:sz="4" w:space="0" w:color="auto"/>
            </w:tcBorders>
            <w:vAlign w:val="center"/>
          </w:tcPr>
          <w:p w:rsidR="00DB7CC8" w:rsidRDefault="002B5250">
            <w:pPr>
              <w:spacing w:line="360" w:lineRule="exact"/>
              <w:ind w:firstLineChars="0" w:firstLine="0"/>
              <w:jc w:val="center"/>
              <w:textAlignment w:val="auto"/>
              <w:rPr>
                <w:kern w:val="2"/>
                <w:sz w:val="21"/>
                <w:szCs w:val="21"/>
              </w:rPr>
            </w:pPr>
            <w:r>
              <w:rPr>
                <w:rFonts w:hint="eastAsia"/>
                <w:kern w:val="2"/>
                <w:sz w:val="21"/>
                <w:szCs w:val="21"/>
              </w:rPr>
              <w:t>物料</w:t>
            </w:r>
            <w:r>
              <w:rPr>
                <w:kern w:val="2"/>
                <w:sz w:val="21"/>
                <w:szCs w:val="21"/>
              </w:rPr>
              <w:t>堆存</w:t>
            </w:r>
          </w:p>
        </w:tc>
        <w:tc>
          <w:tcPr>
            <w:tcW w:w="1295"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3.29</w:t>
            </w:r>
          </w:p>
        </w:tc>
        <w:tc>
          <w:tcPr>
            <w:tcW w:w="623"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10</w:t>
            </w:r>
          </w:p>
        </w:tc>
        <w:tc>
          <w:tcPr>
            <w:tcW w:w="722"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0.2</w:t>
            </w:r>
          </w:p>
        </w:tc>
        <w:tc>
          <w:tcPr>
            <w:tcW w:w="1123"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0.34</w:t>
            </w:r>
          </w:p>
        </w:tc>
        <w:tc>
          <w:tcPr>
            <w:tcW w:w="1176"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1.33</w:t>
            </w:r>
          </w:p>
        </w:tc>
        <w:tc>
          <w:tcPr>
            <w:tcW w:w="1082"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0</w:t>
            </w:r>
          </w:p>
        </w:tc>
        <w:tc>
          <w:tcPr>
            <w:tcW w:w="1268" w:type="dxa"/>
            <w:tcBorders>
              <w:right w:val="single" w:sz="4" w:space="0" w:color="auto"/>
            </w:tcBorders>
            <w:vAlign w:val="center"/>
          </w:tcPr>
          <w:p w:rsidR="00DB7CC8" w:rsidRDefault="002B5250">
            <w:pPr>
              <w:spacing w:line="360" w:lineRule="exact"/>
              <w:ind w:firstLineChars="0" w:firstLine="0"/>
              <w:jc w:val="center"/>
              <w:textAlignment w:val="auto"/>
              <w:rPr>
                <w:kern w:val="2"/>
                <w:sz w:val="21"/>
                <w:szCs w:val="21"/>
              </w:rPr>
            </w:pPr>
            <w:r>
              <w:rPr>
                <w:kern w:val="2"/>
                <w:sz w:val="21"/>
                <w:szCs w:val="21"/>
              </w:rPr>
              <w:t>0</w:t>
            </w:r>
          </w:p>
        </w:tc>
      </w:tr>
    </w:tbl>
    <w:p w:rsidR="00DB7CC8" w:rsidRDefault="002B5250">
      <w:pPr>
        <w:spacing w:beforeLines="50" w:before="120"/>
        <w:ind w:firstLine="480"/>
        <w:jc w:val="both"/>
        <w:rPr>
          <w:bCs/>
          <w:sz w:val="24"/>
          <w:szCs w:val="24"/>
        </w:rPr>
      </w:pPr>
      <w:r>
        <w:rPr>
          <w:bCs/>
          <w:sz w:val="24"/>
          <w:szCs w:val="24"/>
        </w:rPr>
        <w:t>u(z)</w:t>
      </w:r>
      <w:r>
        <w:rPr>
          <w:bCs/>
          <w:sz w:val="24"/>
          <w:szCs w:val="24"/>
        </w:rPr>
        <w:t>取值为遵化市近二十年内气象统计资料中连续一年的最高风速</w:t>
      </w:r>
      <w:r>
        <w:rPr>
          <w:bCs/>
          <w:sz w:val="24"/>
          <w:szCs w:val="24"/>
        </w:rPr>
        <w:t>3.29m/s</w:t>
      </w:r>
      <w:r>
        <w:rPr>
          <w:bCs/>
          <w:sz w:val="24"/>
          <w:szCs w:val="24"/>
        </w:rPr>
        <w:t>。根据此风速计算原料及产品堆存过程风蚀扬尘排放系数</w:t>
      </w:r>
      <w:r>
        <w:rPr>
          <w:bCs/>
          <w:sz w:val="24"/>
          <w:szCs w:val="24"/>
        </w:rPr>
        <w:t>E</w:t>
      </w:r>
      <w:r>
        <w:rPr>
          <w:bCs/>
          <w:sz w:val="24"/>
          <w:szCs w:val="24"/>
          <w:vertAlign w:val="subscript"/>
        </w:rPr>
        <w:t>w</w:t>
      </w:r>
      <w:r>
        <w:rPr>
          <w:bCs/>
          <w:sz w:val="24"/>
          <w:szCs w:val="24"/>
        </w:rPr>
        <w:t>为</w:t>
      </w:r>
      <w:r>
        <w:rPr>
          <w:bCs/>
          <w:sz w:val="24"/>
          <w:szCs w:val="24"/>
        </w:rPr>
        <w:t>0</w:t>
      </w:r>
      <w:r>
        <w:rPr>
          <w:bCs/>
          <w:sz w:val="24"/>
          <w:szCs w:val="24"/>
        </w:rPr>
        <w:t>，则在其他气象条件下的</w:t>
      </w:r>
      <w:r>
        <w:rPr>
          <w:bCs/>
          <w:sz w:val="24"/>
          <w:szCs w:val="24"/>
        </w:rPr>
        <w:t>E</w:t>
      </w:r>
      <w:r>
        <w:rPr>
          <w:bCs/>
          <w:sz w:val="24"/>
          <w:szCs w:val="24"/>
          <w:vertAlign w:val="subscript"/>
        </w:rPr>
        <w:t>w</w:t>
      </w:r>
      <w:r>
        <w:rPr>
          <w:bCs/>
          <w:sz w:val="24"/>
          <w:szCs w:val="24"/>
        </w:rPr>
        <w:t>也为</w:t>
      </w:r>
      <w:r>
        <w:rPr>
          <w:bCs/>
          <w:sz w:val="24"/>
          <w:szCs w:val="24"/>
        </w:rPr>
        <w:t>0</w:t>
      </w:r>
      <w:r>
        <w:rPr>
          <w:bCs/>
          <w:sz w:val="24"/>
          <w:szCs w:val="24"/>
        </w:rPr>
        <w:t>。</w:t>
      </w:r>
    </w:p>
    <w:p w:rsidR="00DB7CC8" w:rsidRDefault="002B5250">
      <w:pPr>
        <w:ind w:firstLine="480"/>
        <w:jc w:val="both"/>
        <w:rPr>
          <w:bCs/>
          <w:sz w:val="24"/>
          <w:szCs w:val="24"/>
        </w:rPr>
      </w:pPr>
      <w:r>
        <w:rPr>
          <w:bCs/>
          <w:sz w:val="24"/>
          <w:szCs w:val="24"/>
        </w:rPr>
        <w:t>物料装卸过程扬尘排放系数</w:t>
      </w:r>
      <w:r>
        <w:rPr>
          <w:bCs/>
          <w:sz w:val="24"/>
          <w:szCs w:val="24"/>
        </w:rPr>
        <w:t>E</w:t>
      </w:r>
      <w:r>
        <w:rPr>
          <w:bCs/>
          <w:sz w:val="24"/>
          <w:szCs w:val="24"/>
          <w:vertAlign w:val="subscript"/>
        </w:rPr>
        <w:t>h</w:t>
      </w:r>
      <w:r>
        <w:rPr>
          <w:bCs/>
          <w:sz w:val="24"/>
          <w:szCs w:val="24"/>
        </w:rPr>
        <w:t>的估算采用公式（</w:t>
      </w:r>
      <w:r>
        <w:rPr>
          <w:bCs/>
          <w:sz w:val="24"/>
          <w:szCs w:val="24"/>
        </w:rPr>
        <w:t>4</w:t>
      </w:r>
      <w:r>
        <w:rPr>
          <w:bCs/>
          <w:sz w:val="24"/>
          <w:szCs w:val="24"/>
        </w:rPr>
        <w:t>）进行计算。</w:t>
      </w:r>
    </w:p>
    <w:p w:rsidR="00DB7CC8" w:rsidRDefault="002B5250">
      <w:pPr>
        <w:ind w:firstLine="560"/>
        <w:jc w:val="both"/>
        <w:rPr>
          <w:bCs/>
          <w:sz w:val="24"/>
          <w:szCs w:val="24"/>
        </w:rPr>
      </w:pPr>
      <w:r>
        <w:rPr>
          <w:noProof/>
        </w:rPr>
        <w:drawing>
          <wp:inline distT="0" distB="0" distL="0" distR="0">
            <wp:extent cx="2705100" cy="929640"/>
            <wp:effectExtent l="19050" t="0" r="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noChangeArrowheads="1"/>
                    </pic:cNvPicPr>
                  </pic:nvPicPr>
                  <pic:blipFill>
                    <a:blip r:embed="rId40" cstate="print"/>
                    <a:srcRect/>
                    <a:stretch>
                      <a:fillRect/>
                    </a:stretch>
                  </pic:blipFill>
                  <pic:spPr>
                    <a:xfrm>
                      <a:off x="0" y="0"/>
                      <a:ext cx="2705100" cy="929640"/>
                    </a:xfrm>
                    <a:prstGeom prst="rect">
                      <a:avLst/>
                    </a:prstGeom>
                    <a:noFill/>
                    <a:ln w="9525">
                      <a:noFill/>
                      <a:miter lim="800000"/>
                      <a:headEnd/>
                      <a:tailEnd/>
                    </a:ln>
                  </pic:spPr>
                </pic:pic>
              </a:graphicData>
            </a:graphic>
          </wp:inline>
        </w:drawing>
      </w:r>
      <w:r>
        <w:rPr>
          <w:sz w:val="24"/>
          <w:szCs w:val="24"/>
        </w:rPr>
        <w:t>（</w:t>
      </w:r>
      <w:r>
        <w:rPr>
          <w:sz w:val="24"/>
          <w:szCs w:val="24"/>
        </w:rPr>
        <w:t>4</w:t>
      </w:r>
      <w:r>
        <w:rPr>
          <w:sz w:val="24"/>
          <w:szCs w:val="24"/>
        </w:rPr>
        <w:t>）</w:t>
      </w:r>
    </w:p>
    <w:p w:rsidR="00DB7CC8" w:rsidRDefault="002B5250">
      <w:pPr>
        <w:ind w:firstLine="480"/>
        <w:jc w:val="both"/>
        <w:rPr>
          <w:bCs/>
          <w:sz w:val="24"/>
          <w:szCs w:val="24"/>
        </w:rPr>
      </w:pPr>
      <w:r>
        <w:rPr>
          <w:bCs/>
          <w:sz w:val="24"/>
          <w:szCs w:val="24"/>
        </w:rPr>
        <w:t>式中：</w:t>
      </w:r>
    </w:p>
    <w:p w:rsidR="00DB7CC8" w:rsidRDefault="002B5250">
      <w:pPr>
        <w:ind w:firstLine="480"/>
        <w:jc w:val="both"/>
        <w:rPr>
          <w:bCs/>
          <w:sz w:val="24"/>
          <w:szCs w:val="24"/>
        </w:rPr>
      </w:pPr>
      <w:r>
        <w:rPr>
          <w:bCs/>
          <w:sz w:val="24"/>
          <w:szCs w:val="24"/>
        </w:rPr>
        <w:t>E</w:t>
      </w:r>
      <w:r>
        <w:rPr>
          <w:bCs/>
          <w:sz w:val="24"/>
          <w:szCs w:val="24"/>
          <w:vertAlign w:val="subscript"/>
        </w:rPr>
        <w:t>h</w:t>
      </w:r>
      <w:r>
        <w:rPr>
          <w:bCs/>
          <w:sz w:val="24"/>
          <w:szCs w:val="24"/>
        </w:rPr>
        <w:t>——</w:t>
      </w:r>
      <w:r>
        <w:rPr>
          <w:bCs/>
          <w:sz w:val="24"/>
          <w:szCs w:val="24"/>
        </w:rPr>
        <w:t>为堆场装卸扬尘的排放系数，</w:t>
      </w:r>
      <w:r>
        <w:rPr>
          <w:bCs/>
          <w:sz w:val="24"/>
          <w:szCs w:val="24"/>
        </w:rPr>
        <w:t>kg/t</w:t>
      </w:r>
      <w:r>
        <w:rPr>
          <w:bCs/>
          <w:sz w:val="24"/>
          <w:szCs w:val="24"/>
        </w:rPr>
        <w:t>。</w:t>
      </w:r>
    </w:p>
    <w:p w:rsidR="00DB7CC8" w:rsidRDefault="002B5250">
      <w:pPr>
        <w:ind w:firstLine="480"/>
        <w:jc w:val="both"/>
        <w:rPr>
          <w:bCs/>
          <w:sz w:val="24"/>
          <w:szCs w:val="24"/>
        </w:rPr>
      </w:pPr>
      <w:r>
        <w:rPr>
          <w:bCs/>
          <w:sz w:val="24"/>
          <w:szCs w:val="24"/>
        </w:rPr>
        <w:t>k</w:t>
      </w:r>
      <w:r>
        <w:rPr>
          <w:bCs/>
          <w:sz w:val="24"/>
          <w:szCs w:val="24"/>
          <w:vertAlign w:val="subscript"/>
        </w:rPr>
        <w:t>i</w:t>
      </w:r>
      <w:r>
        <w:rPr>
          <w:bCs/>
          <w:sz w:val="24"/>
          <w:szCs w:val="24"/>
        </w:rPr>
        <w:t>——</w:t>
      </w:r>
      <w:r>
        <w:rPr>
          <w:bCs/>
          <w:sz w:val="24"/>
          <w:szCs w:val="24"/>
        </w:rPr>
        <w:t>物料的粒度乘数，参考《扬程源颗粒物排放清单编制技术指南》表</w:t>
      </w:r>
      <w:r>
        <w:rPr>
          <w:bCs/>
          <w:sz w:val="24"/>
          <w:szCs w:val="24"/>
        </w:rPr>
        <w:t>10</w:t>
      </w:r>
      <w:r>
        <w:rPr>
          <w:bCs/>
          <w:sz w:val="24"/>
          <w:szCs w:val="24"/>
        </w:rPr>
        <w:t>中</w:t>
      </w:r>
      <w:r>
        <w:rPr>
          <w:bCs/>
          <w:sz w:val="24"/>
          <w:szCs w:val="24"/>
        </w:rPr>
        <w:t xml:space="preserve">TSP </w:t>
      </w:r>
      <w:r>
        <w:rPr>
          <w:bCs/>
          <w:sz w:val="24"/>
          <w:szCs w:val="24"/>
        </w:rPr>
        <w:t>的粒度乘数为</w:t>
      </w:r>
      <w:r>
        <w:rPr>
          <w:bCs/>
          <w:sz w:val="24"/>
          <w:szCs w:val="24"/>
        </w:rPr>
        <w:t>0.74</w:t>
      </w:r>
      <w:r>
        <w:rPr>
          <w:bCs/>
          <w:sz w:val="24"/>
          <w:szCs w:val="24"/>
        </w:rPr>
        <w:t>。</w:t>
      </w:r>
    </w:p>
    <w:p w:rsidR="00DB7CC8" w:rsidRDefault="002B5250">
      <w:pPr>
        <w:ind w:firstLine="480"/>
        <w:jc w:val="both"/>
        <w:rPr>
          <w:bCs/>
          <w:sz w:val="24"/>
          <w:szCs w:val="24"/>
        </w:rPr>
      </w:pPr>
      <w:r>
        <w:rPr>
          <w:bCs/>
          <w:sz w:val="24"/>
          <w:szCs w:val="24"/>
        </w:rPr>
        <w:t>u——</w:t>
      </w:r>
      <w:r>
        <w:rPr>
          <w:bCs/>
          <w:sz w:val="24"/>
          <w:szCs w:val="24"/>
        </w:rPr>
        <w:t>地面平均风速，</w:t>
      </w:r>
      <w:r>
        <w:rPr>
          <w:bCs/>
          <w:sz w:val="24"/>
          <w:szCs w:val="24"/>
        </w:rPr>
        <w:t>m/s</w:t>
      </w:r>
      <w:r>
        <w:rPr>
          <w:bCs/>
          <w:sz w:val="24"/>
          <w:szCs w:val="24"/>
        </w:rPr>
        <w:t>。</w:t>
      </w:r>
    </w:p>
    <w:p w:rsidR="00DB7CC8" w:rsidRDefault="002B5250">
      <w:pPr>
        <w:ind w:firstLine="480"/>
        <w:jc w:val="both"/>
        <w:rPr>
          <w:bCs/>
          <w:sz w:val="24"/>
          <w:szCs w:val="24"/>
        </w:rPr>
      </w:pPr>
      <w:r>
        <w:rPr>
          <w:bCs/>
          <w:sz w:val="24"/>
          <w:szCs w:val="24"/>
        </w:rPr>
        <w:t>M——</w:t>
      </w:r>
      <w:r>
        <w:rPr>
          <w:bCs/>
          <w:sz w:val="24"/>
          <w:szCs w:val="24"/>
        </w:rPr>
        <w:t>物料含水率，</w:t>
      </w:r>
      <w:r>
        <w:rPr>
          <w:bCs/>
          <w:sz w:val="24"/>
          <w:szCs w:val="24"/>
        </w:rPr>
        <w:t>%</w:t>
      </w:r>
      <w:r>
        <w:rPr>
          <w:bCs/>
          <w:sz w:val="24"/>
          <w:szCs w:val="24"/>
        </w:rPr>
        <w:t>，根据企业提供数据，原料含水率约为</w:t>
      </w:r>
      <w:r>
        <w:rPr>
          <w:bCs/>
          <w:sz w:val="24"/>
          <w:szCs w:val="24"/>
        </w:rPr>
        <w:t>7%</w:t>
      </w:r>
      <w:r>
        <w:rPr>
          <w:bCs/>
          <w:sz w:val="24"/>
          <w:szCs w:val="24"/>
        </w:rPr>
        <w:t>。</w:t>
      </w:r>
    </w:p>
    <w:p w:rsidR="00DB7CC8" w:rsidRDefault="002B5250">
      <w:pPr>
        <w:ind w:firstLine="480"/>
        <w:jc w:val="both"/>
        <w:rPr>
          <w:bCs/>
          <w:sz w:val="24"/>
          <w:szCs w:val="24"/>
        </w:rPr>
      </w:pPr>
      <w:r>
        <w:rPr>
          <w:bCs/>
          <w:sz w:val="24"/>
          <w:szCs w:val="24"/>
        </w:rPr>
        <w:t>η——</w:t>
      </w:r>
      <w:r>
        <w:rPr>
          <w:bCs/>
          <w:sz w:val="24"/>
          <w:szCs w:val="24"/>
        </w:rPr>
        <w:t>污染控制技术对扬尘的去除效率，</w:t>
      </w:r>
      <w:r>
        <w:rPr>
          <w:bCs/>
          <w:sz w:val="24"/>
          <w:szCs w:val="24"/>
        </w:rPr>
        <w:t>%</w:t>
      </w:r>
      <w:r>
        <w:rPr>
          <w:bCs/>
          <w:sz w:val="24"/>
          <w:szCs w:val="24"/>
        </w:rPr>
        <w:t>。原料及产品均堆存在封闭库房内，且设置喷雾抑尘装置，参考《扬尘源颗粒物排放清单编制技术指南》</w:t>
      </w:r>
      <w:r>
        <w:rPr>
          <w:bCs/>
          <w:sz w:val="24"/>
          <w:szCs w:val="24"/>
        </w:rPr>
        <w:t xml:space="preserve">TSP </w:t>
      </w:r>
      <w:r>
        <w:rPr>
          <w:bCs/>
          <w:sz w:val="24"/>
          <w:szCs w:val="24"/>
        </w:rPr>
        <w:t>控制效率为</w:t>
      </w:r>
      <w:r>
        <w:rPr>
          <w:bCs/>
          <w:sz w:val="24"/>
          <w:szCs w:val="24"/>
        </w:rPr>
        <w:t>95%</w:t>
      </w:r>
      <w:r>
        <w:rPr>
          <w:bCs/>
          <w:sz w:val="24"/>
          <w:szCs w:val="24"/>
        </w:rPr>
        <w:t>。</w:t>
      </w:r>
    </w:p>
    <w:p w:rsidR="00DB7CC8" w:rsidRDefault="002B5250">
      <w:pPr>
        <w:ind w:firstLine="480"/>
        <w:jc w:val="both"/>
        <w:rPr>
          <w:bCs/>
          <w:sz w:val="24"/>
          <w:szCs w:val="24"/>
        </w:rPr>
      </w:pPr>
      <w:r>
        <w:rPr>
          <w:bCs/>
          <w:sz w:val="24"/>
          <w:szCs w:val="24"/>
        </w:rPr>
        <w:t>物料装卸过程颗粒物排放系数</w:t>
      </w:r>
      <w:r>
        <w:rPr>
          <w:bCs/>
          <w:sz w:val="24"/>
          <w:szCs w:val="24"/>
        </w:rPr>
        <w:t>E</w:t>
      </w:r>
      <w:r>
        <w:rPr>
          <w:bCs/>
          <w:sz w:val="24"/>
          <w:szCs w:val="24"/>
          <w:vertAlign w:val="subscript"/>
        </w:rPr>
        <w:t>h</w:t>
      </w:r>
      <w:r>
        <w:rPr>
          <w:bCs/>
          <w:sz w:val="24"/>
          <w:szCs w:val="24"/>
        </w:rPr>
        <w:t>计算参数及结果见表</w:t>
      </w:r>
      <w:r>
        <w:rPr>
          <w:bCs/>
          <w:sz w:val="24"/>
          <w:szCs w:val="24"/>
        </w:rPr>
        <w:t>3.</w:t>
      </w:r>
      <w:r>
        <w:rPr>
          <w:rFonts w:hint="eastAsia"/>
          <w:bCs/>
          <w:sz w:val="24"/>
          <w:szCs w:val="24"/>
        </w:rPr>
        <w:t>4</w:t>
      </w:r>
      <w:r>
        <w:rPr>
          <w:bCs/>
          <w:sz w:val="24"/>
          <w:szCs w:val="24"/>
        </w:rPr>
        <w:t>-4</w:t>
      </w:r>
      <w:r>
        <w:rPr>
          <w:bCs/>
          <w:sz w:val="24"/>
          <w:szCs w:val="24"/>
        </w:rPr>
        <w:t>。</w:t>
      </w:r>
    </w:p>
    <w:p w:rsidR="00DB7CC8" w:rsidRDefault="002B5250">
      <w:pPr>
        <w:spacing w:line="240" w:lineRule="auto"/>
        <w:ind w:firstLineChars="0" w:firstLine="420"/>
        <w:jc w:val="center"/>
        <w:textAlignment w:val="baseline"/>
        <w:rPr>
          <w:rFonts w:eastAsia="黑体"/>
          <w:bCs/>
          <w:kern w:val="2"/>
          <w:sz w:val="21"/>
          <w:szCs w:val="21"/>
        </w:rPr>
      </w:pPr>
      <w:r>
        <w:rPr>
          <w:rFonts w:eastAsia="黑体"/>
          <w:bCs/>
          <w:kern w:val="2"/>
          <w:sz w:val="21"/>
          <w:szCs w:val="21"/>
        </w:rPr>
        <w:t>表</w:t>
      </w:r>
      <w:r>
        <w:rPr>
          <w:rFonts w:eastAsia="黑体"/>
          <w:bCs/>
          <w:kern w:val="2"/>
          <w:sz w:val="21"/>
          <w:szCs w:val="21"/>
        </w:rPr>
        <w:t>3.</w:t>
      </w:r>
      <w:r>
        <w:rPr>
          <w:rFonts w:eastAsia="黑体" w:hint="eastAsia"/>
          <w:bCs/>
          <w:kern w:val="2"/>
          <w:sz w:val="21"/>
          <w:szCs w:val="21"/>
        </w:rPr>
        <w:t>4</w:t>
      </w:r>
      <w:r>
        <w:rPr>
          <w:rFonts w:eastAsia="黑体"/>
          <w:bCs/>
          <w:kern w:val="2"/>
          <w:sz w:val="21"/>
          <w:szCs w:val="21"/>
        </w:rPr>
        <w:t>-4</w:t>
      </w:r>
      <w:r>
        <w:rPr>
          <w:rFonts w:eastAsia="黑体" w:hint="eastAsia"/>
          <w:bCs/>
          <w:kern w:val="2"/>
          <w:sz w:val="21"/>
          <w:szCs w:val="21"/>
        </w:rPr>
        <w:t xml:space="preserve">   </w:t>
      </w:r>
      <w:r>
        <w:rPr>
          <w:rFonts w:eastAsia="黑体"/>
          <w:bCs/>
          <w:kern w:val="2"/>
          <w:sz w:val="21"/>
          <w:szCs w:val="21"/>
        </w:rPr>
        <w:t>物料装卸过程颗粒物排放系数</w:t>
      </w:r>
      <w:r>
        <w:rPr>
          <w:rFonts w:eastAsia="黑体"/>
          <w:bCs/>
          <w:kern w:val="2"/>
          <w:sz w:val="21"/>
          <w:szCs w:val="21"/>
        </w:rPr>
        <w:t>Eh</w:t>
      </w:r>
      <w:r>
        <w:rPr>
          <w:rFonts w:eastAsia="黑体"/>
          <w:bCs/>
          <w:kern w:val="2"/>
          <w:sz w:val="21"/>
          <w:szCs w:val="21"/>
        </w:rPr>
        <w:t>计算参数及结果</w:t>
      </w:r>
    </w:p>
    <w:tbl>
      <w:tblPr>
        <w:tblW w:w="8522"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850"/>
        <w:gridCol w:w="840"/>
        <w:gridCol w:w="1384"/>
        <w:gridCol w:w="1430"/>
        <w:gridCol w:w="1476"/>
        <w:gridCol w:w="1542"/>
      </w:tblGrid>
      <w:tr w:rsidR="00DB7CC8">
        <w:trPr>
          <w:trHeight w:val="357"/>
          <w:jc w:val="center"/>
        </w:trPr>
        <w:tc>
          <w:tcPr>
            <w:tcW w:w="1850" w:type="dxa"/>
            <w:tcBorders>
              <w:left w:val="single" w:sz="4" w:space="0" w:color="auto"/>
            </w:tcBorders>
            <w:vAlign w:val="center"/>
          </w:tcPr>
          <w:p w:rsidR="00DB7CC8" w:rsidRDefault="002B5250">
            <w:pPr>
              <w:spacing w:line="360" w:lineRule="exact"/>
              <w:ind w:firstLineChars="0" w:firstLine="0"/>
              <w:jc w:val="center"/>
              <w:textAlignment w:val="auto"/>
              <w:rPr>
                <w:kern w:val="2"/>
                <w:sz w:val="21"/>
                <w:szCs w:val="21"/>
              </w:rPr>
            </w:pPr>
            <w:r>
              <w:rPr>
                <w:kern w:val="2"/>
                <w:sz w:val="21"/>
                <w:szCs w:val="21"/>
              </w:rPr>
              <w:t>项目</w:t>
            </w:r>
          </w:p>
        </w:tc>
        <w:tc>
          <w:tcPr>
            <w:tcW w:w="840"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k</w:t>
            </w:r>
            <w:r>
              <w:rPr>
                <w:kern w:val="2"/>
                <w:sz w:val="21"/>
                <w:szCs w:val="21"/>
                <w:vertAlign w:val="subscript"/>
              </w:rPr>
              <w:t>i</w:t>
            </w:r>
          </w:p>
        </w:tc>
        <w:tc>
          <w:tcPr>
            <w:tcW w:w="1384" w:type="dxa"/>
            <w:vAlign w:val="center"/>
          </w:tcPr>
          <w:p w:rsidR="00DB7CC8" w:rsidRDefault="002B5250">
            <w:pPr>
              <w:spacing w:line="360" w:lineRule="exact"/>
              <w:ind w:firstLineChars="0" w:firstLine="0"/>
              <w:jc w:val="center"/>
              <w:textAlignment w:val="auto"/>
              <w:rPr>
                <w:kern w:val="2"/>
                <w:sz w:val="21"/>
                <w:szCs w:val="21"/>
              </w:rPr>
            </w:pPr>
            <w:r>
              <w:rPr>
                <w:bCs/>
                <w:sz w:val="21"/>
                <w:szCs w:val="21"/>
              </w:rPr>
              <w:t>M(%)</w:t>
            </w:r>
          </w:p>
        </w:tc>
        <w:tc>
          <w:tcPr>
            <w:tcW w:w="1430" w:type="dxa"/>
            <w:vAlign w:val="center"/>
          </w:tcPr>
          <w:p w:rsidR="00DB7CC8" w:rsidRDefault="002B5250">
            <w:pPr>
              <w:spacing w:line="360" w:lineRule="exact"/>
              <w:ind w:firstLineChars="0" w:firstLine="0"/>
              <w:jc w:val="center"/>
              <w:textAlignment w:val="auto"/>
              <w:rPr>
                <w:kern w:val="2"/>
                <w:sz w:val="21"/>
                <w:szCs w:val="21"/>
              </w:rPr>
            </w:pPr>
            <w:r>
              <w:rPr>
                <w:bCs/>
                <w:sz w:val="21"/>
                <w:szCs w:val="21"/>
              </w:rPr>
              <w:t>η(%)</w:t>
            </w:r>
          </w:p>
        </w:tc>
        <w:tc>
          <w:tcPr>
            <w:tcW w:w="1476" w:type="dxa"/>
            <w:vAlign w:val="center"/>
          </w:tcPr>
          <w:p w:rsidR="00DB7CC8" w:rsidRDefault="002B5250">
            <w:pPr>
              <w:spacing w:line="360" w:lineRule="exact"/>
              <w:ind w:firstLineChars="0" w:firstLine="0"/>
              <w:jc w:val="center"/>
              <w:textAlignment w:val="auto"/>
              <w:rPr>
                <w:kern w:val="2"/>
                <w:sz w:val="21"/>
                <w:szCs w:val="21"/>
              </w:rPr>
            </w:pPr>
            <w:r>
              <w:rPr>
                <w:bCs/>
                <w:sz w:val="21"/>
                <w:szCs w:val="21"/>
              </w:rPr>
              <w:t>u(</w:t>
            </w:r>
            <w:r>
              <w:rPr>
                <w:bCs/>
                <w:sz w:val="21"/>
                <w:szCs w:val="21"/>
              </w:rPr>
              <w:t>m/s)</w:t>
            </w:r>
          </w:p>
        </w:tc>
        <w:tc>
          <w:tcPr>
            <w:tcW w:w="1542" w:type="dxa"/>
            <w:tcBorders>
              <w:right w:val="single" w:sz="4" w:space="0" w:color="auto"/>
            </w:tcBorders>
            <w:vAlign w:val="center"/>
          </w:tcPr>
          <w:p w:rsidR="00DB7CC8" w:rsidRDefault="002B5250">
            <w:pPr>
              <w:spacing w:line="360" w:lineRule="exact"/>
              <w:ind w:firstLineChars="0" w:firstLine="0"/>
              <w:jc w:val="center"/>
              <w:textAlignment w:val="auto"/>
              <w:rPr>
                <w:kern w:val="2"/>
                <w:sz w:val="21"/>
                <w:szCs w:val="21"/>
              </w:rPr>
            </w:pPr>
            <w:r>
              <w:rPr>
                <w:kern w:val="2"/>
                <w:sz w:val="21"/>
                <w:szCs w:val="21"/>
              </w:rPr>
              <w:t>E</w:t>
            </w:r>
            <w:r>
              <w:rPr>
                <w:kern w:val="2"/>
                <w:sz w:val="21"/>
                <w:szCs w:val="21"/>
                <w:vertAlign w:val="subscript"/>
              </w:rPr>
              <w:t>h</w:t>
            </w:r>
            <w:r>
              <w:rPr>
                <w:kern w:val="2"/>
                <w:sz w:val="21"/>
                <w:szCs w:val="21"/>
              </w:rPr>
              <w:t>(kg/t)</w:t>
            </w:r>
          </w:p>
        </w:tc>
      </w:tr>
      <w:tr w:rsidR="00DB7CC8">
        <w:trPr>
          <w:trHeight w:val="70"/>
          <w:jc w:val="center"/>
        </w:trPr>
        <w:tc>
          <w:tcPr>
            <w:tcW w:w="1850" w:type="dxa"/>
            <w:tcBorders>
              <w:left w:val="single" w:sz="4" w:space="0" w:color="auto"/>
            </w:tcBorders>
            <w:vAlign w:val="center"/>
          </w:tcPr>
          <w:p w:rsidR="00DB7CC8" w:rsidRDefault="002B5250">
            <w:pPr>
              <w:spacing w:line="360" w:lineRule="exact"/>
              <w:ind w:firstLineChars="0" w:firstLine="0"/>
              <w:jc w:val="center"/>
              <w:textAlignment w:val="auto"/>
              <w:rPr>
                <w:kern w:val="2"/>
                <w:sz w:val="21"/>
                <w:szCs w:val="21"/>
              </w:rPr>
            </w:pPr>
            <w:r>
              <w:rPr>
                <w:rFonts w:hint="eastAsia"/>
                <w:kern w:val="2"/>
                <w:sz w:val="21"/>
                <w:szCs w:val="21"/>
              </w:rPr>
              <w:t>物料</w:t>
            </w:r>
            <w:r>
              <w:rPr>
                <w:kern w:val="2"/>
                <w:sz w:val="21"/>
                <w:szCs w:val="21"/>
              </w:rPr>
              <w:t>卸料</w:t>
            </w:r>
          </w:p>
        </w:tc>
        <w:tc>
          <w:tcPr>
            <w:tcW w:w="840"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0.74</w:t>
            </w:r>
          </w:p>
        </w:tc>
        <w:tc>
          <w:tcPr>
            <w:tcW w:w="1384"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7</w:t>
            </w:r>
          </w:p>
        </w:tc>
        <w:tc>
          <w:tcPr>
            <w:tcW w:w="1430"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95</w:t>
            </w:r>
          </w:p>
        </w:tc>
        <w:tc>
          <w:tcPr>
            <w:tcW w:w="1476"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1.62</w:t>
            </w:r>
          </w:p>
        </w:tc>
        <w:tc>
          <w:tcPr>
            <w:tcW w:w="1542" w:type="dxa"/>
            <w:tcBorders>
              <w:right w:val="single" w:sz="4" w:space="0" w:color="auto"/>
            </w:tcBorders>
            <w:vAlign w:val="center"/>
          </w:tcPr>
          <w:p w:rsidR="00DB7CC8" w:rsidRDefault="002B5250">
            <w:pPr>
              <w:spacing w:line="360" w:lineRule="exact"/>
              <w:ind w:firstLineChars="0" w:firstLine="0"/>
              <w:jc w:val="center"/>
              <w:textAlignment w:val="auto"/>
              <w:rPr>
                <w:kern w:val="2"/>
                <w:sz w:val="21"/>
                <w:szCs w:val="21"/>
              </w:rPr>
            </w:pPr>
            <w:r>
              <w:rPr>
                <w:kern w:val="2"/>
                <w:sz w:val="21"/>
                <w:szCs w:val="21"/>
              </w:rPr>
              <w:t>0.0043</w:t>
            </w:r>
          </w:p>
        </w:tc>
      </w:tr>
    </w:tbl>
    <w:p w:rsidR="00DB7CC8" w:rsidRDefault="002B5250">
      <w:pPr>
        <w:ind w:firstLine="480"/>
        <w:jc w:val="both"/>
        <w:rPr>
          <w:bCs/>
          <w:sz w:val="24"/>
          <w:szCs w:val="24"/>
        </w:rPr>
      </w:pPr>
      <w:r>
        <w:rPr>
          <w:bCs/>
          <w:sz w:val="24"/>
          <w:szCs w:val="24"/>
        </w:rPr>
        <w:t>堆场的扬尘源排放量是装卸、运输引起的扬尘与堆积存放期间风蚀扬尘的加</w:t>
      </w:r>
      <w:r>
        <w:rPr>
          <w:bCs/>
          <w:sz w:val="24"/>
          <w:szCs w:val="24"/>
        </w:rPr>
        <w:lastRenderedPageBreak/>
        <w:t>和，计算公式如下：</w:t>
      </w:r>
    </w:p>
    <w:p w:rsidR="00DB7CC8" w:rsidRDefault="002B5250">
      <w:pPr>
        <w:ind w:firstLine="560"/>
        <w:jc w:val="both"/>
        <w:rPr>
          <w:bCs/>
          <w:sz w:val="24"/>
          <w:szCs w:val="24"/>
        </w:rPr>
      </w:pPr>
      <w:r>
        <w:rPr>
          <w:noProof/>
        </w:rPr>
        <w:drawing>
          <wp:inline distT="0" distB="0" distL="0" distR="0">
            <wp:extent cx="3238500" cy="533400"/>
            <wp:effectExtent l="19050" t="0" r="0" b="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noChangeArrowheads="1"/>
                    </pic:cNvPicPr>
                  </pic:nvPicPr>
                  <pic:blipFill>
                    <a:blip r:embed="rId41" cstate="print"/>
                    <a:srcRect/>
                    <a:stretch>
                      <a:fillRect/>
                    </a:stretch>
                  </pic:blipFill>
                  <pic:spPr>
                    <a:xfrm>
                      <a:off x="0" y="0"/>
                      <a:ext cx="3238500" cy="533400"/>
                    </a:xfrm>
                    <a:prstGeom prst="rect">
                      <a:avLst/>
                    </a:prstGeom>
                    <a:noFill/>
                    <a:ln w="9525">
                      <a:noFill/>
                      <a:miter lim="800000"/>
                      <a:headEnd/>
                      <a:tailEnd/>
                    </a:ln>
                  </pic:spPr>
                </pic:pic>
              </a:graphicData>
            </a:graphic>
          </wp:inline>
        </w:drawing>
      </w:r>
      <w:r>
        <w:rPr>
          <w:sz w:val="24"/>
          <w:szCs w:val="24"/>
        </w:rPr>
        <w:t>（</w:t>
      </w:r>
      <w:r>
        <w:rPr>
          <w:sz w:val="24"/>
          <w:szCs w:val="24"/>
        </w:rPr>
        <w:t>5</w:t>
      </w:r>
      <w:r>
        <w:rPr>
          <w:sz w:val="24"/>
          <w:szCs w:val="24"/>
        </w:rPr>
        <w:t>）</w:t>
      </w:r>
    </w:p>
    <w:p w:rsidR="00DB7CC8" w:rsidRDefault="002B5250">
      <w:pPr>
        <w:ind w:firstLine="480"/>
        <w:jc w:val="both"/>
        <w:rPr>
          <w:bCs/>
          <w:sz w:val="24"/>
          <w:szCs w:val="24"/>
        </w:rPr>
      </w:pPr>
      <w:r>
        <w:rPr>
          <w:bCs/>
          <w:sz w:val="24"/>
          <w:szCs w:val="24"/>
        </w:rPr>
        <w:t>式中：</w:t>
      </w:r>
    </w:p>
    <w:p w:rsidR="00DB7CC8" w:rsidRDefault="002B5250">
      <w:pPr>
        <w:ind w:firstLine="480"/>
        <w:jc w:val="both"/>
        <w:rPr>
          <w:bCs/>
          <w:sz w:val="24"/>
          <w:szCs w:val="24"/>
        </w:rPr>
      </w:pPr>
      <w:r>
        <w:rPr>
          <w:bCs/>
          <w:sz w:val="24"/>
          <w:szCs w:val="24"/>
        </w:rPr>
        <w:t>W</w:t>
      </w:r>
      <w:r>
        <w:rPr>
          <w:bCs/>
          <w:sz w:val="24"/>
          <w:szCs w:val="24"/>
          <w:vertAlign w:val="subscript"/>
        </w:rPr>
        <w:t>Y</w:t>
      </w:r>
      <w:r>
        <w:rPr>
          <w:bCs/>
          <w:sz w:val="24"/>
          <w:szCs w:val="24"/>
        </w:rPr>
        <w:t>——</w:t>
      </w:r>
      <w:r>
        <w:rPr>
          <w:bCs/>
          <w:sz w:val="24"/>
          <w:szCs w:val="24"/>
        </w:rPr>
        <w:t>堆场扬尘源中颗粒物总排放量，</w:t>
      </w:r>
      <w:r>
        <w:rPr>
          <w:bCs/>
          <w:sz w:val="24"/>
          <w:szCs w:val="24"/>
        </w:rPr>
        <w:t>t/a</w:t>
      </w:r>
      <w:r>
        <w:rPr>
          <w:bCs/>
          <w:sz w:val="24"/>
          <w:szCs w:val="24"/>
        </w:rPr>
        <w:t>。</w:t>
      </w:r>
    </w:p>
    <w:p w:rsidR="00DB7CC8" w:rsidRDefault="002B5250">
      <w:pPr>
        <w:ind w:firstLine="480"/>
        <w:jc w:val="both"/>
        <w:rPr>
          <w:bCs/>
          <w:sz w:val="24"/>
          <w:szCs w:val="24"/>
        </w:rPr>
      </w:pPr>
      <w:r>
        <w:rPr>
          <w:bCs/>
          <w:sz w:val="24"/>
          <w:szCs w:val="24"/>
        </w:rPr>
        <w:t>E</w:t>
      </w:r>
      <w:r>
        <w:rPr>
          <w:bCs/>
          <w:sz w:val="24"/>
          <w:szCs w:val="24"/>
          <w:vertAlign w:val="subscript"/>
        </w:rPr>
        <w:t>h</w:t>
      </w:r>
      <w:r>
        <w:rPr>
          <w:bCs/>
          <w:sz w:val="24"/>
          <w:szCs w:val="24"/>
        </w:rPr>
        <w:t>——</w:t>
      </w:r>
      <w:r>
        <w:rPr>
          <w:bCs/>
          <w:sz w:val="24"/>
          <w:szCs w:val="24"/>
        </w:rPr>
        <w:t>堆场装卸过程的扬尘颗粒物排放系数，</w:t>
      </w:r>
      <w:r>
        <w:rPr>
          <w:bCs/>
          <w:sz w:val="24"/>
          <w:szCs w:val="24"/>
        </w:rPr>
        <w:t>kg/t</w:t>
      </w:r>
      <w:r>
        <w:rPr>
          <w:bCs/>
          <w:sz w:val="24"/>
          <w:szCs w:val="24"/>
        </w:rPr>
        <w:t>，其估算公式见（</w:t>
      </w:r>
      <w:r>
        <w:rPr>
          <w:bCs/>
          <w:sz w:val="24"/>
          <w:szCs w:val="24"/>
        </w:rPr>
        <w:t>1</w:t>
      </w:r>
      <w:r>
        <w:rPr>
          <w:bCs/>
          <w:sz w:val="24"/>
          <w:szCs w:val="24"/>
        </w:rPr>
        <w:t>）。</w:t>
      </w:r>
    </w:p>
    <w:p w:rsidR="00DB7CC8" w:rsidRDefault="002B5250">
      <w:pPr>
        <w:ind w:firstLine="480"/>
        <w:jc w:val="both"/>
        <w:rPr>
          <w:bCs/>
          <w:sz w:val="24"/>
          <w:szCs w:val="24"/>
        </w:rPr>
      </w:pPr>
      <w:r>
        <w:rPr>
          <w:bCs/>
          <w:sz w:val="24"/>
          <w:szCs w:val="24"/>
        </w:rPr>
        <w:t>m——</w:t>
      </w:r>
      <w:r>
        <w:rPr>
          <w:bCs/>
          <w:sz w:val="24"/>
          <w:szCs w:val="24"/>
        </w:rPr>
        <w:t>每年物料装卸总次数。部分原料入厂后直接由车辆运至入料口，</w:t>
      </w:r>
      <w:r>
        <w:rPr>
          <w:rFonts w:hint="eastAsia"/>
          <w:bCs/>
          <w:sz w:val="24"/>
          <w:szCs w:val="24"/>
        </w:rPr>
        <w:t>成品</w:t>
      </w:r>
      <w:r>
        <w:rPr>
          <w:bCs/>
          <w:sz w:val="24"/>
          <w:szCs w:val="24"/>
        </w:rPr>
        <w:t>库总堆存量按照</w:t>
      </w:r>
      <w:r>
        <w:rPr>
          <w:rFonts w:hint="eastAsia"/>
          <w:bCs/>
          <w:sz w:val="24"/>
          <w:szCs w:val="24"/>
        </w:rPr>
        <w:t>35</w:t>
      </w:r>
      <w:r>
        <w:rPr>
          <w:bCs/>
          <w:sz w:val="24"/>
          <w:szCs w:val="24"/>
        </w:rPr>
        <w:t>万吨计算，原料堆存过程年卸料总次数约为</w:t>
      </w:r>
      <w:r>
        <w:rPr>
          <w:rFonts w:hint="eastAsia"/>
          <w:bCs/>
          <w:sz w:val="24"/>
          <w:szCs w:val="24"/>
        </w:rPr>
        <w:t>70</w:t>
      </w:r>
      <w:r>
        <w:rPr>
          <w:bCs/>
          <w:sz w:val="24"/>
          <w:szCs w:val="24"/>
        </w:rPr>
        <w:t>00</w:t>
      </w:r>
      <w:r>
        <w:rPr>
          <w:bCs/>
          <w:sz w:val="24"/>
          <w:szCs w:val="24"/>
        </w:rPr>
        <w:t>次。</w:t>
      </w:r>
    </w:p>
    <w:p w:rsidR="00DB7CC8" w:rsidRDefault="002B5250">
      <w:pPr>
        <w:ind w:firstLine="480"/>
        <w:jc w:val="both"/>
        <w:rPr>
          <w:bCs/>
          <w:sz w:val="24"/>
          <w:szCs w:val="24"/>
        </w:rPr>
      </w:pPr>
      <w:r>
        <w:rPr>
          <w:bCs/>
          <w:sz w:val="24"/>
          <w:szCs w:val="24"/>
        </w:rPr>
        <w:t>G</w:t>
      </w:r>
      <w:r>
        <w:rPr>
          <w:bCs/>
          <w:sz w:val="24"/>
          <w:szCs w:val="24"/>
          <w:vertAlign w:val="subscript"/>
        </w:rPr>
        <w:t>Yi</w:t>
      </w:r>
      <w:r>
        <w:rPr>
          <w:bCs/>
          <w:sz w:val="24"/>
          <w:szCs w:val="24"/>
        </w:rPr>
        <w:t>——</w:t>
      </w:r>
      <w:r>
        <w:rPr>
          <w:bCs/>
          <w:sz w:val="24"/>
          <w:szCs w:val="24"/>
        </w:rPr>
        <w:t>第</w:t>
      </w:r>
      <w:r>
        <w:rPr>
          <w:bCs/>
          <w:sz w:val="24"/>
          <w:szCs w:val="24"/>
        </w:rPr>
        <w:t>i</w:t>
      </w:r>
      <w:r>
        <w:rPr>
          <w:bCs/>
          <w:sz w:val="24"/>
          <w:szCs w:val="24"/>
        </w:rPr>
        <w:t>次装卸过程的物料装卸量，项目运输原矿车辆载重</w:t>
      </w:r>
      <w:r>
        <w:rPr>
          <w:bCs/>
          <w:sz w:val="24"/>
          <w:szCs w:val="24"/>
        </w:rPr>
        <w:t>50t</w:t>
      </w:r>
      <w:r>
        <w:rPr>
          <w:bCs/>
          <w:sz w:val="24"/>
          <w:szCs w:val="24"/>
        </w:rPr>
        <w:t>。</w:t>
      </w:r>
    </w:p>
    <w:p w:rsidR="00DB7CC8" w:rsidRDefault="002B5250">
      <w:pPr>
        <w:ind w:firstLine="480"/>
        <w:jc w:val="both"/>
        <w:rPr>
          <w:bCs/>
          <w:sz w:val="24"/>
          <w:szCs w:val="24"/>
        </w:rPr>
      </w:pPr>
      <w:r>
        <w:rPr>
          <w:bCs/>
          <w:sz w:val="24"/>
          <w:szCs w:val="24"/>
        </w:rPr>
        <w:t>E</w:t>
      </w:r>
      <w:r>
        <w:rPr>
          <w:bCs/>
          <w:sz w:val="24"/>
          <w:szCs w:val="24"/>
          <w:vertAlign w:val="subscript"/>
        </w:rPr>
        <w:t>w</w:t>
      </w:r>
      <w:r>
        <w:rPr>
          <w:bCs/>
          <w:sz w:val="24"/>
          <w:szCs w:val="24"/>
        </w:rPr>
        <w:t>——</w:t>
      </w:r>
      <w:r>
        <w:rPr>
          <w:bCs/>
          <w:sz w:val="24"/>
          <w:szCs w:val="24"/>
        </w:rPr>
        <w:t>料堆受到风蚀作用的颗粒物排放系数，</w:t>
      </w:r>
      <w:r>
        <w:rPr>
          <w:bCs/>
          <w:sz w:val="24"/>
          <w:szCs w:val="24"/>
        </w:rPr>
        <w:t>kg/m</w:t>
      </w:r>
      <w:r>
        <w:rPr>
          <w:bCs/>
          <w:sz w:val="24"/>
          <w:szCs w:val="24"/>
          <w:vertAlign w:val="superscript"/>
        </w:rPr>
        <w:t>2</w:t>
      </w:r>
      <w:r>
        <w:rPr>
          <w:bCs/>
          <w:sz w:val="24"/>
          <w:szCs w:val="24"/>
        </w:rPr>
        <w:t>，其估算公式见（</w:t>
      </w:r>
      <w:r>
        <w:rPr>
          <w:bCs/>
          <w:sz w:val="24"/>
          <w:szCs w:val="24"/>
        </w:rPr>
        <w:t>2</w:t>
      </w:r>
      <w:r>
        <w:rPr>
          <w:bCs/>
          <w:sz w:val="24"/>
          <w:szCs w:val="24"/>
        </w:rPr>
        <w:t>）。</w:t>
      </w:r>
    </w:p>
    <w:p w:rsidR="00DB7CC8" w:rsidRDefault="002B5250">
      <w:pPr>
        <w:ind w:firstLine="480"/>
        <w:jc w:val="both"/>
        <w:rPr>
          <w:bCs/>
          <w:sz w:val="24"/>
          <w:szCs w:val="24"/>
        </w:rPr>
      </w:pPr>
      <w:r>
        <w:rPr>
          <w:bCs/>
          <w:sz w:val="24"/>
          <w:szCs w:val="24"/>
        </w:rPr>
        <w:t>A</w:t>
      </w:r>
      <w:r>
        <w:rPr>
          <w:bCs/>
          <w:sz w:val="24"/>
          <w:szCs w:val="24"/>
          <w:vertAlign w:val="subscript"/>
        </w:rPr>
        <w:t>Y</w:t>
      </w:r>
      <w:r>
        <w:rPr>
          <w:bCs/>
          <w:sz w:val="24"/>
          <w:szCs w:val="24"/>
        </w:rPr>
        <w:t>——</w:t>
      </w:r>
      <w:r>
        <w:rPr>
          <w:bCs/>
          <w:sz w:val="24"/>
          <w:szCs w:val="24"/>
        </w:rPr>
        <w:t>料堆表面积，</w:t>
      </w:r>
      <w:r>
        <w:rPr>
          <w:bCs/>
          <w:sz w:val="24"/>
          <w:szCs w:val="24"/>
        </w:rPr>
        <w:t>m</w:t>
      </w:r>
      <w:r>
        <w:rPr>
          <w:bCs/>
          <w:sz w:val="24"/>
          <w:szCs w:val="24"/>
          <w:vertAlign w:val="superscript"/>
        </w:rPr>
        <w:t>2</w:t>
      </w:r>
      <w:r>
        <w:rPr>
          <w:bCs/>
          <w:sz w:val="24"/>
          <w:szCs w:val="24"/>
        </w:rPr>
        <w:t>。</w:t>
      </w:r>
    </w:p>
    <w:p w:rsidR="00DB7CC8" w:rsidRDefault="002B5250">
      <w:pPr>
        <w:ind w:firstLine="480"/>
        <w:jc w:val="both"/>
        <w:rPr>
          <w:bCs/>
          <w:sz w:val="24"/>
          <w:szCs w:val="24"/>
        </w:rPr>
      </w:pPr>
      <w:r>
        <w:rPr>
          <w:bCs/>
          <w:sz w:val="24"/>
          <w:szCs w:val="24"/>
        </w:rPr>
        <w:t>根据上述公式及相关参数，计算项目原料堆存过程产生的颗粒物。</w:t>
      </w:r>
    </w:p>
    <w:p w:rsidR="00DB7CC8" w:rsidRDefault="002B5250">
      <w:pPr>
        <w:ind w:firstLine="480"/>
        <w:jc w:val="both"/>
        <w:rPr>
          <w:bCs/>
          <w:sz w:val="24"/>
          <w:szCs w:val="24"/>
        </w:rPr>
      </w:pPr>
      <w:r>
        <w:rPr>
          <w:bCs/>
          <w:sz w:val="24"/>
          <w:szCs w:val="24"/>
        </w:rPr>
        <w:t>原料及产品堆场颗粒物排放量计算参数及结果见表</w:t>
      </w:r>
      <w:r>
        <w:rPr>
          <w:bCs/>
          <w:sz w:val="24"/>
          <w:szCs w:val="24"/>
        </w:rPr>
        <w:t>3.</w:t>
      </w:r>
      <w:r>
        <w:rPr>
          <w:rFonts w:hint="eastAsia"/>
          <w:bCs/>
          <w:sz w:val="24"/>
          <w:szCs w:val="24"/>
        </w:rPr>
        <w:t>4</w:t>
      </w:r>
      <w:r>
        <w:rPr>
          <w:bCs/>
          <w:sz w:val="24"/>
          <w:szCs w:val="24"/>
        </w:rPr>
        <w:t>-5</w:t>
      </w:r>
      <w:r>
        <w:rPr>
          <w:bCs/>
          <w:sz w:val="24"/>
          <w:szCs w:val="24"/>
        </w:rPr>
        <w:t>。</w:t>
      </w:r>
    </w:p>
    <w:p w:rsidR="00DB7CC8" w:rsidRDefault="002B5250">
      <w:pPr>
        <w:spacing w:line="240" w:lineRule="auto"/>
        <w:ind w:firstLineChars="0" w:firstLine="420"/>
        <w:jc w:val="center"/>
        <w:textAlignment w:val="baseline"/>
        <w:rPr>
          <w:rFonts w:eastAsia="黑体"/>
          <w:bCs/>
          <w:kern w:val="2"/>
          <w:sz w:val="21"/>
          <w:szCs w:val="21"/>
        </w:rPr>
      </w:pPr>
      <w:r>
        <w:rPr>
          <w:rFonts w:eastAsia="黑体"/>
          <w:bCs/>
          <w:kern w:val="2"/>
          <w:sz w:val="21"/>
          <w:szCs w:val="21"/>
        </w:rPr>
        <w:t>表</w:t>
      </w:r>
      <w:r>
        <w:rPr>
          <w:rFonts w:eastAsia="黑体"/>
          <w:bCs/>
          <w:kern w:val="2"/>
          <w:sz w:val="21"/>
          <w:szCs w:val="21"/>
        </w:rPr>
        <w:t>3.</w:t>
      </w:r>
      <w:r>
        <w:rPr>
          <w:rFonts w:eastAsia="黑体" w:hint="eastAsia"/>
          <w:bCs/>
          <w:kern w:val="2"/>
          <w:sz w:val="21"/>
          <w:szCs w:val="21"/>
        </w:rPr>
        <w:t>4</w:t>
      </w:r>
      <w:r>
        <w:rPr>
          <w:rFonts w:eastAsia="黑体"/>
          <w:bCs/>
          <w:kern w:val="2"/>
          <w:sz w:val="21"/>
          <w:szCs w:val="21"/>
        </w:rPr>
        <w:t xml:space="preserve">-5 </w:t>
      </w:r>
      <w:r>
        <w:rPr>
          <w:rFonts w:eastAsia="黑体" w:hint="eastAsia"/>
          <w:bCs/>
          <w:kern w:val="2"/>
          <w:sz w:val="21"/>
          <w:szCs w:val="21"/>
        </w:rPr>
        <w:t xml:space="preserve">  </w:t>
      </w:r>
      <w:r>
        <w:rPr>
          <w:rFonts w:eastAsia="黑体"/>
          <w:bCs/>
          <w:kern w:val="2"/>
          <w:sz w:val="21"/>
          <w:szCs w:val="21"/>
        </w:rPr>
        <w:t>物料堆存过程颗粒物排放量计算参数及结果</w:t>
      </w:r>
    </w:p>
    <w:tbl>
      <w:tblPr>
        <w:tblW w:w="8522"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69"/>
        <w:gridCol w:w="1029"/>
        <w:gridCol w:w="1179"/>
        <w:gridCol w:w="977"/>
        <w:gridCol w:w="1270"/>
        <w:gridCol w:w="1089"/>
        <w:gridCol w:w="1009"/>
      </w:tblGrid>
      <w:tr w:rsidR="00DB7CC8">
        <w:trPr>
          <w:trHeight w:val="357"/>
          <w:jc w:val="center"/>
        </w:trPr>
        <w:tc>
          <w:tcPr>
            <w:tcW w:w="1969" w:type="dxa"/>
            <w:tcBorders>
              <w:left w:val="single" w:sz="4" w:space="0" w:color="auto"/>
            </w:tcBorders>
            <w:vAlign w:val="center"/>
          </w:tcPr>
          <w:p w:rsidR="00DB7CC8" w:rsidRDefault="002B5250">
            <w:pPr>
              <w:spacing w:line="360" w:lineRule="exact"/>
              <w:ind w:firstLineChars="0" w:firstLine="0"/>
              <w:jc w:val="center"/>
              <w:textAlignment w:val="auto"/>
              <w:rPr>
                <w:kern w:val="2"/>
                <w:sz w:val="21"/>
                <w:szCs w:val="21"/>
              </w:rPr>
            </w:pPr>
            <w:r>
              <w:rPr>
                <w:kern w:val="2"/>
                <w:sz w:val="21"/>
                <w:szCs w:val="21"/>
              </w:rPr>
              <w:t>项目</w:t>
            </w:r>
          </w:p>
        </w:tc>
        <w:tc>
          <w:tcPr>
            <w:tcW w:w="1029"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E</w:t>
            </w:r>
            <w:r>
              <w:rPr>
                <w:kern w:val="2"/>
                <w:sz w:val="21"/>
                <w:szCs w:val="21"/>
                <w:vertAlign w:val="subscript"/>
              </w:rPr>
              <w:t>h</w:t>
            </w:r>
            <w:r>
              <w:rPr>
                <w:kern w:val="2"/>
                <w:sz w:val="21"/>
                <w:szCs w:val="21"/>
              </w:rPr>
              <w:t>(kg/t)</w:t>
            </w:r>
          </w:p>
        </w:tc>
        <w:tc>
          <w:tcPr>
            <w:tcW w:w="1179"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m</w:t>
            </w:r>
            <w:r>
              <w:rPr>
                <w:kern w:val="2"/>
                <w:sz w:val="21"/>
                <w:szCs w:val="21"/>
              </w:rPr>
              <w:t>（次）</w:t>
            </w:r>
          </w:p>
        </w:tc>
        <w:tc>
          <w:tcPr>
            <w:tcW w:w="977" w:type="dxa"/>
            <w:vAlign w:val="center"/>
          </w:tcPr>
          <w:p w:rsidR="00DB7CC8" w:rsidRDefault="002B5250">
            <w:pPr>
              <w:spacing w:line="360" w:lineRule="exact"/>
              <w:ind w:firstLineChars="0" w:firstLine="0"/>
              <w:jc w:val="center"/>
              <w:textAlignment w:val="auto"/>
              <w:rPr>
                <w:kern w:val="2"/>
                <w:sz w:val="21"/>
                <w:szCs w:val="21"/>
              </w:rPr>
            </w:pPr>
            <w:r>
              <w:rPr>
                <w:bCs/>
                <w:sz w:val="24"/>
                <w:szCs w:val="24"/>
              </w:rPr>
              <w:t>G</w:t>
            </w:r>
            <w:r>
              <w:rPr>
                <w:bCs/>
                <w:sz w:val="24"/>
                <w:szCs w:val="24"/>
                <w:vertAlign w:val="subscript"/>
              </w:rPr>
              <w:t>Yi</w:t>
            </w:r>
            <w:r>
              <w:rPr>
                <w:bCs/>
                <w:sz w:val="24"/>
                <w:szCs w:val="24"/>
              </w:rPr>
              <w:t xml:space="preserve"> (t)</w:t>
            </w:r>
          </w:p>
        </w:tc>
        <w:tc>
          <w:tcPr>
            <w:tcW w:w="1270"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E</w:t>
            </w:r>
            <w:r>
              <w:rPr>
                <w:kern w:val="2"/>
                <w:sz w:val="21"/>
                <w:szCs w:val="21"/>
                <w:vertAlign w:val="subscript"/>
              </w:rPr>
              <w:t>w</w:t>
            </w:r>
            <w:r>
              <w:rPr>
                <w:kern w:val="2"/>
                <w:sz w:val="21"/>
                <w:szCs w:val="21"/>
              </w:rPr>
              <w:t>(kg/m</w:t>
            </w:r>
            <w:r>
              <w:rPr>
                <w:kern w:val="2"/>
                <w:sz w:val="21"/>
                <w:szCs w:val="21"/>
                <w:vertAlign w:val="superscript"/>
              </w:rPr>
              <w:t>2</w:t>
            </w:r>
            <w:r>
              <w:rPr>
                <w:kern w:val="2"/>
                <w:sz w:val="21"/>
                <w:szCs w:val="21"/>
              </w:rPr>
              <w:t>)</w:t>
            </w:r>
          </w:p>
        </w:tc>
        <w:tc>
          <w:tcPr>
            <w:tcW w:w="1089" w:type="dxa"/>
            <w:vAlign w:val="center"/>
          </w:tcPr>
          <w:p w:rsidR="00DB7CC8" w:rsidRDefault="002B5250">
            <w:pPr>
              <w:spacing w:line="360" w:lineRule="exact"/>
              <w:ind w:firstLineChars="0" w:firstLine="0"/>
              <w:jc w:val="center"/>
              <w:textAlignment w:val="auto"/>
              <w:rPr>
                <w:kern w:val="2"/>
                <w:sz w:val="21"/>
                <w:szCs w:val="21"/>
              </w:rPr>
            </w:pPr>
            <w:r>
              <w:rPr>
                <w:bCs/>
                <w:sz w:val="24"/>
                <w:szCs w:val="24"/>
              </w:rPr>
              <w:t>A</w:t>
            </w:r>
            <w:r>
              <w:rPr>
                <w:bCs/>
                <w:sz w:val="24"/>
                <w:szCs w:val="24"/>
                <w:vertAlign w:val="subscript"/>
              </w:rPr>
              <w:t>Y</w:t>
            </w:r>
            <w:r>
              <w:rPr>
                <w:bCs/>
                <w:sz w:val="24"/>
                <w:szCs w:val="24"/>
              </w:rPr>
              <w:t>(m</w:t>
            </w:r>
            <w:r>
              <w:rPr>
                <w:bCs/>
                <w:sz w:val="24"/>
                <w:szCs w:val="24"/>
                <w:vertAlign w:val="superscript"/>
              </w:rPr>
              <w:t>2</w:t>
            </w:r>
            <w:r>
              <w:rPr>
                <w:bCs/>
                <w:sz w:val="24"/>
                <w:szCs w:val="24"/>
              </w:rPr>
              <w:t>)</w:t>
            </w:r>
          </w:p>
        </w:tc>
        <w:tc>
          <w:tcPr>
            <w:tcW w:w="1009" w:type="dxa"/>
            <w:tcBorders>
              <w:right w:val="single" w:sz="4" w:space="0" w:color="auto"/>
            </w:tcBorders>
            <w:vAlign w:val="center"/>
          </w:tcPr>
          <w:p w:rsidR="00DB7CC8" w:rsidRDefault="002B5250">
            <w:pPr>
              <w:spacing w:line="360" w:lineRule="exact"/>
              <w:ind w:firstLineChars="0" w:firstLine="0"/>
              <w:jc w:val="center"/>
              <w:textAlignment w:val="auto"/>
              <w:rPr>
                <w:kern w:val="2"/>
                <w:sz w:val="21"/>
                <w:szCs w:val="21"/>
              </w:rPr>
            </w:pPr>
            <w:r>
              <w:rPr>
                <w:kern w:val="2"/>
                <w:sz w:val="21"/>
                <w:szCs w:val="21"/>
              </w:rPr>
              <w:t>W</w:t>
            </w:r>
            <w:r>
              <w:rPr>
                <w:kern w:val="2"/>
                <w:sz w:val="21"/>
                <w:szCs w:val="21"/>
                <w:vertAlign w:val="subscript"/>
              </w:rPr>
              <w:t>Y</w:t>
            </w:r>
            <w:r>
              <w:rPr>
                <w:kern w:val="2"/>
                <w:sz w:val="21"/>
                <w:szCs w:val="21"/>
              </w:rPr>
              <w:t>(t/a)</w:t>
            </w:r>
          </w:p>
        </w:tc>
      </w:tr>
      <w:tr w:rsidR="00DB7CC8">
        <w:trPr>
          <w:trHeight w:val="70"/>
          <w:jc w:val="center"/>
        </w:trPr>
        <w:tc>
          <w:tcPr>
            <w:tcW w:w="1969" w:type="dxa"/>
            <w:tcBorders>
              <w:left w:val="single" w:sz="4" w:space="0" w:color="auto"/>
            </w:tcBorders>
            <w:vAlign w:val="center"/>
          </w:tcPr>
          <w:p w:rsidR="00DB7CC8" w:rsidRDefault="002B5250">
            <w:pPr>
              <w:spacing w:line="360" w:lineRule="exact"/>
              <w:ind w:firstLineChars="0" w:firstLine="0"/>
              <w:jc w:val="center"/>
              <w:textAlignment w:val="auto"/>
              <w:rPr>
                <w:kern w:val="2"/>
                <w:sz w:val="21"/>
                <w:szCs w:val="21"/>
              </w:rPr>
            </w:pPr>
            <w:r>
              <w:rPr>
                <w:rFonts w:hint="eastAsia"/>
                <w:kern w:val="2"/>
                <w:sz w:val="21"/>
                <w:szCs w:val="21"/>
              </w:rPr>
              <w:t>成品装</w:t>
            </w:r>
            <w:r>
              <w:rPr>
                <w:kern w:val="2"/>
                <w:sz w:val="21"/>
                <w:szCs w:val="21"/>
              </w:rPr>
              <w:t>料、堆存</w:t>
            </w:r>
          </w:p>
        </w:tc>
        <w:tc>
          <w:tcPr>
            <w:tcW w:w="1029"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0.0043</w:t>
            </w:r>
          </w:p>
        </w:tc>
        <w:tc>
          <w:tcPr>
            <w:tcW w:w="1179" w:type="dxa"/>
            <w:vAlign w:val="center"/>
          </w:tcPr>
          <w:p w:rsidR="00DB7CC8" w:rsidRDefault="002B5250">
            <w:pPr>
              <w:spacing w:line="360" w:lineRule="exact"/>
              <w:ind w:firstLineChars="0" w:firstLine="0"/>
              <w:jc w:val="center"/>
              <w:textAlignment w:val="auto"/>
              <w:rPr>
                <w:kern w:val="2"/>
                <w:sz w:val="21"/>
                <w:szCs w:val="21"/>
              </w:rPr>
            </w:pPr>
            <w:r>
              <w:rPr>
                <w:rFonts w:hint="eastAsia"/>
                <w:kern w:val="2"/>
                <w:sz w:val="21"/>
                <w:szCs w:val="21"/>
              </w:rPr>
              <w:t>70</w:t>
            </w:r>
            <w:r>
              <w:rPr>
                <w:kern w:val="2"/>
                <w:sz w:val="21"/>
                <w:szCs w:val="21"/>
              </w:rPr>
              <w:t>00</w:t>
            </w:r>
          </w:p>
        </w:tc>
        <w:tc>
          <w:tcPr>
            <w:tcW w:w="977"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50</w:t>
            </w:r>
          </w:p>
        </w:tc>
        <w:tc>
          <w:tcPr>
            <w:tcW w:w="1270"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0</w:t>
            </w:r>
          </w:p>
        </w:tc>
        <w:tc>
          <w:tcPr>
            <w:tcW w:w="1089" w:type="dxa"/>
            <w:vAlign w:val="center"/>
          </w:tcPr>
          <w:p w:rsidR="00DB7CC8" w:rsidRDefault="002B5250">
            <w:pPr>
              <w:spacing w:line="360" w:lineRule="exact"/>
              <w:ind w:firstLineChars="0" w:firstLine="0"/>
              <w:jc w:val="center"/>
              <w:textAlignment w:val="auto"/>
              <w:rPr>
                <w:kern w:val="2"/>
                <w:sz w:val="21"/>
                <w:szCs w:val="21"/>
              </w:rPr>
            </w:pPr>
            <w:r>
              <w:rPr>
                <w:kern w:val="2"/>
                <w:sz w:val="21"/>
                <w:szCs w:val="21"/>
              </w:rPr>
              <w:t>1000</w:t>
            </w:r>
          </w:p>
        </w:tc>
        <w:tc>
          <w:tcPr>
            <w:tcW w:w="1009" w:type="dxa"/>
            <w:tcBorders>
              <w:right w:val="single" w:sz="4" w:space="0" w:color="auto"/>
            </w:tcBorders>
            <w:vAlign w:val="center"/>
          </w:tcPr>
          <w:p w:rsidR="00DB7CC8" w:rsidRDefault="002B5250">
            <w:pPr>
              <w:spacing w:line="360" w:lineRule="exact"/>
              <w:ind w:firstLineChars="0" w:firstLine="0"/>
              <w:jc w:val="center"/>
              <w:textAlignment w:val="auto"/>
              <w:rPr>
                <w:kern w:val="2"/>
                <w:sz w:val="21"/>
                <w:szCs w:val="21"/>
              </w:rPr>
            </w:pPr>
            <w:r>
              <w:rPr>
                <w:kern w:val="2"/>
                <w:sz w:val="21"/>
                <w:szCs w:val="21"/>
              </w:rPr>
              <w:t>1.505</w:t>
            </w:r>
          </w:p>
        </w:tc>
      </w:tr>
    </w:tbl>
    <w:p w:rsidR="00DB7CC8" w:rsidRDefault="002B5250">
      <w:pPr>
        <w:ind w:firstLine="480"/>
        <w:jc w:val="both"/>
        <w:rPr>
          <w:bCs/>
          <w:sz w:val="24"/>
          <w:szCs w:val="24"/>
        </w:rPr>
      </w:pPr>
      <w:r>
        <w:rPr>
          <w:bCs/>
          <w:sz w:val="24"/>
          <w:szCs w:val="24"/>
        </w:rPr>
        <w:t>由上述计算，</w:t>
      </w:r>
      <w:r>
        <w:rPr>
          <w:rFonts w:hint="eastAsia"/>
          <w:bCs/>
          <w:sz w:val="24"/>
          <w:szCs w:val="24"/>
        </w:rPr>
        <w:t>物料</w:t>
      </w:r>
      <w:r>
        <w:rPr>
          <w:bCs/>
          <w:sz w:val="24"/>
          <w:szCs w:val="24"/>
        </w:rPr>
        <w:t>装卸、堆存年排放颗粒物为</w:t>
      </w:r>
      <w:r>
        <w:rPr>
          <w:rFonts w:hint="eastAsia"/>
          <w:bCs/>
          <w:sz w:val="24"/>
          <w:szCs w:val="24"/>
        </w:rPr>
        <w:t>1.505</w:t>
      </w:r>
      <w:r>
        <w:rPr>
          <w:bCs/>
          <w:sz w:val="24"/>
          <w:szCs w:val="24"/>
        </w:rPr>
        <w:t>t/a</w:t>
      </w:r>
      <w:r>
        <w:rPr>
          <w:rFonts w:hint="eastAsia"/>
          <w:bCs/>
          <w:sz w:val="24"/>
          <w:szCs w:val="24"/>
        </w:rPr>
        <w:t>，</w:t>
      </w:r>
      <w:r>
        <w:rPr>
          <w:rFonts w:hint="eastAsia"/>
          <w:bCs/>
          <w:sz w:val="24"/>
          <w:szCs w:val="24"/>
        </w:rPr>
        <w:t>排放速率</w:t>
      </w:r>
      <w:r>
        <w:rPr>
          <w:rFonts w:hint="eastAsia"/>
          <w:bCs/>
          <w:sz w:val="24"/>
          <w:szCs w:val="24"/>
        </w:rPr>
        <w:t>0.21kg/h</w:t>
      </w:r>
      <w:r>
        <w:rPr>
          <w:rFonts w:hint="eastAsia"/>
          <w:bCs/>
          <w:sz w:val="24"/>
          <w:szCs w:val="24"/>
        </w:rPr>
        <w:t>。</w:t>
      </w:r>
    </w:p>
    <w:p w:rsidR="00DB7CC8" w:rsidRDefault="002B5250">
      <w:pPr>
        <w:ind w:firstLine="480"/>
        <w:jc w:val="both"/>
        <w:rPr>
          <w:bCs/>
          <w:sz w:val="24"/>
          <w:szCs w:val="24"/>
        </w:rPr>
      </w:pPr>
      <w:r>
        <w:rPr>
          <w:rFonts w:ascii="宋体" w:hAnsi="宋体" w:cs="宋体" w:hint="eastAsia"/>
          <w:bCs/>
          <w:sz w:val="24"/>
          <w:szCs w:val="24"/>
        </w:rPr>
        <w:t>③</w:t>
      </w:r>
      <w:r>
        <w:rPr>
          <w:bCs/>
          <w:sz w:val="24"/>
          <w:szCs w:val="24"/>
        </w:rPr>
        <w:t>破碎、筛分环节逸散粉尘</w:t>
      </w:r>
    </w:p>
    <w:p w:rsidR="00DB7CC8" w:rsidRDefault="002B5250">
      <w:pPr>
        <w:ind w:firstLine="480"/>
        <w:rPr>
          <w:bCs/>
          <w:sz w:val="24"/>
          <w:szCs w:val="24"/>
        </w:rPr>
      </w:pPr>
      <w:r>
        <w:rPr>
          <w:bCs/>
          <w:sz w:val="24"/>
          <w:szCs w:val="24"/>
        </w:rPr>
        <w:t>破碎、筛分过程未被集气罩收集的粉尘以无组织形式逸散在车间内，集气罩集气效率按照</w:t>
      </w:r>
      <w:r>
        <w:rPr>
          <w:bCs/>
          <w:sz w:val="24"/>
          <w:szCs w:val="24"/>
        </w:rPr>
        <w:t>95%</w:t>
      </w:r>
      <w:r>
        <w:rPr>
          <w:bCs/>
          <w:sz w:val="24"/>
          <w:szCs w:val="24"/>
        </w:rPr>
        <w:t>计，则有</w:t>
      </w:r>
      <w:r>
        <w:rPr>
          <w:bCs/>
          <w:sz w:val="24"/>
          <w:szCs w:val="24"/>
        </w:rPr>
        <w:t>5%</w:t>
      </w:r>
      <w:r>
        <w:rPr>
          <w:bCs/>
          <w:sz w:val="24"/>
          <w:szCs w:val="24"/>
        </w:rPr>
        <w:t>逸散到车间内。根据表</w:t>
      </w:r>
      <w:r>
        <w:rPr>
          <w:bCs/>
          <w:sz w:val="24"/>
          <w:szCs w:val="24"/>
        </w:rPr>
        <w:t>3.</w:t>
      </w:r>
      <w:r>
        <w:rPr>
          <w:rFonts w:hint="eastAsia"/>
          <w:bCs/>
          <w:sz w:val="24"/>
          <w:szCs w:val="24"/>
        </w:rPr>
        <w:t>4</w:t>
      </w:r>
      <w:r>
        <w:rPr>
          <w:bCs/>
          <w:sz w:val="24"/>
          <w:szCs w:val="24"/>
        </w:rPr>
        <w:t>-2</w:t>
      </w:r>
      <w:r>
        <w:rPr>
          <w:bCs/>
          <w:sz w:val="24"/>
          <w:szCs w:val="24"/>
        </w:rPr>
        <w:t>，</w:t>
      </w:r>
      <w:r>
        <w:rPr>
          <w:rFonts w:hint="eastAsia"/>
          <w:bCs/>
          <w:sz w:val="24"/>
          <w:szCs w:val="24"/>
        </w:rPr>
        <w:t>3</w:t>
      </w:r>
      <w:r>
        <w:rPr>
          <w:bCs/>
          <w:sz w:val="24"/>
          <w:szCs w:val="24"/>
        </w:rPr>
        <w:t>#</w:t>
      </w:r>
      <w:r>
        <w:rPr>
          <w:bCs/>
          <w:sz w:val="24"/>
          <w:szCs w:val="24"/>
        </w:rPr>
        <w:t>破碎</w:t>
      </w:r>
      <w:r>
        <w:rPr>
          <w:rFonts w:hint="eastAsia"/>
          <w:bCs/>
          <w:sz w:val="24"/>
          <w:szCs w:val="24"/>
        </w:rPr>
        <w:t>粗选</w:t>
      </w:r>
      <w:r>
        <w:rPr>
          <w:bCs/>
          <w:sz w:val="24"/>
          <w:szCs w:val="24"/>
        </w:rPr>
        <w:t>车间逸散量为</w:t>
      </w:r>
      <w:r>
        <w:rPr>
          <w:rFonts w:hint="eastAsia"/>
          <w:bCs/>
          <w:sz w:val="24"/>
          <w:szCs w:val="24"/>
        </w:rPr>
        <w:t>27</w:t>
      </w:r>
      <w:r>
        <w:rPr>
          <w:bCs/>
          <w:sz w:val="24"/>
          <w:szCs w:val="24"/>
        </w:rPr>
        <w:t>t/a</w:t>
      </w:r>
      <w:r>
        <w:rPr>
          <w:bCs/>
          <w:sz w:val="24"/>
          <w:szCs w:val="24"/>
        </w:rPr>
        <w:t>，其中约</w:t>
      </w:r>
      <w:r>
        <w:rPr>
          <w:bCs/>
          <w:sz w:val="24"/>
          <w:szCs w:val="24"/>
        </w:rPr>
        <w:t>9</w:t>
      </w:r>
      <w:r>
        <w:rPr>
          <w:rFonts w:hint="eastAsia"/>
          <w:bCs/>
          <w:sz w:val="24"/>
          <w:szCs w:val="24"/>
        </w:rPr>
        <w:t>8</w:t>
      </w:r>
      <w:r>
        <w:rPr>
          <w:bCs/>
          <w:sz w:val="24"/>
          <w:szCs w:val="24"/>
        </w:rPr>
        <w:t>%</w:t>
      </w:r>
      <w:r>
        <w:rPr>
          <w:bCs/>
          <w:sz w:val="24"/>
          <w:szCs w:val="24"/>
        </w:rPr>
        <w:t>的粉尘沉降在车间内，</w:t>
      </w:r>
      <w:r>
        <w:rPr>
          <w:rFonts w:hint="eastAsia"/>
          <w:bCs/>
          <w:sz w:val="24"/>
          <w:szCs w:val="24"/>
        </w:rPr>
        <w:t>2</w:t>
      </w:r>
      <w:r>
        <w:rPr>
          <w:bCs/>
          <w:sz w:val="24"/>
          <w:szCs w:val="24"/>
        </w:rPr>
        <w:t>%</w:t>
      </w:r>
      <w:r>
        <w:rPr>
          <w:bCs/>
          <w:sz w:val="24"/>
          <w:szCs w:val="24"/>
        </w:rPr>
        <w:t>的粉尘通过车间进出口逸散，则以无组织形式排放至外环境的粉尘量为：</w:t>
      </w:r>
      <w:r>
        <w:rPr>
          <w:rFonts w:hint="eastAsia"/>
          <w:bCs/>
          <w:sz w:val="24"/>
          <w:szCs w:val="24"/>
        </w:rPr>
        <w:t>0.</w:t>
      </w:r>
      <w:r>
        <w:rPr>
          <w:rFonts w:hint="eastAsia"/>
          <w:bCs/>
          <w:sz w:val="24"/>
          <w:szCs w:val="24"/>
        </w:rPr>
        <w:t>5</w:t>
      </w:r>
      <w:r>
        <w:rPr>
          <w:rFonts w:hint="eastAsia"/>
          <w:bCs/>
          <w:sz w:val="24"/>
          <w:szCs w:val="24"/>
        </w:rPr>
        <w:t>4</w:t>
      </w:r>
      <w:r>
        <w:rPr>
          <w:bCs/>
          <w:sz w:val="24"/>
          <w:szCs w:val="24"/>
        </w:rPr>
        <w:t>t/a</w:t>
      </w:r>
      <w:r>
        <w:rPr>
          <w:bCs/>
          <w:sz w:val="24"/>
          <w:szCs w:val="24"/>
        </w:rPr>
        <w:t>。</w:t>
      </w:r>
    </w:p>
    <w:p w:rsidR="00DB7CC8" w:rsidRDefault="002B5250">
      <w:pPr>
        <w:spacing w:line="240" w:lineRule="auto"/>
        <w:ind w:firstLineChars="0" w:firstLine="420"/>
        <w:jc w:val="center"/>
        <w:textAlignment w:val="baseline"/>
        <w:rPr>
          <w:rFonts w:eastAsia="黑体"/>
          <w:bCs/>
          <w:kern w:val="2"/>
          <w:sz w:val="21"/>
          <w:szCs w:val="21"/>
        </w:rPr>
      </w:pPr>
      <w:r>
        <w:rPr>
          <w:rFonts w:eastAsia="黑体"/>
          <w:bCs/>
          <w:kern w:val="2"/>
          <w:sz w:val="21"/>
          <w:szCs w:val="21"/>
        </w:rPr>
        <w:t>表</w:t>
      </w:r>
      <w:r>
        <w:rPr>
          <w:rFonts w:eastAsia="黑体"/>
          <w:bCs/>
          <w:kern w:val="2"/>
          <w:sz w:val="21"/>
          <w:szCs w:val="21"/>
        </w:rPr>
        <w:t>3.</w:t>
      </w:r>
      <w:r>
        <w:rPr>
          <w:rFonts w:eastAsia="黑体" w:hint="eastAsia"/>
          <w:bCs/>
          <w:kern w:val="2"/>
          <w:sz w:val="21"/>
          <w:szCs w:val="21"/>
        </w:rPr>
        <w:t>4</w:t>
      </w:r>
      <w:r>
        <w:rPr>
          <w:rFonts w:eastAsia="黑体"/>
          <w:bCs/>
          <w:kern w:val="2"/>
          <w:sz w:val="21"/>
          <w:szCs w:val="21"/>
        </w:rPr>
        <w:t>-6</w:t>
      </w:r>
      <w:r>
        <w:rPr>
          <w:rFonts w:eastAsia="黑体" w:hint="eastAsia"/>
          <w:bCs/>
          <w:kern w:val="2"/>
          <w:sz w:val="21"/>
          <w:szCs w:val="21"/>
        </w:rPr>
        <w:t xml:space="preserve">   </w:t>
      </w:r>
      <w:r>
        <w:rPr>
          <w:rFonts w:eastAsia="黑体"/>
          <w:bCs/>
          <w:kern w:val="2"/>
          <w:sz w:val="21"/>
          <w:szCs w:val="21"/>
        </w:rPr>
        <w:t>破碎车间无组织废气排放情况表</w:t>
      </w:r>
    </w:p>
    <w:tbl>
      <w:tblPr>
        <w:tblW w:w="8522" w:type="dxa"/>
        <w:tblBorders>
          <w:top w:val="single" w:sz="6" w:space="0" w:color="000000"/>
          <w:bottom w:val="single" w:sz="6" w:space="0" w:color="000000"/>
          <w:insideH w:val="single" w:sz="6" w:space="0" w:color="000000"/>
          <w:insideV w:val="single" w:sz="6" w:space="0" w:color="000000"/>
        </w:tblBorders>
        <w:tblLayout w:type="fixed"/>
        <w:tblCellMar>
          <w:top w:w="15" w:type="dxa"/>
          <w:bottom w:w="15" w:type="dxa"/>
        </w:tblCellMar>
        <w:tblLook w:val="04A0" w:firstRow="1" w:lastRow="0" w:firstColumn="1" w:lastColumn="0" w:noHBand="0" w:noVBand="1"/>
      </w:tblPr>
      <w:tblGrid>
        <w:gridCol w:w="1383"/>
        <w:gridCol w:w="970"/>
        <w:gridCol w:w="1178"/>
        <w:gridCol w:w="1178"/>
        <w:gridCol w:w="1457"/>
        <w:gridCol w:w="1178"/>
        <w:gridCol w:w="1178"/>
      </w:tblGrid>
      <w:tr w:rsidR="00DB7CC8">
        <w:trPr>
          <w:trHeight w:val="555"/>
        </w:trPr>
        <w:tc>
          <w:tcPr>
            <w:tcW w:w="1383" w:type="dxa"/>
            <w:tcBorders>
              <w:left w:val="single" w:sz="6" w:space="0" w:color="000000"/>
            </w:tcBorders>
            <w:vAlign w:val="center"/>
          </w:tcPr>
          <w:bookmarkEnd w:id="222"/>
          <w:p w:rsidR="00DB7CC8" w:rsidRDefault="002B5250">
            <w:pPr>
              <w:widowControl/>
              <w:spacing w:line="240" w:lineRule="auto"/>
              <w:ind w:firstLineChars="0" w:firstLine="420"/>
              <w:jc w:val="center"/>
              <w:textAlignment w:val="auto"/>
              <w:rPr>
                <w:sz w:val="21"/>
                <w:szCs w:val="21"/>
              </w:rPr>
            </w:pPr>
            <w:r>
              <w:rPr>
                <w:sz w:val="21"/>
                <w:szCs w:val="21"/>
              </w:rPr>
              <w:t>污染源</w:t>
            </w:r>
          </w:p>
        </w:tc>
        <w:tc>
          <w:tcPr>
            <w:tcW w:w="970" w:type="dxa"/>
            <w:vAlign w:val="center"/>
          </w:tcPr>
          <w:p w:rsidR="00DB7CC8" w:rsidRDefault="002B5250">
            <w:pPr>
              <w:widowControl/>
              <w:spacing w:line="240" w:lineRule="auto"/>
              <w:ind w:firstLineChars="0" w:firstLine="0"/>
              <w:jc w:val="center"/>
              <w:textAlignment w:val="auto"/>
              <w:rPr>
                <w:sz w:val="21"/>
                <w:szCs w:val="21"/>
              </w:rPr>
            </w:pPr>
            <w:r>
              <w:rPr>
                <w:sz w:val="21"/>
                <w:szCs w:val="21"/>
              </w:rPr>
              <w:t>污染物</w:t>
            </w:r>
          </w:p>
        </w:tc>
        <w:tc>
          <w:tcPr>
            <w:tcW w:w="1178" w:type="dxa"/>
            <w:vAlign w:val="center"/>
          </w:tcPr>
          <w:p w:rsidR="00DB7CC8" w:rsidRDefault="002B5250">
            <w:pPr>
              <w:widowControl/>
              <w:spacing w:line="240" w:lineRule="auto"/>
              <w:ind w:firstLineChars="0" w:firstLine="0"/>
              <w:jc w:val="center"/>
              <w:textAlignment w:val="auto"/>
              <w:rPr>
                <w:sz w:val="21"/>
                <w:szCs w:val="21"/>
              </w:rPr>
            </w:pPr>
            <w:r>
              <w:rPr>
                <w:sz w:val="21"/>
                <w:szCs w:val="21"/>
              </w:rPr>
              <w:t>产生量（</w:t>
            </w:r>
            <w:r>
              <w:rPr>
                <w:sz w:val="21"/>
              </w:rPr>
              <w:t>t/a</w:t>
            </w:r>
            <w:r>
              <w:rPr>
                <w:sz w:val="21"/>
                <w:szCs w:val="21"/>
              </w:rPr>
              <w:t>）</w:t>
            </w:r>
          </w:p>
        </w:tc>
        <w:tc>
          <w:tcPr>
            <w:tcW w:w="1178" w:type="dxa"/>
            <w:vAlign w:val="center"/>
          </w:tcPr>
          <w:p w:rsidR="00DB7CC8" w:rsidRDefault="002B5250">
            <w:pPr>
              <w:widowControl/>
              <w:spacing w:line="240" w:lineRule="auto"/>
              <w:ind w:firstLineChars="0" w:firstLine="0"/>
              <w:jc w:val="center"/>
              <w:textAlignment w:val="auto"/>
              <w:rPr>
                <w:sz w:val="21"/>
                <w:szCs w:val="21"/>
              </w:rPr>
            </w:pPr>
            <w:r>
              <w:rPr>
                <w:sz w:val="21"/>
                <w:szCs w:val="21"/>
              </w:rPr>
              <w:t>排放量（</w:t>
            </w:r>
            <w:r>
              <w:rPr>
                <w:sz w:val="21"/>
              </w:rPr>
              <w:t>t/a</w:t>
            </w:r>
            <w:r>
              <w:rPr>
                <w:sz w:val="21"/>
                <w:szCs w:val="21"/>
              </w:rPr>
              <w:t>）</w:t>
            </w:r>
          </w:p>
        </w:tc>
        <w:tc>
          <w:tcPr>
            <w:tcW w:w="1457" w:type="dxa"/>
            <w:vAlign w:val="center"/>
          </w:tcPr>
          <w:p w:rsidR="00DB7CC8" w:rsidRDefault="002B5250">
            <w:pPr>
              <w:widowControl/>
              <w:spacing w:line="240" w:lineRule="auto"/>
              <w:ind w:firstLineChars="0" w:firstLine="0"/>
              <w:jc w:val="center"/>
              <w:textAlignment w:val="auto"/>
              <w:rPr>
                <w:sz w:val="21"/>
                <w:szCs w:val="21"/>
              </w:rPr>
            </w:pPr>
            <w:r>
              <w:rPr>
                <w:sz w:val="21"/>
                <w:szCs w:val="21"/>
              </w:rPr>
              <w:t>排放速率（</w:t>
            </w:r>
            <w:r>
              <w:rPr>
                <w:sz w:val="21"/>
              </w:rPr>
              <w:t>kg/h</w:t>
            </w:r>
            <w:r>
              <w:rPr>
                <w:sz w:val="21"/>
                <w:szCs w:val="21"/>
              </w:rPr>
              <w:t>）</w:t>
            </w:r>
          </w:p>
        </w:tc>
        <w:tc>
          <w:tcPr>
            <w:tcW w:w="1178" w:type="dxa"/>
            <w:vAlign w:val="center"/>
          </w:tcPr>
          <w:p w:rsidR="00DB7CC8" w:rsidRDefault="002B5250">
            <w:pPr>
              <w:widowControl/>
              <w:spacing w:line="240" w:lineRule="auto"/>
              <w:ind w:firstLineChars="0" w:firstLine="0"/>
              <w:jc w:val="center"/>
              <w:textAlignment w:val="auto"/>
              <w:rPr>
                <w:sz w:val="21"/>
                <w:szCs w:val="21"/>
              </w:rPr>
            </w:pPr>
            <w:r>
              <w:rPr>
                <w:sz w:val="21"/>
                <w:szCs w:val="21"/>
              </w:rPr>
              <w:t>长</w:t>
            </w:r>
            <w:r>
              <w:rPr>
                <w:sz w:val="21"/>
              </w:rPr>
              <w:t>×</w:t>
            </w:r>
            <w:r>
              <w:rPr>
                <w:sz w:val="21"/>
                <w:szCs w:val="21"/>
              </w:rPr>
              <w:t>宽（</w:t>
            </w:r>
            <w:r>
              <w:rPr>
                <w:sz w:val="21"/>
              </w:rPr>
              <w:t>m</w:t>
            </w:r>
            <w:r>
              <w:rPr>
                <w:sz w:val="21"/>
                <w:szCs w:val="21"/>
              </w:rPr>
              <w:t>）</w:t>
            </w:r>
          </w:p>
        </w:tc>
        <w:tc>
          <w:tcPr>
            <w:tcW w:w="1178" w:type="dxa"/>
            <w:tcBorders>
              <w:right w:val="single" w:sz="6" w:space="0" w:color="000000"/>
            </w:tcBorders>
            <w:vAlign w:val="center"/>
          </w:tcPr>
          <w:p w:rsidR="00DB7CC8" w:rsidRDefault="002B5250">
            <w:pPr>
              <w:widowControl/>
              <w:spacing w:line="240" w:lineRule="auto"/>
              <w:ind w:firstLineChars="0" w:firstLine="0"/>
              <w:jc w:val="center"/>
              <w:textAlignment w:val="auto"/>
              <w:rPr>
                <w:sz w:val="21"/>
                <w:szCs w:val="21"/>
              </w:rPr>
            </w:pPr>
            <w:r>
              <w:rPr>
                <w:sz w:val="21"/>
                <w:szCs w:val="21"/>
              </w:rPr>
              <w:t>面源高度（</w:t>
            </w:r>
            <w:r>
              <w:rPr>
                <w:sz w:val="21"/>
              </w:rPr>
              <w:t>m</w:t>
            </w:r>
            <w:r>
              <w:rPr>
                <w:sz w:val="21"/>
                <w:szCs w:val="21"/>
              </w:rPr>
              <w:t>）</w:t>
            </w:r>
          </w:p>
        </w:tc>
      </w:tr>
      <w:tr w:rsidR="00DB7CC8">
        <w:trPr>
          <w:trHeight w:val="540"/>
        </w:trPr>
        <w:tc>
          <w:tcPr>
            <w:tcW w:w="1383" w:type="dxa"/>
            <w:tcBorders>
              <w:left w:val="single" w:sz="6" w:space="0" w:color="000000"/>
            </w:tcBorders>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3</w:t>
            </w:r>
            <w:r>
              <w:rPr>
                <w:sz w:val="21"/>
                <w:szCs w:val="21"/>
              </w:rPr>
              <w:t>#</w:t>
            </w:r>
            <w:r>
              <w:rPr>
                <w:sz w:val="21"/>
                <w:szCs w:val="21"/>
              </w:rPr>
              <w:t>破碎</w:t>
            </w:r>
            <w:r>
              <w:rPr>
                <w:rFonts w:hint="eastAsia"/>
                <w:sz w:val="21"/>
                <w:szCs w:val="21"/>
              </w:rPr>
              <w:t>粗选</w:t>
            </w:r>
            <w:r>
              <w:rPr>
                <w:sz w:val="21"/>
                <w:szCs w:val="21"/>
              </w:rPr>
              <w:t>车间</w:t>
            </w:r>
          </w:p>
        </w:tc>
        <w:tc>
          <w:tcPr>
            <w:tcW w:w="970" w:type="dxa"/>
            <w:vAlign w:val="center"/>
          </w:tcPr>
          <w:p w:rsidR="00DB7CC8" w:rsidRDefault="002B5250">
            <w:pPr>
              <w:widowControl/>
              <w:spacing w:line="240" w:lineRule="auto"/>
              <w:ind w:firstLineChars="0" w:firstLine="0"/>
              <w:jc w:val="center"/>
              <w:textAlignment w:val="auto"/>
              <w:rPr>
                <w:sz w:val="21"/>
                <w:szCs w:val="21"/>
              </w:rPr>
            </w:pPr>
            <w:r>
              <w:rPr>
                <w:sz w:val="21"/>
                <w:szCs w:val="21"/>
              </w:rPr>
              <w:t>颗粒物</w:t>
            </w:r>
          </w:p>
        </w:tc>
        <w:tc>
          <w:tcPr>
            <w:tcW w:w="1178"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27</w:t>
            </w:r>
          </w:p>
        </w:tc>
        <w:tc>
          <w:tcPr>
            <w:tcW w:w="1178"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0.54</w:t>
            </w:r>
          </w:p>
        </w:tc>
        <w:tc>
          <w:tcPr>
            <w:tcW w:w="1457" w:type="dxa"/>
            <w:vAlign w:val="center"/>
          </w:tcPr>
          <w:p w:rsidR="00DB7CC8" w:rsidRDefault="002B5250">
            <w:pPr>
              <w:widowControl/>
              <w:spacing w:line="240" w:lineRule="auto"/>
              <w:ind w:firstLineChars="0" w:firstLine="0"/>
              <w:jc w:val="center"/>
              <w:textAlignment w:val="auto"/>
              <w:rPr>
                <w:sz w:val="21"/>
                <w:szCs w:val="21"/>
              </w:rPr>
            </w:pPr>
            <w:r>
              <w:rPr>
                <w:sz w:val="21"/>
                <w:szCs w:val="21"/>
              </w:rPr>
              <w:t>0.0</w:t>
            </w:r>
            <w:r>
              <w:rPr>
                <w:rFonts w:hint="eastAsia"/>
                <w:sz w:val="21"/>
                <w:szCs w:val="21"/>
              </w:rPr>
              <w:t>75</w:t>
            </w:r>
          </w:p>
        </w:tc>
        <w:tc>
          <w:tcPr>
            <w:tcW w:w="1178"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60</w:t>
            </w:r>
            <w:r>
              <w:rPr>
                <w:sz w:val="21"/>
                <w:szCs w:val="21"/>
              </w:rPr>
              <w:t>×</w:t>
            </w:r>
            <w:r>
              <w:rPr>
                <w:rFonts w:hint="eastAsia"/>
                <w:sz w:val="21"/>
                <w:szCs w:val="21"/>
              </w:rPr>
              <w:t>25</w:t>
            </w:r>
          </w:p>
        </w:tc>
        <w:tc>
          <w:tcPr>
            <w:tcW w:w="1178" w:type="dxa"/>
            <w:tcBorders>
              <w:right w:val="single" w:sz="6" w:space="0" w:color="000000"/>
            </w:tcBorders>
            <w:vAlign w:val="center"/>
          </w:tcPr>
          <w:p w:rsidR="00DB7CC8" w:rsidRDefault="002B5250">
            <w:pPr>
              <w:widowControl/>
              <w:spacing w:line="240" w:lineRule="auto"/>
              <w:ind w:firstLineChars="0" w:firstLine="0"/>
              <w:jc w:val="center"/>
              <w:textAlignment w:val="auto"/>
              <w:rPr>
                <w:sz w:val="21"/>
                <w:szCs w:val="21"/>
              </w:rPr>
            </w:pPr>
            <w:r>
              <w:rPr>
                <w:sz w:val="21"/>
                <w:szCs w:val="21"/>
              </w:rPr>
              <w:t>12</w:t>
            </w:r>
          </w:p>
        </w:tc>
      </w:tr>
    </w:tbl>
    <w:p w:rsidR="00DB7CC8" w:rsidRDefault="002B5250">
      <w:pPr>
        <w:ind w:firstLine="480"/>
        <w:jc w:val="both"/>
        <w:textAlignment w:val="auto"/>
        <w:rPr>
          <w:bCs/>
          <w:sz w:val="24"/>
          <w:szCs w:val="24"/>
        </w:rPr>
      </w:pPr>
      <w:r>
        <w:rPr>
          <w:bCs/>
          <w:sz w:val="24"/>
          <w:szCs w:val="24"/>
        </w:rPr>
        <w:t>（</w:t>
      </w:r>
      <w:r>
        <w:rPr>
          <w:rFonts w:hint="eastAsia"/>
          <w:bCs/>
          <w:sz w:val="24"/>
          <w:szCs w:val="24"/>
        </w:rPr>
        <w:t>3</w:t>
      </w:r>
      <w:r>
        <w:rPr>
          <w:bCs/>
          <w:sz w:val="24"/>
          <w:szCs w:val="24"/>
        </w:rPr>
        <w:t>）</w:t>
      </w:r>
      <w:r>
        <w:rPr>
          <w:snapToGrid w:val="0"/>
          <w:sz w:val="24"/>
          <w:szCs w:val="24"/>
        </w:rPr>
        <w:t>物料转运过程产生的粉尘</w:t>
      </w:r>
    </w:p>
    <w:p w:rsidR="00DB7CC8" w:rsidRDefault="002B5250">
      <w:pPr>
        <w:widowControl/>
        <w:ind w:firstLine="480"/>
        <w:textAlignment w:val="auto"/>
        <w:rPr>
          <w:bCs/>
          <w:sz w:val="24"/>
          <w:szCs w:val="24"/>
        </w:rPr>
      </w:pPr>
      <w:r>
        <w:rPr>
          <w:kern w:val="2"/>
          <w:sz w:val="24"/>
        </w:rPr>
        <w:t>物料均通过封闭廊道转运，忽略不计。</w:t>
      </w:r>
    </w:p>
    <w:p w:rsidR="00DB7CC8" w:rsidRDefault="002B5250">
      <w:pPr>
        <w:pStyle w:val="4"/>
        <w:rPr>
          <w:rFonts w:eastAsia="宋体"/>
          <w:b/>
        </w:rPr>
      </w:pPr>
      <w:bookmarkStart w:id="223" w:name="_Hlk18932619"/>
      <w:r>
        <w:rPr>
          <w:rFonts w:eastAsia="宋体"/>
          <w:b/>
        </w:rPr>
        <w:t>3.</w:t>
      </w:r>
      <w:r>
        <w:rPr>
          <w:rFonts w:eastAsia="宋体" w:hint="eastAsia"/>
          <w:b/>
        </w:rPr>
        <w:t>4</w:t>
      </w:r>
      <w:r>
        <w:rPr>
          <w:rFonts w:eastAsia="宋体"/>
          <w:b/>
        </w:rPr>
        <w:t>.2.2</w:t>
      </w:r>
      <w:r>
        <w:rPr>
          <w:rFonts w:eastAsia="宋体"/>
          <w:b/>
        </w:rPr>
        <w:t>水污染物分析及源强核算</w:t>
      </w:r>
    </w:p>
    <w:p w:rsidR="00DB7CC8" w:rsidRDefault="002B5250">
      <w:pPr>
        <w:ind w:firstLine="480"/>
        <w:jc w:val="both"/>
        <w:rPr>
          <w:bCs/>
          <w:sz w:val="24"/>
          <w:szCs w:val="24"/>
        </w:rPr>
      </w:pPr>
      <w:r>
        <w:rPr>
          <w:bCs/>
          <w:sz w:val="24"/>
          <w:szCs w:val="24"/>
        </w:rPr>
        <w:t>（</w:t>
      </w:r>
      <w:r>
        <w:rPr>
          <w:bCs/>
          <w:sz w:val="24"/>
          <w:szCs w:val="24"/>
        </w:rPr>
        <w:t>1</w:t>
      </w:r>
      <w:r>
        <w:rPr>
          <w:bCs/>
          <w:sz w:val="24"/>
          <w:szCs w:val="24"/>
        </w:rPr>
        <w:t>）生活污水</w:t>
      </w:r>
    </w:p>
    <w:p w:rsidR="00DB7CC8" w:rsidRDefault="002B5250">
      <w:pPr>
        <w:ind w:firstLine="480"/>
        <w:jc w:val="both"/>
        <w:rPr>
          <w:bCs/>
          <w:sz w:val="24"/>
          <w:szCs w:val="24"/>
        </w:rPr>
      </w:pPr>
      <w:r>
        <w:rPr>
          <w:rFonts w:hint="eastAsia"/>
          <w:bCs/>
          <w:sz w:val="24"/>
          <w:szCs w:val="24"/>
        </w:rPr>
        <w:t>不新增劳动定员，不新增生活污水产生量</w:t>
      </w:r>
      <w:r>
        <w:rPr>
          <w:sz w:val="24"/>
          <w:szCs w:val="24"/>
        </w:rPr>
        <w:t>。</w:t>
      </w:r>
    </w:p>
    <w:p w:rsidR="00DB7CC8" w:rsidRDefault="002B5250">
      <w:pPr>
        <w:ind w:firstLine="480"/>
        <w:jc w:val="both"/>
        <w:rPr>
          <w:bCs/>
          <w:sz w:val="24"/>
          <w:szCs w:val="24"/>
        </w:rPr>
      </w:pPr>
      <w:r>
        <w:rPr>
          <w:bCs/>
          <w:sz w:val="24"/>
          <w:szCs w:val="24"/>
        </w:rPr>
        <w:t>（</w:t>
      </w:r>
      <w:r>
        <w:rPr>
          <w:bCs/>
          <w:sz w:val="24"/>
          <w:szCs w:val="24"/>
        </w:rPr>
        <w:t>2</w:t>
      </w:r>
      <w:r>
        <w:rPr>
          <w:bCs/>
          <w:sz w:val="24"/>
          <w:szCs w:val="24"/>
        </w:rPr>
        <w:t>）选矿废水</w:t>
      </w:r>
    </w:p>
    <w:p w:rsidR="00DB7CC8" w:rsidRDefault="002B5250">
      <w:pPr>
        <w:ind w:firstLine="480"/>
        <w:jc w:val="both"/>
        <w:rPr>
          <w:bCs/>
          <w:sz w:val="24"/>
          <w:szCs w:val="24"/>
        </w:rPr>
      </w:pPr>
      <w:r>
        <w:rPr>
          <w:bCs/>
          <w:sz w:val="24"/>
          <w:szCs w:val="24"/>
        </w:rPr>
        <w:lastRenderedPageBreak/>
        <w:t>本项目磁选过程为湿式磁选，选矿废水经尾矿浓密、脱水压滤等工序处理后，自流至清水池，回用于选矿，选矿废水不外排。</w:t>
      </w:r>
    </w:p>
    <w:p w:rsidR="00DB7CC8" w:rsidRDefault="002B5250">
      <w:pPr>
        <w:ind w:firstLine="480"/>
        <w:jc w:val="both"/>
        <w:rPr>
          <w:bCs/>
          <w:sz w:val="24"/>
          <w:szCs w:val="24"/>
        </w:rPr>
      </w:pPr>
      <w:r>
        <w:rPr>
          <w:bCs/>
          <w:sz w:val="24"/>
          <w:szCs w:val="24"/>
        </w:rPr>
        <w:t>（</w:t>
      </w:r>
      <w:r>
        <w:rPr>
          <w:bCs/>
          <w:sz w:val="24"/>
          <w:szCs w:val="24"/>
        </w:rPr>
        <w:t>3</w:t>
      </w:r>
      <w:r>
        <w:rPr>
          <w:bCs/>
          <w:sz w:val="24"/>
          <w:szCs w:val="24"/>
        </w:rPr>
        <w:t>）车间地面清洗废水</w:t>
      </w:r>
    </w:p>
    <w:p w:rsidR="00DB7CC8" w:rsidRDefault="002B5250">
      <w:pPr>
        <w:ind w:firstLine="480"/>
        <w:jc w:val="both"/>
        <w:rPr>
          <w:sz w:val="24"/>
          <w:szCs w:val="24"/>
        </w:rPr>
      </w:pPr>
      <w:r>
        <w:rPr>
          <w:sz w:val="24"/>
          <w:szCs w:val="24"/>
        </w:rPr>
        <w:t>车间地面冲洗</w:t>
      </w:r>
      <w:r>
        <w:rPr>
          <w:rFonts w:hint="eastAsia"/>
          <w:sz w:val="24"/>
          <w:szCs w:val="24"/>
        </w:rPr>
        <w:t>废</w:t>
      </w:r>
      <w:r>
        <w:rPr>
          <w:sz w:val="24"/>
          <w:szCs w:val="24"/>
        </w:rPr>
        <w:t>水量为</w:t>
      </w:r>
      <w:r>
        <w:rPr>
          <w:rFonts w:hint="eastAsia"/>
          <w:sz w:val="24"/>
          <w:szCs w:val="24"/>
        </w:rPr>
        <w:t>3</w:t>
      </w:r>
      <w:r>
        <w:rPr>
          <w:sz w:val="24"/>
          <w:szCs w:val="24"/>
        </w:rPr>
        <w:t>.0 m</w:t>
      </w:r>
      <w:r>
        <w:rPr>
          <w:sz w:val="24"/>
          <w:szCs w:val="24"/>
          <w:vertAlign w:val="superscript"/>
        </w:rPr>
        <w:t>3</w:t>
      </w:r>
      <w:r>
        <w:rPr>
          <w:sz w:val="24"/>
          <w:szCs w:val="24"/>
        </w:rPr>
        <w:t>/d</w:t>
      </w:r>
      <w:r>
        <w:rPr>
          <w:rFonts w:hint="eastAsia"/>
          <w:sz w:val="24"/>
          <w:szCs w:val="24"/>
        </w:rPr>
        <w:t>，</w:t>
      </w:r>
      <w:r>
        <w:rPr>
          <w:sz w:val="24"/>
          <w:szCs w:val="24"/>
        </w:rPr>
        <w:t>车间地面清洗水进入清水池回用于生产</w:t>
      </w:r>
      <w:r>
        <w:rPr>
          <w:rFonts w:hint="eastAsia"/>
          <w:sz w:val="24"/>
          <w:szCs w:val="24"/>
        </w:rPr>
        <w:t>。</w:t>
      </w:r>
    </w:p>
    <w:p w:rsidR="00DB7CC8" w:rsidRDefault="002B5250">
      <w:pPr>
        <w:ind w:firstLine="480"/>
        <w:jc w:val="both"/>
        <w:rPr>
          <w:bCs/>
          <w:sz w:val="24"/>
          <w:szCs w:val="24"/>
        </w:rPr>
      </w:pPr>
      <w:r>
        <w:rPr>
          <w:bCs/>
          <w:sz w:val="24"/>
          <w:szCs w:val="24"/>
        </w:rPr>
        <w:t>（</w:t>
      </w:r>
      <w:r>
        <w:rPr>
          <w:bCs/>
          <w:sz w:val="24"/>
          <w:szCs w:val="24"/>
        </w:rPr>
        <w:t>4</w:t>
      </w:r>
      <w:r>
        <w:rPr>
          <w:bCs/>
          <w:sz w:val="24"/>
          <w:szCs w:val="24"/>
        </w:rPr>
        <w:t>）洗车废水</w:t>
      </w:r>
    </w:p>
    <w:bookmarkEnd w:id="223"/>
    <w:p w:rsidR="00DB7CC8" w:rsidRDefault="002B5250">
      <w:pPr>
        <w:ind w:firstLine="480"/>
        <w:jc w:val="both"/>
        <w:rPr>
          <w:sz w:val="24"/>
          <w:szCs w:val="24"/>
        </w:rPr>
      </w:pPr>
      <w:r>
        <w:rPr>
          <w:bCs/>
          <w:sz w:val="24"/>
          <w:szCs w:val="24"/>
        </w:rPr>
        <w:t>本项目为了减少车辆运输产生的粉尘，</w:t>
      </w:r>
      <w:r>
        <w:rPr>
          <w:rFonts w:hint="eastAsia"/>
          <w:sz w:val="24"/>
          <w:szCs w:val="24"/>
        </w:rPr>
        <w:t>新建</w:t>
      </w:r>
      <w:r>
        <w:rPr>
          <w:sz w:val="24"/>
          <w:szCs w:val="24"/>
        </w:rPr>
        <w:t>成品库门口设置洗车平台（</w:t>
      </w:r>
      <w:r>
        <w:rPr>
          <w:rFonts w:hint="eastAsia"/>
          <w:sz w:val="24"/>
          <w:szCs w:val="24"/>
        </w:rPr>
        <w:t>8</w:t>
      </w:r>
      <w:r>
        <w:rPr>
          <w:sz w:val="24"/>
          <w:szCs w:val="24"/>
        </w:rPr>
        <w:t>m×</w:t>
      </w:r>
      <w:r>
        <w:rPr>
          <w:rFonts w:hint="eastAsia"/>
          <w:sz w:val="24"/>
          <w:szCs w:val="24"/>
        </w:rPr>
        <w:t>3.</w:t>
      </w:r>
      <w:r>
        <w:rPr>
          <w:sz w:val="24"/>
          <w:szCs w:val="24"/>
        </w:rPr>
        <w:t>5m</w:t>
      </w:r>
      <w:r>
        <w:rPr>
          <w:sz w:val="24"/>
          <w:szCs w:val="24"/>
        </w:rPr>
        <w:t>），在洗车平台使用高压喷雾清洗轮胎及车身，洗车平台四周应设置防溢座，废水经导流渠流入沉淀池内（</w:t>
      </w:r>
      <w:r>
        <w:rPr>
          <w:sz w:val="24"/>
          <w:szCs w:val="24"/>
        </w:rPr>
        <w:t>2m×3m×1m</w:t>
      </w:r>
      <w:r>
        <w:rPr>
          <w:sz w:val="24"/>
          <w:szCs w:val="24"/>
        </w:rPr>
        <w:t>），经沉淀后的洗车废水流入清水池内（</w:t>
      </w:r>
      <w:r>
        <w:rPr>
          <w:sz w:val="24"/>
          <w:szCs w:val="24"/>
        </w:rPr>
        <w:t>2m×3m×1m</w:t>
      </w:r>
      <w:r>
        <w:rPr>
          <w:sz w:val="24"/>
          <w:szCs w:val="24"/>
        </w:rPr>
        <w:t>），清洗及沉淀过程随车辆带走及蒸发损耗水量为</w:t>
      </w:r>
      <w:r>
        <w:rPr>
          <w:rFonts w:hint="eastAsia"/>
          <w:sz w:val="24"/>
          <w:szCs w:val="24"/>
        </w:rPr>
        <w:t>3</w:t>
      </w:r>
      <w:r>
        <w:rPr>
          <w:sz w:val="24"/>
          <w:szCs w:val="24"/>
        </w:rPr>
        <w:t>m</w:t>
      </w:r>
      <w:r>
        <w:rPr>
          <w:sz w:val="24"/>
          <w:szCs w:val="24"/>
          <w:vertAlign w:val="superscript"/>
        </w:rPr>
        <w:t>3</w:t>
      </w:r>
      <w:r>
        <w:rPr>
          <w:sz w:val="24"/>
          <w:szCs w:val="24"/>
        </w:rPr>
        <w:t>/d</w:t>
      </w:r>
      <w:r>
        <w:rPr>
          <w:sz w:val="24"/>
          <w:szCs w:val="24"/>
        </w:rPr>
        <w:t>，补充新水量</w:t>
      </w:r>
      <w:r>
        <w:rPr>
          <w:rFonts w:hint="eastAsia"/>
          <w:sz w:val="24"/>
          <w:szCs w:val="24"/>
        </w:rPr>
        <w:t>3</w:t>
      </w:r>
      <w:r>
        <w:rPr>
          <w:sz w:val="24"/>
          <w:szCs w:val="24"/>
        </w:rPr>
        <w:t>m</w:t>
      </w:r>
      <w:r>
        <w:rPr>
          <w:sz w:val="24"/>
          <w:szCs w:val="24"/>
          <w:vertAlign w:val="superscript"/>
        </w:rPr>
        <w:t>3</w:t>
      </w:r>
      <w:r>
        <w:rPr>
          <w:sz w:val="24"/>
          <w:szCs w:val="24"/>
        </w:rPr>
        <w:t>/d</w:t>
      </w:r>
      <w:r>
        <w:rPr>
          <w:sz w:val="24"/>
          <w:szCs w:val="24"/>
        </w:rPr>
        <w:t>，循环水量为</w:t>
      </w:r>
      <w:r>
        <w:rPr>
          <w:rFonts w:hint="eastAsia"/>
          <w:sz w:val="24"/>
          <w:szCs w:val="24"/>
        </w:rPr>
        <w:t>2.4</w:t>
      </w:r>
      <w:r>
        <w:rPr>
          <w:sz w:val="24"/>
          <w:szCs w:val="24"/>
        </w:rPr>
        <w:t>m</w:t>
      </w:r>
      <w:r>
        <w:rPr>
          <w:sz w:val="24"/>
          <w:szCs w:val="24"/>
          <w:vertAlign w:val="superscript"/>
        </w:rPr>
        <w:t>3</w:t>
      </w:r>
      <w:r>
        <w:rPr>
          <w:sz w:val="24"/>
          <w:szCs w:val="24"/>
        </w:rPr>
        <w:t>/d</w:t>
      </w:r>
      <w:r>
        <w:rPr>
          <w:sz w:val="24"/>
          <w:szCs w:val="24"/>
        </w:rPr>
        <w:t>，回用于运输车辆清洗。</w:t>
      </w:r>
    </w:p>
    <w:p w:rsidR="00DB7CC8" w:rsidRDefault="002B5250">
      <w:pPr>
        <w:pStyle w:val="4"/>
        <w:rPr>
          <w:rFonts w:eastAsia="宋体"/>
          <w:b/>
        </w:rPr>
      </w:pPr>
      <w:r>
        <w:rPr>
          <w:rFonts w:eastAsia="宋体"/>
          <w:b/>
        </w:rPr>
        <w:t>3.</w:t>
      </w:r>
      <w:r>
        <w:rPr>
          <w:rFonts w:eastAsia="宋体" w:hint="eastAsia"/>
          <w:b/>
        </w:rPr>
        <w:t>4</w:t>
      </w:r>
      <w:r>
        <w:rPr>
          <w:rFonts w:eastAsia="宋体"/>
          <w:b/>
        </w:rPr>
        <w:t>.2.3</w:t>
      </w:r>
      <w:r>
        <w:rPr>
          <w:rFonts w:eastAsia="宋体"/>
          <w:b/>
        </w:rPr>
        <w:t>噪声排放情况分析</w:t>
      </w:r>
    </w:p>
    <w:p w:rsidR="00DB7CC8" w:rsidRDefault="002B5250">
      <w:pPr>
        <w:ind w:firstLine="480"/>
        <w:rPr>
          <w:sz w:val="24"/>
          <w:szCs w:val="24"/>
        </w:rPr>
      </w:pPr>
      <w:r>
        <w:rPr>
          <w:sz w:val="24"/>
          <w:szCs w:val="24"/>
        </w:rPr>
        <w:t>本项目噪声污染源主要来自生产过程中各种设备和设施的运行噪声，主要为生产工序的球磨机、高频筛、磁选机和过滤机等设备，尾矿处理系统的压滤机和水泵等，类比同类设</w:t>
      </w:r>
      <w:r>
        <w:rPr>
          <w:sz w:val="24"/>
          <w:szCs w:val="24"/>
        </w:rPr>
        <w:t>备，各噪声源的声级为</w:t>
      </w:r>
      <w:r>
        <w:rPr>
          <w:sz w:val="24"/>
          <w:szCs w:val="24"/>
        </w:rPr>
        <w:t>70-100dB(A)</w:t>
      </w:r>
      <w:r>
        <w:rPr>
          <w:sz w:val="24"/>
          <w:szCs w:val="24"/>
        </w:rPr>
        <w:t>。</w:t>
      </w:r>
    </w:p>
    <w:p w:rsidR="00DB7CC8" w:rsidRDefault="002B5250">
      <w:pPr>
        <w:ind w:firstLine="480"/>
        <w:jc w:val="both"/>
        <w:rPr>
          <w:bCs/>
          <w:sz w:val="24"/>
          <w:szCs w:val="24"/>
        </w:rPr>
      </w:pPr>
      <w:r>
        <w:rPr>
          <w:bCs/>
          <w:sz w:val="24"/>
          <w:szCs w:val="24"/>
        </w:rPr>
        <w:t>本次项目运营期各产噪设备噪声声级见表</w:t>
      </w:r>
      <w:r>
        <w:rPr>
          <w:bCs/>
          <w:sz w:val="24"/>
          <w:szCs w:val="24"/>
        </w:rPr>
        <w:t>3.</w:t>
      </w:r>
      <w:r>
        <w:rPr>
          <w:rFonts w:hint="eastAsia"/>
          <w:bCs/>
          <w:sz w:val="24"/>
          <w:szCs w:val="24"/>
        </w:rPr>
        <w:t>4</w:t>
      </w:r>
      <w:r>
        <w:rPr>
          <w:bCs/>
          <w:sz w:val="24"/>
          <w:szCs w:val="24"/>
        </w:rPr>
        <w:t>-7</w:t>
      </w:r>
      <w:r>
        <w:rPr>
          <w:bCs/>
          <w:sz w:val="24"/>
          <w:szCs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3.</w:t>
      </w:r>
      <w:r>
        <w:rPr>
          <w:rFonts w:eastAsia="黑体" w:hint="eastAsia"/>
          <w:kern w:val="2"/>
          <w:sz w:val="21"/>
          <w:szCs w:val="21"/>
        </w:rPr>
        <w:t>4</w:t>
      </w:r>
      <w:r>
        <w:rPr>
          <w:rFonts w:eastAsia="黑体"/>
          <w:kern w:val="2"/>
          <w:sz w:val="21"/>
          <w:szCs w:val="21"/>
        </w:rPr>
        <w:t xml:space="preserve">-7 </w:t>
      </w:r>
      <w:r>
        <w:rPr>
          <w:rFonts w:eastAsia="黑体" w:hint="eastAsia"/>
          <w:kern w:val="2"/>
          <w:sz w:val="21"/>
          <w:szCs w:val="21"/>
        </w:rPr>
        <w:t xml:space="preserve">  </w:t>
      </w:r>
      <w:r>
        <w:rPr>
          <w:rFonts w:eastAsia="黑体"/>
          <w:kern w:val="2"/>
          <w:sz w:val="21"/>
          <w:szCs w:val="21"/>
        </w:rPr>
        <w:t>建设项目主要噪声设备产噪情况表</w:t>
      </w:r>
    </w:p>
    <w:tbl>
      <w:tblPr>
        <w:tblW w:w="8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
        <w:gridCol w:w="1354"/>
        <w:gridCol w:w="1418"/>
        <w:gridCol w:w="934"/>
        <w:gridCol w:w="777"/>
        <w:gridCol w:w="840"/>
        <w:gridCol w:w="1418"/>
        <w:gridCol w:w="912"/>
      </w:tblGrid>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sz w:val="21"/>
                <w:szCs w:val="21"/>
              </w:rPr>
              <w:t>序号</w:t>
            </w:r>
          </w:p>
        </w:tc>
        <w:tc>
          <w:tcPr>
            <w:tcW w:w="1354" w:type="dxa"/>
            <w:tcBorders>
              <w:tl2br w:val="nil"/>
              <w:tr2bl w:val="nil"/>
            </w:tcBorders>
            <w:vAlign w:val="center"/>
          </w:tcPr>
          <w:p w:rsidR="00DB7CC8" w:rsidRDefault="002B5250">
            <w:pPr>
              <w:pStyle w:val="affffe"/>
              <w:rPr>
                <w:rFonts w:eastAsia="宋体"/>
                <w:sz w:val="21"/>
                <w:szCs w:val="21"/>
              </w:rPr>
            </w:pPr>
            <w:r>
              <w:rPr>
                <w:rFonts w:eastAsia="宋体"/>
                <w:sz w:val="21"/>
                <w:szCs w:val="21"/>
              </w:rPr>
              <w:t>产噪车间</w:t>
            </w:r>
          </w:p>
        </w:tc>
        <w:tc>
          <w:tcPr>
            <w:tcW w:w="1418" w:type="dxa"/>
            <w:tcBorders>
              <w:tl2br w:val="nil"/>
              <w:tr2bl w:val="nil"/>
            </w:tcBorders>
            <w:vAlign w:val="center"/>
          </w:tcPr>
          <w:p w:rsidR="00DB7CC8" w:rsidRDefault="002B5250">
            <w:pPr>
              <w:pStyle w:val="affffe"/>
              <w:rPr>
                <w:rFonts w:eastAsia="宋体"/>
                <w:sz w:val="21"/>
                <w:szCs w:val="21"/>
              </w:rPr>
            </w:pPr>
            <w:r>
              <w:rPr>
                <w:rFonts w:eastAsia="宋体"/>
                <w:sz w:val="21"/>
                <w:szCs w:val="21"/>
              </w:rPr>
              <w:t>设备名称</w:t>
            </w:r>
          </w:p>
        </w:tc>
        <w:tc>
          <w:tcPr>
            <w:tcW w:w="934" w:type="dxa"/>
            <w:tcBorders>
              <w:tl2br w:val="nil"/>
              <w:tr2bl w:val="nil"/>
            </w:tcBorders>
            <w:vAlign w:val="center"/>
          </w:tcPr>
          <w:p w:rsidR="00DB7CC8" w:rsidRDefault="002B5250">
            <w:pPr>
              <w:pStyle w:val="affffe"/>
              <w:rPr>
                <w:rFonts w:eastAsia="宋体"/>
                <w:sz w:val="21"/>
                <w:szCs w:val="21"/>
              </w:rPr>
            </w:pPr>
            <w:r>
              <w:rPr>
                <w:rFonts w:eastAsia="宋体"/>
                <w:sz w:val="21"/>
                <w:szCs w:val="21"/>
              </w:rPr>
              <w:t>单台设备声级</w:t>
            </w:r>
            <w:r>
              <w:rPr>
                <w:rFonts w:eastAsia="宋体"/>
                <w:sz w:val="21"/>
                <w:szCs w:val="21"/>
              </w:rPr>
              <w:t>/dB(A)</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sz w:val="21"/>
                <w:szCs w:val="21"/>
              </w:rPr>
              <w:t>台</w:t>
            </w:r>
            <w:r>
              <w:rPr>
                <w:rFonts w:eastAsia="宋体"/>
                <w:sz w:val="21"/>
                <w:szCs w:val="21"/>
              </w:rPr>
              <w:t>(</w:t>
            </w:r>
            <w:r>
              <w:rPr>
                <w:rFonts w:eastAsia="宋体"/>
                <w:sz w:val="21"/>
                <w:szCs w:val="21"/>
              </w:rPr>
              <w:t>套</w:t>
            </w:r>
            <w:r>
              <w:rPr>
                <w:rFonts w:eastAsia="宋体"/>
                <w:sz w:val="21"/>
                <w:szCs w:val="21"/>
              </w:rPr>
              <w:t>)</w:t>
            </w:r>
            <w:r>
              <w:rPr>
                <w:rFonts w:eastAsia="宋体"/>
                <w:sz w:val="21"/>
                <w:szCs w:val="21"/>
              </w:rPr>
              <w:t>数</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运行</w:t>
            </w:r>
          </w:p>
          <w:p w:rsidR="00DB7CC8" w:rsidRDefault="002B5250">
            <w:pPr>
              <w:pStyle w:val="affffe"/>
              <w:rPr>
                <w:rFonts w:eastAsia="宋体"/>
                <w:sz w:val="21"/>
                <w:szCs w:val="21"/>
              </w:rPr>
            </w:pPr>
            <w:r>
              <w:rPr>
                <w:rFonts w:eastAsia="宋体"/>
                <w:sz w:val="21"/>
                <w:szCs w:val="21"/>
              </w:rPr>
              <w:t>特征</w:t>
            </w:r>
          </w:p>
        </w:tc>
        <w:tc>
          <w:tcPr>
            <w:tcW w:w="1418" w:type="dxa"/>
            <w:tcBorders>
              <w:tl2br w:val="nil"/>
              <w:tr2bl w:val="nil"/>
            </w:tcBorders>
            <w:vAlign w:val="center"/>
          </w:tcPr>
          <w:p w:rsidR="00DB7CC8" w:rsidRDefault="002B5250">
            <w:pPr>
              <w:pStyle w:val="affffe"/>
              <w:rPr>
                <w:rFonts w:eastAsia="宋体"/>
                <w:sz w:val="21"/>
                <w:szCs w:val="21"/>
              </w:rPr>
            </w:pPr>
            <w:r>
              <w:rPr>
                <w:rFonts w:eastAsia="宋体"/>
                <w:sz w:val="21"/>
                <w:szCs w:val="21"/>
              </w:rPr>
              <w:t>治理措施</w:t>
            </w:r>
          </w:p>
        </w:tc>
        <w:tc>
          <w:tcPr>
            <w:tcW w:w="912" w:type="dxa"/>
            <w:tcBorders>
              <w:tl2br w:val="nil"/>
              <w:tr2bl w:val="nil"/>
            </w:tcBorders>
            <w:vAlign w:val="center"/>
          </w:tcPr>
          <w:p w:rsidR="00DB7CC8" w:rsidRDefault="002B5250">
            <w:pPr>
              <w:pStyle w:val="affffe"/>
              <w:rPr>
                <w:rFonts w:eastAsia="宋体"/>
                <w:sz w:val="21"/>
                <w:szCs w:val="21"/>
              </w:rPr>
            </w:pPr>
            <w:r>
              <w:rPr>
                <w:rFonts w:eastAsia="宋体"/>
                <w:sz w:val="21"/>
                <w:szCs w:val="21"/>
              </w:rPr>
              <w:t>单台设备外排噪声</w:t>
            </w:r>
            <w:r>
              <w:rPr>
                <w:rFonts w:eastAsia="宋体"/>
                <w:sz w:val="21"/>
                <w:szCs w:val="21"/>
              </w:rPr>
              <w:t>/dB(A)</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w:t>
            </w:r>
          </w:p>
        </w:tc>
        <w:tc>
          <w:tcPr>
            <w:tcW w:w="1354"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3</w:t>
            </w:r>
            <w:r>
              <w:rPr>
                <w:sz w:val="21"/>
                <w:szCs w:val="21"/>
              </w:rPr>
              <w:t>#</w:t>
            </w:r>
            <w:r>
              <w:rPr>
                <w:sz w:val="21"/>
                <w:szCs w:val="21"/>
              </w:rPr>
              <w:t>破碎</w:t>
            </w:r>
            <w:r>
              <w:rPr>
                <w:rFonts w:hint="eastAsia"/>
                <w:sz w:val="21"/>
                <w:szCs w:val="21"/>
              </w:rPr>
              <w:t>粗选</w:t>
            </w:r>
            <w:r>
              <w:rPr>
                <w:sz w:val="21"/>
                <w:szCs w:val="21"/>
              </w:rPr>
              <w:t>车间</w:t>
            </w: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颚式破碎机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100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val="restart"/>
            <w:tcBorders>
              <w:tl2br w:val="nil"/>
              <w:tr2bl w:val="nil"/>
            </w:tcBorders>
            <w:vAlign w:val="center"/>
          </w:tcPr>
          <w:p w:rsidR="00DB7CC8" w:rsidRDefault="002B5250">
            <w:pPr>
              <w:pStyle w:val="affffe"/>
              <w:rPr>
                <w:rFonts w:eastAsia="宋体"/>
                <w:sz w:val="21"/>
                <w:szCs w:val="21"/>
              </w:rPr>
            </w:pPr>
            <w:r>
              <w:rPr>
                <w:rFonts w:eastAsia="宋体"/>
                <w:sz w:val="21"/>
                <w:szCs w:val="21"/>
              </w:rPr>
              <w:t>厂房隔声、减</w:t>
            </w:r>
            <w:r>
              <w:rPr>
                <w:rFonts w:eastAsia="宋体" w:hint="eastAsia"/>
                <w:sz w:val="21"/>
                <w:szCs w:val="21"/>
              </w:rPr>
              <w:t>振</w:t>
            </w:r>
            <w:r>
              <w:rPr>
                <w:rFonts w:eastAsia="宋体"/>
                <w:sz w:val="21"/>
                <w:szCs w:val="21"/>
              </w:rPr>
              <w:t>基础、吸声材料，</w:t>
            </w:r>
            <w:r>
              <w:rPr>
                <w:rFonts w:eastAsia="宋体"/>
                <w:snapToGrid w:val="0"/>
                <w:sz w:val="21"/>
                <w:szCs w:val="21"/>
                <w:lang w:val="zh-CN"/>
              </w:rPr>
              <w:t>降噪</w:t>
            </w:r>
            <w:r>
              <w:rPr>
                <w:rFonts w:eastAsia="宋体" w:hint="eastAsia"/>
                <w:snapToGrid w:val="0"/>
                <w:sz w:val="21"/>
                <w:szCs w:val="21"/>
              </w:rPr>
              <w:t>20</w:t>
            </w:r>
            <w:r>
              <w:rPr>
                <w:rFonts w:eastAsia="宋体"/>
                <w:snapToGrid w:val="0"/>
                <w:sz w:val="21"/>
                <w:szCs w:val="21"/>
                <w:lang w:val="zh-CN"/>
              </w:rPr>
              <w:t xml:space="preserve"> dB(A)</w:t>
            </w: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8</w:t>
            </w:r>
            <w:r>
              <w:rPr>
                <w:rFonts w:eastAsia="宋体" w:hint="eastAsia"/>
                <w:sz w:val="21"/>
                <w:szCs w:val="21"/>
              </w:rPr>
              <w:t>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sz w:val="21"/>
                <w:szCs w:val="21"/>
              </w:rPr>
              <w:t>2</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圆锥破碎机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90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70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sz w:val="21"/>
                <w:szCs w:val="21"/>
              </w:rPr>
              <w:t>3</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锤式破碎机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90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70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sz w:val="21"/>
                <w:szCs w:val="21"/>
              </w:rPr>
              <w:t>4</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给料机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2</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sz w:val="21"/>
                <w:szCs w:val="21"/>
              </w:rPr>
              <w:t>5</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振动筛</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85</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65</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皮带输送机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70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7</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50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7</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球磨机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90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70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8</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磁选机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75</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5</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55</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9</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高频筛</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85</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8</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65</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10</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过滤机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11</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打捞机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12</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泵类</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13</w:t>
            </w:r>
          </w:p>
        </w:tc>
        <w:tc>
          <w:tcPr>
            <w:tcW w:w="1354"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精选车间</w:t>
            </w:r>
          </w:p>
        </w:tc>
        <w:tc>
          <w:tcPr>
            <w:tcW w:w="1418"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球磨机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90</w:t>
            </w:r>
          </w:p>
        </w:tc>
        <w:tc>
          <w:tcPr>
            <w:tcW w:w="777" w:type="dxa"/>
            <w:tcBorders>
              <w:tl2br w:val="nil"/>
              <w:tr2bl w:val="nil"/>
            </w:tcBorders>
            <w:vAlign w:val="bottom"/>
          </w:tcPr>
          <w:p w:rsidR="00DB7CC8" w:rsidRDefault="002B5250">
            <w:pPr>
              <w:pStyle w:val="affffe"/>
              <w:rPr>
                <w:rFonts w:eastAsia="宋体"/>
                <w:sz w:val="21"/>
                <w:szCs w:val="21"/>
              </w:rPr>
            </w:pPr>
            <w:r>
              <w:rPr>
                <w:rFonts w:eastAsia="宋体" w:hint="eastAsia"/>
                <w:sz w:val="21"/>
                <w:szCs w:val="21"/>
              </w:rPr>
              <w:t>2</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70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14</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高频筛</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85</w:t>
            </w:r>
          </w:p>
        </w:tc>
        <w:tc>
          <w:tcPr>
            <w:tcW w:w="777" w:type="dxa"/>
            <w:tcBorders>
              <w:tl2br w:val="nil"/>
              <w:tr2bl w:val="nil"/>
            </w:tcBorders>
            <w:vAlign w:val="bottom"/>
          </w:tcPr>
          <w:p w:rsidR="00DB7CC8" w:rsidRDefault="002B5250">
            <w:pPr>
              <w:pStyle w:val="affffe"/>
              <w:rPr>
                <w:rFonts w:eastAsia="宋体"/>
                <w:sz w:val="21"/>
                <w:szCs w:val="21"/>
              </w:rPr>
            </w:pPr>
            <w:r>
              <w:rPr>
                <w:rFonts w:eastAsia="宋体" w:hint="eastAsia"/>
                <w:sz w:val="21"/>
                <w:szCs w:val="21"/>
              </w:rPr>
              <w:t>24</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65</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15</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磁选机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75</w:t>
            </w:r>
          </w:p>
        </w:tc>
        <w:tc>
          <w:tcPr>
            <w:tcW w:w="777" w:type="dxa"/>
            <w:tcBorders>
              <w:tl2br w:val="nil"/>
              <w:tr2bl w:val="nil"/>
            </w:tcBorders>
            <w:vAlign w:val="bottom"/>
          </w:tcPr>
          <w:p w:rsidR="00DB7CC8" w:rsidRDefault="002B5250">
            <w:pPr>
              <w:pStyle w:val="affffe"/>
              <w:rPr>
                <w:rFonts w:eastAsia="宋体"/>
                <w:sz w:val="21"/>
                <w:szCs w:val="21"/>
              </w:rPr>
            </w:pPr>
            <w:r>
              <w:rPr>
                <w:rFonts w:eastAsia="宋体" w:hint="eastAsia"/>
                <w:sz w:val="21"/>
                <w:szCs w:val="21"/>
              </w:rPr>
              <w:t>10</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55</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16</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磁团聚</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75</w:t>
            </w:r>
          </w:p>
        </w:tc>
        <w:tc>
          <w:tcPr>
            <w:tcW w:w="777" w:type="dxa"/>
            <w:tcBorders>
              <w:tl2br w:val="nil"/>
              <w:tr2bl w:val="nil"/>
            </w:tcBorders>
            <w:vAlign w:val="bottom"/>
          </w:tcPr>
          <w:p w:rsidR="00DB7CC8" w:rsidRDefault="002B5250">
            <w:pPr>
              <w:pStyle w:val="affffe"/>
              <w:rPr>
                <w:rFonts w:eastAsia="宋体"/>
                <w:sz w:val="21"/>
                <w:szCs w:val="21"/>
              </w:rPr>
            </w:pPr>
            <w:r>
              <w:rPr>
                <w:rFonts w:eastAsia="宋体" w:hint="eastAsia"/>
                <w:sz w:val="21"/>
                <w:szCs w:val="21"/>
              </w:rPr>
              <w:t>6</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55</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17</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过滤机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80</w:t>
            </w:r>
          </w:p>
        </w:tc>
        <w:tc>
          <w:tcPr>
            <w:tcW w:w="777" w:type="dxa"/>
            <w:tcBorders>
              <w:tl2br w:val="nil"/>
              <w:tr2bl w:val="nil"/>
            </w:tcBorders>
            <w:vAlign w:val="bottom"/>
          </w:tcPr>
          <w:p w:rsidR="00DB7CC8" w:rsidRDefault="002B5250">
            <w:pPr>
              <w:pStyle w:val="affffe"/>
              <w:rPr>
                <w:rFonts w:eastAsia="宋体"/>
                <w:sz w:val="21"/>
                <w:szCs w:val="21"/>
              </w:rPr>
            </w:pPr>
            <w:r>
              <w:rPr>
                <w:rFonts w:eastAsia="宋体" w:hint="eastAsia"/>
                <w:sz w:val="21"/>
                <w:szCs w:val="21"/>
              </w:rPr>
              <w:t>2</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18</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打捞机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80</w:t>
            </w:r>
          </w:p>
        </w:tc>
        <w:tc>
          <w:tcPr>
            <w:tcW w:w="777" w:type="dxa"/>
            <w:tcBorders>
              <w:tl2br w:val="nil"/>
              <w:tr2bl w:val="nil"/>
            </w:tcBorders>
            <w:vAlign w:val="bottom"/>
          </w:tcPr>
          <w:p w:rsidR="00DB7CC8" w:rsidRDefault="002B5250">
            <w:pPr>
              <w:pStyle w:val="affffe"/>
              <w:rPr>
                <w:rFonts w:eastAsia="宋体"/>
                <w:sz w:val="21"/>
                <w:szCs w:val="21"/>
              </w:rPr>
            </w:pPr>
            <w:r>
              <w:rPr>
                <w:rFonts w:eastAsia="宋体" w:hint="eastAsia"/>
                <w:sz w:val="21"/>
                <w:szCs w:val="21"/>
              </w:rPr>
              <w:t>2</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19</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皮带输送机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70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4</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50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lastRenderedPageBreak/>
              <w:t>20</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给料机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2</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60</w:t>
            </w:r>
          </w:p>
        </w:tc>
      </w:tr>
      <w:tr w:rsidR="00DB7CC8">
        <w:trPr>
          <w:trHeight w:val="223"/>
        </w:trPr>
        <w:tc>
          <w:tcPr>
            <w:tcW w:w="597" w:type="dxa"/>
            <w:vMerge w:val="restart"/>
            <w:tcBorders>
              <w:tl2br w:val="nil"/>
              <w:tr2bl w:val="nil"/>
            </w:tcBorders>
            <w:vAlign w:val="center"/>
          </w:tcPr>
          <w:p w:rsidR="00DB7CC8" w:rsidRDefault="002B5250">
            <w:pPr>
              <w:pStyle w:val="affffe"/>
              <w:rPr>
                <w:rFonts w:eastAsia="宋体"/>
                <w:sz w:val="21"/>
                <w:szCs w:val="21"/>
              </w:rPr>
            </w:pPr>
            <w:r>
              <w:rPr>
                <w:rFonts w:eastAsia="宋体"/>
                <w:sz w:val="21"/>
                <w:szCs w:val="21"/>
              </w:rPr>
              <w:t>2</w:t>
            </w:r>
            <w:r>
              <w:rPr>
                <w:rFonts w:eastAsia="宋体" w:hint="eastAsia"/>
                <w:sz w:val="21"/>
                <w:szCs w:val="21"/>
              </w:rPr>
              <w:t>1</w:t>
            </w:r>
          </w:p>
        </w:tc>
        <w:tc>
          <w:tcPr>
            <w:tcW w:w="1354"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除尘器</w:t>
            </w: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风机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90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val="restart"/>
            <w:tcBorders>
              <w:tl2br w:val="nil"/>
              <w:tr2bl w:val="nil"/>
            </w:tcBorders>
            <w:vAlign w:val="center"/>
          </w:tcPr>
          <w:p w:rsidR="00DB7CC8" w:rsidRDefault="002B5250">
            <w:pPr>
              <w:pStyle w:val="affffe"/>
              <w:rPr>
                <w:rFonts w:eastAsia="宋体"/>
                <w:sz w:val="21"/>
                <w:szCs w:val="21"/>
              </w:rPr>
            </w:pPr>
            <w:r>
              <w:rPr>
                <w:rFonts w:eastAsia="宋体"/>
                <w:sz w:val="21"/>
                <w:szCs w:val="21"/>
              </w:rPr>
              <w:t>安装消声器，独立设备间、</w:t>
            </w:r>
            <w:r>
              <w:rPr>
                <w:rFonts w:eastAsia="宋体"/>
                <w:snapToGrid w:val="0"/>
                <w:sz w:val="21"/>
                <w:szCs w:val="21"/>
                <w:lang w:val="zh-CN"/>
              </w:rPr>
              <w:t>降噪</w:t>
            </w:r>
            <w:r>
              <w:rPr>
                <w:rFonts w:eastAsia="宋体" w:hint="eastAsia"/>
                <w:snapToGrid w:val="0"/>
                <w:sz w:val="21"/>
                <w:szCs w:val="21"/>
              </w:rPr>
              <w:t>20</w:t>
            </w:r>
            <w:r>
              <w:rPr>
                <w:rFonts w:eastAsia="宋体"/>
                <w:snapToGrid w:val="0"/>
                <w:sz w:val="21"/>
                <w:szCs w:val="21"/>
                <w:lang w:val="zh-CN"/>
              </w:rPr>
              <w:t xml:space="preserve"> dB(A)</w:t>
            </w: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70</w:t>
            </w:r>
          </w:p>
        </w:tc>
      </w:tr>
      <w:tr w:rsidR="00DB7CC8">
        <w:trPr>
          <w:trHeight w:val="223"/>
        </w:trPr>
        <w:tc>
          <w:tcPr>
            <w:tcW w:w="597" w:type="dxa"/>
            <w:vMerge/>
            <w:tcBorders>
              <w:tl2br w:val="nil"/>
              <w:tr2bl w:val="nil"/>
            </w:tcBorders>
            <w:vAlign w:val="center"/>
          </w:tcPr>
          <w:p w:rsidR="00DB7CC8" w:rsidRDefault="00DB7CC8">
            <w:pPr>
              <w:pStyle w:val="affffe"/>
              <w:rPr>
                <w:rFonts w:eastAsia="宋体"/>
                <w:sz w:val="21"/>
                <w:szCs w:val="21"/>
              </w:rPr>
            </w:pP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空压机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100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间断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80</w:t>
            </w:r>
          </w:p>
        </w:tc>
      </w:tr>
    </w:tbl>
    <w:p w:rsidR="00DB7CC8" w:rsidRDefault="00DB7CC8">
      <w:pPr>
        <w:spacing w:line="240" w:lineRule="auto"/>
        <w:ind w:firstLineChars="0" w:firstLine="0"/>
        <w:jc w:val="center"/>
        <w:textAlignment w:val="auto"/>
        <w:rPr>
          <w:rFonts w:eastAsia="黑体"/>
          <w:kern w:val="2"/>
          <w:sz w:val="21"/>
          <w:szCs w:val="21"/>
        </w:rPr>
      </w:pPr>
    </w:p>
    <w:p w:rsidR="00DB7CC8" w:rsidRDefault="002B5250">
      <w:pPr>
        <w:pStyle w:val="4"/>
        <w:rPr>
          <w:rFonts w:eastAsia="宋体"/>
          <w:b/>
        </w:rPr>
      </w:pPr>
      <w:r>
        <w:rPr>
          <w:rFonts w:eastAsia="宋体"/>
          <w:b/>
        </w:rPr>
        <w:t>3.</w:t>
      </w:r>
      <w:r>
        <w:rPr>
          <w:rFonts w:eastAsia="宋体" w:hint="eastAsia"/>
          <w:b/>
        </w:rPr>
        <w:t>4</w:t>
      </w:r>
      <w:r>
        <w:rPr>
          <w:rFonts w:eastAsia="宋体"/>
          <w:b/>
        </w:rPr>
        <w:t>.2.4</w:t>
      </w:r>
      <w:r>
        <w:rPr>
          <w:rFonts w:eastAsia="宋体"/>
          <w:b/>
        </w:rPr>
        <w:t>固体废物分析及源强核算</w:t>
      </w:r>
    </w:p>
    <w:p w:rsidR="00DB7CC8" w:rsidRDefault="002B5250">
      <w:pPr>
        <w:ind w:firstLine="480"/>
        <w:jc w:val="both"/>
        <w:rPr>
          <w:bCs/>
          <w:sz w:val="24"/>
          <w:szCs w:val="24"/>
        </w:rPr>
      </w:pPr>
      <w:r>
        <w:rPr>
          <w:bCs/>
          <w:sz w:val="24"/>
          <w:szCs w:val="24"/>
        </w:rPr>
        <w:t>建设项目投产后产生的固体废物主要为选矿产生尾矿砂、废钢球，除尘器收集的粉尘，设备保养运行产生的废机油、废油桶。</w:t>
      </w:r>
    </w:p>
    <w:p w:rsidR="00DB7CC8" w:rsidRDefault="002B5250">
      <w:pPr>
        <w:ind w:firstLine="480"/>
        <w:jc w:val="both"/>
        <w:rPr>
          <w:bCs/>
          <w:sz w:val="24"/>
          <w:szCs w:val="24"/>
        </w:rPr>
      </w:pPr>
      <w:r>
        <w:rPr>
          <w:bCs/>
          <w:sz w:val="24"/>
          <w:szCs w:val="24"/>
        </w:rPr>
        <w:t>（</w:t>
      </w:r>
      <w:r>
        <w:rPr>
          <w:rFonts w:hint="eastAsia"/>
          <w:bCs/>
          <w:sz w:val="24"/>
          <w:szCs w:val="24"/>
        </w:rPr>
        <w:t>1</w:t>
      </w:r>
      <w:r>
        <w:rPr>
          <w:bCs/>
          <w:sz w:val="24"/>
          <w:szCs w:val="24"/>
        </w:rPr>
        <w:t>）尾矿砂</w:t>
      </w:r>
    </w:p>
    <w:p w:rsidR="00DB7CC8" w:rsidRDefault="002B5250">
      <w:pPr>
        <w:ind w:firstLine="480"/>
        <w:jc w:val="both"/>
        <w:rPr>
          <w:bCs/>
          <w:sz w:val="24"/>
          <w:szCs w:val="24"/>
        </w:rPr>
      </w:pPr>
      <w:r>
        <w:rPr>
          <w:rFonts w:ascii="宋体" w:hAnsi="宋体" w:cs="宋体" w:hint="eastAsia"/>
          <w:bCs/>
          <w:sz w:val="24"/>
          <w:szCs w:val="24"/>
        </w:rPr>
        <w:t>①</w:t>
      </w:r>
      <w:r>
        <w:rPr>
          <w:bCs/>
          <w:sz w:val="24"/>
          <w:szCs w:val="24"/>
        </w:rPr>
        <w:t>尾矿砂</w:t>
      </w:r>
    </w:p>
    <w:p w:rsidR="00DB7CC8" w:rsidRDefault="002B5250">
      <w:pPr>
        <w:ind w:firstLine="480"/>
        <w:jc w:val="both"/>
        <w:rPr>
          <w:bCs/>
          <w:sz w:val="24"/>
          <w:szCs w:val="24"/>
        </w:rPr>
      </w:pPr>
      <w:r>
        <w:rPr>
          <w:bCs/>
          <w:sz w:val="24"/>
          <w:szCs w:val="24"/>
        </w:rPr>
        <w:t>尾矿砂是选矿过程中产生的固体为粉状的废渣，其组成是铁矿石内含有的没有回收的脉石（如石英、方解石等）和硫、磷等元素。本项目尾矿砂产生量为</w:t>
      </w:r>
      <w:r>
        <w:rPr>
          <w:rFonts w:hint="eastAsia"/>
          <w:bCs/>
          <w:sz w:val="24"/>
          <w:szCs w:val="24"/>
        </w:rPr>
        <w:t>349997.948</w:t>
      </w:r>
      <w:r>
        <w:rPr>
          <w:bCs/>
          <w:sz w:val="24"/>
          <w:szCs w:val="24"/>
        </w:rPr>
        <w:t>t/a</w:t>
      </w:r>
      <w:r>
        <w:rPr>
          <w:bCs/>
          <w:sz w:val="24"/>
          <w:szCs w:val="24"/>
        </w:rPr>
        <w:t>，分为粗砂和细砂。其中，粗砂为尾矿浆经旋流罐沉淀和脱水筛脱水后产生尾矿砂，产生量约为</w:t>
      </w:r>
      <w:r>
        <w:rPr>
          <w:rFonts w:hint="eastAsia"/>
          <w:sz w:val="24"/>
          <w:szCs w:val="24"/>
        </w:rPr>
        <w:t>212855.948</w:t>
      </w:r>
      <w:r>
        <w:rPr>
          <w:bCs/>
          <w:sz w:val="24"/>
          <w:szCs w:val="24"/>
        </w:rPr>
        <w:t>t/a</w:t>
      </w:r>
      <w:r>
        <w:rPr>
          <w:bCs/>
          <w:sz w:val="24"/>
          <w:szCs w:val="24"/>
        </w:rPr>
        <w:t>，全部外售至当地建材厂作为原料综合利用；细砂为旋流罐上清液和脱水筛滤液经浓密池沉淀和压滤机脱水后产生的尾矿砂，产生量约为</w:t>
      </w:r>
      <w:r>
        <w:rPr>
          <w:rFonts w:hint="eastAsia"/>
          <w:sz w:val="24"/>
          <w:szCs w:val="24"/>
        </w:rPr>
        <w:t>137142</w:t>
      </w:r>
      <w:r>
        <w:rPr>
          <w:bCs/>
          <w:sz w:val="24"/>
          <w:szCs w:val="24"/>
        </w:rPr>
        <w:t>t/a</w:t>
      </w:r>
      <w:r>
        <w:rPr>
          <w:bCs/>
          <w:sz w:val="24"/>
          <w:szCs w:val="24"/>
        </w:rPr>
        <w:t>，</w:t>
      </w:r>
      <w:r>
        <w:rPr>
          <w:sz w:val="24"/>
          <w:szCs w:val="24"/>
        </w:rPr>
        <w:t>细砂外运填坑造地</w:t>
      </w:r>
      <w:r>
        <w:rPr>
          <w:bCs/>
          <w:sz w:val="24"/>
          <w:szCs w:val="24"/>
        </w:rPr>
        <w:t>。</w:t>
      </w:r>
    </w:p>
    <w:p w:rsidR="00DB7CC8" w:rsidRDefault="002B5250">
      <w:pPr>
        <w:ind w:firstLine="480"/>
        <w:jc w:val="both"/>
        <w:rPr>
          <w:bCs/>
          <w:sz w:val="24"/>
          <w:szCs w:val="24"/>
        </w:rPr>
      </w:pPr>
      <w:r>
        <w:rPr>
          <w:bCs/>
          <w:sz w:val="24"/>
          <w:szCs w:val="24"/>
        </w:rPr>
        <w:t>③</w:t>
      </w:r>
      <w:r>
        <w:rPr>
          <w:bCs/>
          <w:sz w:val="24"/>
          <w:szCs w:val="24"/>
        </w:rPr>
        <w:t>尾砂库堆存能力分析</w:t>
      </w:r>
    </w:p>
    <w:p w:rsidR="00DB7CC8" w:rsidRDefault="002B5250">
      <w:pPr>
        <w:ind w:firstLine="480"/>
        <w:jc w:val="both"/>
        <w:rPr>
          <w:sz w:val="24"/>
        </w:rPr>
      </w:pPr>
      <w:r>
        <w:rPr>
          <w:rFonts w:hint="eastAsia"/>
          <w:sz w:val="24"/>
        </w:rPr>
        <w:t>现有工程</w:t>
      </w:r>
      <w:r>
        <w:rPr>
          <w:sz w:val="24"/>
        </w:rPr>
        <w:t>设一个尾砂库，</w:t>
      </w:r>
      <w:r>
        <w:rPr>
          <w:rFonts w:hint="eastAsia"/>
          <w:sz w:val="24"/>
        </w:rPr>
        <w:t>剩余使用</w:t>
      </w:r>
      <w:r>
        <w:rPr>
          <w:sz w:val="24"/>
          <w:szCs w:val="24"/>
        </w:rPr>
        <w:t>面积约为</w:t>
      </w:r>
      <w:r>
        <w:rPr>
          <w:rFonts w:hint="eastAsia"/>
          <w:sz w:val="24"/>
          <w:szCs w:val="24"/>
        </w:rPr>
        <w:t>600</w:t>
      </w:r>
      <w:r>
        <w:rPr>
          <w:sz w:val="24"/>
          <w:szCs w:val="24"/>
        </w:rPr>
        <w:t>m</w:t>
      </w:r>
      <w:r>
        <w:rPr>
          <w:sz w:val="24"/>
          <w:szCs w:val="24"/>
          <w:vertAlign w:val="superscript"/>
        </w:rPr>
        <w:t>2</w:t>
      </w:r>
      <w:r>
        <w:rPr>
          <w:sz w:val="24"/>
          <w:szCs w:val="24"/>
        </w:rPr>
        <w:t>，</w:t>
      </w:r>
      <w:bookmarkStart w:id="224" w:name="_Hlk535526103"/>
      <w:r>
        <w:rPr>
          <w:sz w:val="24"/>
        </w:rPr>
        <w:t>堆体下部按</w:t>
      </w:r>
      <w:r>
        <w:rPr>
          <w:sz w:val="24"/>
        </w:rPr>
        <w:t>30m×</w:t>
      </w:r>
      <w:r>
        <w:rPr>
          <w:rFonts w:hint="eastAsia"/>
          <w:sz w:val="24"/>
        </w:rPr>
        <w:t>20</w:t>
      </w:r>
      <w:r>
        <w:rPr>
          <w:sz w:val="24"/>
        </w:rPr>
        <w:t>m×1.5m</w:t>
      </w:r>
      <w:r>
        <w:rPr>
          <w:sz w:val="24"/>
        </w:rPr>
        <w:t>的立方体、上部按高度为</w:t>
      </w:r>
      <w:r>
        <w:rPr>
          <w:sz w:val="24"/>
        </w:rPr>
        <w:t>1.5m</w:t>
      </w:r>
      <w:r>
        <w:rPr>
          <w:sz w:val="24"/>
        </w:rPr>
        <w:t>的锥体计，则尾砂堆存区有效容积约为</w:t>
      </w:r>
      <w:r>
        <w:rPr>
          <w:rFonts w:hint="eastAsia"/>
          <w:sz w:val="24"/>
        </w:rPr>
        <w:t>1253.25</w:t>
      </w:r>
      <w:r>
        <w:rPr>
          <w:sz w:val="24"/>
        </w:rPr>
        <w:t>m</w:t>
      </w:r>
      <w:r>
        <w:rPr>
          <w:sz w:val="24"/>
          <w:vertAlign w:val="superscript"/>
        </w:rPr>
        <w:t>3</w:t>
      </w:r>
      <w:r>
        <w:rPr>
          <w:sz w:val="24"/>
        </w:rPr>
        <w:t>（尾矿砂堆积密度按</w:t>
      </w:r>
      <w:r>
        <w:rPr>
          <w:sz w:val="24"/>
        </w:rPr>
        <w:t>1.73t/m</w:t>
      </w:r>
      <w:r>
        <w:rPr>
          <w:sz w:val="24"/>
          <w:vertAlign w:val="superscript"/>
        </w:rPr>
        <w:t>3</w:t>
      </w:r>
      <w:r>
        <w:rPr>
          <w:sz w:val="24"/>
        </w:rPr>
        <w:t>计），最大储存量约为</w:t>
      </w:r>
      <w:r>
        <w:rPr>
          <w:rFonts w:hint="eastAsia"/>
          <w:sz w:val="24"/>
        </w:rPr>
        <w:t>2500</w:t>
      </w:r>
      <w:r>
        <w:rPr>
          <w:sz w:val="24"/>
        </w:rPr>
        <w:t>t</w:t>
      </w:r>
      <w:r>
        <w:rPr>
          <w:sz w:val="24"/>
        </w:rPr>
        <w:t>，尾矿砂每天产生量约为</w:t>
      </w:r>
      <w:r>
        <w:rPr>
          <w:rFonts w:hint="eastAsia"/>
          <w:sz w:val="24"/>
        </w:rPr>
        <w:t>1167</w:t>
      </w:r>
      <w:r>
        <w:rPr>
          <w:sz w:val="24"/>
        </w:rPr>
        <w:t>t</w:t>
      </w:r>
      <w:r>
        <w:rPr>
          <w:sz w:val="24"/>
        </w:rPr>
        <w:t>，则可储存项目</w:t>
      </w:r>
      <w:r>
        <w:rPr>
          <w:rFonts w:hint="eastAsia"/>
          <w:sz w:val="24"/>
        </w:rPr>
        <w:t>2</w:t>
      </w:r>
      <w:r>
        <w:rPr>
          <w:sz w:val="24"/>
        </w:rPr>
        <w:t>天的尾矿砂产生量</w:t>
      </w:r>
      <w:bookmarkEnd w:id="224"/>
      <w:r>
        <w:rPr>
          <w:sz w:val="24"/>
        </w:rPr>
        <w:t>。</w:t>
      </w:r>
    </w:p>
    <w:p w:rsidR="00DB7CC8" w:rsidRDefault="002B5250">
      <w:pPr>
        <w:ind w:firstLine="480"/>
        <w:jc w:val="both"/>
        <w:rPr>
          <w:bCs/>
          <w:sz w:val="24"/>
          <w:szCs w:val="24"/>
        </w:rPr>
      </w:pPr>
      <w:r>
        <w:rPr>
          <w:bCs/>
          <w:sz w:val="24"/>
          <w:szCs w:val="24"/>
        </w:rPr>
        <w:t>（</w:t>
      </w:r>
      <w:r>
        <w:rPr>
          <w:rFonts w:hint="eastAsia"/>
          <w:bCs/>
          <w:sz w:val="24"/>
          <w:szCs w:val="24"/>
        </w:rPr>
        <w:t>2</w:t>
      </w:r>
      <w:r>
        <w:rPr>
          <w:bCs/>
          <w:sz w:val="24"/>
          <w:szCs w:val="24"/>
        </w:rPr>
        <w:t>）废钢球</w:t>
      </w:r>
    </w:p>
    <w:p w:rsidR="00DB7CC8" w:rsidRDefault="002B5250">
      <w:pPr>
        <w:ind w:firstLine="480"/>
        <w:jc w:val="both"/>
        <w:rPr>
          <w:bCs/>
          <w:sz w:val="24"/>
          <w:szCs w:val="24"/>
        </w:rPr>
      </w:pPr>
      <w:r>
        <w:rPr>
          <w:bCs/>
          <w:sz w:val="24"/>
          <w:szCs w:val="24"/>
        </w:rPr>
        <w:t>球磨机使用的球磨钢球，随着钢球磨损而废弃。废钢球产生量约为</w:t>
      </w:r>
      <w:r>
        <w:rPr>
          <w:bCs/>
          <w:sz w:val="24"/>
          <w:szCs w:val="24"/>
        </w:rPr>
        <w:t>10.5t/a</w:t>
      </w:r>
      <w:r>
        <w:rPr>
          <w:bCs/>
          <w:sz w:val="24"/>
          <w:szCs w:val="24"/>
        </w:rPr>
        <w:t>，由厂家回收处理。</w:t>
      </w:r>
    </w:p>
    <w:p w:rsidR="00DB7CC8" w:rsidRDefault="002B5250">
      <w:pPr>
        <w:ind w:firstLine="480"/>
        <w:jc w:val="both"/>
        <w:rPr>
          <w:bCs/>
          <w:sz w:val="24"/>
          <w:szCs w:val="24"/>
        </w:rPr>
      </w:pPr>
      <w:r>
        <w:rPr>
          <w:bCs/>
          <w:sz w:val="24"/>
          <w:szCs w:val="24"/>
        </w:rPr>
        <w:t>（</w:t>
      </w:r>
      <w:r>
        <w:rPr>
          <w:rFonts w:hint="eastAsia"/>
          <w:bCs/>
          <w:sz w:val="24"/>
          <w:szCs w:val="24"/>
        </w:rPr>
        <w:t>3</w:t>
      </w:r>
      <w:r>
        <w:rPr>
          <w:bCs/>
          <w:sz w:val="24"/>
          <w:szCs w:val="24"/>
        </w:rPr>
        <w:t>）高效除尘器收尘</w:t>
      </w:r>
    </w:p>
    <w:p w:rsidR="00DB7CC8" w:rsidRDefault="002B5250">
      <w:pPr>
        <w:ind w:firstLine="480"/>
        <w:jc w:val="both"/>
        <w:rPr>
          <w:bCs/>
          <w:sz w:val="24"/>
          <w:szCs w:val="24"/>
        </w:rPr>
      </w:pPr>
      <w:r>
        <w:rPr>
          <w:bCs/>
          <w:sz w:val="24"/>
          <w:szCs w:val="24"/>
        </w:rPr>
        <w:t>高效除尘器收集的粉尘量为</w:t>
      </w:r>
      <w:r>
        <w:rPr>
          <w:rFonts w:hint="eastAsia"/>
          <w:bCs/>
          <w:sz w:val="24"/>
          <w:szCs w:val="24"/>
        </w:rPr>
        <w:t>510.948</w:t>
      </w:r>
      <w:r>
        <w:rPr>
          <w:bCs/>
          <w:sz w:val="24"/>
          <w:szCs w:val="24"/>
        </w:rPr>
        <w:t>t/a</w:t>
      </w:r>
      <w:r>
        <w:rPr>
          <w:bCs/>
          <w:sz w:val="24"/>
          <w:szCs w:val="24"/>
        </w:rPr>
        <w:t>，</w:t>
      </w:r>
      <w:r>
        <w:rPr>
          <w:rFonts w:hint="eastAsia"/>
          <w:spacing w:val="8"/>
          <w:sz w:val="23"/>
          <w:szCs w:val="23"/>
        </w:rPr>
        <w:t>灰仓底部设水箱，卸灰至水</w:t>
      </w:r>
      <w:r>
        <w:rPr>
          <w:rFonts w:hint="eastAsia"/>
          <w:spacing w:val="29"/>
          <w:sz w:val="23"/>
          <w:szCs w:val="23"/>
        </w:rPr>
        <w:t>箱内，由渣浆泵打入球磨机回用于生产</w:t>
      </w:r>
      <w:r>
        <w:rPr>
          <w:bCs/>
          <w:sz w:val="24"/>
          <w:szCs w:val="24"/>
        </w:rPr>
        <w:t>。</w:t>
      </w:r>
    </w:p>
    <w:p w:rsidR="00DB7CC8" w:rsidRDefault="002B5250">
      <w:pPr>
        <w:ind w:firstLine="480"/>
        <w:jc w:val="both"/>
        <w:rPr>
          <w:sz w:val="24"/>
          <w:szCs w:val="24"/>
        </w:rPr>
      </w:pPr>
      <w:r>
        <w:rPr>
          <w:bCs/>
          <w:sz w:val="24"/>
          <w:szCs w:val="24"/>
        </w:rPr>
        <w:t>本项目选矿产生的尾矿砂、除尘器收尘全部综合利用，综合利用率为</w:t>
      </w:r>
      <w:r>
        <w:rPr>
          <w:bCs/>
          <w:sz w:val="24"/>
          <w:szCs w:val="24"/>
        </w:rPr>
        <w:t>100%</w:t>
      </w:r>
      <w:r>
        <w:rPr>
          <w:bCs/>
          <w:sz w:val="24"/>
          <w:szCs w:val="24"/>
        </w:rPr>
        <w:t>，</w:t>
      </w:r>
      <w:r>
        <w:rPr>
          <w:sz w:val="24"/>
          <w:szCs w:val="24"/>
        </w:rPr>
        <w:t>达到《清洁生产标准铁矿采选业》（</w:t>
      </w:r>
      <w:r>
        <w:rPr>
          <w:sz w:val="24"/>
          <w:szCs w:val="24"/>
        </w:rPr>
        <w:t>HJ/T294-2006</w:t>
      </w:r>
      <w:r>
        <w:rPr>
          <w:sz w:val="24"/>
          <w:szCs w:val="24"/>
        </w:rPr>
        <w:t>）一级水平（废石综合利用率</w:t>
      </w:r>
      <w:r>
        <w:rPr>
          <w:sz w:val="24"/>
          <w:szCs w:val="24"/>
        </w:rPr>
        <w:t>≥30%</w:t>
      </w:r>
      <w:r>
        <w:rPr>
          <w:sz w:val="24"/>
          <w:szCs w:val="24"/>
        </w:rPr>
        <w:t>）。</w:t>
      </w:r>
    </w:p>
    <w:p w:rsidR="00DB7CC8" w:rsidRDefault="002B5250">
      <w:pPr>
        <w:ind w:firstLine="480"/>
        <w:jc w:val="both"/>
        <w:rPr>
          <w:bCs/>
          <w:sz w:val="24"/>
          <w:szCs w:val="24"/>
        </w:rPr>
      </w:pPr>
      <w:r>
        <w:rPr>
          <w:bCs/>
          <w:sz w:val="24"/>
          <w:szCs w:val="24"/>
        </w:rPr>
        <w:t>（</w:t>
      </w:r>
      <w:r>
        <w:rPr>
          <w:rFonts w:hint="eastAsia"/>
          <w:bCs/>
          <w:sz w:val="24"/>
          <w:szCs w:val="24"/>
        </w:rPr>
        <w:t>4</w:t>
      </w:r>
      <w:r>
        <w:rPr>
          <w:bCs/>
          <w:sz w:val="24"/>
          <w:szCs w:val="24"/>
        </w:rPr>
        <w:t>）废机油、废油桶</w:t>
      </w:r>
    </w:p>
    <w:p w:rsidR="00DB7CC8" w:rsidRDefault="002B5250">
      <w:pPr>
        <w:ind w:firstLine="480"/>
        <w:jc w:val="both"/>
        <w:rPr>
          <w:bCs/>
          <w:sz w:val="24"/>
          <w:szCs w:val="24"/>
        </w:rPr>
      </w:pPr>
      <w:r>
        <w:rPr>
          <w:bCs/>
          <w:sz w:val="24"/>
          <w:szCs w:val="24"/>
        </w:rPr>
        <w:t>本项目选矿过程中使用设备的运行维护保养过程中会产生废机油和废油桶，</w:t>
      </w:r>
      <w:r>
        <w:rPr>
          <w:bCs/>
          <w:sz w:val="24"/>
          <w:szCs w:val="24"/>
        </w:rPr>
        <w:lastRenderedPageBreak/>
        <w:t>产生量约为</w:t>
      </w:r>
      <w:r>
        <w:rPr>
          <w:bCs/>
          <w:sz w:val="24"/>
          <w:szCs w:val="24"/>
        </w:rPr>
        <w:t>0.3t/a</w:t>
      </w:r>
      <w:r>
        <w:rPr>
          <w:bCs/>
          <w:sz w:val="24"/>
          <w:szCs w:val="24"/>
        </w:rPr>
        <w:t>，</w:t>
      </w:r>
      <w:r>
        <w:rPr>
          <w:bCs/>
          <w:sz w:val="24"/>
          <w:szCs w:val="24"/>
          <w:lang w:val="zh-CN"/>
        </w:rPr>
        <w:t>根据《国家危险废物名录》，废机油、废油桶为危险废物，将废机油用耐腐蚀容器统一收集后与废油桶分区存于厂区危废间内，定期交由有资质的危险废物处置单位处理</w:t>
      </w:r>
      <w:r>
        <w:rPr>
          <w:bCs/>
          <w:sz w:val="24"/>
          <w:szCs w:val="24"/>
        </w:rPr>
        <w:t>。</w:t>
      </w:r>
    </w:p>
    <w:p w:rsidR="00DB7CC8" w:rsidRDefault="002B5250">
      <w:pPr>
        <w:pStyle w:val="4"/>
        <w:rPr>
          <w:rFonts w:eastAsia="宋体"/>
          <w:b/>
        </w:rPr>
      </w:pPr>
      <w:r>
        <w:rPr>
          <w:rFonts w:eastAsia="宋体"/>
          <w:b/>
        </w:rPr>
        <w:t>3.</w:t>
      </w:r>
      <w:r>
        <w:rPr>
          <w:rFonts w:eastAsia="宋体" w:hint="eastAsia"/>
          <w:b/>
        </w:rPr>
        <w:t>4</w:t>
      </w:r>
      <w:r>
        <w:rPr>
          <w:rFonts w:eastAsia="宋体"/>
          <w:b/>
        </w:rPr>
        <w:t>.2.5</w:t>
      </w:r>
      <w:r>
        <w:rPr>
          <w:rFonts w:eastAsia="宋体"/>
          <w:b/>
        </w:rPr>
        <w:t>物料运输过程中对周边环境的影响</w:t>
      </w:r>
    </w:p>
    <w:p w:rsidR="00DB7CC8" w:rsidRDefault="002B5250">
      <w:pPr>
        <w:ind w:firstLine="480"/>
        <w:jc w:val="both"/>
        <w:rPr>
          <w:sz w:val="24"/>
          <w:szCs w:val="24"/>
        </w:rPr>
      </w:pPr>
      <w:r>
        <w:rPr>
          <w:sz w:val="24"/>
          <w:szCs w:val="24"/>
        </w:rPr>
        <w:t>本项目矿石、铁精粉等运输过程中会对道路两侧的大气、声环境造成一定影响。主要为物料扬尘以及车辆噪声对周围环境的影响。</w:t>
      </w:r>
    </w:p>
    <w:p w:rsidR="00DB7CC8" w:rsidRDefault="002B5250">
      <w:pPr>
        <w:ind w:firstLine="480"/>
        <w:jc w:val="both"/>
        <w:rPr>
          <w:sz w:val="24"/>
          <w:szCs w:val="24"/>
          <w:lang w:val="zh-CN"/>
        </w:rPr>
      </w:pPr>
      <w:bookmarkStart w:id="225" w:name="_Hlk9229200"/>
      <w:r>
        <w:rPr>
          <w:rFonts w:hint="eastAsia"/>
          <w:sz w:val="24"/>
          <w:szCs w:val="24"/>
          <w:lang w:val="zh-CN"/>
        </w:rPr>
        <w:t>项目厂区内及厂区外运输道路采用混凝土硬化，原料运输车辆车斗采用苫布苫盖，苫布边缘至少要遮住槽帮上沿以下</w:t>
      </w:r>
      <w:r>
        <w:rPr>
          <w:rFonts w:hint="eastAsia"/>
          <w:sz w:val="24"/>
          <w:szCs w:val="24"/>
          <w:lang w:val="zh-CN"/>
        </w:rPr>
        <w:t>15cm</w:t>
      </w:r>
      <w:r>
        <w:rPr>
          <w:rFonts w:hint="eastAsia"/>
          <w:sz w:val="24"/>
          <w:szCs w:val="24"/>
          <w:lang w:val="zh-CN"/>
        </w:rPr>
        <w:t>，铁精粉及尾矿砂运输车辆采用封闭箱式车辆，且在项目进厂道路、主厂房出入口并设置自动洗车系统，车辆出厂时清洗车轮及车身，禁止带泥上路；项目铁精粉及尾矿砂均有一定的含水率，具有一定湿度，因此，运输道路扬尘产生量很小，对周围大气环境影响较小。</w:t>
      </w:r>
    </w:p>
    <w:p w:rsidR="00DB7CC8" w:rsidRDefault="002B5250">
      <w:pPr>
        <w:ind w:firstLine="480"/>
        <w:jc w:val="both"/>
        <w:rPr>
          <w:sz w:val="24"/>
          <w:szCs w:val="24"/>
          <w:lang w:val="zh-CN"/>
        </w:rPr>
      </w:pPr>
      <w:r>
        <w:rPr>
          <w:sz w:val="24"/>
          <w:szCs w:val="24"/>
        </w:rPr>
        <w:t>原料矿石外购遵化市</w:t>
      </w:r>
      <w:r>
        <w:rPr>
          <w:rFonts w:hint="eastAsia"/>
          <w:sz w:val="24"/>
          <w:szCs w:val="24"/>
        </w:rPr>
        <w:t>本地矿场</w:t>
      </w:r>
      <w:r>
        <w:rPr>
          <w:sz w:val="24"/>
          <w:szCs w:val="24"/>
        </w:rPr>
        <w:t>，</w:t>
      </w:r>
      <w:r>
        <w:rPr>
          <w:rFonts w:hint="eastAsia"/>
          <w:sz w:val="24"/>
          <w:szCs w:val="24"/>
          <w:lang w:val="zh-CN"/>
        </w:rPr>
        <w:t>由汽车运至本项目，原</w:t>
      </w:r>
      <w:r>
        <w:rPr>
          <w:rFonts w:hint="eastAsia"/>
          <w:sz w:val="24"/>
          <w:szCs w:val="24"/>
          <w:lang w:val="zh-CN"/>
        </w:rPr>
        <w:t>料运输过程沿线无敏感点。</w:t>
      </w:r>
    </w:p>
    <w:p w:rsidR="00DB7CC8" w:rsidRDefault="002B5250">
      <w:pPr>
        <w:ind w:firstLine="480"/>
        <w:jc w:val="both"/>
        <w:rPr>
          <w:sz w:val="24"/>
          <w:szCs w:val="24"/>
        </w:rPr>
      </w:pPr>
      <w:r>
        <w:rPr>
          <w:rFonts w:hint="eastAsia"/>
          <w:sz w:val="24"/>
          <w:szCs w:val="24"/>
          <w:lang w:val="zh-CN"/>
        </w:rPr>
        <w:t>本项目生产的铁精粉在精粉堆存区装车后，</w:t>
      </w:r>
      <w:bookmarkEnd w:id="225"/>
      <w:r>
        <w:rPr>
          <w:sz w:val="24"/>
          <w:szCs w:val="24"/>
        </w:rPr>
        <w:t>由厂区至县级公路之间为村外小路，小路周边无敏感点；原料矿石外购遵化市隆晟矿业有限公司，运输路线沿线敏感点为</w:t>
      </w:r>
      <w:r>
        <w:rPr>
          <w:sz w:val="24"/>
          <w:szCs w:val="24"/>
        </w:rPr>
        <w:t>S356</w:t>
      </w:r>
      <w:r>
        <w:rPr>
          <w:sz w:val="24"/>
          <w:szCs w:val="24"/>
        </w:rPr>
        <w:t>沿线村镇</w:t>
      </w:r>
      <w:r>
        <w:rPr>
          <w:rFonts w:hint="eastAsia"/>
          <w:sz w:val="24"/>
          <w:szCs w:val="24"/>
        </w:rPr>
        <w:t>（见图</w:t>
      </w:r>
      <w:r>
        <w:rPr>
          <w:rFonts w:hint="eastAsia"/>
          <w:sz w:val="24"/>
          <w:szCs w:val="24"/>
        </w:rPr>
        <w:t>3.</w:t>
      </w:r>
      <w:r>
        <w:rPr>
          <w:rFonts w:hint="eastAsia"/>
          <w:sz w:val="24"/>
          <w:szCs w:val="24"/>
        </w:rPr>
        <w:t>4</w:t>
      </w:r>
      <w:r>
        <w:rPr>
          <w:rFonts w:hint="eastAsia"/>
          <w:sz w:val="24"/>
          <w:szCs w:val="24"/>
        </w:rPr>
        <w:t>-1</w:t>
      </w:r>
      <w:r>
        <w:rPr>
          <w:rFonts w:hint="eastAsia"/>
          <w:sz w:val="24"/>
          <w:szCs w:val="24"/>
        </w:rPr>
        <w:t>），运输路线距村庄最近距离分别为：紧邻阎家屯村和靠山庄村，赵家庄村</w:t>
      </w:r>
      <w:r>
        <w:rPr>
          <w:rFonts w:hint="eastAsia"/>
          <w:sz w:val="24"/>
          <w:szCs w:val="24"/>
        </w:rPr>
        <w:t>250m</w:t>
      </w:r>
      <w:r>
        <w:rPr>
          <w:rFonts w:hint="eastAsia"/>
          <w:sz w:val="24"/>
          <w:szCs w:val="24"/>
        </w:rPr>
        <w:t>，大于家沟村</w:t>
      </w:r>
      <w:r>
        <w:rPr>
          <w:rFonts w:hint="eastAsia"/>
          <w:sz w:val="24"/>
          <w:szCs w:val="24"/>
        </w:rPr>
        <w:t>340m</w:t>
      </w:r>
      <w:r>
        <w:rPr>
          <w:rFonts w:hint="eastAsia"/>
          <w:sz w:val="24"/>
          <w:szCs w:val="24"/>
        </w:rPr>
        <w:t>。</w:t>
      </w:r>
      <w:r>
        <w:rPr>
          <w:sz w:val="24"/>
          <w:szCs w:val="24"/>
        </w:rPr>
        <w:t>要求运输车辆在通过时减速行驶，禁止鸣笛，减少对道路周边的空气和噪声影响。</w:t>
      </w:r>
    </w:p>
    <w:p w:rsidR="00DB7CC8" w:rsidRDefault="00DB7CC8">
      <w:pPr>
        <w:pStyle w:val="af2"/>
        <w:ind w:firstLineChars="0" w:firstLine="0"/>
        <w:rPr>
          <w:sz w:val="24"/>
          <w:szCs w:val="24"/>
        </w:rPr>
      </w:pPr>
    </w:p>
    <w:p w:rsidR="00DB7CC8" w:rsidRDefault="00DB7CC8">
      <w:pPr>
        <w:pStyle w:val="af2"/>
        <w:ind w:firstLine="480"/>
        <w:rPr>
          <w:sz w:val="24"/>
          <w:szCs w:val="24"/>
        </w:rPr>
      </w:pPr>
    </w:p>
    <w:p w:rsidR="00DB7CC8" w:rsidRDefault="00DB7CC8">
      <w:pPr>
        <w:pStyle w:val="af2"/>
        <w:ind w:firstLine="480"/>
        <w:rPr>
          <w:sz w:val="24"/>
          <w:szCs w:val="24"/>
        </w:rPr>
        <w:sectPr w:rsidR="00DB7CC8">
          <w:footerReference w:type="default" r:id="rId42"/>
          <w:pgSz w:w="11906" w:h="16838"/>
          <w:pgMar w:top="1440" w:right="1800" w:bottom="1134" w:left="1800" w:header="851" w:footer="992" w:gutter="0"/>
          <w:cols w:space="720"/>
          <w:docGrid w:linePitch="312"/>
        </w:sectPr>
      </w:pPr>
    </w:p>
    <w:p w:rsidR="00DB7CC8" w:rsidRDefault="002B5250">
      <w:pPr>
        <w:pStyle w:val="af2"/>
        <w:ind w:firstLine="560"/>
        <w:rPr>
          <w:sz w:val="24"/>
          <w:szCs w:val="24"/>
        </w:rPr>
      </w:pPr>
      <w:r>
        <w:rPr>
          <w:noProof/>
        </w:rPr>
        <w:lastRenderedPageBreak/>
        <mc:AlternateContent>
          <mc:Choice Requires="wps">
            <w:drawing>
              <wp:anchor distT="0" distB="0" distL="114300" distR="114300" simplePos="0" relativeHeight="251680768" behindDoc="0" locked="0" layoutInCell="1" allowOverlap="1">
                <wp:simplePos x="0" y="0"/>
                <wp:positionH relativeFrom="column">
                  <wp:posOffset>8902700</wp:posOffset>
                </wp:positionH>
                <wp:positionV relativeFrom="paragraph">
                  <wp:posOffset>438785</wp:posOffset>
                </wp:positionV>
                <wp:extent cx="409575" cy="1428115"/>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409575" cy="14281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B7CC8" w:rsidRDefault="002B5250">
                            <w:pPr>
                              <w:ind w:firstLineChars="0" w:firstLine="0"/>
                              <w:rPr>
                                <w:b/>
                                <w:bCs/>
                                <w:color w:val="FFFF00"/>
                                <w:sz w:val="21"/>
                                <w:szCs w:val="21"/>
                              </w:rPr>
                            </w:pPr>
                            <w:r>
                              <w:rPr>
                                <w:rFonts w:hint="eastAsia"/>
                                <w:b/>
                                <w:bCs/>
                                <w:color w:val="FFFF00"/>
                                <w:sz w:val="21"/>
                                <w:szCs w:val="21"/>
                              </w:rPr>
                              <w:t>大于家沟村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26" o:spid="_x0000_s1074" type="#_x0000_t202" style="position:absolute;left:0;text-align:left;margin-left:701pt;margin-top:34.55pt;width:32.25pt;height:112.4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" filled="f" stroked="f" strokeweight=".5pt">
                <v:textbox>
                  <w:txbxContent>
                    <w:p w:rsidR="00DB7CC8" w:rsidRDefault="002B5250">
                      <w:pPr>
                        <w:ind w:firstLineChars="0" w:firstLine="0"/>
                        <w:rPr>
                          <w:b/>
                          <w:bCs/>
                          <w:color w:val="FFFF00"/>
                          <w:sz w:val="21"/>
                          <w:szCs w:val="21"/>
                        </w:rPr>
                      </w:pPr>
                      <w:r>
                        <w:rPr>
                          <w:rFonts w:hint="eastAsia"/>
                          <w:b/>
                          <w:bCs/>
                          <w:color w:val="FFFF00"/>
                          <w:sz w:val="21"/>
                          <w:szCs w:val="21"/>
                        </w:rPr>
                        <w:t>大于家沟村</w:t>
                      </w:r>
                    </w:p>
                  </w:txbxContent>
                </v:textbox>
              </v:shape>
            </w:pict>
          </mc:Fallback>
        </mc:AlternateContent>
      </w:r>
      <w:r>
        <w:rPr>
          <w:noProof/>
        </w:rPr>
        <mc:AlternateContent>
          <mc:Choice Requires="wps">
            <w:drawing>
              <wp:anchor distT="0" distB="0" distL="114300" distR="114300" simplePos="0" relativeHeight="251679744" behindDoc="0" locked="0" layoutInCell="1" allowOverlap="1">
                <wp:simplePos x="0" y="0"/>
                <wp:positionH relativeFrom="column">
                  <wp:posOffset>1111885</wp:posOffset>
                </wp:positionH>
                <wp:positionV relativeFrom="paragraph">
                  <wp:posOffset>2647950</wp:posOffset>
                </wp:positionV>
                <wp:extent cx="1342390" cy="295275"/>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1342390"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B7CC8" w:rsidRDefault="002B5250">
                            <w:pPr>
                              <w:ind w:firstLineChars="0" w:firstLine="0"/>
                              <w:rPr>
                                <w:b/>
                                <w:bCs/>
                                <w:color w:val="FFFF00"/>
                              </w:rPr>
                            </w:pPr>
                            <w:r>
                              <w:rPr>
                                <w:rFonts w:hint="eastAsia"/>
                                <w:b/>
                                <w:bCs/>
                                <w:color w:val="FFFF00"/>
                              </w:rPr>
                              <w:t>隆晟矿业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18" o:spid="_x0000_s1075" type="#_x0000_t202" style="position:absolute;left:0;text-align:left;margin-left:87.55pt;margin-top:208.5pt;width:105.7pt;height:23.2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" filled="f" stroked="f" strokeweight=".5pt">
                <v:textbox>
                  <w:txbxContent>
                    <w:p w:rsidR="00DB7CC8" w:rsidRDefault="002B5250">
                      <w:pPr>
                        <w:ind w:firstLineChars="0" w:firstLine="0"/>
                        <w:rPr>
                          <w:b/>
                          <w:bCs/>
                          <w:color w:val="FFFF00"/>
                        </w:rPr>
                      </w:pPr>
                      <w:r>
                        <w:rPr>
                          <w:rFonts w:hint="eastAsia"/>
                          <w:b/>
                          <w:bCs/>
                          <w:color w:val="FFFF00"/>
                        </w:rPr>
                        <w:t>隆晟矿业</w:t>
                      </w:r>
                    </w:p>
                  </w:txbxContent>
                </v:textbox>
              </v:shape>
            </w:pict>
          </mc:Fallback>
        </mc:AlternateContent>
      </w:r>
      <w:r>
        <w:rPr>
          <w:noProof/>
        </w:rPr>
        <mc:AlternateContent>
          <mc:Choice Requires="wps">
            <w:drawing>
              <wp:anchor distT="0" distB="0" distL="114300" distR="114300" simplePos="0" relativeHeight="251678720" behindDoc="0" locked="0" layoutInCell="1" allowOverlap="1">
                <wp:simplePos x="0" y="0"/>
                <wp:positionH relativeFrom="column">
                  <wp:posOffset>6673850</wp:posOffset>
                </wp:positionH>
                <wp:positionV relativeFrom="paragraph">
                  <wp:posOffset>2295525</wp:posOffset>
                </wp:positionV>
                <wp:extent cx="1114425" cy="295275"/>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1114425"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B7CC8" w:rsidRDefault="002B5250">
                            <w:pPr>
                              <w:ind w:firstLineChars="0" w:firstLine="0"/>
                              <w:rPr>
                                <w:b/>
                                <w:bCs/>
                                <w:color w:val="FFFF00"/>
                              </w:rPr>
                            </w:pPr>
                            <w:r>
                              <w:rPr>
                                <w:rFonts w:hint="eastAsia"/>
                                <w:b/>
                                <w:bCs/>
                                <w:color w:val="FFFF00"/>
                              </w:rPr>
                              <w:t>靠山庄村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16" o:spid="_x0000_s1076" type="#_x0000_t202" style="position:absolute;left:0;text-align:left;margin-left:525.5pt;margin-top:180.75pt;width:87.75pt;height:23.2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" filled="f" stroked="f" strokeweight=".5pt">
                <v:textbox>
                  <w:txbxContent>
                    <w:p w:rsidR="00DB7CC8" w:rsidRDefault="002B5250">
                      <w:pPr>
                        <w:ind w:firstLineChars="0" w:firstLine="0"/>
                        <w:rPr>
                          <w:b/>
                          <w:bCs/>
                          <w:color w:val="FFFF00"/>
                        </w:rPr>
                      </w:pPr>
                      <w:r>
                        <w:rPr>
                          <w:rFonts w:hint="eastAsia"/>
                          <w:b/>
                          <w:bCs/>
                          <w:color w:val="FFFF00"/>
                        </w:rPr>
                        <w:t>靠山庄村</w:t>
                      </w:r>
                    </w:p>
                  </w:txbxContent>
                </v:textbox>
              </v:shape>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3444875</wp:posOffset>
                </wp:positionH>
                <wp:positionV relativeFrom="paragraph">
                  <wp:posOffset>3248025</wp:posOffset>
                </wp:positionV>
                <wp:extent cx="1066800" cy="295275"/>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1066800"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B7CC8" w:rsidRDefault="002B5250">
                            <w:pPr>
                              <w:ind w:firstLineChars="0" w:firstLine="0"/>
                              <w:rPr>
                                <w:b/>
                                <w:bCs/>
                                <w:color w:val="FFFF00"/>
                              </w:rPr>
                            </w:pPr>
                            <w:r>
                              <w:rPr>
                                <w:rFonts w:hint="eastAsia"/>
                                <w:b/>
                                <w:bCs/>
                                <w:color w:val="FFFF00"/>
                              </w:rPr>
                              <w:t>阎家屯村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15" o:spid="_x0000_s1077" type="#_x0000_t202" style="position:absolute;left:0;text-align:left;margin-left:271.25pt;margin-top:255.75pt;width:84pt;height:23.2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" filled="f" stroked="f" strokeweight=".5pt">
                <v:textbox>
                  <w:txbxContent>
                    <w:p w:rsidR="00DB7CC8" w:rsidRDefault="002B5250">
                      <w:pPr>
                        <w:ind w:firstLineChars="0" w:firstLine="0"/>
                        <w:rPr>
                          <w:b/>
                          <w:bCs/>
                          <w:color w:val="FFFF00"/>
                        </w:rPr>
                      </w:pPr>
                      <w:r>
                        <w:rPr>
                          <w:rFonts w:hint="eastAsia"/>
                          <w:b/>
                          <w:bCs/>
                          <w:color w:val="FFFF00"/>
                        </w:rPr>
                        <w:t>阎家屯村</w:t>
                      </w:r>
                    </w:p>
                  </w:txbxContent>
                </v:textbox>
              </v:shape>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2226310</wp:posOffset>
                </wp:positionH>
                <wp:positionV relativeFrom="paragraph">
                  <wp:posOffset>3552825</wp:posOffset>
                </wp:positionV>
                <wp:extent cx="1008380" cy="295275"/>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008380"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B7CC8" w:rsidRDefault="002B5250">
                            <w:pPr>
                              <w:ind w:firstLineChars="0" w:firstLine="0"/>
                              <w:rPr>
                                <w:b/>
                                <w:bCs/>
                                <w:color w:val="FFFF00"/>
                              </w:rPr>
                            </w:pPr>
                            <w:r>
                              <w:rPr>
                                <w:rFonts w:hint="eastAsia"/>
                                <w:b/>
                                <w:bCs/>
                                <w:color w:val="FFFF00"/>
                              </w:rPr>
                              <w:t>赵家庄村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14" o:spid="_x0000_s1078" type="#_x0000_t202" style="position:absolute;left:0;text-align:left;margin-left:175.3pt;margin-top:279.75pt;width:79.4pt;height:23.2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" filled="f" stroked="f" strokeweight=".5pt">
                <v:textbox>
                  <w:txbxContent>
                    <w:p w:rsidR="00DB7CC8" w:rsidRDefault="002B5250">
                      <w:pPr>
                        <w:ind w:firstLineChars="0" w:firstLine="0"/>
                        <w:rPr>
                          <w:b/>
                          <w:bCs/>
                          <w:color w:val="FFFF00"/>
                        </w:rPr>
                      </w:pPr>
                      <w:r>
                        <w:rPr>
                          <w:rFonts w:hint="eastAsia"/>
                          <w:b/>
                          <w:bCs/>
                          <w:color w:val="FFFF00"/>
                        </w:rPr>
                        <w:t>赵家庄村</w:t>
                      </w:r>
                    </w:p>
                  </w:txbxContent>
                </v:textbox>
              </v:shape>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column">
                  <wp:posOffset>996950</wp:posOffset>
                </wp:positionH>
                <wp:positionV relativeFrom="paragraph">
                  <wp:posOffset>3752850</wp:posOffset>
                </wp:positionV>
                <wp:extent cx="1037590" cy="295275"/>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037590"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B7CC8" w:rsidRDefault="002B5250">
                            <w:pPr>
                              <w:ind w:firstLineChars="0" w:firstLine="0"/>
                              <w:rPr>
                                <w:b/>
                                <w:bCs/>
                                <w:color w:val="FFFF00"/>
                              </w:rPr>
                            </w:pPr>
                            <w:r>
                              <w:rPr>
                                <w:rFonts w:hint="eastAsia"/>
                                <w:b/>
                                <w:bCs/>
                                <w:color w:val="FFFF00"/>
                              </w:rPr>
                              <w:t>刁庄子村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9" o:spid="_x0000_s1079" type="#_x0000_t202" style="position:absolute;left:0;text-align:left;margin-left:78.5pt;margin-top:295.5pt;width:81.7pt;height:23.2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" filled="f" stroked="f" strokeweight=".5pt">
                <v:textbox>
                  <w:txbxContent>
                    <w:p w:rsidR="00DB7CC8" w:rsidRDefault="002B5250">
                      <w:pPr>
                        <w:ind w:firstLineChars="0" w:firstLine="0"/>
                        <w:rPr>
                          <w:b/>
                          <w:bCs/>
                          <w:color w:val="FFFF00"/>
                        </w:rPr>
                      </w:pPr>
                      <w:r>
                        <w:rPr>
                          <w:rFonts w:hint="eastAsia"/>
                          <w:b/>
                          <w:bCs/>
                          <w:color w:val="FFFF00"/>
                        </w:rPr>
                        <w:t>刁庄子村</w:t>
                      </w:r>
                    </w:p>
                  </w:txbxContent>
                </v:textbox>
              </v:shape>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7597775</wp:posOffset>
                </wp:positionH>
                <wp:positionV relativeFrom="paragraph">
                  <wp:posOffset>3314700</wp:posOffset>
                </wp:positionV>
                <wp:extent cx="733425" cy="295275"/>
                <wp:effectExtent l="0" t="0" r="0" b="0"/>
                <wp:wrapNone/>
                <wp:docPr id="56" name="文本框 56"/>
                <wp:cNvGraphicFramePr/>
                <a:graphic xmlns:a="http://schemas.openxmlformats.org/drawingml/2006/main">
                  <a:graphicData uri="http://schemas.microsoft.com/office/word/2010/wordprocessingShape">
                    <wps:wsp>
                      <wps:cNvSpPr txBox="1"/>
                      <wps:spPr>
                        <a:xfrm>
                          <a:off x="8270240" y="4469130"/>
                          <a:ext cx="733425"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B7CC8" w:rsidRDefault="002B5250">
                            <w:pPr>
                              <w:ind w:firstLineChars="0" w:firstLine="0"/>
                              <w:rPr>
                                <w:b/>
                                <w:bCs/>
                                <w:color w:val="FFFF00"/>
                              </w:rPr>
                            </w:pPr>
                            <w:r>
                              <w:rPr>
                                <w:rFonts w:hint="eastAsia"/>
                                <w:b/>
                                <w:bCs/>
                                <w:color w:val="FFFF00"/>
                              </w:rPr>
                              <w:t>鑫伟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6" o:spid="_x0000_s1080" type="#_x0000_t202" style="position:absolute;left:0;text-align:left;margin-left:598.25pt;margin-top:261pt;width:57.75pt;height:23.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" filled="f" stroked="f" strokeweight=".5pt">
                <v:textbox>
                  <w:txbxContent>
                    <w:p w:rsidR="00DB7CC8" w:rsidRDefault="002B5250">
                      <w:pPr>
                        <w:ind w:firstLineChars="0" w:firstLine="0"/>
                        <w:rPr>
                          <w:b/>
                          <w:bCs/>
                          <w:color w:val="FFFF00"/>
                        </w:rPr>
                      </w:pPr>
                      <w:r>
                        <w:rPr>
                          <w:rFonts w:hint="eastAsia"/>
                          <w:b/>
                          <w:bCs/>
                          <w:color w:val="FFFF00"/>
                        </w:rPr>
                        <w:t>鑫伟</w:t>
                      </w:r>
                    </w:p>
                  </w:txbxContent>
                </v:textbox>
              </v:shape>
            </w:pict>
          </mc:Fallback>
        </mc:AlternateContent>
      </w:r>
      <w:r>
        <w:rPr>
          <w:noProof/>
        </w:rPr>
        <w:drawing>
          <wp:inline distT="0" distB="0" distL="114300" distR="114300">
            <wp:extent cx="8848725" cy="4854575"/>
            <wp:effectExtent l="0" t="0" r="9525" b="3175"/>
            <wp:docPr id="5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9"/>
                    <pic:cNvPicPr>
                      <a:picLocks noChangeAspect="1"/>
                    </pic:cNvPicPr>
                  </pic:nvPicPr>
                  <pic:blipFill>
                    <a:blip r:embed="rId43"/>
                    <a:stretch>
                      <a:fillRect/>
                    </a:stretch>
                  </pic:blipFill>
                  <pic:spPr>
                    <a:xfrm>
                      <a:off x="0" y="0"/>
                      <a:ext cx="8848725" cy="4854575"/>
                    </a:xfrm>
                    <a:prstGeom prst="rect">
                      <a:avLst/>
                    </a:prstGeom>
                    <a:noFill/>
                    <a:ln>
                      <a:noFill/>
                    </a:ln>
                  </pic:spPr>
                </pic:pic>
              </a:graphicData>
            </a:graphic>
          </wp:inline>
        </w:drawing>
      </w:r>
    </w:p>
    <w:p w:rsidR="00DB7CC8" w:rsidRDefault="002B5250">
      <w:pPr>
        <w:pStyle w:val="af2"/>
        <w:ind w:firstLine="420"/>
        <w:jc w:val="center"/>
        <w:sectPr w:rsidR="00DB7CC8">
          <w:pgSz w:w="16838" w:h="11905" w:orient="landscape"/>
          <w:pgMar w:top="1803" w:right="1440" w:bottom="1803" w:left="1134" w:header="850" w:footer="992" w:gutter="0"/>
          <w:cols w:space="0"/>
          <w:docGrid w:linePitch="312"/>
        </w:sectPr>
      </w:pPr>
      <w:r>
        <w:rPr>
          <w:rFonts w:eastAsia="黑体" w:hint="eastAsia"/>
          <w:kern w:val="2"/>
          <w:sz w:val="21"/>
          <w:szCs w:val="21"/>
        </w:rPr>
        <w:t>图</w:t>
      </w:r>
      <w:r>
        <w:rPr>
          <w:rFonts w:eastAsia="黑体" w:hint="eastAsia"/>
          <w:kern w:val="2"/>
          <w:sz w:val="21"/>
          <w:szCs w:val="21"/>
        </w:rPr>
        <w:t>3.</w:t>
      </w:r>
      <w:r>
        <w:rPr>
          <w:rFonts w:eastAsia="黑体" w:hint="eastAsia"/>
          <w:kern w:val="2"/>
          <w:sz w:val="21"/>
          <w:szCs w:val="21"/>
        </w:rPr>
        <w:t>4</w:t>
      </w:r>
      <w:r>
        <w:rPr>
          <w:rFonts w:eastAsia="黑体" w:hint="eastAsia"/>
          <w:kern w:val="2"/>
          <w:sz w:val="21"/>
          <w:szCs w:val="21"/>
        </w:rPr>
        <w:t xml:space="preserve">-1  </w:t>
      </w:r>
      <w:r>
        <w:rPr>
          <w:rFonts w:eastAsia="黑体" w:hint="eastAsia"/>
          <w:kern w:val="2"/>
          <w:sz w:val="21"/>
          <w:szCs w:val="21"/>
        </w:rPr>
        <w:t>项目物料运输路线图</w:t>
      </w:r>
    </w:p>
    <w:p w:rsidR="00DB7CC8" w:rsidRDefault="002B5250">
      <w:pPr>
        <w:pStyle w:val="4"/>
        <w:rPr>
          <w:rFonts w:eastAsia="宋体"/>
          <w:b/>
        </w:rPr>
      </w:pPr>
      <w:r>
        <w:rPr>
          <w:rFonts w:eastAsia="宋体" w:hint="eastAsia"/>
          <w:b/>
        </w:rPr>
        <w:lastRenderedPageBreak/>
        <w:t>3.</w:t>
      </w:r>
      <w:r>
        <w:rPr>
          <w:rFonts w:eastAsia="宋体" w:hint="eastAsia"/>
          <w:b/>
        </w:rPr>
        <w:t>4</w:t>
      </w:r>
      <w:r>
        <w:rPr>
          <w:rFonts w:eastAsia="宋体" w:hint="eastAsia"/>
          <w:b/>
        </w:rPr>
        <w:t>.2.6</w:t>
      </w:r>
      <w:r>
        <w:rPr>
          <w:rFonts w:eastAsia="宋体"/>
          <w:b/>
        </w:rPr>
        <w:t>非正常工况分析</w:t>
      </w:r>
    </w:p>
    <w:p w:rsidR="00DB7CC8" w:rsidRDefault="002B5250">
      <w:pPr>
        <w:ind w:firstLine="480"/>
        <w:jc w:val="both"/>
        <w:rPr>
          <w:sz w:val="24"/>
          <w:szCs w:val="24"/>
        </w:rPr>
      </w:pPr>
      <w:r>
        <w:rPr>
          <w:sz w:val="24"/>
          <w:szCs w:val="24"/>
        </w:rPr>
        <w:t>（</w:t>
      </w:r>
      <w:r>
        <w:rPr>
          <w:sz w:val="24"/>
          <w:szCs w:val="24"/>
        </w:rPr>
        <w:t>1</w:t>
      </w:r>
      <w:r>
        <w:rPr>
          <w:sz w:val="24"/>
          <w:szCs w:val="24"/>
        </w:rPr>
        <w:t>）脉冲布袋除尘器事故</w:t>
      </w:r>
    </w:p>
    <w:p w:rsidR="00DB7CC8" w:rsidRDefault="002B5250">
      <w:pPr>
        <w:ind w:firstLine="480"/>
        <w:jc w:val="both"/>
        <w:rPr>
          <w:sz w:val="24"/>
          <w:szCs w:val="24"/>
        </w:rPr>
      </w:pPr>
      <w:r>
        <w:rPr>
          <w:sz w:val="24"/>
          <w:szCs w:val="24"/>
        </w:rPr>
        <w:t>当停电或除尘器布袋损坏故障时，本项目破碎机、筛分机工序存在颗粒物非正常排放的可能性，</w:t>
      </w:r>
      <w:r>
        <w:rPr>
          <w:rFonts w:hint="eastAsia"/>
          <w:sz w:val="24"/>
          <w:szCs w:val="24"/>
        </w:rPr>
        <w:t>破碎筛分工序</w:t>
      </w:r>
      <w:r>
        <w:rPr>
          <w:sz w:val="24"/>
          <w:szCs w:val="24"/>
        </w:rPr>
        <w:t>粉尘排放量最高可达</w:t>
      </w:r>
      <w:r>
        <w:rPr>
          <w:rFonts w:hint="eastAsia"/>
          <w:sz w:val="24"/>
          <w:szCs w:val="24"/>
        </w:rPr>
        <w:t>71.25</w:t>
      </w:r>
      <w:r>
        <w:rPr>
          <w:sz w:val="24"/>
          <w:szCs w:val="24"/>
        </w:rPr>
        <w:t>kg/h</w:t>
      </w:r>
      <w:r>
        <w:rPr>
          <w:sz w:val="24"/>
          <w:szCs w:val="24"/>
        </w:rPr>
        <w:t>，每年按最大两次，对周边大气环境将产生一定程度不良影响。为避免上述非正常排放的发生，本项目采用双路供电，并加强日常对除尘器设备及布袋的维护，加强日常检查和管理，及时发现设备故障等事故排放情况，采取措施可将环境影响降到最低。</w:t>
      </w:r>
    </w:p>
    <w:p w:rsidR="00DB7CC8" w:rsidRDefault="002B5250">
      <w:pPr>
        <w:ind w:firstLine="480"/>
        <w:jc w:val="both"/>
        <w:rPr>
          <w:sz w:val="24"/>
          <w:szCs w:val="24"/>
        </w:rPr>
      </w:pPr>
      <w:r>
        <w:rPr>
          <w:sz w:val="24"/>
          <w:szCs w:val="24"/>
        </w:rPr>
        <w:t>（</w:t>
      </w:r>
      <w:r>
        <w:rPr>
          <w:sz w:val="24"/>
          <w:szCs w:val="24"/>
        </w:rPr>
        <w:t>2</w:t>
      </w:r>
      <w:r>
        <w:rPr>
          <w:sz w:val="24"/>
          <w:szCs w:val="24"/>
        </w:rPr>
        <w:t>）球磨机、磁选机、高频筛等设备故障</w:t>
      </w:r>
    </w:p>
    <w:p w:rsidR="00DB7CC8" w:rsidRDefault="002B5250">
      <w:pPr>
        <w:ind w:firstLine="480"/>
        <w:jc w:val="both"/>
        <w:rPr>
          <w:sz w:val="24"/>
          <w:szCs w:val="24"/>
        </w:rPr>
      </w:pPr>
      <w:r>
        <w:rPr>
          <w:sz w:val="24"/>
          <w:szCs w:val="24"/>
        </w:rPr>
        <w:t>当球磨机、磁选机、高频筛等设备出现故障时，存在废矿浆非正常排放的可能性，其</w:t>
      </w:r>
      <w:r>
        <w:rPr>
          <w:rFonts w:hint="eastAsia"/>
          <w:sz w:val="24"/>
          <w:szCs w:val="24"/>
        </w:rPr>
        <w:t>单台设备</w:t>
      </w:r>
      <w:r>
        <w:rPr>
          <w:sz w:val="24"/>
          <w:szCs w:val="24"/>
        </w:rPr>
        <w:t>排放量最高可达</w:t>
      </w:r>
      <w:r>
        <w:rPr>
          <w:sz w:val="24"/>
          <w:szCs w:val="24"/>
        </w:rPr>
        <w:t>15.58m</w:t>
      </w:r>
      <w:r>
        <w:rPr>
          <w:sz w:val="24"/>
          <w:szCs w:val="24"/>
          <w:vertAlign w:val="superscript"/>
        </w:rPr>
        <w:t>3</w:t>
      </w:r>
      <w:r>
        <w:rPr>
          <w:sz w:val="24"/>
          <w:szCs w:val="24"/>
        </w:rPr>
        <w:t>/</w:t>
      </w:r>
      <w:r>
        <w:rPr>
          <w:sz w:val="24"/>
          <w:szCs w:val="24"/>
        </w:rPr>
        <w:t>次，若不设事故池收集将对区域地下水环境产生一定程度不良影响。为避免上述非正常排放的发生，本项目需加强日常对生产设备球磨机、磁选机、高频筛等设备的维护，避免非正常事故的发生，并在</w:t>
      </w:r>
      <w:r>
        <w:rPr>
          <w:rFonts w:hint="eastAsia"/>
          <w:sz w:val="24"/>
          <w:szCs w:val="24"/>
        </w:rPr>
        <w:t>精选车间、破碎粗选车间各</w:t>
      </w:r>
      <w:r>
        <w:rPr>
          <w:sz w:val="24"/>
          <w:szCs w:val="24"/>
        </w:rPr>
        <w:t>设置</w:t>
      </w:r>
      <w:r>
        <w:rPr>
          <w:rFonts w:hint="eastAsia"/>
          <w:sz w:val="24"/>
          <w:szCs w:val="24"/>
        </w:rPr>
        <w:t>1</w:t>
      </w:r>
      <w:r>
        <w:rPr>
          <w:rFonts w:hint="eastAsia"/>
          <w:sz w:val="24"/>
          <w:szCs w:val="24"/>
        </w:rPr>
        <w:t>座</w:t>
      </w:r>
      <w:r>
        <w:rPr>
          <w:sz w:val="24"/>
          <w:szCs w:val="24"/>
        </w:rPr>
        <w:t>事故池（事故池容积为</w:t>
      </w:r>
      <w:r>
        <w:rPr>
          <w:rFonts w:hint="eastAsia"/>
          <w:sz w:val="24"/>
          <w:szCs w:val="24"/>
        </w:rPr>
        <w:t>25</w:t>
      </w:r>
      <w:r>
        <w:rPr>
          <w:sz w:val="24"/>
          <w:szCs w:val="24"/>
        </w:rPr>
        <w:t>m</w:t>
      </w:r>
      <w:r>
        <w:rPr>
          <w:sz w:val="24"/>
          <w:szCs w:val="24"/>
          <w:vertAlign w:val="superscript"/>
        </w:rPr>
        <w:t>3</w:t>
      </w:r>
      <w:r>
        <w:rPr>
          <w:sz w:val="24"/>
          <w:szCs w:val="24"/>
        </w:rPr>
        <w:t>），将事故排放废水收集后排入浓密机沉淀处理后回用，将事故对环境的影响降到最低。</w:t>
      </w:r>
    </w:p>
    <w:p w:rsidR="00DB7CC8" w:rsidRDefault="002B5250">
      <w:pPr>
        <w:pStyle w:val="3"/>
        <w:numPr>
          <w:ilvl w:val="2"/>
          <w:numId w:val="1"/>
        </w:numPr>
        <w:rPr>
          <w:szCs w:val="28"/>
        </w:rPr>
      </w:pPr>
      <w:bookmarkStart w:id="226" w:name="_Toc521591770"/>
      <w:bookmarkStart w:id="227" w:name="_Toc28127"/>
      <w:bookmarkStart w:id="228" w:name="_Hlk18932937"/>
      <w:r>
        <w:rPr>
          <w:szCs w:val="28"/>
        </w:rPr>
        <w:t>项目主要污染物产排放情况汇总</w:t>
      </w:r>
      <w:bookmarkEnd w:id="226"/>
      <w:bookmarkEnd w:id="227"/>
    </w:p>
    <w:p w:rsidR="00DB7CC8" w:rsidRDefault="002B5250">
      <w:pPr>
        <w:ind w:firstLine="480"/>
        <w:jc w:val="both"/>
        <w:rPr>
          <w:sz w:val="24"/>
        </w:rPr>
      </w:pPr>
      <w:r>
        <w:rPr>
          <w:sz w:val="24"/>
        </w:rPr>
        <w:t>本项目主要污染物产排情况汇总见表</w:t>
      </w:r>
      <w:r>
        <w:rPr>
          <w:sz w:val="24"/>
        </w:rPr>
        <w:t>3.</w:t>
      </w:r>
      <w:r>
        <w:rPr>
          <w:rFonts w:hint="eastAsia"/>
          <w:sz w:val="24"/>
        </w:rPr>
        <w:t>4</w:t>
      </w:r>
      <w:r>
        <w:rPr>
          <w:sz w:val="24"/>
        </w:rPr>
        <w:t>-8</w:t>
      </w:r>
      <w:r>
        <w:rPr>
          <w:sz w:val="24"/>
        </w:rPr>
        <w:t>。</w:t>
      </w:r>
    </w:p>
    <w:p w:rsidR="00DB7CC8" w:rsidRDefault="00DB7CC8">
      <w:pPr>
        <w:ind w:firstLine="560"/>
        <w:sectPr w:rsidR="00DB7CC8">
          <w:pgSz w:w="11905" w:h="16838"/>
          <w:pgMar w:top="1440" w:right="1803" w:bottom="1134" w:left="1803" w:header="850" w:footer="992" w:gutter="0"/>
          <w:cols w:space="0"/>
          <w:docGrid w:linePitch="312"/>
        </w:sectPr>
      </w:pP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lastRenderedPageBreak/>
        <w:t>表</w:t>
      </w:r>
      <w:r>
        <w:rPr>
          <w:rFonts w:eastAsia="黑体"/>
          <w:kern w:val="2"/>
          <w:sz w:val="21"/>
          <w:szCs w:val="21"/>
        </w:rPr>
        <w:t>3.</w:t>
      </w:r>
      <w:r>
        <w:rPr>
          <w:rFonts w:eastAsia="黑体" w:hint="eastAsia"/>
          <w:kern w:val="2"/>
          <w:sz w:val="21"/>
          <w:szCs w:val="21"/>
        </w:rPr>
        <w:t>4</w:t>
      </w:r>
      <w:r>
        <w:rPr>
          <w:rFonts w:eastAsia="黑体"/>
          <w:kern w:val="2"/>
          <w:sz w:val="21"/>
          <w:szCs w:val="21"/>
        </w:rPr>
        <w:t>-8</w:t>
      </w:r>
      <w:r>
        <w:rPr>
          <w:rFonts w:eastAsia="黑体" w:hint="eastAsia"/>
          <w:kern w:val="2"/>
          <w:sz w:val="21"/>
          <w:szCs w:val="21"/>
        </w:rPr>
        <w:t xml:space="preserve">   </w:t>
      </w:r>
      <w:r>
        <w:rPr>
          <w:rFonts w:eastAsia="黑体"/>
          <w:kern w:val="2"/>
          <w:sz w:val="21"/>
          <w:szCs w:val="21"/>
        </w:rPr>
        <w:t>主要污染物产排情况汇总</w:t>
      </w:r>
    </w:p>
    <w:tbl>
      <w:tblPr>
        <w:tblW w:w="13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95"/>
        <w:gridCol w:w="1560"/>
        <w:gridCol w:w="992"/>
        <w:gridCol w:w="1017"/>
        <w:gridCol w:w="1364"/>
        <w:gridCol w:w="5273"/>
        <w:gridCol w:w="993"/>
        <w:gridCol w:w="1112"/>
        <w:gridCol w:w="956"/>
      </w:tblGrid>
      <w:tr w:rsidR="00DB7CC8">
        <w:trPr>
          <w:trHeight w:val="283"/>
          <w:tblHeader/>
        </w:trPr>
        <w:tc>
          <w:tcPr>
            <w:tcW w:w="595" w:type="dxa"/>
            <w:tcBorders>
              <w:tl2br w:val="nil"/>
              <w:tr2bl w:val="nil"/>
            </w:tcBorders>
            <w:vAlign w:val="center"/>
          </w:tcPr>
          <w:bookmarkEnd w:id="228"/>
          <w:p w:rsidR="00DB7CC8" w:rsidRDefault="002B5250">
            <w:pPr>
              <w:spacing w:line="240" w:lineRule="auto"/>
              <w:ind w:firstLineChars="0" w:firstLine="0"/>
              <w:jc w:val="center"/>
              <w:rPr>
                <w:b/>
                <w:sz w:val="20"/>
              </w:rPr>
            </w:pPr>
            <w:r>
              <w:rPr>
                <w:b/>
                <w:sz w:val="20"/>
              </w:rPr>
              <w:t>类别</w:t>
            </w:r>
          </w:p>
        </w:tc>
        <w:tc>
          <w:tcPr>
            <w:tcW w:w="1560" w:type="dxa"/>
            <w:tcBorders>
              <w:tl2br w:val="nil"/>
              <w:tr2bl w:val="nil"/>
            </w:tcBorders>
            <w:vAlign w:val="center"/>
          </w:tcPr>
          <w:p w:rsidR="00DB7CC8" w:rsidRDefault="002B5250">
            <w:pPr>
              <w:spacing w:line="240" w:lineRule="auto"/>
              <w:ind w:firstLineChars="0" w:firstLine="0"/>
              <w:jc w:val="center"/>
              <w:rPr>
                <w:b/>
                <w:sz w:val="20"/>
              </w:rPr>
            </w:pPr>
            <w:r>
              <w:rPr>
                <w:b/>
                <w:sz w:val="20"/>
              </w:rPr>
              <w:t>污染源</w:t>
            </w:r>
          </w:p>
        </w:tc>
        <w:tc>
          <w:tcPr>
            <w:tcW w:w="992" w:type="dxa"/>
            <w:tcBorders>
              <w:tl2br w:val="nil"/>
              <w:tr2bl w:val="nil"/>
            </w:tcBorders>
            <w:vAlign w:val="center"/>
          </w:tcPr>
          <w:p w:rsidR="00DB7CC8" w:rsidRDefault="002B5250">
            <w:pPr>
              <w:spacing w:line="240" w:lineRule="auto"/>
              <w:ind w:firstLineChars="0" w:firstLine="0"/>
              <w:jc w:val="center"/>
              <w:rPr>
                <w:b/>
                <w:sz w:val="20"/>
              </w:rPr>
            </w:pPr>
            <w:r>
              <w:rPr>
                <w:b/>
                <w:sz w:val="20"/>
              </w:rPr>
              <w:t>污染物</w:t>
            </w:r>
          </w:p>
        </w:tc>
        <w:tc>
          <w:tcPr>
            <w:tcW w:w="1017" w:type="dxa"/>
            <w:tcBorders>
              <w:tl2br w:val="nil"/>
              <w:tr2bl w:val="nil"/>
            </w:tcBorders>
            <w:vAlign w:val="center"/>
          </w:tcPr>
          <w:p w:rsidR="00DB7CC8" w:rsidRDefault="002B5250">
            <w:pPr>
              <w:spacing w:line="240" w:lineRule="auto"/>
              <w:ind w:firstLineChars="0" w:firstLine="0"/>
              <w:jc w:val="center"/>
              <w:rPr>
                <w:b/>
                <w:sz w:val="20"/>
              </w:rPr>
            </w:pPr>
            <w:r>
              <w:rPr>
                <w:b/>
                <w:sz w:val="20"/>
              </w:rPr>
              <w:t>产生浓度</w:t>
            </w:r>
          </w:p>
        </w:tc>
        <w:tc>
          <w:tcPr>
            <w:tcW w:w="1364" w:type="dxa"/>
            <w:tcBorders>
              <w:tl2br w:val="nil"/>
              <w:tr2bl w:val="nil"/>
            </w:tcBorders>
            <w:vAlign w:val="center"/>
          </w:tcPr>
          <w:p w:rsidR="00DB7CC8" w:rsidRDefault="002B5250">
            <w:pPr>
              <w:spacing w:line="240" w:lineRule="auto"/>
              <w:ind w:firstLineChars="0" w:firstLine="0"/>
              <w:jc w:val="center"/>
              <w:rPr>
                <w:b/>
                <w:sz w:val="20"/>
              </w:rPr>
            </w:pPr>
            <w:r>
              <w:rPr>
                <w:b/>
                <w:sz w:val="20"/>
              </w:rPr>
              <w:t>产生量</w:t>
            </w:r>
          </w:p>
        </w:tc>
        <w:tc>
          <w:tcPr>
            <w:tcW w:w="5273" w:type="dxa"/>
            <w:tcBorders>
              <w:tl2br w:val="nil"/>
              <w:tr2bl w:val="nil"/>
            </w:tcBorders>
            <w:vAlign w:val="center"/>
          </w:tcPr>
          <w:p w:rsidR="00DB7CC8" w:rsidRDefault="002B5250">
            <w:pPr>
              <w:spacing w:line="240" w:lineRule="auto"/>
              <w:ind w:firstLineChars="0" w:firstLine="0"/>
              <w:jc w:val="center"/>
              <w:rPr>
                <w:b/>
                <w:sz w:val="20"/>
              </w:rPr>
            </w:pPr>
            <w:r>
              <w:rPr>
                <w:b/>
                <w:sz w:val="20"/>
              </w:rPr>
              <w:t>治理措施</w:t>
            </w:r>
          </w:p>
        </w:tc>
        <w:tc>
          <w:tcPr>
            <w:tcW w:w="993" w:type="dxa"/>
            <w:tcBorders>
              <w:tl2br w:val="nil"/>
              <w:tr2bl w:val="nil"/>
            </w:tcBorders>
            <w:vAlign w:val="center"/>
          </w:tcPr>
          <w:p w:rsidR="00DB7CC8" w:rsidRDefault="002B5250">
            <w:pPr>
              <w:spacing w:line="240" w:lineRule="auto"/>
              <w:ind w:firstLineChars="0" w:firstLine="0"/>
              <w:jc w:val="center"/>
              <w:rPr>
                <w:b/>
                <w:sz w:val="20"/>
              </w:rPr>
            </w:pPr>
            <w:r>
              <w:rPr>
                <w:b/>
                <w:sz w:val="20"/>
              </w:rPr>
              <w:t>排放浓度</w:t>
            </w:r>
          </w:p>
        </w:tc>
        <w:tc>
          <w:tcPr>
            <w:tcW w:w="1112" w:type="dxa"/>
            <w:tcBorders>
              <w:tl2br w:val="nil"/>
              <w:tr2bl w:val="nil"/>
            </w:tcBorders>
            <w:vAlign w:val="center"/>
          </w:tcPr>
          <w:p w:rsidR="00DB7CC8" w:rsidRDefault="002B5250">
            <w:pPr>
              <w:spacing w:line="240" w:lineRule="auto"/>
              <w:ind w:firstLineChars="0" w:firstLine="0"/>
              <w:jc w:val="center"/>
              <w:rPr>
                <w:b/>
                <w:sz w:val="20"/>
              </w:rPr>
            </w:pPr>
            <w:r>
              <w:rPr>
                <w:b/>
                <w:sz w:val="20"/>
              </w:rPr>
              <w:t>排放速率</w:t>
            </w:r>
          </w:p>
        </w:tc>
        <w:tc>
          <w:tcPr>
            <w:tcW w:w="956" w:type="dxa"/>
            <w:tcBorders>
              <w:tl2br w:val="nil"/>
              <w:tr2bl w:val="nil"/>
            </w:tcBorders>
            <w:vAlign w:val="center"/>
          </w:tcPr>
          <w:p w:rsidR="00DB7CC8" w:rsidRDefault="002B5250">
            <w:pPr>
              <w:spacing w:line="240" w:lineRule="auto"/>
              <w:ind w:firstLineChars="0" w:firstLine="0"/>
              <w:jc w:val="center"/>
              <w:rPr>
                <w:b/>
                <w:sz w:val="20"/>
              </w:rPr>
            </w:pPr>
            <w:r>
              <w:rPr>
                <w:b/>
                <w:sz w:val="20"/>
              </w:rPr>
              <w:t>年排放量</w:t>
            </w:r>
          </w:p>
        </w:tc>
      </w:tr>
      <w:tr w:rsidR="00DB7CC8">
        <w:trPr>
          <w:trHeight w:val="283"/>
          <w:tblHeader/>
        </w:trPr>
        <w:tc>
          <w:tcPr>
            <w:tcW w:w="595" w:type="dxa"/>
            <w:vMerge w:val="restart"/>
            <w:tcBorders>
              <w:tl2br w:val="nil"/>
              <w:tr2bl w:val="nil"/>
            </w:tcBorders>
            <w:vAlign w:val="center"/>
          </w:tcPr>
          <w:p w:rsidR="00DB7CC8" w:rsidRDefault="002B5250">
            <w:pPr>
              <w:spacing w:line="240" w:lineRule="auto"/>
              <w:ind w:firstLineChars="0" w:firstLine="0"/>
              <w:jc w:val="center"/>
              <w:rPr>
                <w:sz w:val="20"/>
              </w:rPr>
            </w:pPr>
            <w:r>
              <w:rPr>
                <w:sz w:val="20"/>
              </w:rPr>
              <w:t>废气</w:t>
            </w:r>
          </w:p>
        </w:tc>
        <w:tc>
          <w:tcPr>
            <w:tcW w:w="1560" w:type="dxa"/>
            <w:vMerge w:val="restart"/>
            <w:tcBorders>
              <w:tl2br w:val="nil"/>
              <w:tr2bl w:val="nil"/>
            </w:tcBorders>
            <w:vAlign w:val="center"/>
          </w:tcPr>
          <w:p w:rsidR="00DB7CC8" w:rsidRDefault="002B5250">
            <w:pPr>
              <w:spacing w:line="240" w:lineRule="auto"/>
              <w:ind w:firstLineChars="0" w:firstLine="0"/>
              <w:jc w:val="center"/>
              <w:rPr>
                <w:sz w:val="20"/>
              </w:rPr>
            </w:pPr>
            <w:r>
              <w:rPr>
                <w:rFonts w:hint="eastAsia"/>
                <w:sz w:val="20"/>
              </w:rPr>
              <w:t>3</w:t>
            </w:r>
            <w:r>
              <w:rPr>
                <w:sz w:val="20"/>
              </w:rPr>
              <w:t>#</w:t>
            </w:r>
            <w:r>
              <w:rPr>
                <w:sz w:val="20"/>
              </w:rPr>
              <w:t>破碎</w:t>
            </w:r>
            <w:r>
              <w:rPr>
                <w:rFonts w:hint="eastAsia"/>
                <w:sz w:val="20"/>
              </w:rPr>
              <w:t>粗选</w:t>
            </w:r>
            <w:r>
              <w:rPr>
                <w:sz w:val="20"/>
              </w:rPr>
              <w:t>车间</w:t>
            </w:r>
          </w:p>
        </w:tc>
        <w:tc>
          <w:tcPr>
            <w:tcW w:w="992" w:type="dxa"/>
            <w:vMerge w:val="restart"/>
            <w:tcBorders>
              <w:tl2br w:val="nil"/>
              <w:tr2bl w:val="nil"/>
            </w:tcBorders>
            <w:vAlign w:val="center"/>
          </w:tcPr>
          <w:p w:rsidR="00DB7CC8" w:rsidRDefault="002B5250">
            <w:pPr>
              <w:spacing w:line="240" w:lineRule="auto"/>
              <w:ind w:firstLineChars="0" w:firstLine="0"/>
              <w:jc w:val="center"/>
              <w:rPr>
                <w:sz w:val="20"/>
              </w:rPr>
            </w:pPr>
            <w:r>
              <w:rPr>
                <w:sz w:val="20"/>
              </w:rPr>
              <w:t>颗粒物</w:t>
            </w:r>
          </w:p>
        </w:tc>
        <w:tc>
          <w:tcPr>
            <w:tcW w:w="1017" w:type="dxa"/>
            <w:tcBorders>
              <w:tl2br w:val="nil"/>
              <w:tr2bl w:val="nil"/>
            </w:tcBorders>
            <w:vAlign w:val="center"/>
          </w:tcPr>
          <w:p w:rsidR="00DB7CC8" w:rsidRDefault="002B5250">
            <w:pPr>
              <w:spacing w:line="240" w:lineRule="auto"/>
              <w:ind w:firstLineChars="0" w:firstLine="0"/>
              <w:jc w:val="center"/>
              <w:rPr>
                <w:sz w:val="20"/>
              </w:rPr>
            </w:pPr>
            <w:r>
              <w:rPr>
                <w:rFonts w:hint="eastAsia"/>
                <w:sz w:val="20"/>
              </w:rPr>
              <w:t>1425</w:t>
            </w:r>
            <w:r>
              <w:rPr>
                <w:sz w:val="20"/>
              </w:rPr>
              <w:t>mg/m</w:t>
            </w:r>
            <w:r>
              <w:rPr>
                <w:sz w:val="20"/>
                <w:vertAlign w:val="superscript"/>
              </w:rPr>
              <w:t>3</w:t>
            </w:r>
          </w:p>
        </w:tc>
        <w:tc>
          <w:tcPr>
            <w:tcW w:w="1364" w:type="dxa"/>
            <w:tcBorders>
              <w:tl2br w:val="nil"/>
              <w:tr2bl w:val="nil"/>
            </w:tcBorders>
            <w:vAlign w:val="center"/>
          </w:tcPr>
          <w:p w:rsidR="00DB7CC8" w:rsidRDefault="002B5250">
            <w:pPr>
              <w:spacing w:line="240" w:lineRule="auto"/>
              <w:ind w:firstLineChars="0" w:firstLine="0"/>
              <w:jc w:val="center"/>
              <w:rPr>
                <w:sz w:val="20"/>
              </w:rPr>
            </w:pPr>
            <w:r>
              <w:rPr>
                <w:rFonts w:hint="eastAsia"/>
                <w:sz w:val="20"/>
              </w:rPr>
              <w:t>540</w:t>
            </w:r>
            <w:r>
              <w:rPr>
                <w:sz w:val="20"/>
              </w:rPr>
              <w:t>t/a</w:t>
            </w:r>
          </w:p>
        </w:tc>
        <w:tc>
          <w:tcPr>
            <w:tcW w:w="5273" w:type="dxa"/>
            <w:tcBorders>
              <w:tl2br w:val="nil"/>
              <w:tr2bl w:val="nil"/>
            </w:tcBorders>
            <w:vAlign w:val="center"/>
          </w:tcPr>
          <w:p w:rsidR="00DB7CC8" w:rsidRDefault="002B5250">
            <w:pPr>
              <w:spacing w:line="240" w:lineRule="auto"/>
              <w:ind w:firstLineChars="0" w:firstLine="0"/>
              <w:jc w:val="center"/>
              <w:rPr>
                <w:sz w:val="20"/>
              </w:rPr>
            </w:pPr>
            <w:r>
              <w:rPr>
                <w:sz w:val="20"/>
              </w:rPr>
              <w:t>集气罩收集后，经脉冲除尘器处理后，由</w:t>
            </w:r>
            <w:r>
              <w:rPr>
                <w:sz w:val="20"/>
              </w:rPr>
              <w:t>1</w:t>
            </w:r>
            <w:r>
              <w:rPr>
                <w:rFonts w:hint="eastAsia"/>
                <w:sz w:val="20"/>
              </w:rPr>
              <w:t>8</w:t>
            </w:r>
            <w:r>
              <w:rPr>
                <w:sz w:val="20"/>
              </w:rPr>
              <w:t>m</w:t>
            </w:r>
            <w:r>
              <w:rPr>
                <w:sz w:val="20"/>
              </w:rPr>
              <w:t>高排气筒排放。</w:t>
            </w:r>
          </w:p>
        </w:tc>
        <w:tc>
          <w:tcPr>
            <w:tcW w:w="993" w:type="dxa"/>
            <w:tcBorders>
              <w:tl2br w:val="nil"/>
              <w:tr2bl w:val="nil"/>
            </w:tcBorders>
            <w:vAlign w:val="center"/>
          </w:tcPr>
          <w:p w:rsidR="00DB7CC8" w:rsidRDefault="002B5250">
            <w:pPr>
              <w:spacing w:line="240" w:lineRule="auto"/>
              <w:ind w:firstLineChars="0" w:firstLine="0"/>
              <w:jc w:val="center"/>
              <w:rPr>
                <w:sz w:val="20"/>
              </w:rPr>
            </w:pPr>
            <w:r>
              <w:rPr>
                <w:rFonts w:hint="eastAsia"/>
                <w:sz w:val="20"/>
              </w:rPr>
              <w:t>5.7</w:t>
            </w:r>
            <w:r>
              <w:rPr>
                <w:sz w:val="20"/>
              </w:rPr>
              <w:t>mg/m</w:t>
            </w:r>
            <w:r>
              <w:rPr>
                <w:sz w:val="20"/>
                <w:vertAlign w:val="superscript"/>
              </w:rPr>
              <w:t>3</w:t>
            </w:r>
          </w:p>
        </w:tc>
        <w:tc>
          <w:tcPr>
            <w:tcW w:w="1112" w:type="dxa"/>
            <w:tcBorders>
              <w:tl2br w:val="nil"/>
              <w:tr2bl w:val="nil"/>
            </w:tcBorders>
            <w:vAlign w:val="center"/>
          </w:tcPr>
          <w:p w:rsidR="00DB7CC8" w:rsidRDefault="002B5250">
            <w:pPr>
              <w:spacing w:line="240" w:lineRule="auto"/>
              <w:ind w:firstLineChars="0" w:firstLine="0"/>
              <w:jc w:val="center"/>
              <w:rPr>
                <w:sz w:val="20"/>
              </w:rPr>
            </w:pPr>
            <w:r>
              <w:rPr>
                <w:sz w:val="20"/>
              </w:rPr>
              <w:t>0.</w:t>
            </w:r>
            <w:r>
              <w:rPr>
                <w:rFonts w:hint="eastAsia"/>
                <w:sz w:val="20"/>
              </w:rPr>
              <w:t>285</w:t>
            </w:r>
            <w:r>
              <w:rPr>
                <w:sz w:val="20"/>
              </w:rPr>
              <w:t>kg/h</w:t>
            </w:r>
          </w:p>
        </w:tc>
        <w:tc>
          <w:tcPr>
            <w:tcW w:w="956" w:type="dxa"/>
            <w:tcBorders>
              <w:tl2br w:val="nil"/>
              <w:tr2bl w:val="nil"/>
            </w:tcBorders>
            <w:vAlign w:val="center"/>
          </w:tcPr>
          <w:p w:rsidR="00DB7CC8" w:rsidRDefault="002B5250">
            <w:pPr>
              <w:spacing w:line="240" w:lineRule="auto"/>
              <w:ind w:firstLineChars="0" w:firstLine="0"/>
              <w:jc w:val="center"/>
              <w:rPr>
                <w:sz w:val="20"/>
              </w:rPr>
            </w:pPr>
            <w:r>
              <w:rPr>
                <w:rFonts w:hint="eastAsia"/>
                <w:sz w:val="20"/>
              </w:rPr>
              <w:t>2.052</w:t>
            </w:r>
            <w:r>
              <w:rPr>
                <w:sz w:val="20"/>
              </w:rPr>
              <w:t>t/a</w:t>
            </w:r>
          </w:p>
        </w:tc>
      </w:tr>
      <w:tr w:rsidR="00DB7CC8">
        <w:trPr>
          <w:trHeight w:val="283"/>
          <w:tblHeader/>
        </w:trPr>
        <w:tc>
          <w:tcPr>
            <w:tcW w:w="595" w:type="dxa"/>
            <w:vMerge/>
            <w:tcBorders>
              <w:tl2br w:val="nil"/>
              <w:tr2bl w:val="nil"/>
            </w:tcBorders>
            <w:vAlign w:val="center"/>
          </w:tcPr>
          <w:p w:rsidR="00DB7CC8" w:rsidRDefault="00DB7CC8">
            <w:pPr>
              <w:spacing w:line="240" w:lineRule="auto"/>
              <w:ind w:firstLineChars="0" w:firstLine="0"/>
              <w:jc w:val="center"/>
              <w:rPr>
                <w:sz w:val="20"/>
              </w:rPr>
            </w:pPr>
          </w:p>
        </w:tc>
        <w:tc>
          <w:tcPr>
            <w:tcW w:w="1560" w:type="dxa"/>
            <w:vMerge/>
            <w:tcBorders>
              <w:tl2br w:val="nil"/>
              <w:tr2bl w:val="nil"/>
            </w:tcBorders>
            <w:vAlign w:val="center"/>
          </w:tcPr>
          <w:p w:rsidR="00DB7CC8" w:rsidRDefault="00DB7CC8">
            <w:pPr>
              <w:spacing w:line="240" w:lineRule="auto"/>
              <w:ind w:firstLineChars="0" w:firstLine="0"/>
              <w:jc w:val="center"/>
              <w:rPr>
                <w:sz w:val="20"/>
              </w:rPr>
            </w:pPr>
          </w:p>
        </w:tc>
        <w:tc>
          <w:tcPr>
            <w:tcW w:w="992" w:type="dxa"/>
            <w:vMerge/>
            <w:tcBorders>
              <w:tl2br w:val="nil"/>
              <w:tr2bl w:val="nil"/>
            </w:tcBorders>
            <w:vAlign w:val="center"/>
          </w:tcPr>
          <w:p w:rsidR="00DB7CC8" w:rsidRDefault="00DB7CC8">
            <w:pPr>
              <w:spacing w:line="240" w:lineRule="auto"/>
              <w:ind w:firstLineChars="0" w:firstLine="0"/>
              <w:jc w:val="center"/>
              <w:rPr>
                <w:sz w:val="20"/>
              </w:rPr>
            </w:pPr>
          </w:p>
        </w:tc>
        <w:tc>
          <w:tcPr>
            <w:tcW w:w="1017"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1364" w:type="dxa"/>
            <w:tcBorders>
              <w:tl2br w:val="nil"/>
              <w:tr2bl w:val="nil"/>
            </w:tcBorders>
            <w:vAlign w:val="center"/>
          </w:tcPr>
          <w:p w:rsidR="00DB7CC8" w:rsidRDefault="002B5250">
            <w:pPr>
              <w:spacing w:line="240" w:lineRule="auto"/>
              <w:ind w:firstLineChars="0" w:firstLine="0"/>
              <w:jc w:val="center"/>
              <w:rPr>
                <w:sz w:val="20"/>
              </w:rPr>
            </w:pPr>
            <w:r>
              <w:rPr>
                <w:rFonts w:hint="eastAsia"/>
                <w:sz w:val="20"/>
              </w:rPr>
              <w:t>27</w:t>
            </w:r>
            <w:r>
              <w:rPr>
                <w:sz w:val="20"/>
              </w:rPr>
              <w:t>t/a</w:t>
            </w:r>
          </w:p>
        </w:tc>
        <w:tc>
          <w:tcPr>
            <w:tcW w:w="5273" w:type="dxa"/>
            <w:tcBorders>
              <w:tl2br w:val="nil"/>
              <w:tr2bl w:val="nil"/>
            </w:tcBorders>
            <w:vAlign w:val="center"/>
          </w:tcPr>
          <w:p w:rsidR="00DB7CC8" w:rsidRDefault="002B5250">
            <w:pPr>
              <w:spacing w:line="240" w:lineRule="auto"/>
              <w:ind w:firstLineChars="0" w:firstLine="0"/>
              <w:jc w:val="center"/>
              <w:rPr>
                <w:sz w:val="20"/>
              </w:rPr>
            </w:pPr>
            <w:r>
              <w:rPr>
                <w:sz w:val="20"/>
              </w:rPr>
              <w:t>通过车间进出口无组织排放</w:t>
            </w:r>
          </w:p>
        </w:tc>
        <w:tc>
          <w:tcPr>
            <w:tcW w:w="993"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1112"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956" w:type="dxa"/>
            <w:tcBorders>
              <w:tl2br w:val="nil"/>
              <w:tr2bl w:val="nil"/>
            </w:tcBorders>
            <w:vAlign w:val="center"/>
          </w:tcPr>
          <w:p w:rsidR="00DB7CC8" w:rsidRDefault="002B5250">
            <w:pPr>
              <w:spacing w:line="240" w:lineRule="auto"/>
              <w:ind w:firstLineChars="0" w:firstLine="0"/>
              <w:jc w:val="center"/>
              <w:rPr>
                <w:sz w:val="20"/>
              </w:rPr>
            </w:pPr>
            <w:r>
              <w:rPr>
                <w:sz w:val="20"/>
              </w:rPr>
              <w:t>0.</w:t>
            </w:r>
            <w:r>
              <w:rPr>
                <w:rFonts w:hint="eastAsia"/>
                <w:sz w:val="20"/>
              </w:rPr>
              <w:t>5</w:t>
            </w:r>
            <w:r>
              <w:rPr>
                <w:rFonts w:hint="eastAsia"/>
                <w:sz w:val="20"/>
              </w:rPr>
              <w:t>4</w:t>
            </w:r>
            <w:r>
              <w:rPr>
                <w:sz w:val="20"/>
              </w:rPr>
              <w:t>t/a</w:t>
            </w:r>
          </w:p>
        </w:tc>
      </w:tr>
      <w:tr w:rsidR="00DB7CC8">
        <w:trPr>
          <w:trHeight w:val="283"/>
          <w:tblHeader/>
        </w:trPr>
        <w:tc>
          <w:tcPr>
            <w:tcW w:w="595" w:type="dxa"/>
            <w:vMerge/>
            <w:tcBorders>
              <w:tl2br w:val="nil"/>
              <w:tr2bl w:val="nil"/>
            </w:tcBorders>
            <w:vAlign w:val="center"/>
          </w:tcPr>
          <w:p w:rsidR="00DB7CC8" w:rsidRDefault="00DB7CC8">
            <w:pPr>
              <w:spacing w:line="240" w:lineRule="auto"/>
              <w:ind w:firstLineChars="0" w:firstLine="0"/>
              <w:jc w:val="center"/>
              <w:rPr>
                <w:sz w:val="20"/>
              </w:rPr>
            </w:pPr>
          </w:p>
        </w:tc>
        <w:tc>
          <w:tcPr>
            <w:tcW w:w="1560" w:type="dxa"/>
            <w:tcBorders>
              <w:tl2br w:val="nil"/>
              <w:tr2bl w:val="nil"/>
            </w:tcBorders>
            <w:vAlign w:val="center"/>
          </w:tcPr>
          <w:p w:rsidR="00DB7CC8" w:rsidRDefault="002B5250">
            <w:pPr>
              <w:spacing w:line="240" w:lineRule="auto"/>
              <w:ind w:firstLineChars="0" w:firstLine="0"/>
              <w:jc w:val="center"/>
              <w:rPr>
                <w:sz w:val="20"/>
              </w:rPr>
            </w:pPr>
            <w:r>
              <w:rPr>
                <w:rFonts w:hint="eastAsia"/>
                <w:sz w:val="20"/>
              </w:rPr>
              <w:t>物料装卸堆存</w:t>
            </w:r>
          </w:p>
        </w:tc>
        <w:tc>
          <w:tcPr>
            <w:tcW w:w="992" w:type="dxa"/>
            <w:tcBorders>
              <w:tl2br w:val="nil"/>
              <w:tr2bl w:val="nil"/>
            </w:tcBorders>
            <w:vAlign w:val="center"/>
          </w:tcPr>
          <w:p w:rsidR="00DB7CC8" w:rsidRDefault="002B5250">
            <w:pPr>
              <w:spacing w:line="240" w:lineRule="auto"/>
              <w:ind w:firstLineChars="0" w:firstLine="0"/>
              <w:jc w:val="center"/>
              <w:rPr>
                <w:sz w:val="20"/>
              </w:rPr>
            </w:pPr>
            <w:r>
              <w:rPr>
                <w:sz w:val="20"/>
              </w:rPr>
              <w:t>颗粒物</w:t>
            </w:r>
          </w:p>
        </w:tc>
        <w:tc>
          <w:tcPr>
            <w:tcW w:w="1017"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1364" w:type="dxa"/>
            <w:tcBorders>
              <w:tl2br w:val="nil"/>
              <w:tr2bl w:val="nil"/>
            </w:tcBorders>
            <w:vAlign w:val="center"/>
          </w:tcPr>
          <w:p w:rsidR="00DB7CC8" w:rsidRDefault="002B5250">
            <w:pPr>
              <w:spacing w:line="240" w:lineRule="auto"/>
              <w:ind w:firstLineChars="0" w:firstLine="0"/>
              <w:jc w:val="center"/>
              <w:rPr>
                <w:sz w:val="20"/>
              </w:rPr>
            </w:pPr>
            <w:r>
              <w:rPr>
                <w:rFonts w:hint="eastAsia"/>
                <w:sz w:val="20"/>
              </w:rPr>
              <w:t>1.505</w:t>
            </w:r>
            <w:r>
              <w:rPr>
                <w:sz w:val="20"/>
              </w:rPr>
              <w:t>t/a</w:t>
            </w:r>
          </w:p>
        </w:tc>
        <w:tc>
          <w:tcPr>
            <w:tcW w:w="5273" w:type="dxa"/>
            <w:tcBorders>
              <w:tl2br w:val="nil"/>
              <w:tr2bl w:val="nil"/>
            </w:tcBorders>
            <w:vAlign w:val="center"/>
          </w:tcPr>
          <w:p w:rsidR="00DB7CC8" w:rsidRDefault="002B5250">
            <w:pPr>
              <w:spacing w:line="240" w:lineRule="auto"/>
              <w:ind w:firstLineChars="0" w:firstLine="0"/>
              <w:jc w:val="center"/>
              <w:rPr>
                <w:sz w:val="20"/>
              </w:rPr>
            </w:pPr>
            <w:r>
              <w:rPr>
                <w:sz w:val="20"/>
              </w:rPr>
              <w:t>封闭厂房、喷淋系统</w:t>
            </w:r>
          </w:p>
        </w:tc>
        <w:tc>
          <w:tcPr>
            <w:tcW w:w="993"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1112"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956" w:type="dxa"/>
            <w:tcBorders>
              <w:tl2br w:val="nil"/>
              <w:tr2bl w:val="nil"/>
            </w:tcBorders>
            <w:vAlign w:val="center"/>
          </w:tcPr>
          <w:p w:rsidR="00DB7CC8" w:rsidRDefault="002B5250">
            <w:pPr>
              <w:spacing w:line="240" w:lineRule="auto"/>
              <w:ind w:firstLineChars="0" w:firstLine="0"/>
              <w:jc w:val="center"/>
              <w:rPr>
                <w:sz w:val="20"/>
              </w:rPr>
            </w:pPr>
            <w:r>
              <w:rPr>
                <w:rFonts w:hint="eastAsia"/>
                <w:sz w:val="20"/>
              </w:rPr>
              <w:t>1.505</w:t>
            </w:r>
            <w:r>
              <w:rPr>
                <w:sz w:val="20"/>
              </w:rPr>
              <w:t>t/a</w:t>
            </w:r>
          </w:p>
        </w:tc>
      </w:tr>
      <w:tr w:rsidR="00DB7CC8">
        <w:trPr>
          <w:trHeight w:val="283"/>
          <w:tblHeader/>
        </w:trPr>
        <w:tc>
          <w:tcPr>
            <w:tcW w:w="595" w:type="dxa"/>
            <w:vMerge w:val="restart"/>
            <w:tcBorders>
              <w:tl2br w:val="nil"/>
              <w:tr2bl w:val="nil"/>
            </w:tcBorders>
            <w:vAlign w:val="center"/>
          </w:tcPr>
          <w:p w:rsidR="00DB7CC8" w:rsidRDefault="002B5250">
            <w:pPr>
              <w:spacing w:line="240" w:lineRule="auto"/>
              <w:ind w:firstLineChars="0" w:firstLine="0"/>
              <w:jc w:val="center"/>
              <w:rPr>
                <w:bCs/>
                <w:sz w:val="20"/>
              </w:rPr>
            </w:pPr>
            <w:r>
              <w:rPr>
                <w:bCs/>
                <w:sz w:val="20"/>
              </w:rPr>
              <w:t>废水</w:t>
            </w:r>
          </w:p>
        </w:tc>
        <w:tc>
          <w:tcPr>
            <w:tcW w:w="1560" w:type="dxa"/>
            <w:tcBorders>
              <w:tl2br w:val="nil"/>
              <w:tr2bl w:val="nil"/>
            </w:tcBorders>
            <w:vAlign w:val="center"/>
          </w:tcPr>
          <w:p w:rsidR="00DB7CC8" w:rsidRDefault="002B5250">
            <w:pPr>
              <w:widowControl/>
              <w:spacing w:line="240" w:lineRule="auto"/>
              <w:ind w:firstLineChars="0" w:firstLine="0"/>
              <w:jc w:val="center"/>
              <w:textAlignment w:val="auto"/>
              <w:rPr>
                <w:sz w:val="20"/>
              </w:rPr>
            </w:pPr>
            <w:r>
              <w:rPr>
                <w:sz w:val="20"/>
              </w:rPr>
              <w:t>选矿废水</w:t>
            </w:r>
          </w:p>
        </w:tc>
        <w:tc>
          <w:tcPr>
            <w:tcW w:w="992" w:type="dxa"/>
            <w:tcBorders>
              <w:tl2br w:val="nil"/>
              <w:tr2bl w:val="nil"/>
            </w:tcBorders>
            <w:vAlign w:val="center"/>
          </w:tcPr>
          <w:p w:rsidR="00DB7CC8" w:rsidRDefault="002B5250">
            <w:pPr>
              <w:spacing w:line="240" w:lineRule="auto"/>
              <w:ind w:firstLineChars="0" w:firstLine="0"/>
              <w:jc w:val="center"/>
              <w:rPr>
                <w:bCs/>
                <w:sz w:val="20"/>
              </w:rPr>
            </w:pPr>
            <w:r>
              <w:rPr>
                <w:sz w:val="20"/>
              </w:rPr>
              <w:t>/</w:t>
            </w:r>
          </w:p>
        </w:tc>
        <w:tc>
          <w:tcPr>
            <w:tcW w:w="1017" w:type="dxa"/>
            <w:tcBorders>
              <w:tl2br w:val="nil"/>
              <w:tr2bl w:val="nil"/>
            </w:tcBorders>
            <w:vAlign w:val="center"/>
          </w:tcPr>
          <w:p w:rsidR="00DB7CC8" w:rsidRDefault="002B5250">
            <w:pPr>
              <w:widowControl/>
              <w:spacing w:line="240" w:lineRule="auto"/>
              <w:ind w:firstLineChars="0" w:firstLine="0"/>
              <w:jc w:val="center"/>
              <w:textAlignment w:val="auto"/>
              <w:rPr>
                <w:sz w:val="20"/>
              </w:rPr>
            </w:pPr>
            <w:r>
              <w:rPr>
                <w:sz w:val="20"/>
              </w:rPr>
              <w:t>/</w:t>
            </w:r>
          </w:p>
        </w:tc>
        <w:tc>
          <w:tcPr>
            <w:tcW w:w="1364" w:type="dxa"/>
            <w:tcBorders>
              <w:tl2br w:val="nil"/>
              <w:tr2bl w:val="nil"/>
            </w:tcBorders>
            <w:vAlign w:val="center"/>
          </w:tcPr>
          <w:p w:rsidR="00DB7CC8" w:rsidRDefault="002B5250">
            <w:pPr>
              <w:spacing w:line="240" w:lineRule="auto"/>
              <w:ind w:firstLineChars="0" w:firstLine="0"/>
              <w:rPr>
                <w:sz w:val="20"/>
              </w:rPr>
            </w:pPr>
            <w:r>
              <w:rPr>
                <w:rFonts w:hint="eastAsia"/>
                <w:sz w:val="20"/>
              </w:rPr>
              <w:t>144.018</w:t>
            </w:r>
            <w:r>
              <w:rPr>
                <w:sz w:val="20"/>
              </w:rPr>
              <w:t>万</w:t>
            </w:r>
            <w:r>
              <w:rPr>
                <w:sz w:val="20"/>
              </w:rPr>
              <w:t>t/a</w:t>
            </w:r>
          </w:p>
        </w:tc>
        <w:tc>
          <w:tcPr>
            <w:tcW w:w="5273" w:type="dxa"/>
            <w:tcBorders>
              <w:tl2br w:val="nil"/>
              <w:tr2bl w:val="nil"/>
            </w:tcBorders>
            <w:vAlign w:val="center"/>
          </w:tcPr>
          <w:p w:rsidR="00DB7CC8" w:rsidRDefault="002B5250">
            <w:pPr>
              <w:spacing w:line="240" w:lineRule="auto"/>
              <w:ind w:firstLineChars="0" w:firstLine="0"/>
              <w:jc w:val="center"/>
              <w:rPr>
                <w:sz w:val="20"/>
              </w:rPr>
            </w:pPr>
            <w:r>
              <w:rPr>
                <w:rFonts w:hint="eastAsia"/>
                <w:sz w:val="20"/>
              </w:rPr>
              <w:t>废球磨、磁选</w:t>
            </w:r>
            <w:r>
              <w:rPr>
                <w:sz w:val="20"/>
              </w:rPr>
              <w:t>废水经脱水、压滤等</w:t>
            </w:r>
            <w:r>
              <w:rPr>
                <w:rFonts w:hint="eastAsia"/>
                <w:sz w:val="20"/>
              </w:rPr>
              <w:t>处理后</w:t>
            </w:r>
            <w:r>
              <w:rPr>
                <w:sz w:val="20"/>
              </w:rPr>
              <w:t>进入清水池，回用于选矿。</w:t>
            </w:r>
          </w:p>
        </w:tc>
        <w:tc>
          <w:tcPr>
            <w:tcW w:w="3061" w:type="dxa"/>
            <w:gridSpan w:val="3"/>
            <w:tcBorders>
              <w:tl2br w:val="nil"/>
              <w:tr2bl w:val="nil"/>
            </w:tcBorders>
            <w:vAlign w:val="center"/>
          </w:tcPr>
          <w:p w:rsidR="00DB7CC8" w:rsidRDefault="002B5250">
            <w:pPr>
              <w:spacing w:line="240" w:lineRule="auto"/>
              <w:ind w:firstLineChars="0" w:firstLine="0"/>
              <w:jc w:val="center"/>
              <w:rPr>
                <w:sz w:val="20"/>
              </w:rPr>
            </w:pPr>
            <w:r>
              <w:rPr>
                <w:sz w:val="20"/>
              </w:rPr>
              <w:t>不外排</w:t>
            </w:r>
          </w:p>
        </w:tc>
      </w:tr>
      <w:tr w:rsidR="00DB7CC8">
        <w:trPr>
          <w:trHeight w:val="373"/>
          <w:tblHeader/>
        </w:trPr>
        <w:tc>
          <w:tcPr>
            <w:tcW w:w="595" w:type="dxa"/>
            <w:vMerge/>
            <w:tcBorders>
              <w:tl2br w:val="nil"/>
              <w:tr2bl w:val="nil"/>
            </w:tcBorders>
            <w:vAlign w:val="center"/>
          </w:tcPr>
          <w:p w:rsidR="00DB7CC8" w:rsidRDefault="00DB7CC8">
            <w:pPr>
              <w:spacing w:line="240" w:lineRule="auto"/>
              <w:ind w:firstLineChars="0" w:firstLine="0"/>
              <w:jc w:val="center"/>
              <w:rPr>
                <w:sz w:val="20"/>
              </w:rPr>
            </w:pPr>
          </w:p>
        </w:tc>
        <w:tc>
          <w:tcPr>
            <w:tcW w:w="1560" w:type="dxa"/>
            <w:tcBorders>
              <w:tl2br w:val="nil"/>
              <w:tr2bl w:val="nil"/>
            </w:tcBorders>
            <w:vAlign w:val="center"/>
          </w:tcPr>
          <w:p w:rsidR="00DB7CC8" w:rsidRDefault="002B5250">
            <w:pPr>
              <w:widowControl/>
              <w:spacing w:line="240" w:lineRule="auto"/>
              <w:ind w:firstLineChars="0" w:firstLine="0"/>
              <w:jc w:val="center"/>
              <w:textAlignment w:val="auto"/>
              <w:rPr>
                <w:sz w:val="20"/>
              </w:rPr>
            </w:pPr>
            <w:r>
              <w:rPr>
                <w:sz w:val="20"/>
              </w:rPr>
              <w:t>车间地面清洗</w:t>
            </w:r>
          </w:p>
          <w:p w:rsidR="00DB7CC8" w:rsidRDefault="002B5250">
            <w:pPr>
              <w:widowControl/>
              <w:spacing w:line="240" w:lineRule="auto"/>
              <w:ind w:firstLineChars="0" w:firstLine="0"/>
              <w:jc w:val="center"/>
              <w:textAlignment w:val="auto"/>
              <w:rPr>
                <w:sz w:val="20"/>
              </w:rPr>
            </w:pPr>
            <w:r>
              <w:rPr>
                <w:sz w:val="20"/>
              </w:rPr>
              <w:t>废水</w:t>
            </w:r>
          </w:p>
        </w:tc>
        <w:tc>
          <w:tcPr>
            <w:tcW w:w="992"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1017" w:type="dxa"/>
            <w:tcBorders>
              <w:tl2br w:val="nil"/>
              <w:tr2bl w:val="nil"/>
            </w:tcBorders>
            <w:vAlign w:val="center"/>
          </w:tcPr>
          <w:p w:rsidR="00DB7CC8" w:rsidRDefault="002B5250">
            <w:pPr>
              <w:widowControl/>
              <w:spacing w:line="240" w:lineRule="auto"/>
              <w:ind w:firstLineChars="0" w:firstLine="0"/>
              <w:jc w:val="center"/>
              <w:textAlignment w:val="auto"/>
              <w:rPr>
                <w:sz w:val="20"/>
              </w:rPr>
            </w:pPr>
            <w:r>
              <w:rPr>
                <w:sz w:val="20"/>
              </w:rPr>
              <w:t>/</w:t>
            </w:r>
          </w:p>
        </w:tc>
        <w:tc>
          <w:tcPr>
            <w:tcW w:w="1364" w:type="dxa"/>
            <w:tcBorders>
              <w:tl2br w:val="nil"/>
              <w:tr2bl w:val="nil"/>
            </w:tcBorders>
            <w:vAlign w:val="center"/>
          </w:tcPr>
          <w:p w:rsidR="00DB7CC8" w:rsidRDefault="002B5250">
            <w:pPr>
              <w:spacing w:line="240" w:lineRule="auto"/>
              <w:ind w:firstLineChars="0" w:firstLine="0"/>
              <w:jc w:val="center"/>
              <w:rPr>
                <w:sz w:val="20"/>
              </w:rPr>
            </w:pPr>
            <w:r>
              <w:rPr>
                <w:rFonts w:hint="eastAsia"/>
                <w:sz w:val="20"/>
              </w:rPr>
              <w:t>720</w:t>
            </w:r>
            <w:r>
              <w:rPr>
                <w:sz w:val="20"/>
              </w:rPr>
              <w:t xml:space="preserve"> t/a</w:t>
            </w:r>
          </w:p>
        </w:tc>
        <w:tc>
          <w:tcPr>
            <w:tcW w:w="5273" w:type="dxa"/>
            <w:tcBorders>
              <w:tl2br w:val="nil"/>
              <w:tr2bl w:val="nil"/>
            </w:tcBorders>
            <w:vAlign w:val="center"/>
          </w:tcPr>
          <w:p w:rsidR="00DB7CC8" w:rsidRDefault="002B5250">
            <w:pPr>
              <w:spacing w:line="240" w:lineRule="auto"/>
              <w:ind w:firstLineChars="0" w:firstLine="0"/>
              <w:jc w:val="center"/>
              <w:rPr>
                <w:sz w:val="20"/>
              </w:rPr>
            </w:pPr>
            <w:r>
              <w:rPr>
                <w:sz w:val="20"/>
              </w:rPr>
              <w:t>排入浓密池，经沉淀后回用于生产不外排</w:t>
            </w:r>
          </w:p>
        </w:tc>
        <w:tc>
          <w:tcPr>
            <w:tcW w:w="3061" w:type="dxa"/>
            <w:gridSpan w:val="3"/>
            <w:tcBorders>
              <w:tl2br w:val="nil"/>
              <w:tr2bl w:val="nil"/>
            </w:tcBorders>
            <w:vAlign w:val="center"/>
          </w:tcPr>
          <w:p w:rsidR="00DB7CC8" w:rsidRDefault="002B5250">
            <w:pPr>
              <w:spacing w:line="240" w:lineRule="auto"/>
              <w:ind w:firstLineChars="0" w:firstLine="0"/>
              <w:jc w:val="center"/>
              <w:rPr>
                <w:sz w:val="20"/>
              </w:rPr>
            </w:pPr>
            <w:r>
              <w:rPr>
                <w:sz w:val="20"/>
              </w:rPr>
              <w:t>不外排</w:t>
            </w:r>
          </w:p>
        </w:tc>
      </w:tr>
      <w:tr w:rsidR="00DB7CC8">
        <w:trPr>
          <w:trHeight w:val="283"/>
          <w:tblHeader/>
        </w:trPr>
        <w:tc>
          <w:tcPr>
            <w:tcW w:w="595" w:type="dxa"/>
            <w:vMerge/>
            <w:tcBorders>
              <w:tl2br w:val="nil"/>
              <w:tr2bl w:val="nil"/>
            </w:tcBorders>
            <w:vAlign w:val="center"/>
          </w:tcPr>
          <w:p w:rsidR="00DB7CC8" w:rsidRDefault="00DB7CC8">
            <w:pPr>
              <w:spacing w:line="240" w:lineRule="auto"/>
              <w:ind w:firstLineChars="0" w:firstLine="0"/>
              <w:jc w:val="center"/>
              <w:rPr>
                <w:sz w:val="20"/>
              </w:rPr>
            </w:pPr>
          </w:p>
        </w:tc>
        <w:tc>
          <w:tcPr>
            <w:tcW w:w="1560" w:type="dxa"/>
            <w:tcBorders>
              <w:tl2br w:val="nil"/>
              <w:tr2bl w:val="nil"/>
            </w:tcBorders>
            <w:vAlign w:val="center"/>
          </w:tcPr>
          <w:p w:rsidR="00DB7CC8" w:rsidRDefault="002B5250">
            <w:pPr>
              <w:widowControl/>
              <w:spacing w:line="240" w:lineRule="auto"/>
              <w:ind w:firstLineChars="0" w:firstLine="0"/>
              <w:jc w:val="center"/>
              <w:textAlignment w:val="auto"/>
              <w:rPr>
                <w:sz w:val="20"/>
              </w:rPr>
            </w:pPr>
            <w:r>
              <w:rPr>
                <w:sz w:val="20"/>
              </w:rPr>
              <w:t>洗车废水</w:t>
            </w:r>
          </w:p>
        </w:tc>
        <w:tc>
          <w:tcPr>
            <w:tcW w:w="992"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1017" w:type="dxa"/>
            <w:tcBorders>
              <w:tl2br w:val="nil"/>
              <w:tr2bl w:val="nil"/>
            </w:tcBorders>
            <w:vAlign w:val="center"/>
          </w:tcPr>
          <w:p w:rsidR="00DB7CC8" w:rsidRDefault="002B5250">
            <w:pPr>
              <w:widowControl/>
              <w:spacing w:line="240" w:lineRule="auto"/>
              <w:ind w:firstLineChars="0" w:firstLine="0"/>
              <w:jc w:val="center"/>
              <w:textAlignment w:val="auto"/>
              <w:rPr>
                <w:sz w:val="20"/>
              </w:rPr>
            </w:pPr>
            <w:r>
              <w:rPr>
                <w:sz w:val="20"/>
              </w:rPr>
              <w:t>/</w:t>
            </w:r>
          </w:p>
        </w:tc>
        <w:tc>
          <w:tcPr>
            <w:tcW w:w="1364" w:type="dxa"/>
            <w:tcBorders>
              <w:tl2br w:val="nil"/>
              <w:tr2bl w:val="nil"/>
            </w:tcBorders>
            <w:vAlign w:val="center"/>
          </w:tcPr>
          <w:p w:rsidR="00DB7CC8" w:rsidRDefault="002B5250">
            <w:pPr>
              <w:spacing w:line="240" w:lineRule="auto"/>
              <w:ind w:firstLineChars="0" w:firstLine="0"/>
              <w:jc w:val="center"/>
              <w:rPr>
                <w:sz w:val="20"/>
              </w:rPr>
            </w:pPr>
            <w:r>
              <w:rPr>
                <w:rFonts w:hint="eastAsia"/>
                <w:sz w:val="20"/>
              </w:rPr>
              <w:t>720</w:t>
            </w:r>
            <w:r>
              <w:rPr>
                <w:sz w:val="20"/>
              </w:rPr>
              <w:t xml:space="preserve"> t/a</w:t>
            </w:r>
          </w:p>
        </w:tc>
        <w:tc>
          <w:tcPr>
            <w:tcW w:w="5273" w:type="dxa"/>
            <w:tcBorders>
              <w:tl2br w:val="nil"/>
              <w:tr2bl w:val="nil"/>
            </w:tcBorders>
            <w:vAlign w:val="center"/>
          </w:tcPr>
          <w:p w:rsidR="00DB7CC8" w:rsidRDefault="002B5250">
            <w:pPr>
              <w:spacing w:line="240" w:lineRule="auto"/>
              <w:ind w:firstLineChars="0" w:firstLine="0"/>
              <w:jc w:val="center"/>
              <w:rPr>
                <w:sz w:val="20"/>
              </w:rPr>
            </w:pPr>
            <w:r>
              <w:rPr>
                <w:sz w:val="20"/>
              </w:rPr>
              <w:t>收集沉淀后回用于洗车</w:t>
            </w:r>
          </w:p>
        </w:tc>
        <w:tc>
          <w:tcPr>
            <w:tcW w:w="3061" w:type="dxa"/>
            <w:gridSpan w:val="3"/>
            <w:tcBorders>
              <w:tl2br w:val="nil"/>
              <w:tr2bl w:val="nil"/>
            </w:tcBorders>
            <w:vAlign w:val="center"/>
          </w:tcPr>
          <w:p w:rsidR="00DB7CC8" w:rsidRDefault="002B5250">
            <w:pPr>
              <w:spacing w:line="240" w:lineRule="auto"/>
              <w:ind w:firstLineChars="0" w:firstLine="0"/>
              <w:jc w:val="center"/>
              <w:rPr>
                <w:sz w:val="20"/>
              </w:rPr>
            </w:pPr>
            <w:r>
              <w:rPr>
                <w:sz w:val="20"/>
              </w:rPr>
              <w:t>不外排</w:t>
            </w:r>
          </w:p>
        </w:tc>
      </w:tr>
      <w:tr w:rsidR="00DB7CC8">
        <w:trPr>
          <w:trHeight w:val="283"/>
          <w:tblHeader/>
        </w:trPr>
        <w:tc>
          <w:tcPr>
            <w:tcW w:w="595" w:type="dxa"/>
            <w:vMerge w:val="restart"/>
            <w:tcBorders>
              <w:tl2br w:val="nil"/>
              <w:tr2bl w:val="nil"/>
            </w:tcBorders>
            <w:vAlign w:val="center"/>
          </w:tcPr>
          <w:p w:rsidR="00DB7CC8" w:rsidRDefault="002B5250">
            <w:pPr>
              <w:spacing w:line="240" w:lineRule="auto"/>
              <w:ind w:firstLineChars="0" w:firstLine="0"/>
              <w:jc w:val="center"/>
              <w:rPr>
                <w:sz w:val="20"/>
              </w:rPr>
            </w:pPr>
            <w:r>
              <w:rPr>
                <w:sz w:val="20"/>
              </w:rPr>
              <w:t>固废</w:t>
            </w:r>
          </w:p>
        </w:tc>
        <w:tc>
          <w:tcPr>
            <w:tcW w:w="1560" w:type="dxa"/>
            <w:tcBorders>
              <w:tl2br w:val="nil"/>
              <w:tr2bl w:val="nil"/>
            </w:tcBorders>
            <w:vAlign w:val="center"/>
          </w:tcPr>
          <w:p w:rsidR="00DB7CC8" w:rsidRDefault="002B5250">
            <w:pPr>
              <w:spacing w:line="240" w:lineRule="auto"/>
              <w:ind w:firstLineChars="0" w:firstLine="0"/>
              <w:jc w:val="center"/>
              <w:rPr>
                <w:sz w:val="20"/>
              </w:rPr>
            </w:pPr>
            <w:r>
              <w:rPr>
                <w:sz w:val="20"/>
              </w:rPr>
              <w:t>粗尾矿砂</w:t>
            </w:r>
          </w:p>
        </w:tc>
        <w:tc>
          <w:tcPr>
            <w:tcW w:w="992" w:type="dxa"/>
            <w:tcBorders>
              <w:tl2br w:val="nil"/>
              <w:tr2bl w:val="nil"/>
            </w:tcBorders>
            <w:vAlign w:val="center"/>
          </w:tcPr>
          <w:p w:rsidR="00DB7CC8" w:rsidRDefault="002B5250">
            <w:pPr>
              <w:spacing w:line="240" w:lineRule="auto"/>
              <w:ind w:firstLineChars="0" w:firstLine="0"/>
              <w:jc w:val="center"/>
              <w:rPr>
                <w:sz w:val="20"/>
              </w:rPr>
            </w:pPr>
            <w:r>
              <w:rPr>
                <w:sz w:val="20"/>
              </w:rPr>
              <w:t>一般固废</w:t>
            </w:r>
          </w:p>
        </w:tc>
        <w:tc>
          <w:tcPr>
            <w:tcW w:w="1017" w:type="dxa"/>
            <w:tcBorders>
              <w:tl2br w:val="nil"/>
              <w:tr2bl w:val="nil"/>
            </w:tcBorders>
            <w:vAlign w:val="center"/>
          </w:tcPr>
          <w:p w:rsidR="00DB7CC8" w:rsidRDefault="002B5250">
            <w:pPr>
              <w:spacing w:line="240" w:lineRule="auto"/>
              <w:ind w:firstLineChars="0" w:firstLine="0"/>
              <w:jc w:val="center"/>
              <w:rPr>
                <w:b/>
                <w:sz w:val="20"/>
              </w:rPr>
            </w:pPr>
            <w:r>
              <w:rPr>
                <w:sz w:val="20"/>
              </w:rPr>
              <w:t>/</w:t>
            </w:r>
          </w:p>
        </w:tc>
        <w:tc>
          <w:tcPr>
            <w:tcW w:w="1364" w:type="dxa"/>
            <w:tcBorders>
              <w:tl2br w:val="nil"/>
              <w:tr2bl w:val="nil"/>
            </w:tcBorders>
            <w:vAlign w:val="center"/>
          </w:tcPr>
          <w:p w:rsidR="00DB7CC8" w:rsidRDefault="002B5250">
            <w:pPr>
              <w:spacing w:line="240" w:lineRule="auto"/>
              <w:ind w:firstLineChars="0" w:firstLine="0"/>
              <w:jc w:val="center"/>
              <w:rPr>
                <w:sz w:val="20"/>
              </w:rPr>
            </w:pPr>
            <w:r>
              <w:rPr>
                <w:rFonts w:hint="eastAsia"/>
                <w:sz w:val="20"/>
              </w:rPr>
              <w:t>212855.948</w:t>
            </w:r>
            <w:r>
              <w:rPr>
                <w:sz w:val="20"/>
              </w:rPr>
              <w:t xml:space="preserve"> t/a</w:t>
            </w:r>
          </w:p>
        </w:tc>
        <w:tc>
          <w:tcPr>
            <w:tcW w:w="5273" w:type="dxa"/>
            <w:tcBorders>
              <w:tl2br w:val="nil"/>
              <w:tr2bl w:val="nil"/>
            </w:tcBorders>
            <w:vAlign w:val="center"/>
          </w:tcPr>
          <w:p w:rsidR="00DB7CC8" w:rsidRDefault="002B5250">
            <w:pPr>
              <w:spacing w:line="240" w:lineRule="auto"/>
              <w:ind w:firstLineChars="0" w:firstLine="0"/>
              <w:jc w:val="center"/>
              <w:rPr>
                <w:sz w:val="20"/>
              </w:rPr>
            </w:pPr>
            <w:r>
              <w:rPr>
                <w:bCs/>
                <w:sz w:val="20"/>
              </w:rPr>
              <w:t>外售当地建材厂作为原料综合利用</w:t>
            </w:r>
          </w:p>
        </w:tc>
        <w:tc>
          <w:tcPr>
            <w:tcW w:w="993"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1112"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956" w:type="dxa"/>
            <w:tcBorders>
              <w:tl2br w:val="nil"/>
              <w:tr2bl w:val="nil"/>
            </w:tcBorders>
            <w:vAlign w:val="center"/>
          </w:tcPr>
          <w:p w:rsidR="00DB7CC8" w:rsidRDefault="002B5250">
            <w:pPr>
              <w:spacing w:line="240" w:lineRule="auto"/>
              <w:ind w:firstLineChars="0" w:firstLine="0"/>
              <w:jc w:val="center"/>
              <w:rPr>
                <w:sz w:val="20"/>
              </w:rPr>
            </w:pPr>
            <w:r>
              <w:rPr>
                <w:sz w:val="20"/>
              </w:rPr>
              <w:t>0</w:t>
            </w:r>
          </w:p>
        </w:tc>
      </w:tr>
      <w:tr w:rsidR="00DB7CC8">
        <w:trPr>
          <w:trHeight w:val="283"/>
          <w:tblHeader/>
        </w:trPr>
        <w:tc>
          <w:tcPr>
            <w:tcW w:w="595" w:type="dxa"/>
            <w:vMerge/>
            <w:tcBorders>
              <w:tl2br w:val="nil"/>
              <w:tr2bl w:val="nil"/>
            </w:tcBorders>
            <w:vAlign w:val="center"/>
          </w:tcPr>
          <w:p w:rsidR="00DB7CC8" w:rsidRDefault="00DB7CC8">
            <w:pPr>
              <w:spacing w:line="240" w:lineRule="auto"/>
              <w:ind w:firstLineChars="0" w:firstLine="0"/>
              <w:jc w:val="center"/>
              <w:rPr>
                <w:sz w:val="20"/>
              </w:rPr>
            </w:pPr>
          </w:p>
        </w:tc>
        <w:tc>
          <w:tcPr>
            <w:tcW w:w="1560" w:type="dxa"/>
            <w:tcBorders>
              <w:tl2br w:val="nil"/>
              <w:tr2bl w:val="nil"/>
            </w:tcBorders>
            <w:vAlign w:val="center"/>
          </w:tcPr>
          <w:p w:rsidR="00DB7CC8" w:rsidRDefault="002B5250">
            <w:pPr>
              <w:spacing w:line="240" w:lineRule="auto"/>
              <w:ind w:firstLineChars="0" w:firstLine="0"/>
              <w:jc w:val="center"/>
              <w:rPr>
                <w:sz w:val="20"/>
              </w:rPr>
            </w:pPr>
            <w:r>
              <w:rPr>
                <w:sz w:val="20"/>
              </w:rPr>
              <w:t>细尾矿砂</w:t>
            </w:r>
          </w:p>
        </w:tc>
        <w:tc>
          <w:tcPr>
            <w:tcW w:w="992" w:type="dxa"/>
            <w:tcBorders>
              <w:tl2br w:val="nil"/>
              <w:tr2bl w:val="nil"/>
            </w:tcBorders>
            <w:vAlign w:val="center"/>
          </w:tcPr>
          <w:p w:rsidR="00DB7CC8" w:rsidRDefault="002B5250">
            <w:pPr>
              <w:spacing w:line="240" w:lineRule="auto"/>
              <w:ind w:firstLineChars="0" w:firstLine="0"/>
              <w:jc w:val="center"/>
              <w:rPr>
                <w:sz w:val="20"/>
              </w:rPr>
            </w:pPr>
            <w:r>
              <w:rPr>
                <w:sz w:val="20"/>
              </w:rPr>
              <w:t>一般固废</w:t>
            </w:r>
          </w:p>
        </w:tc>
        <w:tc>
          <w:tcPr>
            <w:tcW w:w="1017"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1364" w:type="dxa"/>
            <w:tcBorders>
              <w:tl2br w:val="nil"/>
              <w:tr2bl w:val="nil"/>
            </w:tcBorders>
            <w:vAlign w:val="center"/>
          </w:tcPr>
          <w:p w:rsidR="00DB7CC8" w:rsidRDefault="002B5250">
            <w:pPr>
              <w:spacing w:line="240" w:lineRule="auto"/>
              <w:ind w:firstLineChars="0" w:firstLine="0"/>
              <w:jc w:val="center"/>
              <w:rPr>
                <w:sz w:val="20"/>
              </w:rPr>
            </w:pPr>
            <w:r>
              <w:rPr>
                <w:rFonts w:hint="eastAsia"/>
                <w:sz w:val="20"/>
              </w:rPr>
              <w:t>137142</w:t>
            </w:r>
            <w:r>
              <w:rPr>
                <w:sz w:val="20"/>
              </w:rPr>
              <w:t>t/a</w:t>
            </w:r>
          </w:p>
        </w:tc>
        <w:tc>
          <w:tcPr>
            <w:tcW w:w="5273" w:type="dxa"/>
            <w:tcBorders>
              <w:tl2br w:val="nil"/>
              <w:tr2bl w:val="nil"/>
            </w:tcBorders>
            <w:vAlign w:val="center"/>
          </w:tcPr>
          <w:p w:rsidR="00DB7CC8" w:rsidRDefault="002B5250">
            <w:pPr>
              <w:spacing w:line="240" w:lineRule="auto"/>
              <w:ind w:firstLineChars="0" w:firstLine="0"/>
              <w:jc w:val="center"/>
              <w:rPr>
                <w:bCs/>
                <w:sz w:val="20"/>
              </w:rPr>
            </w:pPr>
            <w:r>
              <w:rPr>
                <w:rFonts w:hint="eastAsia"/>
                <w:bCs/>
                <w:sz w:val="20"/>
              </w:rPr>
              <w:t>外运</w:t>
            </w:r>
            <w:r>
              <w:rPr>
                <w:bCs/>
                <w:sz w:val="20"/>
              </w:rPr>
              <w:t>填坑造地</w:t>
            </w:r>
          </w:p>
        </w:tc>
        <w:tc>
          <w:tcPr>
            <w:tcW w:w="993"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1112"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956" w:type="dxa"/>
            <w:tcBorders>
              <w:tl2br w:val="nil"/>
              <w:tr2bl w:val="nil"/>
            </w:tcBorders>
            <w:vAlign w:val="center"/>
          </w:tcPr>
          <w:p w:rsidR="00DB7CC8" w:rsidRDefault="002B5250">
            <w:pPr>
              <w:spacing w:line="240" w:lineRule="auto"/>
              <w:ind w:firstLineChars="0" w:firstLine="0"/>
              <w:jc w:val="center"/>
              <w:rPr>
                <w:sz w:val="20"/>
              </w:rPr>
            </w:pPr>
            <w:r>
              <w:rPr>
                <w:sz w:val="20"/>
              </w:rPr>
              <w:t>0</w:t>
            </w:r>
          </w:p>
        </w:tc>
      </w:tr>
      <w:tr w:rsidR="00DB7CC8">
        <w:trPr>
          <w:trHeight w:val="283"/>
          <w:tblHeader/>
        </w:trPr>
        <w:tc>
          <w:tcPr>
            <w:tcW w:w="595" w:type="dxa"/>
            <w:vMerge/>
            <w:tcBorders>
              <w:tl2br w:val="nil"/>
              <w:tr2bl w:val="nil"/>
            </w:tcBorders>
            <w:vAlign w:val="center"/>
          </w:tcPr>
          <w:p w:rsidR="00DB7CC8" w:rsidRDefault="00DB7CC8">
            <w:pPr>
              <w:spacing w:line="240" w:lineRule="auto"/>
              <w:ind w:firstLineChars="0" w:firstLine="0"/>
              <w:jc w:val="center"/>
              <w:rPr>
                <w:sz w:val="20"/>
              </w:rPr>
            </w:pPr>
          </w:p>
        </w:tc>
        <w:tc>
          <w:tcPr>
            <w:tcW w:w="1560" w:type="dxa"/>
            <w:tcBorders>
              <w:tl2br w:val="nil"/>
              <w:tr2bl w:val="nil"/>
            </w:tcBorders>
            <w:vAlign w:val="center"/>
          </w:tcPr>
          <w:p w:rsidR="00DB7CC8" w:rsidRDefault="002B5250">
            <w:pPr>
              <w:spacing w:line="240" w:lineRule="auto"/>
              <w:ind w:firstLineChars="0" w:firstLine="0"/>
              <w:jc w:val="center"/>
              <w:rPr>
                <w:sz w:val="20"/>
              </w:rPr>
            </w:pPr>
            <w:r>
              <w:rPr>
                <w:sz w:val="20"/>
              </w:rPr>
              <w:t>废钢球</w:t>
            </w:r>
          </w:p>
        </w:tc>
        <w:tc>
          <w:tcPr>
            <w:tcW w:w="992" w:type="dxa"/>
            <w:tcBorders>
              <w:tl2br w:val="nil"/>
              <w:tr2bl w:val="nil"/>
            </w:tcBorders>
            <w:vAlign w:val="center"/>
          </w:tcPr>
          <w:p w:rsidR="00DB7CC8" w:rsidRDefault="002B5250">
            <w:pPr>
              <w:spacing w:line="240" w:lineRule="auto"/>
              <w:ind w:firstLineChars="0" w:firstLine="0"/>
              <w:jc w:val="center"/>
              <w:rPr>
                <w:sz w:val="20"/>
              </w:rPr>
            </w:pPr>
            <w:r>
              <w:rPr>
                <w:sz w:val="20"/>
              </w:rPr>
              <w:t>一般固废</w:t>
            </w:r>
          </w:p>
        </w:tc>
        <w:tc>
          <w:tcPr>
            <w:tcW w:w="1017"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1364" w:type="dxa"/>
            <w:tcBorders>
              <w:tl2br w:val="nil"/>
              <w:tr2bl w:val="nil"/>
            </w:tcBorders>
            <w:vAlign w:val="center"/>
          </w:tcPr>
          <w:p w:rsidR="00DB7CC8" w:rsidRDefault="002B5250">
            <w:pPr>
              <w:spacing w:line="240" w:lineRule="auto"/>
              <w:ind w:firstLineChars="0" w:firstLine="0"/>
              <w:jc w:val="center"/>
              <w:rPr>
                <w:sz w:val="20"/>
              </w:rPr>
            </w:pPr>
            <w:r>
              <w:rPr>
                <w:sz w:val="20"/>
              </w:rPr>
              <w:t>10.5t/a</w:t>
            </w:r>
          </w:p>
        </w:tc>
        <w:tc>
          <w:tcPr>
            <w:tcW w:w="5273" w:type="dxa"/>
            <w:tcBorders>
              <w:tl2br w:val="nil"/>
              <w:tr2bl w:val="nil"/>
            </w:tcBorders>
            <w:vAlign w:val="center"/>
          </w:tcPr>
          <w:p w:rsidR="00DB7CC8" w:rsidRDefault="002B5250">
            <w:pPr>
              <w:spacing w:line="240" w:lineRule="auto"/>
              <w:ind w:firstLineChars="0" w:firstLine="0"/>
              <w:jc w:val="center"/>
              <w:rPr>
                <w:bCs/>
                <w:sz w:val="20"/>
              </w:rPr>
            </w:pPr>
            <w:r>
              <w:rPr>
                <w:bCs/>
                <w:sz w:val="20"/>
              </w:rPr>
              <w:t>供应厂家回收利用</w:t>
            </w:r>
          </w:p>
        </w:tc>
        <w:tc>
          <w:tcPr>
            <w:tcW w:w="993"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1112"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956" w:type="dxa"/>
            <w:tcBorders>
              <w:tl2br w:val="nil"/>
              <w:tr2bl w:val="nil"/>
            </w:tcBorders>
            <w:vAlign w:val="center"/>
          </w:tcPr>
          <w:p w:rsidR="00DB7CC8" w:rsidRDefault="002B5250">
            <w:pPr>
              <w:spacing w:line="240" w:lineRule="auto"/>
              <w:ind w:firstLineChars="0" w:firstLine="0"/>
              <w:jc w:val="center"/>
              <w:rPr>
                <w:sz w:val="20"/>
              </w:rPr>
            </w:pPr>
            <w:r>
              <w:rPr>
                <w:sz w:val="20"/>
              </w:rPr>
              <w:t>0</w:t>
            </w:r>
          </w:p>
        </w:tc>
      </w:tr>
      <w:tr w:rsidR="00DB7CC8">
        <w:trPr>
          <w:trHeight w:val="283"/>
          <w:tblHeader/>
        </w:trPr>
        <w:tc>
          <w:tcPr>
            <w:tcW w:w="595" w:type="dxa"/>
            <w:vMerge/>
            <w:tcBorders>
              <w:tl2br w:val="nil"/>
              <w:tr2bl w:val="nil"/>
            </w:tcBorders>
            <w:vAlign w:val="center"/>
          </w:tcPr>
          <w:p w:rsidR="00DB7CC8" w:rsidRDefault="00DB7CC8">
            <w:pPr>
              <w:spacing w:line="240" w:lineRule="auto"/>
              <w:ind w:firstLineChars="0" w:firstLine="0"/>
              <w:jc w:val="center"/>
              <w:rPr>
                <w:sz w:val="20"/>
              </w:rPr>
            </w:pPr>
          </w:p>
        </w:tc>
        <w:tc>
          <w:tcPr>
            <w:tcW w:w="1560" w:type="dxa"/>
            <w:tcBorders>
              <w:tl2br w:val="nil"/>
              <w:tr2bl w:val="nil"/>
            </w:tcBorders>
            <w:vAlign w:val="center"/>
          </w:tcPr>
          <w:p w:rsidR="00DB7CC8" w:rsidRDefault="002B5250">
            <w:pPr>
              <w:spacing w:line="240" w:lineRule="auto"/>
              <w:ind w:firstLineChars="0" w:firstLine="0"/>
              <w:jc w:val="center"/>
              <w:rPr>
                <w:sz w:val="20"/>
              </w:rPr>
            </w:pPr>
            <w:r>
              <w:rPr>
                <w:sz w:val="20"/>
              </w:rPr>
              <w:t>除尘器收尘</w:t>
            </w:r>
          </w:p>
        </w:tc>
        <w:tc>
          <w:tcPr>
            <w:tcW w:w="992" w:type="dxa"/>
            <w:tcBorders>
              <w:tl2br w:val="nil"/>
              <w:tr2bl w:val="nil"/>
            </w:tcBorders>
            <w:vAlign w:val="center"/>
          </w:tcPr>
          <w:p w:rsidR="00DB7CC8" w:rsidRDefault="002B5250">
            <w:pPr>
              <w:spacing w:line="240" w:lineRule="auto"/>
              <w:ind w:firstLineChars="0" w:firstLine="0"/>
              <w:jc w:val="center"/>
              <w:rPr>
                <w:sz w:val="20"/>
              </w:rPr>
            </w:pPr>
            <w:r>
              <w:rPr>
                <w:sz w:val="20"/>
              </w:rPr>
              <w:t>一般固废</w:t>
            </w:r>
          </w:p>
        </w:tc>
        <w:tc>
          <w:tcPr>
            <w:tcW w:w="1017"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1364" w:type="dxa"/>
            <w:tcBorders>
              <w:tl2br w:val="nil"/>
              <w:tr2bl w:val="nil"/>
            </w:tcBorders>
            <w:vAlign w:val="center"/>
          </w:tcPr>
          <w:p w:rsidR="00DB7CC8" w:rsidRDefault="002B5250">
            <w:pPr>
              <w:spacing w:line="240" w:lineRule="auto"/>
              <w:ind w:firstLineChars="0" w:firstLine="0"/>
              <w:jc w:val="center"/>
              <w:rPr>
                <w:sz w:val="20"/>
              </w:rPr>
            </w:pPr>
            <w:r>
              <w:rPr>
                <w:rFonts w:hint="eastAsia"/>
                <w:sz w:val="20"/>
              </w:rPr>
              <w:t>510.948</w:t>
            </w:r>
            <w:r>
              <w:rPr>
                <w:sz w:val="20"/>
              </w:rPr>
              <w:t xml:space="preserve"> t/a</w:t>
            </w:r>
          </w:p>
        </w:tc>
        <w:tc>
          <w:tcPr>
            <w:tcW w:w="5273" w:type="dxa"/>
            <w:tcBorders>
              <w:tl2br w:val="nil"/>
              <w:tr2bl w:val="nil"/>
            </w:tcBorders>
            <w:vAlign w:val="center"/>
          </w:tcPr>
          <w:p w:rsidR="00DB7CC8" w:rsidRDefault="002B5250">
            <w:pPr>
              <w:spacing w:line="240" w:lineRule="auto"/>
              <w:ind w:firstLineChars="0" w:firstLine="0"/>
              <w:jc w:val="center"/>
              <w:rPr>
                <w:bCs/>
                <w:sz w:val="20"/>
              </w:rPr>
            </w:pPr>
            <w:r>
              <w:rPr>
                <w:bCs/>
                <w:sz w:val="20"/>
              </w:rPr>
              <w:t>进入球磨工序</w:t>
            </w:r>
          </w:p>
        </w:tc>
        <w:tc>
          <w:tcPr>
            <w:tcW w:w="993"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1112"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956" w:type="dxa"/>
            <w:tcBorders>
              <w:tl2br w:val="nil"/>
              <w:tr2bl w:val="nil"/>
            </w:tcBorders>
            <w:vAlign w:val="center"/>
          </w:tcPr>
          <w:p w:rsidR="00DB7CC8" w:rsidRDefault="002B5250">
            <w:pPr>
              <w:spacing w:line="240" w:lineRule="auto"/>
              <w:ind w:firstLineChars="0" w:firstLine="0"/>
              <w:jc w:val="center"/>
              <w:rPr>
                <w:sz w:val="20"/>
              </w:rPr>
            </w:pPr>
            <w:r>
              <w:rPr>
                <w:sz w:val="20"/>
              </w:rPr>
              <w:t>0</w:t>
            </w:r>
          </w:p>
        </w:tc>
      </w:tr>
      <w:tr w:rsidR="00DB7CC8">
        <w:trPr>
          <w:trHeight w:val="283"/>
          <w:tblHeader/>
        </w:trPr>
        <w:tc>
          <w:tcPr>
            <w:tcW w:w="595" w:type="dxa"/>
            <w:vMerge/>
            <w:tcBorders>
              <w:tl2br w:val="nil"/>
              <w:tr2bl w:val="nil"/>
            </w:tcBorders>
            <w:vAlign w:val="center"/>
          </w:tcPr>
          <w:p w:rsidR="00DB7CC8" w:rsidRDefault="00DB7CC8">
            <w:pPr>
              <w:spacing w:line="240" w:lineRule="auto"/>
              <w:ind w:firstLineChars="0" w:firstLine="0"/>
              <w:jc w:val="center"/>
              <w:rPr>
                <w:sz w:val="20"/>
              </w:rPr>
            </w:pPr>
          </w:p>
        </w:tc>
        <w:tc>
          <w:tcPr>
            <w:tcW w:w="1560" w:type="dxa"/>
            <w:tcBorders>
              <w:tl2br w:val="nil"/>
              <w:tr2bl w:val="nil"/>
            </w:tcBorders>
            <w:vAlign w:val="center"/>
          </w:tcPr>
          <w:p w:rsidR="00DB7CC8" w:rsidRDefault="002B5250">
            <w:pPr>
              <w:spacing w:line="240" w:lineRule="auto"/>
              <w:ind w:firstLineChars="0" w:firstLine="0"/>
              <w:jc w:val="center"/>
              <w:rPr>
                <w:sz w:val="20"/>
              </w:rPr>
            </w:pPr>
            <w:r>
              <w:rPr>
                <w:sz w:val="20"/>
              </w:rPr>
              <w:t>废机油、废油桶</w:t>
            </w:r>
          </w:p>
        </w:tc>
        <w:tc>
          <w:tcPr>
            <w:tcW w:w="992" w:type="dxa"/>
            <w:tcBorders>
              <w:tl2br w:val="nil"/>
              <w:tr2bl w:val="nil"/>
            </w:tcBorders>
            <w:vAlign w:val="center"/>
          </w:tcPr>
          <w:p w:rsidR="00DB7CC8" w:rsidRDefault="002B5250">
            <w:pPr>
              <w:spacing w:line="240" w:lineRule="auto"/>
              <w:ind w:firstLineChars="0" w:firstLine="0"/>
              <w:jc w:val="center"/>
              <w:rPr>
                <w:sz w:val="20"/>
              </w:rPr>
            </w:pPr>
            <w:r>
              <w:rPr>
                <w:sz w:val="20"/>
              </w:rPr>
              <w:t>危险废物</w:t>
            </w:r>
          </w:p>
        </w:tc>
        <w:tc>
          <w:tcPr>
            <w:tcW w:w="1017"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1364" w:type="dxa"/>
            <w:tcBorders>
              <w:tl2br w:val="nil"/>
              <w:tr2bl w:val="nil"/>
            </w:tcBorders>
            <w:vAlign w:val="center"/>
          </w:tcPr>
          <w:p w:rsidR="00DB7CC8" w:rsidRDefault="002B5250">
            <w:pPr>
              <w:spacing w:line="240" w:lineRule="auto"/>
              <w:ind w:firstLineChars="0" w:firstLine="0"/>
              <w:jc w:val="center"/>
              <w:rPr>
                <w:sz w:val="20"/>
              </w:rPr>
            </w:pPr>
            <w:r>
              <w:rPr>
                <w:sz w:val="20"/>
              </w:rPr>
              <w:t>0.3t/a</w:t>
            </w:r>
          </w:p>
        </w:tc>
        <w:tc>
          <w:tcPr>
            <w:tcW w:w="5273" w:type="dxa"/>
            <w:tcBorders>
              <w:tl2br w:val="nil"/>
              <w:tr2bl w:val="nil"/>
            </w:tcBorders>
            <w:vAlign w:val="center"/>
          </w:tcPr>
          <w:p w:rsidR="00DB7CC8" w:rsidRDefault="002B5250">
            <w:pPr>
              <w:spacing w:line="240" w:lineRule="auto"/>
              <w:ind w:firstLineChars="0" w:firstLine="0"/>
              <w:jc w:val="center"/>
              <w:rPr>
                <w:bCs/>
                <w:sz w:val="20"/>
              </w:rPr>
            </w:pPr>
            <w:r>
              <w:rPr>
                <w:bCs/>
                <w:sz w:val="20"/>
              </w:rPr>
              <w:t>收集于危废暂存间后，交由有资质的单位进行处理</w:t>
            </w:r>
          </w:p>
        </w:tc>
        <w:tc>
          <w:tcPr>
            <w:tcW w:w="993"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1112" w:type="dxa"/>
            <w:tcBorders>
              <w:tl2br w:val="nil"/>
              <w:tr2bl w:val="nil"/>
            </w:tcBorders>
            <w:vAlign w:val="center"/>
          </w:tcPr>
          <w:p w:rsidR="00DB7CC8" w:rsidRDefault="002B5250">
            <w:pPr>
              <w:spacing w:line="240" w:lineRule="auto"/>
              <w:ind w:firstLineChars="0" w:firstLine="0"/>
              <w:jc w:val="center"/>
              <w:rPr>
                <w:sz w:val="20"/>
              </w:rPr>
            </w:pPr>
            <w:r>
              <w:rPr>
                <w:sz w:val="20"/>
              </w:rPr>
              <w:t>/</w:t>
            </w:r>
          </w:p>
        </w:tc>
        <w:tc>
          <w:tcPr>
            <w:tcW w:w="956" w:type="dxa"/>
            <w:tcBorders>
              <w:tl2br w:val="nil"/>
              <w:tr2bl w:val="nil"/>
            </w:tcBorders>
            <w:vAlign w:val="center"/>
          </w:tcPr>
          <w:p w:rsidR="00DB7CC8" w:rsidRDefault="002B5250">
            <w:pPr>
              <w:spacing w:line="240" w:lineRule="auto"/>
              <w:ind w:firstLineChars="0" w:firstLine="0"/>
              <w:jc w:val="center"/>
              <w:rPr>
                <w:sz w:val="20"/>
              </w:rPr>
            </w:pPr>
            <w:r>
              <w:rPr>
                <w:sz w:val="20"/>
              </w:rPr>
              <w:t>0</w:t>
            </w:r>
          </w:p>
        </w:tc>
      </w:tr>
      <w:tr w:rsidR="00DB7CC8">
        <w:trPr>
          <w:trHeight w:val="283"/>
          <w:tblHeader/>
        </w:trPr>
        <w:tc>
          <w:tcPr>
            <w:tcW w:w="595" w:type="dxa"/>
            <w:tcBorders>
              <w:tl2br w:val="nil"/>
              <w:tr2bl w:val="nil"/>
            </w:tcBorders>
            <w:vAlign w:val="center"/>
          </w:tcPr>
          <w:p w:rsidR="00DB7CC8" w:rsidRDefault="002B5250">
            <w:pPr>
              <w:spacing w:line="240" w:lineRule="auto"/>
              <w:ind w:firstLineChars="0" w:firstLine="0"/>
              <w:jc w:val="center"/>
              <w:rPr>
                <w:sz w:val="20"/>
              </w:rPr>
            </w:pPr>
            <w:r>
              <w:rPr>
                <w:sz w:val="20"/>
              </w:rPr>
              <w:t>噪声</w:t>
            </w:r>
          </w:p>
        </w:tc>
        <w:tc>
          <w:tcPr>
            <w:tcW w:w="13267" w:type="dxa"/>
            <w:gridSpan w:val="8"/>
            <w:tcBorders>
              <w:tl2br w:val="nil"/>
              <w:tr2bl w:val="nil"/>
            </w:tcBorders>
            <w:vAlign w:val="center"/>
          </w:tcPr>
          <w:p w:rsidR="00DB7CC8" w:rsidRDefault="002B5250">
            <w:pPr>
              <w:spacing w:line="240" w:lineRule="auto"/>
              <w:ind w:firstLineChars="0" w:firstLine="0"/>
              <w:rPr>
                <w:sz w:val="20"/>
              </w:rPr>
            </w:pPr>
            <w:r>
              <w:rPr>
                <w:bCs/>
                <w:sz w:val="20"/>
              </w:rPr>
              <w:t>破碎机、球磨机、磁选机、水泵等设备运行时产生的噪声，采取基础减振、</w:t>
            </w:r>
            <w:r>
              <w:rPr>
                <w:rFonts w:hint="eastAsia"/>
                <w:bCs/>
                <w:sz w:val="20"/>
              </w:rPr>
              <w:t>加装</w:t>
            </w:r>
            <w:r>
              <w:rPr>
                <w:bCs/>
                <w:sz w:val="20"/>
              </w:rPr>
              <w:t>吸声材料等措施后，外排噪声源强为</w:t>
            </w:r>
            <w:r>
              <w:rPr>
                <w:bCs/>
                <w:sz w:val="20"/>
              </w:rPr>
              <w:t>50-75dB</w:t>
            </w:r>
            <w:r>
              <w:rPr>
                <w:bCs/>
                <w:sz w:val="20"/>
              </w:rPr>
              <w:t>（</w:t>
            </w:r>
            <w:r>
              <w:rPr>
                <w:bCs/>
                <w:sz w:val="20"/>
              </w:rPr>
              <w:t>A</w:t>
            </w:r>
            <w:r>
              <w:rPr>
                <w:bCs/>
                <w:sz w:val="20"/>
              </w:rPr>
              <w:t>）</w:t>
            </w:r>
          </w:p>
        </w:tc>
      </w:tr>
    </w:tbl>
    <w:p w:rsidR="00DB7CC8" w:rsidRDefault="00DB7CC8">
      <w:pPr>
        <w:ind w:firstLine="560"/>
        <w:sectPr w:rsidR="00DB7CC8">
          <w:footerReference w:type="default" r:id="rId44"/>
          <w:pgSz w:w="16838" w:h="11905" w:orient="landscape"/>
          <w:pgMar w:top="1803" w:right="1440" w:bottom="1803" w:left="1134" w:header="850" w:footer="992" w:gutter="0"/>
          <w:cols w:space="0"/>
          <w:docGrid w:linePitch="312"/>
        </w:sectPr>
      </w:pPr>
    </w:p>
    <w:p w:rsidR="00DB7CC8" w:rsidRDefault="002B5250">
      <w:pPr>
        <w:pStyle w:val="3"/>
        <w:numPr>
          <w:ilvl w:val="2"/>
          <w:numId w:val="1"/>
        </w:numPr>
        <w:rPr>
          <w:szCs w:val="28"/>
        </w:rPr>
      </w:pPr>
      <w:bookmarkStart w:id="229" w:name="_Toc521591771"/>
      <w:bookmarkStart w:id="230" w:name="_Toc4054"/>
      <w:r>
        <w:rPr>
          <w:szCs w:val="28"/>
        </w:rPr>
        <w:lastRenderedPageBreak/>
        <w:t>污染物总量核算</w:t>
      </w:r>
      <w:bookmarkEnd w:id="229"/>
      <w:bookmarkEnd w:id="230"/>
    </w:p>
    <w:p w:rsidR="00DB7CC8" w:rsidRDefault="002B5250">
      <w:pPr>
        <w:ind w:firstLine="480"/>
        <w:rPr>
          <w:sz w:val="24"/>
          <w:szCs w:val="24"/>
        </w:rPr>
      </w:pPr>
      <w:r>
        <w:rPr>
          <w:sz w:val="24"/>
          <w:szCs w:val="24"/>
        </w:rPr>
        <w:t>总量控制是一项控制区域污染，保护环境质量的重要举措，也是实现区域经济可持续发展的主要措施。</w:t>
      </w:r>
    </w:p>
    <w:p w:rsidR="00DB7CC8" w:rsidRDefault="002B5250">
      <w:pPr>
        <w:ind w:firstLine="480"/>
        <w:rPr>
          <w:bCs/>
          <w:sz w:val="24"/>
          <w:szCs w:val="24"/>
        </w:rPr>
      </w:pPr>
      <w:r>
        <w:rPr>
          <w:sz w:val="24"/>
          <w:szCs w:val="24"/>
        </w:rPr>
        <w:t>根据《建设项目主要污染物排放总量指标审核及管理暂行办法》（环发</w:t>
      </w:r>
      <w:r>
        <w:rPr>
          <w:sz w:val="24"/>
          <w:szCs w:val="24"/>
        </w:rPr>
        <w:t>[2014]197</w:t>
      </w:r>
      <w:r>
        <w:rPr>
          <w:sz w:val="24"/>
          <w:szCs w:val="24"/>
        </w:rPr>
        <w:t>号文）、</w:t>
      </w:r>
      <w:r>
        <w:rPr>
          <w:bCs/>
          <w:sz w:val="24"/>
          <w:szCs w:val="24"/>
        </w:rPr>
        <w:t>《关于进一步改革和优化建设项目主要污染物排放总量核定工作的通知》</w:t>
      </w:r>
      <w:r>
        <w:rPr>
          <w:sz w:val="24"/>
          <w:szCs w:val="24"/>
        </w:rPr>
        <w:t>（</w:t>
      </w:r>
      <w:r>
        <w:rPr>
          <w:bCs/>
          <w:sz w:val="24"/>
          <w:szCs w:val="24"/>
        </w:rPr>
        <w:t>河北省环境保护厅文件冀环总〔</w:t>
      </w:r>
      <w:r>
        <w:rPr>
          <w:bCs/>
          <w:sz w:val="24"/>
          <w:szCs w:val="24"/>
        </w:rPr>
        <w:t>2014</w:t>
      </w:r>
      <w:r>
        <w:rPr>
          <w:bCs/>
          <w:sz w:val="24"/>
          <w:szCs w:val="24"/>
        </w:rPr>
        <w:t>〕</w:t>
      </w:r>
      <w:r>
        <w:rPr>
          <w:bCs/>
          <w:sz w:val="24"/>
          <w:szCs w:val="24"/>
        </w:rPr>
        <w:t>283</w:t>
      </w:r>
      <w:r>
        <w:rPr>
          <w:bCs/>
          <w:sz w:val="24"/>
          <w:szCs w:val="24"/>
        </w:rPr>
        <w:t>号文，</w:t>
      </w:r>
      <w:r>
        <w:rPr>
          <w:bCs/>
          <w:sz w:val="24"/>
          <w:szCs w:val="24"/>
        </w:rPr>
        <w:t>2014.9.25</w:t>
      </w:r>
      <w:r>
        <w:rPr>
          <w:sz w:val="24"/>
          <w:szCs w:val="24"/>
        </w:rPr>
        <w:t>）和《国务院关于印发</w:t>
      </w:r>
      <w:r>
        <w:rPr>
          <w:sz w:val="24"/>
          <w:szCs w:val="24"/>
          <w:lang w:val="zh-CN"/>
        </w:rPr>
        <w:t>“</w:t>
      </w:r>
      <w:r>
        <w:rPr>
          <w:sz w:val="24"/>
          <w:szCs w:val="24"/>
        </w:rPr>
        <w:t>十三五</w:t>
      </w:r>
      <w:r>
        <w:rPr>
          <w:sz w:val="24"/>
          <w:szCs w:val="24"/>
          <w:lang w:val="zh-CN"/>
        </w:rPr>
        <w:t>”</w:t>
      </w:r>
      <w:r>
        <w:rPr>
          <w:sz w:val="24"/>
          <w:szCs w:val="24"/>
        </w:rPr>
        <w:t>节能减排综合工作方案的通知》（国发</w:t>
      </w:r>
      <w:r>
        <w:rPr>
          <w:sz w:val="24"/>
          <w:szCs w:val="24"/>
        </w:rPr>
        <w:t>[2016]74</w:t>
      </w:r>
      <w:r>
        <w:rPr>
          <w:sz w:val="24"/>
          <w:szCs w:val="24"/>
        </w:rPr>
        <w:t>号，</w:t>
      </w:r>
      <w:r>
        <w:rPr>
          <w:sz w:val="24"/>
          <w:szCs w:val="24"/>
        </w:rPr>
        <w:t>2016.12.20</w:t>
      </w:r>
      <w:r>
        <w:rPr>
          <w:sz w:val="24"/>
          <w:szCs w:val="24"/>
        </w:rPr>
        <w:t>），</w:t>
      </w:r>
      <w:r>
        <w:rPr>
          <w:bCs/>
          <w:sz w:val="24"/>
          <w:szCs w:val="24"/>
        </w:rPr>
        <w:t>本项目属于环境统计重点工业源调查行业范围内（《国民经济行业分类》（</w:t>
      </w:r>
      <w:r>
        <w:rPr>
          <w:bCs/>
          <w:sz w:val="24"/>
          <w:szCs w:val="24"/>
        </w:rPr>
        <w:t>GB/T4754</w:t>
      </w:r>
      <w:r>
        <w:rPr>
          <w:bCs/>
          <w:sz w:val="24"/>
          <w:szCs w:val="24"/>
        </w:rPr>
        <w:t>）中采矿业、制造业，电力、燃气及水的生产和供应业，</w:t>
      </w:r>
      <w:r>
        <w:rPr>
          <w:bCs/>
          <w:sz w:val="24"/>
          <w:szCs w:val="24"/>
        </w:rPr>
        <w:t>3</w:t>
      </w:r>
      <w:r>
        <w:rPr>
          <w:bCs/>
          <w:sz w:val="24"/>
          <w:szCs w:val="24"/>
        </w:rPr>
        <w:t>个门类</w:t>
      </w:r>
      <w:r>
        <w:rPr>
          <w:bCs/>
          <w:sz w:val="24"/>
          <w:szCs w:val="24"/>
        </w:rPr>
        <w:t>39</w:t>
      </w:r>
      <w:r>
        <w:rPr>
          <w:bCs/>
          <w:sz w:val="24"/>
          <w:szCs w:val="24"/>
        </w:rPr>
        <w:t>个行业）的建设项目，</w:t>
      </w:r>
      <w:r>
        <w:rPr>
          <w:sz w:val="24"/>
          <w:szCs w:val="24"/>
        </w:rPr>
        <w:t>需要核定主要污染物排放总量指标，</w:t>
      </w:r>
      <w:r>
        <w:rPr>
          <w:bCs/>
          <w:sz w:val="24"/>
          <w:szCs w:val="24"/>
        </w:rPr>
        <w:t>主要污染因子是：废气中的</w:t>
      </w:r>
      <w:r>
        <w:rPr>
          <w:bCs/>
          <w:sz w:val="24"/>
          <w:szCs w:val="24"/>
        </w:rPr>
        <w:t>SO</w:t>
      </w:r>
      <w:r>
        <w:rPr>
          <w:bCs/>
          <w:sz w:val="24"/>
          <w:szCs w:val="24"/>
          <w:vertAlign w:val="subscript"/>
        </w:rPr>
        <w:t>2</w:t>
      </w:r>
      <w:r>
        <w:rPr>
          <w:bCs/>
          <w:sz w:val="24"/>
          <w:szCs w:val="24"/>
        </w:rPr>
        <w:t>、</w:t>
      </w:r>
      <w:r>
        <w:rPr>
          <w:bCs/>
          <w:sz w:val="24"/>
          <w:szCs w:val="24"/>
        </w:rPr>
        <w:t>NOx</w:t>
      </w:r>
      <w:r>
        <w:rPr>
          <w:bCs/>
          <w:sz w:val="24"/>
          <w:szCs w:val="24"/>
        </w:rPr>
        <w:t>、烟尘、工业粉尘；废水中的</w:t>
      </w:r>
      <w:r>
        <w:rPr>
          <w:bCs/>
          <w:sz w:val="24"/>
          <w:szCs w:val="24"/>
        </w:rPr>
        <w:t>COD</w:t>
      </w:r>
      <w:r>
        <w:rPr>
          <w:bCs/>
          <w:sz w:val="24"/>
          <w:szCs w:val="24"/>
        </w:rPr>
        <w:t>、</w:t>
      </w:r>
      <w:r>
        <w:rPr>
          <w:bCs/>
          <w:sz w:val="24"/>
          <w:szCs w:val="24"/>
        </w:rPr>
        <w:t>NH</w:t>
      </w:r>
      <w:r>
        <w:rPr>
          <w:bCs/>
          <w:sz w:val="24"/>
          <w:szCs w:val="24"/>
          <w:vertAlign w:val="subscript"/>
        </w:rPr>
        <w:t>3</w:t>
      </w:r>
      <w:r>
        <w:rPr>
          <w:bCs/>
          <w:sz w:val="24"/>
          <w:szCs w:val="24"/>
        </w:rPr>
        <w:t>-N</w:t>
      </w:r>
      <w:r>
        <w:rPr>
          <w:bCs/>
          <w:sz w:val="24"/>
          <w:szCs w:val="24"/>
        </w:rPr>
        <w:t>。结合本次建设项目污染物排放情况，确定本项目参与总量控制的污染物为：工业粉尘。</w:t>
      </w:r>
    </w:p>
    <w:p w:rsidR="00DB7CC8" w:rsidRDefault="002B5250">
      <w:pPr>
        <w:ind w:firstLine="480"/>
        <w:jc w:val="both"/>
        <w:rPr>
          <w:bCs/>
          <w:sz w:val="24"/>
          <w:szCs w:val="24"/>
        </w:rPr>
      </w:pPr>
      <w:r>
        <w:rPr>
          <w:bCs/>
          <w:sz w:val="24"/>
          <w:szCs w:val="24"/>
        </w:rPr>
        <w:t>根据《建设项目主要污染物排放总量指标审核及管理暂行办法》的相关要求，总量核算以污染物排放标准中的排放浓度限值为基准，计算总量指标。计算结果和计算依据如下：</w:t>
      </w:r>
    </w:p>
    <w:p w:rsidR="00DB7CC8" w:rsidRDefault="002B5250">
      <w:pPr>
        <w:ind w:firstLine="480"/>
        <w:jc w:val="both"/>
        <w:rPr>
          <w:bCs/>
          <w:sz w:val="24"/>
          <w:szCs w:val="24"/>
        </w:rPr>
      </w:pPr>
      <w:r>
        <w:rPr>
          <w:bCs/>
          <w:sz w:val="24"/>
          <w:szCs w:val="24"/>
        </w:rPr>
        <w:t>（</w:t>
      </w:r>
      <w:r>
        <w:rPr>
          <w:bCs/>
          <w:sz w:val="24"/>
          <w:szCs w:val="24"/>
        </w:rPr>
        <w:t>1</w:t>
      </w:r>
      <w:r>
        <w:rPr>
          <w:bCs/>
          <w:sz w:val="24"/>
          <w:szCs w:val="24"/>
        </w:rPr>
        <w:t>）计算依据</w:t>
      </w:r>
    </w:p>
    <w:p w:rsidR="00DB7CC8" w:rsidRDefault="002B5250">
      <w:pPr>
        <w:ind w:firstLine="480"/>
        <w:jc w:val="both"/>
        <w:rPr>
          <w:bCs/>
          <w:sz w:val="24"/>
          <w:szCs w:val="24"/>
        </w:rPr>
      </w:pPr>
      <w:r>
        <w:rPr>
          <w:bCs/>
          <w:sz w:val="24"/>
          <w:szCs w:val="24"/>
        </w:rPr>
        <w:t>颗粒物排放标准执行《铁矿采选工业污染物排放标准》（</w:t>
      </w:r>
      <w:r>
        <w:rPr>
          <w:bCs/>
          <w:sz w:val="24"/>
          <w:szCs w:val="24"/>
        </w:rPr>
        <w:t>GB28661-2012</w:t>
      </w:r>
      <w:r>
        <w:rPr>
          <w:bCs/>
          <w:sz w:val="24"/>
          <w:szCs w:val="24"/>
        </w:rPr>
        <w:t>）表</w:t>
      </w:r>
      <w:r>
        <w:rPr>
          <w:bCs/>
          <w:sz w:val="24"/>
          <w:szCs w:val="24"/>
        </w:rPr>
        <w:t>6</w:t>
      </w:r>
      <w:r>
        <w:rPr>
          <w:bCs/>
          <w:sz w:val="24"/>
          <w:szCs w:val="24"/>
        </w:rPr>
        <w:t>中的标准限值：</w:t>
      </w:r>
      <w:r>
        <w:rPr>
          <w:bCs/>
          <w:sz w:val="24"/>
          <w:szCs w:val="24"/>
        </w:rPr>
        <w:t>10mg/m</w:t>
      </w:r>
      <w:r>
        <w:rPr>
          <w:bCs/>
          <w:sz w:val="24"/>
          <w:szCs w:val="24"/>
          <w:vertAlign w:val="superscript"/>
        </w:rPr>
        <w:t>3</w:t>
      </w:r>
      <w:r>
        <w:rPr>
          <w:bCs/>
          <w:sz w:val="24"/>
          <w:szCs w:val="24"/>
        </w:rPr>
        <w:t>。</w:t>
      </w:r>
    </w:p>
    <w:p w:rsidR="00DB7CC8" w:rsidRDefault="002B5250">
      <w:pPr>
        <w:ind w:firstLine="480"/>
        <w:jc w:val="both"/>
        <w:rPr>
          <w:bCs/>
          <w:sz w:val="24"/>
          <w:szCs w:val="24"/>
        </w:rPr>
      </w:pPr>
      <w:r>
        <w:rPr>
          <w:bCs/>
          <w:sz w:val="24"/>
          <w:szCs w:val="24"/>
        </w:rPr>
        <w:t>（</w:t>
      </w:r>
      <w:r>
        <w:rPr>
          <w:bCs/>
          <w:sz w:val="24"/>
          <w:szCs w:val="24"/>
        </w:rPr>
        <w:t>2</w:t>
      </w:r>
      <w:r>
        <w:rPr>
          <w:bCs/>
          <w:sz w:val="24"/>
          <w:szCs w:val="24"/>
        </w:rPr>
        <w:t>）计算过程</w:t>
      </w:r>
    </w:p>
    <w:p w:rsidR="00DB7CC8" w:rsidRDefault="002B5250">
      <w:pPr>
        <w:ind w:firstLine="480"/>
        <w:jc w:val="both"/>
        <w:rPr>
          <w:bCs/>
          <w:sz w:val="24"/>
          <w:szCs w:val="24"/>
        </w:rPr>
      </w:pPr>
      <w:r>
        <w:rPr>
          <w:rFonts w:hint="eastAsia"/>
          <w:bCs/>
          <w:sz w:val="24"/>
          <w:szCs w:val="24"/>
        </w:rPr>
        <w:t>3</w:t>
      </w:r>
      <w:r>
        <w:rPr>
          <w:bCs/>
          <w:sz w:val="24"/>
          <w:szCs w:val="24"/>
        </w:rPr>
        <w:t>#</w:t>
      </w:r>
      <w:r>
        <w:rPr>
          <w:bCs/>
          <w:sz w:val="24"/>
          <w:szCs w:val="24"/>
        </w:rPr>
        <w:t>破碎</w:t>
      </w:r>
      <w:r>
        <w:rPr>
          <w:rFonts w:hint="eastAsia"/>
          <w:bCs/>
          <w:sz w:val="24"/>
          <w:szCs w:val="24"/>
        </w:rPr>
        <w:t>粗选</w:t>
      </w:r>
      <w:r>
        <w:rPr>
          <w:bCs/>
          <w:sz w:val="24"/>
          <w:szCs w:val="24"/>
        </w:rPr>
        <w:t>生产线颗粒物排放量</w:t>
      </w:r>
      <w:r>
        <w:rPr>
          <w:bCs/>
          <w:sz w:val="24"/>
          <w:szCs w:val="24"/>
        </w:rPr>
        <w:t>=10mg/m</w:t>
      </w:r>
      <w:r>
        <w:rPr>
          <w:bCs/>
          <w:sz w:val="24"/>
          <w:szCs w:val="24"/>
          <w:vertAlign w:val="superscript"/>
        </w:rPr>
        <w:t>3</w:t>
      </w:r>
      <w:r>
        <w:rPr>
          <w:bCs/>
          <w:sz w:val="24"/>
          <w:szCs w:val="24"/>
        </w:rPr>
        <w:t>×</w:t>
      </w:r>
      <w:r>
        <w:rPr>
          <w:rFonts w:hint="eastAsia"/>
          <w:bCs/>
          <w:sz w:val="24"/>
          <w:szCs w:val="24"/>
        </w:rPr>
        <w:t>50</w:t>
      </w:r>
      <w:r>
        <w:rPr>
          <w:bCs/>
          <w:sz w:val="24"/>
          <w:szCs w:val="24"/>
        </w:rPr>
        <w:t>000m</w:t>
      </w:r>
      <w:r>
        <w:rPr>
          <w:bCs/>
          <w:sz w:val="24"/>
          <w:szCs w:val="24"/>
          <w:vertAlign w:val="superscript"/>
        </w:rPr>
        <w:t>3</w:t>
      </w:r>
      <w:r>
        <w:rPr>
          <w:bCs/>
          <w:sz w:val="24"/>
          <w:szCs w:val="24"/>
        </w:rPr>
        <w:t>/h×7200h×10</w:t>
      </w:r>
      <w:r>
        <w:rPr>
          <w:bCs/>
          <w:sz w:val="24"/>
          <w:szCs w:val="24"/>
          <w:vertAlign w:val="superscript"/>
        </w:rPr>
        <w:t>-9</w:t>
      </w:r>
      <w:r>
        <w:rPr>
          <w:bCs/>
          <w:sz w:val="24"/>
          <w:szCs w:val="24"/>
        </w:rPr>
        <w:t>mg/t =</w:t>
      </w:r>
      <w:r>
        <w:rPr>
          <w:rFonts w:hint="eastAsia"/>
          <w:bCs/>
          <w:sz w:val="24"/>
          <w:szCs w:val="24"/>
        </w:rPr>
        <w:t>3.6</w:t>
      </w:r>
      <w:r>
        <w:rPr>
          <w:bCs/>
          <w:sz w:val="24"/>
          <w:szCs w:val="24"/>
        </w:rPr>
        <w:t xml:space="preserve">t/a </w:t>
      </w:r>
    </w:p>
    <w:p w:rsidR="00DB7CC8" w:rsidRDefault="002B5250">
      <w:pPr>
        <w:ind w:firstLine="480"/>
        <w:jc w:val="both"/>
        <w:rPr>
          <w:bCs/>
          <w:sz w:val="24"/>
          <w:szCs w:val="24"/>
        </w:rPr>
      </w:pPr>
      <w:bookmarkStart w:id="231" w:name="_Hlk9229559"/>
      <w:r>
        <w:rPr>
          <w:rFonts w:hint="eastAsia"/>
          <w:bCs/>
          <w:sz w:val="24"/>
          <w:szCs w:val="24"/>
        </w:rPr>
        <w:t>（</w:t>
      </w:r>
      <w:r>
        <w:rPr>
          <w:rFonts w:hint="eastAsia"/>
          <w:bCs/>
          <w:sz w:val="24"/>
          <w:szCs w:val="24"/>
        </w:rPr>
        <w:t>3</w:t>
      </w:r>
      <w:r>
        <w:rPr>
          <w:rFonts w:hint="eastAsia"/>
          <w:bCs/>
          <w:sz w:val="24"/>
          <w:szCs w:val="24"/>
        </w:rPr>
        <w:t>）总量控制指标</w:t>
      </w:r>
    </w:p>
    <w:p w:rsidR="00DB7CC8" w:rsidRDefault="002B5250">
      <w:pPr>
        <w:ind w:firstLine="480"/>
        <w:jc w:val="both"/>
        <w:rPr>
          <w:bCs/>
          <w:sz w:val="24"/>
          <w:szCs w:val="24"/>
        </w:rPr>
      </w:pPr>
      <w:r>
        <w:rPr>
          <w:rFonts w:hint="eastAsia"/>
          <w:bCs/>
          <w:sz w:val="24"/>
          <w:szCs w:val="24"/>
        </w:rPr>
        <w:t>本</w:t>
      </w:r>
      <w:r>
        <w:rPr>
          <w:rFonts w:hint="eastAsia"/>
          <w:bCs/>
          <w:sz w:val="24"/>
          <w:szCs w:val="24"/>
        </w:rPr>
        <w:t>项目建成后总量控制指标</w:t>
      </w:r>
      <w:r>
        <w:rPr>
          <w:bCs/>
          <w:sz w:val="24"/>
          <w:szCs w:val="24"/>
        </w:rPr>
        <w:t>见</w:t>
      </w:r>
      <w:r>
        <w:rPr>
          <w:rFonts w:hint="eastAsia"/>
          <w:bCs/>
          <w:sz w:val="24"/>
          <w:szCs w:val="24"/>
        </w:rPr>
        <w:t>表</w:t>
      </w:r>
      <w:r>
        <w:rPr>
          <w:rFonts w:hint="eastAsia"/>
          <w:bCs/>
          <w:sz w:val="24"/>
          <w:szCs w:val="24"/>
        </w:rPr>
        <w:t>3.</w:t>
      </w:r>
      <w:r>
        <w:rPr>
          <w:rFonts w:hint="eastAsia"/>
          <w:bCs/>
          <w:sz w:val="24"/>
          <w:szCs w:val="24"/>
        </w:rPr>
        <w:t>4</w:t>
      </w:r>
      <w:r>
        <w:rPr>
          <w:rFonts w:hint="eastAsia"/>
          <w:bCs/>
          <w:sz w:val="24"/>
          <w:szCs w:val="24"/>
        </w:rPr>
        <w:t>-9</w:t>
      </w:r>
      <w:r>
        <w:rPr>
          <w:bCs/>
          <w:sz w:val="24"/>
          <w:szCs w:val="24"/>
        </w:rPr>
        <w:t>。</w:t>
      </w:r>
    </w:p>
    <w:p w:rsidR="00DB7CC8" w:rsidRDefault="002B5250">
      <w:pPr>
        <w:spacing w:line="240" w:lineRule="auto"/>
        <w:ind w:firstLineChars="0" w:firstLine="0"/>
        <w:jc w:val="center"/>
        <w:textAlignment w:val="auto"/>
        <w:rPr>
          <w:rFonts w:eastAsia="黑体"/>
          <w:kern w:val="2"/>
          <w:sz w:val="21"/>
          <w:szCs w:val="21"/>
        </w:rPr>
      </w:pPr>
      <w:bookmarkStart w:id="232" w:name="_Ref9208098"/>
      <w:r>
        <w:rPr>
          <w:rFonts w:eastAsia="黑体" w:hint="eastAsia"/>
          <w:kern w:val="2"/>
          <w:sz w:val="21"/>
          <w:szCs w:val="21"/>
        </w:rPr>
        <w:t>表</w:t>
      </w:r>
      <w:r>
        <w:rPr>
          <w:rFonts w:eastAsia="黑体" w:hint="eastAsia"/>
          <w:kern w:val="2"/>
          <w:sz w:val="21"/>
          <w:szCs w:val="21"/>
        </w:rPr>
        <w:t>3.</w:t>
      </w:r>
      <w:r>
        <w:rPr>
          <w:rFonts w:eastAsia="黑体" w:hint="eastAsia"/>
          <w:kern w:val="2"/>
          <w:sz w:val="21"/>
          <w:szCs w:val="21"/>
        </w:rPr>
        <w:t>4</w:t>
      </w:r>
      <w:r>
        <w:rPr>
          <w:rFonts w:eastAsia="黑体" w:hint="eastAsia"/>
          <w:kern w:val="2"/>
          <w:sz w:val="21"/>
          <w:szCs w:val="21"/>
        </w:rPr>
        <w:t xml:space="preserve">-9 </w:t>
      </w:r>
      <w:bookmarkEnd w:id="232"/>
      <w:r>
        <w:rPr>
          <w:rFonts w:eastAsia="黑体"/>
          <w:kern w:val="2"/>
          <w:sz w:val="21"/>
          <w:szCs w:val="21"/>
        </w:rPr>
        <w:t xml:space="preserve">  </w:t>
      </w:r>
      <w:r>
        <w:rPr>
          <w:rFonts w:eastAsia="黑体" w:hint="eastAsia"/>
          <w:kern w:val="2"/>
          <w:sz w:val="21"/>
          <w:szCs w:val="21"/>
        </w:rPr>
        <w:t>项目总量控制指表</w:t>
      </w:r>
      <w:r>
        <w:rPr>
          <w:rFonts w:eastAsia="黑体" w:hint="eastAsia"/>
          <w:kern w:val="2"/>
          <w:sz w:val="21"/>
          <w:szCs w:val="21"/>
        </w:rPr>
        <w:t xml:space="preserve"> </w:t>
      </w:r>
      <w:r>
        <w:rPr>
          <w:rFonts w:eastAsia="黑体" w:hint="eastAsia"/>
          <w:kern w:val="2"/>
          <w:sz w:val="21"/>
          <w:szCs w:val="21"/>
        </w:rPr>
        <w:t>单位</w:t>
      </w:r>
      <w:r>
        <w:rPr>
          <w:rFonts w:eastAsia="黑体" w:hint="eastAsia"/>
          <w:kern w:val="2"/>
          <w:sz w:val="21"/>
          <w:szCs w:val="21"/>
        </w:rPr>
        <w:t xml:space="preserve"> t/a</w:t>
      </w:r>
    </w:p>
    <w:tbl>
      <w:tblPr>
        <w:tblW w:w="8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4"/>
        <w:gridCol w:w="1744"/>
        <w:gridCol w:w="1744"/>
        <w:gridCol w:w="1397"/>
        <w:gridCol w:w="992"/>
        <w:gridCol w:w="1100"/>
      </w:tblGrid>
      <w:tr w:rsidR="00DB7CC8">
        <w:tc>
          <w:tcPr>
            <w:tcW w:w="1744" w:type="dxa"/>
            <w:shd w:val="clear" w:color="auto" w:fill="auto"/>
          </w:tcPr>
          <w:p w:rsidR="00DB7CC8" w:rsidRDefault="002B5250">
            <w:pPr>
              <w:pStyle w:val="afffffffc"/>
              <w:spacing w:line="240" w:lineRule="auto"/>
              <w:rPr>
                <w:lang w:bidi="zh-CN"/>
              </w:rPr>
            </w:pPr>
            <w:r>
              <w:rPr>
                <w:rFonts w:hint="eastAsia"/>
                <w:lang w:bidi="zh-CN"/>
              </w:rPr>
              <w:t>项目</w:t>
            </w:r>
          </w:p>
        </w:tc>
        <w:tc>
          <w:tcPr>
            <w:tcW w:w="3488" w:type="dxa"/>
            <w:gridSpan w:val="2"/>
            <w:shd w:val="clear" w:color="auto" w:fill="auto"/>
          </w:tcPr>
          <w:p w:rsidR="00DB7CC8" w:rsidRDefault="002B5250">
            <w:pPr>
              <w:pStyle w:val="afffffffc"/>
              <w:spacing w:line="240" w:lineRule="auto"/>
              <w:rPr>
                <w:lang w:bidi="zh-CN"/>
              </w:rPr>
            </w:pPr>
            <w:r>
              <w:rPr>
                <w:rFonts w:hint="eastAsia"/>
                <w:lang w:bidi="zh-CN"/>
              </w:rPr>
              <w:t>废水污染物</w:t>
            </w:r>
          </w:p>
        </w:tc>
        <w:tc>
          <w:tcPr>
            <w:tcW w:w="3489" w:type="dxa"/>
            <w:gridSpan w:val="3"/>
            <w:shd w:val="clear" w:color="auto" w:fill="auto"/>
          </w:tcPr>
          <w:p w:rsidR="00DB7CC8" w:rsidRDefault="002B5250">
            <w:pPr>
              <w:pStyle w:val="afffffffc"/>
              <w:spacing w:line="240" w:lineRule="auto"/>
              <w:rPr>
                <w:lang w:bidi="zh-CN"/>
              </w:rPr>
            </w:pPr>
            <w:r>
              <w:rPr>
                <w:rFonts w:hint="eastAsia"/>
                <w:lang w:bidi="zh-CN"/>
              </w:rPr>
              <w:t>大气污染物</w:t>
            </w:r>
          </w:p>
        </w:tc>
      </w:tr>
      <w:tr w:rsidR="00DB7CC8">
        <w:tc>
          <w:tcPr>
            <w:tcW w:w="1744" w:type="dxa"/>
            <w:vMerge w:val="restart"/>
            <w:shd w:val="clear" w:color="auto" w:fill="auto"/>
            <w:vAlign w:val="center"/>
          </w:tcPr>
          <w:p w:rsidR="00DB7CC8" w:rsidRDefault="002B5250">
            <w:pPr>
              <w:pStyle w:val="afffffffc"/>
              <w:spacing w:line="240" w:lineRule="auto"/>
              <w:rPr>
                <w:lang w:bidi="zh-CN"/>
              </w:rPr>
            </w:pPr>
            <w:r>
              <w:rPr>
                <w:rFonts w:hint="eastAsia"/>
                <w:lang w:bidi="zh-CN"/>
              </w:rPr>
              <w:t>总量控制指标</w:t>
            </w:r>
          </w:p>
        </w:tc>
        <w:tc>
          <w:tcPr>
            <w:tcW w:w="1744" w:type="dxa"/>
            <w:shd w:val="clear" w:color="auto" w:fill="auto"/>
          </w:tcPr>
          <w:p w:rsidR="00DB7CC8" w:rsidRDefault="002B5250">
            <w:pPr>
              <w:pStyle w:val="afffffffc"/>
              <w:spacing w:line="240" w:lineRule="auto"/>
              <w:rPr>
                <w:lang w:bidi="zh-CN"/>
              </w:rPr>
            </w:pPr>
            <w:r>
              <w:rPr>
                <w:rFonts w:hint="eastAsia"/>
                <w:lang w:bidi="zh-CN"/>
              </w:rPr>
              <w:t>COD</w:t>
            </w:r>
          </w:p>
        </w:tc>
        <w:tc>
          <w:tcPr>
            <w:tcW w:w="1744" w:type="dxa"/>
            <w:shd w:val="clear" w:color="auto" w:fill="auto"/>
          </w:tcPr>
          <w:p w:rsidR="00DB7CC8" w:rsidRDefault="002B5250">
            <w:pPr>
              <w:pStyle w:val="afffffffc"/>
              <w:spacing w:line="240" w:lineRule="auto"/>
              <w:rPr>
                <w:lang w:bidi="zh-CN"/>
              </w:rPr>
            </w:pPr>
            <w:r>
              <w:rPr>
                <w:rFonts w:hint="eastAsia"/>
                <w:lang w:bidi="zh-CN"/>
              </w:rPr>
              <w:t>氨氮</w:t>
            </w:r>
          </w:p>
        </w:tc>
        <w:tc>
          <w:tcPr>
            <w:tcW w:w="1397" w:type="dxa"/>
            <w:shd w:val="clear" w:color="auto" w:fill="auto"/>
          </w:tcPr>
          <w:p w:rsidR="00DB7CC8" w:rsidRDefault="002B5250">
            <w:pPr>
              <w:pStyle w:val="afffffffc"/>
              <w:spacing w:line="240" w:lineRule="auto"/>
              <w:rPr>
                <w:lang w:bidi="zh-CN"/>
              </w:rPr>
            </w:pPr>
            <w:r>
              <w:rPr>
                <w:rFonts w:hint="eastAsia"/>
                <w:lang w:bidi="zh-CN"/>
              </w:rPr>
              <w:t>SO</w:t>
            </w:r>
            <w:r>
              <w:rPr>
                <w:rFonts w:hint="eastAsia"/>
                <w:vertAlign w:val="subscript"/>
                <w:lang w:bidi="zh-CN"/>
              </w:rPr>
              <w:t>2</w:t>
            </w:r>
          </w:p>
        </w:tc>
        <w:tc>
          <w:tcPr>
            <w:tcW w:w="992" w:type="dxa"/>
            <w:shd w:val="clear" w:color="auto" w:fill="auto"/>
          </w:tcPr>
          <w:p w:rsidR="00DB7CC8" w:rsidRDefault="002B5250">
            <w:pPr>
              <w:pStyle w:val="afffffffc"/>
              <w:spacing w:line="240" w:lineRule="auto"/>
              <w:rPr>
                <w:lang w:bidi="zh-CN"/>
              </w:rPr>
            </w:pPr>
            <w:r>
              <w:rPr>
                <w:rFonts w:hint="eastAsia"/>
                <w:lang w:bidi="zh-CN"/>
              </w:rPr>
              <w:t>NOx</w:t>
            </w:r>
          </w:p>
        </w:tc>
        <w:tc>
          <w:tcPr>
            <w:tcW w:w="1100" w:type="dxa"/>
            <w:shd w:val="clear" w:color="auto" w:fill="auto"/>
          </w:tcPr>
          <w:p w:rsidR="00DB7CC8" w:rsidRDefault="002B5250">
            <w:pPr>
              <w:pStyle w:val="afffffffc"/>
              <w:spacing w:line="240" w:lineRule="auto"/>
              <w:rPr>
                <w:lang w:bidi="zh-CN"/>
              </w:rPr>
            </w:pPr>
            <w:r>
              <w:rPr>
                <w:rFonts w:hint="eastAsia"/>
                <w:lang w:bidi="zh-CN"/>
              </w:rPr>
              <w:t>颗粒物</w:t>
            </w:r>
          </w:p>
        </w:tc>
      </w:tr>
      <w:tr w:rsidR="00DB7CC8">
        <w:tc>
          <w:tcPr>
            <w:tcW w:w="1744" w:type="dxa"/>
            <w:vMerge/>
            <w:shd w:val="clear" w:color="auto" w:fill="auto"/>
          </w:tcPr>
          <w:p w:rsidR="00DB7CC8" w:rsidRDefault="00DB7CC8">
            <w:pPr>
              <w:pStyle w:val="afffffffc"/>
              <w:spacing w:line="240" w:lineRule="auto"/>
              <w:rPr>
                <w:lang w:bidi="zh-CN"/>
              </w:rPr>
            </w:pPr>
          </w:p>
        </w:tc>
        <w:tc>
          <w:tcPr>
            <w:tcW w:w="1744" w:type="dxa"/>
            <w:shd w:val="clear" w:color="auto" w:fill="auto"/>
          </w:tcPr>
          <w:p w:rsidR="00DB7CC8" w:rsidRDefault="002B5250">
            <w:pPr>
              <w:pStyle w:val="afffffffc"/>
              <w:spacing w:line="240" w:lineRule="auto"/>
              <w:rPr>
                <w:lang w:bidi="zh-CN"/>
              </w:rPr>
            </w:pPr>
            <w:r>
              <w:rPr>
                <w:rFonts w:hint="eastAsia"/>
                <w:lang w:bidi="zh-CN"/>
              </w:rPr>
              <w:t>0</w:t>
            </w:r>
          </w:p>
        </w:tc>
        <w:tc>
          <w:tcPr>
            <w:tcW w:w="1744" w:type="dxa"/>
            <w:shd w:val="clear" w:color="auto" w:fill="auto"/>
          </w:tcPr>
          <w:p w:rsidR="00DB7CC8" w:rsidRDefault="002B5250">
            <w:pPr>
              <w:pStyle w:val="afffffffc"/>
              <w:spacing w:line="240" w:lineRule="auto"/>
              <w:rPr>
                <w:lang w:bidi="zh-CN"/>
              </w:rPr>
            </w:pPr>
            <w:r>
              <w:rPr>
                <w:rFonts w:hint="eastAsia"/>
                <w:lang w:bidi="zh-CN"/>
              </w:rPr>
              <w:t>0</w:t>
            </w:r>
          </w:p>
        </w:tc>
        <w:tc>
          <w:tcPr>
            <w:tcW w:w="1397" w:type="dxa"/>
            <w:shd w:val="clear" w:color="auto" w:fill="auto"/>
          </w:tcPr>
          <w:p w:rsidR="00DB7CC8" w:rsidRDefault="002B5250">
            <w:pPr>
              <w:pStyle w:val="afffffffc"/>
              <w:spacing w:line="240" w:lineRule="auto"/>
              <w:rPr>
                <w:lang w:bidi="zh-CN"/>
              </w:rPr>
            </w:pPr>
            <w:r>
              <w:rPr>
                <w:rFonts w:hint="eastAsia"/>
                <w:lang w:bidi="zh-CN"/>
              </w:rPr>
              <w:t>0</w:t>
            </w:r>
          </w:p>
        </w:tc>
        <w:tc>
          <w:tcPr>
            <w:tcW w:w="992" w:type="dxa"/>
            <w:shd w:val="clear" w:color="auto" w:fill="auto"/>
          </w:tcPr>
          <w:p w:rsidR="00DB7CC8" w:rsidRDefault="002B5250">
            <w:pPr>
              <w:pStyle w:val="afffffffc"/>
              <w:spacing w:line="240" w:lineRule="auto"/>
              <w:rPr>
                <w:lang w:bidi="zh-CN"/>
              </w:rPr>
            </w:pPr>
            <w:r>
              <w:rPr>
                <w:rFonts w:hint="eastAsia"/>
                <w:lang w:bidi="zh-CN"/>
              </w:rPr>
              <w:t>0</w:t>
            </w:r>
          </w:p>
        </w:tc>
        <w:tc>
          <w:tcPr>
            <w:tcW w:w="1100" w:type="dxa"/>
            <w:shd w:val="clear" w:color="auto" w:fill="auto"/>
          </w:tcPr>
          <w:p w:rsidR="00DB7CC8" w:rsidRDefault="002B5250">
            <w:pPr>
              <w:pStyle w:val="afffffffc"/>
              <w:spacing w:line="240" w:lineRule="auto"/>
              <w:rPr>
                <w:lang w:bidi="zh-CN"/>
              </w:rPr>
            </w:pPr>
            <w:r>
              <w:rPr>
                <w:rFonts w:hint="eastAsia"/>
                <w:lang w:bidi="zh-CN"/>
              </w:rPr>
              <w:t>3.6</w:t>
            </w:r>
          </w:p>
        </w:tc>
      </w:tr>
    </w:tbl>
    <w:p w:rsidR="00DB7CC8" w:rsidRDefault="002B5250">
      <w:pPr>
        <w:ind w:firstLine="480"/>
        <w:jc w:val="both"/>
        <w:rPr>
          <w:bCs/>
          <w:sz w:val="24"/>
          <w:szCs w:val="24"/>
        </w:rPr>
      </w:pPr>
      <w:r>
        <w:rPr>
          <w:rFonts w:hint="eastAsia"/>
          <w:bCs/>
          <w:sz w:val="24"/>
          <w:szCs w:val="24"/>
        </w:rPr>
        <w:t>（</w:t>
      </w:r>
      <w:r>
        <w:rPr>
          <w:rFonts w:hint="eastAsia"/>
          <w:bCs/>
          <w:sz w:val="24"/>
          <w:szCs w:val="24"/>
        </w:rPr>
        <w:t>4</w:t>
      </w:r>
      <w:r>
        <w:rPr>
          <w:rFonts w:hint="eastAsia"/>
          <w:bCs/>
          <w:sz w:val="24"/>
          <w:szCs w:val="24"/>
        </w:rPr>
        <w:t>）</w:t>
      </w:r>
      <w:r>
        <w:rPr>
          <w:rFonts w:hint="eastAsia"/>
          <w:bCs/>
          <w:sz w:val="24"/>
          <w:szCs w:val="24"/>
        </w:rPr>
        <w:t>全厂</w:t>
      </w:r>
      <w:r>
        <w:rPr>
          <w:rFonts w:hint="eastAsia"/>
          <w:bCs/>
          <w:sz w:val="24"/>
          <w:szCs w:val="24"/>
        </w:rPr>
        <w:t>总量控制指标</w:t>
      </w:r>
    </w:p>
    <w:p w:rsidR="00DB7CC8" w:rsidRDefault="002B5250">
      <w:pPr>
        <w:ind w:firstLine="480"/>
        <w:jc w:val="both"/>
        <w:rPr>
          <w:bCs/>
          <w:sz w:val="24"/>
          <w:szCs w:val="24"/>
        </w:rPr>
      </w:pPr>
      <w:r>
        <w:rPr>
          <w:rFonts w:hint="eastAsia"/>
          <w:bCs/>
          <w:sz w:val="24"/>
          <w:szCs w:val="24"/>
        </w:rPr>
        <w:t>现有工程总量控制指标：</w:t>
      </w:r>
      <w:r>
        <w:rPr>
          <w:rFonts w:hint="eastAsia"/>
          <w:bCs/>
          <w:sz w:val="24"/>
          <w:szCs w:val="24"/>
        </w:rPr>
        <w:t>SO</w:t>
      </w:r>
      <w:r>
        <w:rPr>
          <w:rFonts w:hint="eastAsia"/>
          <w:bCs/>
          <w:sz w:val="24"/>
          <w:szCs w:val="24"/>
          <w:vertAlign w:val="subscript"/>
        </w:rPr>
        <w:t>2</w:t>
      </w:r>
      <w:r>
        <w:rPr>
          <w:rFonts w:hint="eastAsia"/>
          <w:bCs/>
          <w:sz w:val="24"/>
          <w:szCs w:val="24"/>
        </w:rPr>
        <w:t>：</w:t>
      </w:r>
      <w:r>
        <w:rPr>
          <w:rFonts w:hint="eastAsia"/>
          <w:bCs/>
          <w:sz w:val="24"/>
          <w:szCs w:val="24"/>
        </w:rPr>
        <w:t>0t/a</w:t>
      </w:r>
      <w:r>
        <w:rPr>
          <w:rFonts w:hint="eastAsia"/>
          <w:bCs/>
          <w:sz w:val="24"/>
          <w:szCs w:val="24"/>
        </w:rPr>
        <w:t>、</w:t>
      </w:r>
      <w:r>
        <w:rPr>
          <w:rFonts w:hint="eastAsia"/>
          <w:bCs/>
          <w:sz w:val="24"/>
          <w:szCs w:val="24"/>
        </w:rPr>
        <w:t>NO</w:t>
      </w:r>
      <w:r>
        <w:rPr>
          <w:rFonts w:hint="eastAsia"/>
          <w:bCs/>
          <w:sz w:val="24"/>
          <w:szCs w:val="24"/>
          <w:vertAlign w:val="subscript"/>
        </w:rPr>
        <w:t>X</w:t>
      </w:r>
      <w:r>
        <w:rPr>
          <w:rFonts w:hint="eastAsia"/>
          <w:bCs/>
          <w:sz w:val="24"/>
          <w:szCs w:val="24"/>
        </w:rPr>
        <w:t>：</w:t>
      </w:r>
      <w:r>
        <w:rPr>
          <w:rFonts w:hint="eastAsia"/>
          <w:bCs/>
          <w:sz w:val="24"/>
          <w:szCs w:val="24"/>
        </w:rPr>
        <w:t>0t/a</w:t>
      </w:r>
      <w:r>
        <w:rPr>
          <w:rFonts w:hint="eastAsia"/>
          <w:bCs/>
          <w:sz w:val="24"/>
          <w:szCs w:val="24"/>
        </w:rPr>
        <w:t>，颗粒物：</w:t>
      </w:r>
      <w:r>
        <w:rPr>
          <w:rFonts w:hint="eastAsia"/>
          <w:bCs/>
          <w:sz w:val="24"/>
          <w:szCs w:val="24"/>
        </w:rPr>
        <w:t>5.184t/a</w:t>
      </w:r>
      <w:r>
        <w:rPr>
          <w:rFonts w:hint="eastAsia"/>
          <w:bCs/>
          <w:sz w:val="24"/>
          <w:szCs w:val="24"/>
        </w:rPr>
        <w:t>；</w:t>
      </w:r>
      <w:r>
        <w:rPr>
          <w:rFonts w:hint="eastAsia"/>
          <w:bCs/>
          <w:sz w:val="24"/>
          <w:szCs w:val="24"/>
        </w:rPr>
        <w:t>COD</w:t>
      </w:r>
      <w:r>
        <w:rPr>
          <w:rFonts w:hint="eastAsia"/>
          <w:bCs/>
          <w:sz w:val="24"/>
          <w:szCs w:val="24"/>
        </w:rPr>
        <w:t>：</w:t>
      </w:r>
      <w:r>
        <w:rPr>
          <w:rFonts w:hint="eastAsia"/>
          <w:bCs/>
          <w:sz w:val="24"/>
          <w:szCs w:val="24"/>
        </w:rPr>
        <w:t>0t/a</w:t>
      </w:r>
      <w:r>
        <w:rPr>
          <w:rFonts w:hint="eastAsia"/>
          <w:bCs/>
          <w:sz w:val="24"/>
          <w:szCs w:val="24"/>
        </w:rPr>
        <w:t>、氨氮：</w:t>
      </w:r>
      <w:r>
        <w:rPr>
          <w:rFonts w:hint="eastAsia"/>
          <w:bCs/>
          <w:sz w:val="24"/>
          <w:szCs w:val="24"/>
        </w:rPr>
        <w:t>0t/a</w:t>
      </w:r>
      <w:r>
        <w:rPr>
          <w:rFonts w:hint="eastAsia"/>
          <w:bCs/>
          <w:sz w:val="24"/>
          <w:szCs w:val="24"/>
        </w:rPr>
        <w:t>。</w:t>
      </w:r>
    </w:p>
    <w:p w:rsidR="00DB7CC8" w:rsidRDefault="002B5250">
      <w:pPr>
        <w:ind w:firstLine="480"/>
        <w:jc w:val="both"/>
        <w:rPr>
          <w:bCs/>
          <w:sz w:val="24"/>
          <w:szCs w:val="24"/>
        </w:rPr>
      </w:pPr>
      <w:r>
        <w:rPr>
          <w:rFonts w:hint="eastAsia"/>
          <w:bCs/>
          <w:sz w:val="24"/>
          <w:szCs w:val="24"/>
        </w:rPr>
        <w:t>因此，</w:t>
      </w:r>
      <w:r>
        <w:rPr>
          <w:rFonts w:hint="eastAsia"/>
          <w:bCs/>
          <w:sz w:val="24"/>
          <w:szCs w:val="24"/>
        </w:rPr>
        <w:t>本</w:t>
      </w:r>
      <w:r>
        <w:rPr>
          <w:rFonts w:hint="eastAsia"/>
          <w:bCs/>
          <w:sz w:val="24"/>
          <w:szCs w:val="24"/>
        </w:rPr>
        <w:t>项目建成后</w:t>
      </w:r>
      <w:r>
        <w:rPr>
          <w:rFonts w:hint="eastAsia"/>
          <w:bCs/>
          <w:sz w:val="24"/>
          <w:szCs w:val="24"/>
        </w:rPr>
        <w:t>全厂</w:t>
      </w:r>
      <w:r>
        <w:rPr>
          <w:rFonts w:hint="eastAsia"/>
          <w:bCs/>
          <w:sz w:val="24"/>
          <w:szCs w:val="24"/>
        </w:rPr>
        <w:t>总量控制指标</w:t>
      </w:r>
      <w:r>
        <w:rPr>
          <w:rFonts w:hint="eastAsia"/>
          <w:bCs/>
          <w:sz w:val="24"/>
          <w:szCs w:val="24"/>
        </w:rPr>
        <w:t>为：</w:t>
      </w:r>
      <w:r>
        <w:rPr>
          <w:rFonts w:hint="eastAsia"/>
          <w:bCs/>
          <w:sz w:val="24"/>
          <w:szCs w:val="24"/>
        </w:rPr>
        <w:t>SO</w:t>
      </w:r>
      <w:r>
        <w:rPr>
          <w:rFonts w:hint="eastAsia"/>
          <w:bCs/>
          <w:sz w:val="24"/>
          <w:szCs w:val="24"/>
          <w:vertAlign w:val="subscript"/>
        </w:rPr>
        <w:t>2</w:t>
      </w:r>
      <w:r>
        <w:rPr>
          <w:rFonts w:hint="eastAsia"/>
          <w:bCs/>
          <w:sz w:val="24"/>
          <w:szCs w:val="24"/>
        </w:rPr>
        <w:t>：</w:t>
      </w:r>
      <w:r>
        <w:rPr>
          <w:rFonts w:hint="eastAsia"/>
          <w:bCs/>
          <w:sz w:val="24"/>
          <w:szCs w:val="24"/>
        </w:rPr>
        <w:t>0t/a</w:t>
      </w:r>
      <w:r>
        <w:rPr>
          <w:rFonts w:hint="eastAsia"/>
          <w:bCs/>
          <w:sz w:val="24"/>
          <w:szCs w:val="24"/>
        </w:rPr>
        <w:t>、</w:t>
      </w:r>
      <w:r>
        <w:rPr>
          <w:rFonts w:hint="eastAsia"/>
          <w:bCs/>
          <w:sz w:val="24"/>
          <w:szCs w:val="24"/>
        </w:rPr>
        <w:t>NO</w:t>
      </w:r>
      <w:r>
        <w:rPr>
          <w:rFonts w:hint="eastAsia"/>
          <w:bCs/>
          <w:sz w:val="24"/>
          <w:szCs w:val="24"/>
          <w:vertAlign w:val="subscript"/>
        </w:rPr>
        <w:t>X</w:t>
      </w:r>
      <w:r>
        <w:rPr>
          <w:rFonts w:hint="eastAsia"/>
          <w:bCs/>
          <w:sz w:val="24"/>
          <w:szCs w:val="24"/>
        </w:rPr>
        <w:t>：</w:t>
      </w:r>
      <w:r>
        <w:rPr>
          <w:rFonts w:hint="eastAsia"/>
          <w:bCs/>
          <w:sz w:val="24"/>
          <w:szCs w:val="24"/>
        </w:rPr>
        <w:t>0t/a</w:t>
      </w:r>
      <w:r>
        <w:rPr>
          <w:rFonts w:hint="eastAsia"/>
          <w:bCs/>
          <w:sz w:val="24"/>
          <w:szCs w:val="24"/>
        </w:rPr>
        <w:t>，颗粒物：</w:t>
      </w:r>
      <w:r>
        <w:rPr>
          <w:rFonts w:hint="eastAsia"/>
          <w:bCs/>
          <w:sz w:val="24"/>
          <w:szCs w:val="24"/>
        </w:rPr>
        <w:t>8.784</w:t>
      </w:r>
      <w:r>
        <w:rPr>
          <w:rFonts w:hint="eastAsia"/>
          <w:bCs/>
          <w:sz w:val="24"/>
          <w:szCs w:val="24"/>
        </w:rPr>
        <w:t>t/a</w:t>
      </w:r>
      <w:r>
        <w:rPr>
          <w:rFonts w:hint="eastAsia"/>
          <w:bCs/>
          <w:sz w:val="24"/>
          <w:szCs w:val="24"/>
        </w:rPr>
        <w:t>；</w:t>
      </w:r>
      <w:r>
        <w:rPr>
          <w:rFonts w:hint="eastAsia"/>
          <w:bCs/>
          <w:sz w:val="24"/>
          <w:szCs w:val="24"/>
        </w:rPr>
        <w:t>COD</w:t>
      </w:r>
      <w:r>
        <w:rPr>
          <w:rFonts w:hint="eastAsia"/>
          <w:bCs/>
          <w:sz w:val="24"/>
          <w:szCs w:val="24"/>
        </w:rPr>
        <w:t>：</w:t>
      </w:r>
      <w:r>
        <w:rPr>
          <w:rFonts w:hint="eastAsia"/>
          <w:bCs/>
          <w:sz w:val="24"/>
          <w:szCs w:val="24"/>
        </w:rPr>
        <w:t>0t/a</w:t>
      </w:r>
      <w:r>
        <w:rPr>
          <w:rFonts w:hint="eastAsia"/>
          <w:bCs/>
          <w:sz w:val="24"/>
          <w:szCs w:val="24"/>
        </w:rPr>
        <w:t>、氨氮：</w:t>
      </w:r>
      <w:r>
        <w:rPr>
          <w:rFonts w:hint="eastAsia"/>
          <w:bCs/>
          <w:sz w:val="24"/>
          <w:szCs w:val="24"/>
        </w:rPr>
        <w:t>0t/a</w:t>
      </w:r>
      <w:r>
        <w:rPr>
          <w:rFonts w:hint="eastAsia"/>
          <w:bCs/>
          <w:sz w:val="24"/>
          <w:szCs w:val="24"/>
        </w:rPr>
        <w:t>。</w:t>
      </w:r>
    </w:p>
    <w:bookmarkEnd w:id="231"/>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r>
        <w:rPr>
          <w:rFonts w:ascii="Times New Roman" w:eastAsia="宋体" w:hAnsi="Times New Roman" w:hint="eastAsia"/>
          <w:bCs w:val="0"/>
          <w:snapToGrid w:val="0"/>
          <w:kern w:val="0"/>
          <w:sz w:val="28"/>
          <w:szCs w:val="28"/>
        </w:rPr>
        <w:lastRenderedPageBreak/>
        <w:t>改扩建工程完成后全厂概况</w:t>
      </w:r>
    </w:p>
    <w:p w:rsidR="00DB7CC8" w:rsidRDefault="002B5250">
      <w:pPr>
        <w:pStyle w:val="3"/>
        <w:numPr>
          <w:ilvl w:val="2"/>
          <w:numId w:val="1"/>
        </w:numPr>
        <w:rPr>
          <w:szCs w:val="28"/>
        </w:rPr>
      </w:pPr>
      <w:r>
        <w:rPr>
          <w:rFonts w:hint="eastAsia"/>
          <w:szCs w:val="28"/>
        </w:rPr>
        <w:t>改扩建工程完成后全厂工程内容</w:t>
      </w:r>
    </w:p>
    <w:p w:rsidR="00DB7CC8" w:rsidRDefault="002B5250">
      <w:pPr>
        <w:pStyle w:val="233"/>
        <w:spacing w:line="360" w:lineRule="auto"/>
        <w:ind w:firstLine="480"/>
        <w:rPr>
          <w:rFonts w:cs="Times New Roman"/>
        </w:rPr>
      </w:pPr>
      <w:r>
        <w:rPr>
          <w:rFonts w:cs="Times New Roman" w:hint="eastAsia"/>
        </w:rPr>
        <w:t>改扩建工程完成后全厂工程内容见表</w:t>
      </w:r>
      <w:r>
        <w:rPr>
          <w:rFonts w:cs="Times New Roman" w:hint="eastAsia"/>
        </w:rPr>
        <w:t>3.5-1</w:t>
      </w:r>
      <w:r>
        <w:rPr>
          <w:rFonts w:cs="Times New Roman" w:hint="eastAsia"/>
        </w:rPr>
        <w:t>。</w:t>
      </w:r>
    </w:p>
    <w:p w:rsidR="00DB7CC8" w:rsidRDefault="002B5250">
      <w:pPr>
        <w:widowControl/>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3.</w:t>
      </w:r>
      <w:r>
        <w:rPr>
          <w:rFonts w:eastAsia="黑体" w:hint="eastAsia"/>
          <w:kern w:val="2"/>
          <w:sz w:val="21"/>
          <w:szCs w:val="21"/>
        </w:rPr>
        <w:t>5</w:t>
      </w:r>
      <w:r>
        <w:rPr>
          <w:rFonts w:eastAsia="黑体"/>
          <w:kern w:val="2"/>
          <w:sz w:val="21"/>
          <w:szCs w:val="21"/>
        </w:rPr>
        <w:t>-</w:t>
      </w:r>
      <w:r>
        <w:rPr>
          <w:rFonts w:eastAsia="黑体" w:hint="eastAsia"/>
          <w:kern w:val="2"/>
          <w:sz w:val="21"/>
          <w:szCs w:val="21"/>
        </w:rPr>
        <w:t>1</w:t>
      </w:r>
      <w:r>
        <w:rPr>
          <w:rFonts w:eastAsia="黑体"/>
          <w:kern w:val="2"/>
          <w:sz w:val="21"/>
          <w:szCs w:val="21"/>
        </w:rPr>
        <w:t xml:space="preserve">  </w:t>
      </w:r>
      <w:r>
        <w:rPr>
          <w:rFonts w:eastAsia="黑体" w:hint="eastAsia"/>
          <w:kern w:val="2"/>
          <w:sz w:val="21"/>
          <w:szCs w:val="21"/>
        </w:rPr>
        <w:t>改扩建工程完成后全厂</w:t>
      </w:r>
      <w:r>
        <w:rPr>
          <w:rFonts w:eastAsia="黑体"/>
          <w:sz w:val="21"/>
          <w:szCs w:val="21"/>
        </w:rPr>
        <w:t>项目组成及工程内容</w:t>
      </w:r>
    </w:p>
    <w:tbl>
      <w:tblPr>
        <w:tblW w:w="5022" w:type="pct"/>
        <w:jc w:val="center"/>
        <w:tblBorders>
          <w:top w:val="single" w:sz="4" w:space="0" w:color="auto"/>
          <w:bottom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51"/>
        <w:gridCol w:w="1894"/>
        <w:gridCol w:w="5714"/>
      </w:tblGrid>
      <w:tr w:rsidR="00DB7CC8">
        <w:trPr>
          <w:trHeight w:val="283"/>
          <w:tblHeader/>
          <w:jc w:val="center"/>
        </w:trPr>
        <w:tc>
          <w:tcPr>
            <w:tcW w:w="1582" w:type="pct"/>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工程项目</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建设内容</w:t>
            </w:r>
          </w:p>
        </w:tc>
      </w:tr>
      <w:tr w:rsidR="00DB7CC8">
        <w:trPr>
          <w:trHeight w:val="283"/>
          <w:jc w:val="center"/>
        </w:trPr>
        <w:tc>
          <w:tcPr>
            <w:tcW w:w="449" w:type="pct"/>
            <w:vMerge w:val="restar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主体</w:t>
            </w:r>
          </w:p>
          <w:p w:rsidR="00DB7CC8" w:rsidRDefault="002B5250">
            <w:pPr>
              <w:pStyle w:val="affffff3"/>
              <w:spacing w:line="240" w:lineRule="auto"/>
              <w:rPr>
                <w:rFonts w:ascii="Times New Roman" w:eastAsia="宋体" w:cs="Times New Roman"/>
              </w:rPr>
            </w:pPr>
            <w:r>
              <w:rPr>
                <w:rFonts w:ascii="Times New Roman" w:eastAsia="宋体" w:cs="Times New Roman"/>
              </w:rPr>
              <w:t>工程</w:t>
            </w: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1#</w:t>
            </w:r>
            <w:r>
              <w:rPr>
                <w:rFonts w:ascii="Times New Roman" w:eastAsia="宋体" w:cs="Times New Roman"/>
              </w:rPr>
              <w:t>破碎车间</w:t>
            </w:r>
          </w:p>
        </w:tc>
        <w:tc>
          <w:tcPr>
            <w:tcW w:w="3417" w:type="pct"/>
            <w:tcBorders>
              <w:left w:val="single" w:sz="4" w:space="0" w:color="auto"/>
              <w:right w:val="single" w:sz="4" w:space="0" w:color="auto"/>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全封闭，面积</w:t>
            </w:r>
            <w:r>
              <w:rPr>
                <w:rFonts w:eastAsiaTheme="minorEastAsia" w:hint="eastAsia"/>
                <w:sz w:val="21"/>
                <w:szCs w:val="21"/>
              </w:rPr>
              <w:t>100</w:t>
            </w:r>
            <w:r>
              <w:rPr>
                <w:rFonts w:eastAsiaTheme="minorEastAsia"/>
                <w:sz w:val="21"/>
                <w:szCs w:val="21"/>
              </w:rPr>
              <w:t>0m</w:t>
            </w:r>
            <w:r>
              <w:rPr>
                <w:rFonts w:eastAsiaTheme="minorEastAsia"/>
                <w:sz w:val="21"/>
                <w:szCs w:val="21"/>
                <w:vertAlign w:val="superscript"/>
              </w:rPr>
              <w:t>2</w:t>
            </w:r>
            <w:r>
              <w:rPr>
                <w:rFonts w:eastAsiaTheme="minorEastAsia"/>
                <w:sz w:val="21"/>
                <w:szCs w:val="21"/>
              </w:rPr>
              <w:t>，尺寸</w:t>
            </w:r>
            <w:r>
              <w:rPr>
                <w:rFonts w:eastAsiaTheme="minorEastAsia" w:hint="eastAsia"/>
                <w:sz w:val="21"/>
                <w:szCs w:val="21"/>
              </w:rPr>
              <w:t>40</w:t>
            </w:r>
            <w:r>
              <w:rPr>
                <w:rFonts w:eastAsiaTheme="minorEastAsia"/>
                <w:sz w:val="21"/>
                <w:szCs w:val="21"/>
              </w:rPr>
              <w:t>m×</w:t>
            </w:r>
            <w:r>
              <w:rPr>
                <w:rFonts w:eastAsiaTheme="minorEastAsia" w:hint="eastAsia"/>
                <w:sz w:val="21"/>
                <w:szCs w:val="21"/>
              </w:rPr>
              <w:t>25</w:t>
            </w:r>
            <w:r>
              <w:rPr>
                <w:rFonts w:eastAsiaTheme="minorEastAsia"/>
                <w:sz w:val="21"/>
                <w:szCs w:val="21"/>
              </w:rPr>
              <w:t>m</w:t>
            </w:r>
            <w:r>
              <w:rPr>
                <w:rFonts w:eastAsiaTheme="minorEastAsia"/>
                <w:sz w:val="21"/>
                <w:szCs w:val="21"/>
              </w:rPr>
              <w:t>，内置</w:t>
            </w:r>
            <w:r>
              <w:rPr>
                <w:rFonts w:eastAsiaTheme="minorEastAsia"/>
                <w:sz w:val="21"/>
                <w:szCs w:val="21"/>
              </w:rPr>
              <w:t>1</w:t>
            </w:r>
            <w:r>
              <w:rPr>
                <w:rFonts w:eastAsiaTheme="minorEastAsia"/>
                <w:sz w:val="21"/>
                <w:szCs w:val="21"/>
              </w:rPr>
              <w:t>台颚破机、</w:t>
            </w:r>
            <w:r>
              <w:rPr>
                <w:rFonts w:eastAsiaTheme="minorEastAsia"/>
                <w:sz w:val="21"/>
                <w:szCs w:val="21"/>
              </w:rPr>
              <w:t>1</w:t>
            </w:r>
            <w:r>
              <w:rPr>
                <w:rFonts w:eastAsiaTheme="minorEastAsia"/>
                <w:sz w:val="21"/>
                <w:szCs w:val="21"/>
              </w:rPr>
              <w:t>台磁滑轮、</w:t>
            </w:r>
            <w:r>
              <w:rPr>
                <w:rFonts w:eastAsiaTheme="minorEastAsia"/>
                <w:sz w:val="21"/>
                <w:szCs w:val="21"/>
              </w:rPr>
              <w:t>1</w:t>
            </w:r>
            <w:r>
              <w:rPr>
                <w:rFonts w:eastAsiaTheme="minorEastAsia"/>
                <w:sz w:val="21"/>
                <w:szCs w:val="21"/>
              </w:rPr>
              <w:t>台锤式破碎机、</w:t>
            </w:r>
            <w:r>
              <w:rPr>
                <w:rFonts w:eastAsiaTheme="minorEastAsia"/>
                <w:sz w:val="21"/>
                <w:szCs w:val="21"/>
              </w:rPr>
              <w:t>1</w:t>
            </w:r>
            <w:r>
              <w:rPr>
                <w:rFonts w:eastAsiaTheme="minorEastAsia"/>
                <w:sz w:val="21"/>
                <w:szCs w:val="21"/>
              </w:rPr>
              <w:t>台圆锥破碎机、</w:t>
            </w:r>
            <w:r>
              <w:rPr>
                <w:rFonts w:eastAsiaTheme="minorEastAsia"/>
                <w:sz w:val="21"/>
                <w:szCs w:val="21"/>
              </w:rPr>
              <w:t>2</w:t>
            </w:r>
            <w:r>
              <w:rPr>
                <w:rFonts w:eastAsiaTheme="minorEastAsia"/>
                <w:sz w:val="21"/>
                <w:szCs w:val="21"/>
              </w:rPr>
              <w:t>台振动筛。</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2#</w:t>
            </w:r>
            <w:r>
              <w:rPr>
                <w:rFonts w:ascii="Times New Roman" w:eastAsia="宋体" w:cs="Times New Roman"/>
              </w:rPr>
              <w:t>破碎车间</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Theme="minorEastAsia" w:cs="Times New Roman"/>
              </w:rPr>
            </w:pPr>
            <w:r>
              <w:rPr>
                <w:rFonts w:ascii="Times New Roman" w:eastAsiaTheme="minorEastAsia" w:cs="Times New Roman"/>
              </w:rPr>
              <w:t>全封闭，面积</w:t>
            </w:r>
            <w:r>
              <w:rPr>
                <w:rFonts w:ascii="Times New Roman" w:eastAsiaTheme="minorEastAsia" w:cs="Times New Roman" w:hint="eastAsia"/>
              </w:rPr>
              <w:t>120</w:t>
            </w:r>
            <w:r>
              <w:rPr>
                <w:rFonts w:ascii="Times New Roman" w:eastAsiaTheme="minorEastAsia" w:cs="Times New Roman"/>
              </w:rPr>
              <w:t>0m</w:t>
            </w:r>
            <w:r>
              <w:rPr>
                <w:rFonts w:ascii="Times New Roman" w:eastAsiaTheme="minorEastAsia" w:cs="Times New Roman"/>
                <w:vertAlign w:val="superscript"/>
              </w:rPr>
              <w:t>2</w:t>
            </w:r>
            <w:r>
              <w:rPr>
                <w:rFonts w:ascii="Times New Roman" w:eastAsiaTheme="minorEastAsia" w:cs="Times New Roman"/>
              </w:rPr>
              <w:t>，尺寸</w:t>
            </w:r>
            <w:r>
              <w:rPr>
                <w:rFonts w:ascii="Times New Roman" w:eastAsiaTheme="minorEastAsia" w:cs="Times New Roman"/>
              </w:rPr>
              <w:t>40m×</w:t>
            </w:r>
            <w:r>
              <w:rPr>
                <w:rFonts w:ascii="Times New Roman" w:eastAsiaTheme="minorEastAsia" w:cs="Times New Roman" w:hint="eastAsia"/>
              </w:rPr>
              <w:t>30</w:t>
            </w:r>
            <w:r>
              <w:rPr>
                <w:rFonts w:ascii="Times New Roman" w:eastAsiaTheme="minorEastAsia" w:cs="Times New Roman"/>
              </w:rPr>
              <w:t>m</w:t>
            </w:r>
            <w:r>
              <w:rPr>
                <w:rFonts w:ascii="Times New Roman" w:eastAsiaTheme="minorEastAsia" w:cs="Times New Roman"/>
              </w:rPr>
              <w:t>，内置</w:t>
            </w:r>
            <w:r>
              <w:rPr>
                <w:rFonts w:ascii="Times New Roman" w:eastAsiaTheme="minorEastAsia" w:cs="Times New Roman"/>
              </w:rPr>
              <w:t>1</w:t>
            </w:r>
            <w:r>
              <w:rPr>
                <w:rFonts w:ascii="Times New Roman" w:eastAsiaTheme="minorEastAsia" w:cs="Times New Roman"/>
              </w:rPr>
              <w:t>台颚破机、</w:t>
            </w:r>
            <w:r>
              <w:rPr>
                <w:rFonts w:ascii="Times New Roman" w:eastAsiaTheme="minorEastAsia" w:cs="Times New Roman"/>
              </w:rPr>
              <w:t>1</w:t>
            </w:r>
            <w:r>
              <w:rPr>
                <w:rFonts w:ascii="Times New Roman" w:eastAsiaTheme="minorEastAsia" w:cs="Times New Roman"/>
              </w:rPr>
              <w:t>台磁滑轮、</w:t>
            </w:r>
            <w:r>
              <w:rPr>
                <w:rFonts w:ascii="Times New Roman" w:eastAsiaTheme="minorEastAsia" w:cs="Times New Roman" w:hint="eastAsia"/>
              </w:rPr>
              <w:t>1</w:t>
            </w:r>
            <w:r>
              <w:rPr>
                <w:rFonts w:ascii="Times New Roman" w:eastAsiaTheme="minorEastAsia" w:cs="Times New Roman"/>
              </w:rPr>
              <w:t>台</w:t>
            </w:r>
            <w:r>
              <w:rPr>
                <w:rFonts w:eastAsiaTheme="minorEastAsia"/>
              </w:rPr>
              <w:t>锤式破碎机</w:t>
            </w:r>
            <w:r>
              <w:rPr>
                <w:rFonts w:ascii="Times New Roman" w:eastAsiaTheme="minorEastAsia" w:cs="Times New Roman"/>
              </w:rPr>
              <w:t>、</w:t>
            </w:r>
            <w:r>
              <w:rPr>
                <w:rFonts w:ascii="Times New Roman" w:eastAsiaTheme="minorEastAsia" w:cs="Times New Roman"/>
              </w:rPr>
              <w:t>2</w:t>
            </w:r>
            <w:r>
              <w:rPr>
                <w:rFonts w:ascii="Times New Roman" w:eastAsiaTheme="minorEastAsia" w:cs="Times New Roman"/>
              </w:rPr>
              <w:t>台振动筛。</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1#</w:t>
            </w:r>
            <w:r>
              <w:rPr>
                <w:rFonts w:ascii="Times New Roman" w:eastAsia="宋体" w:cs="Times New Roman"/>
              </w:rPr>
              <w:t>球磨车间</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全封闭，面积</w:t>
            </w:r>
            <w:r>
              <w:rPr>
                <w:rFonts w:ascii="Times New Roman" w:eastAsia="宋体" w:cs="Times New Roman" w:hint="eastAsia"/>
              </w:rPr>
              <w:t>120</w:t>
            </w:r>
            <w:r>
              <w:rPr>
                <w:rFonts w:ascii="Times New Roman" w:eastAsia="宋体" w:cs="Times New Roman"/>
              </w:rPr>
              <w:t>0m</w:t>
            </w:r>
            <w:r>
              <w:rPr>
                <w:rFonts w:ascii="Times New Roman" w:eastAsia="宋体" w:cs="Times New Roman"/>
                <w:vertAlign w:val="superscript"/>
              </w:rPr>
              <w:t>2</w:t>
            </w:r>
            <w:r>
              <w:rPr>
                <w:rFonts w:ascii="Times New Roman" w:eastAsia="宋体" w:cs="Times New Roman"/>
              </w:rPr>
              <w:t>，尺寸</w:t>
            </w:r>
            <w:r>
              <w:rPr>
                <w:rFonts w:ascii="Times New Roman" w:eastAsia="宋体" w:cs="Times New Roman" w:hint="eastAsia"/>
              </w:rPr>
              <w:t>48</w:t>
            </w:r>
            <w:r>
              <w:rPr>
                <w:rFonts w:ascii="Times New Roman" w:eastAsia="宋体" w:cs="Times New Roman"/>
              </w:rPr>
              <w:t>m×2</w:t>
            </w:r>
            <w:r>
              <w:rPr>
                <w:rFonts w:ascii="Times New Roman" w:eastAsia="宋体" w:cs="Times New Roman" w:hint="eastAsia"/>
              </w:rPr>
              <w:t>5</w:t>
            </w:r>
            <w:r>
              <w:rPr>
                <w:rFonts w:ascii="Times New Roman" w:eastAsia="宋体" w:cs="Times New Roman"/>
              </w:rPr>
              <w:t>m</w:t>
            </w:r>
            <w:r>
              <w:rPr>
                <w:rFonts w:ascii="Times New Roman" w:eastAsia="宋体" w:cs="Times New Roman"/>
              </w:rPr>
              <w:t>，内置</w:t>
            </w:r>
            <w:r>
              <w:rPr>
                <w:rFonts w:ascii="Times New Roman" w:eastAsia="宋体" w:cs="Times New Roman" w:hint="eastAsia"/>
              </w:rPr>
              <w:t>1</w:t>
            </w:r>
            <w:r>
              <w:rPr>
                <w:rFonts w:ascii="Times New Roman" w:eastAsia="宋体" w:cs="Times New Roman" w:hint="eastAsia"/>
              </w:rPr>
              <w:t>台</w:t>
            </w:r>
            <w:r>
              <w:rPr>
                <w:rFonts w:ascii="Times New Roman" w:eastAsia="宋体" w:cs="Times New Roman"/>
              </w:rPr>
              <w:t>球磨</w:t>
            </w:r>
            <w:r>
              <w:rPr>
                <w:rFonts w:ascii="Times New Roman" w:eastAsia="宋体" w:cs="Times New Roman" w:hint="eastAsia"/>
              </w:rPr>
              <w:t>机及配套</w:t>
            </w:r>
            <w:r>
              <w:rPr>
                <w:rFonts w:ascii="Times New Roman" w:eastAsia="宋体" w:cs="Times New Roman"/>
              </w:rPr>
              <w:t>磁选</w:t>
            </w:r>
            <w:r>
              <w:rPr>
                <w:rFonts w:ascii="Times New Roman" w:eastAsia="宋体" w:cs="Times New Roman" w:hint="eastAsia"/>
              </w:rPr>
              <w:t>、筛分设备</w:t>
            </w:r>
            <w:r>
              <w:rPr>
                <w:rFonts w:ascii="Times New Roman" w:eastAsia="宋体" w:cs="Times New Roman"/>
              </w:rPr>
              <w:t>。</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2</w:t>
            </w:r>
            <w:r>
              <w:rPr>
                <w:rFonts w:ascii="Times New Roman" w:eastAsia="宋体" w:cs="Times New Roman"/>
              </w:rPr>
              <w:t>#</w:t>
            </w:r>
            <w:r>
              <w:rPr>
                <w:rFonts w:ascii="Times New Roman" w:eastAsia="宋体" w:cs="Times New Roman"/>
              </w:rPr>
              <w:t>球磨车间</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全封闭，面积</w:t>
            </w:r>
            <w:r>
              <w:rPr>
                <w:rFonts w:ascii="Times New Roman" w:eastAsia="宋体" w:cs="Times New Roman" w:hint="eastAsia"/>
              </w:rPr>
              <w:t>168</w:t>
            </w:r>
            <w:r>
              <w:rPr>
                <w:rFonts w:ascii="Times New Roman" w:eastAsia="宋体" w:cs="Times New Roman"/>
              </w:rPr>
              <w:t>0m</w:t>
            </w:r>
            <w:r>
              <w:rPr>
                <w:rFonts w:ascii="Times New Roman" w:eastAsia="宋体" w:cs="Times New Roman"/>
                <w:vertAlign w:val="superscript"/>
              </w:rPr>
              <w:t>2</w:t>
            </w:r>
            <w:r>
              <w:rPr>
                <w:rFonts w:ascii="Times New Roman" w:eastAsia="宋体" w:cs="Times New Roman"/>
              </w:rPr>
              <w:t>，尺寸</w:t>
            </w:r>
            <w:r>
              <w:rPr>
                <w:rFonts w:ascii="Times New Roman" w:eastAsia="宋体" w:cs="Times New Roman"/>
              </w:rPr>
              <w:t>4</w:t>
            </w:r>
            <w:r>
              <w:rPr>
                <w:rFonts w:ascii="Times New Roman" w:eastAsia="宋体" w:cs="Times New Roman" w:hint="eastAsia"/>
              </w:rPr>
              <w:t>8</w:t>
            </w:r>
            <w:r>
              <w:rPr>
                <w:rFonts w:ascii="Times New Roman" w:eastAsia="宋体" w:cs="Times New Roman"/>
              </w:rPr>
              <w:t>m×</w:t>
            </w:r>
            <w:r>
              <w:rPr>
                <w:rFonts w:ascii="Times New Roman" w:eastAsia="宋体" w:cs="Times New Roman" w:hint="eastAsia"/>
              </w:rPr>
              <w:t>35</w:t>
            </w:r>
            <w:r>
              <w:rPr>
                <w:rFonts w:ascii="Times New Roman" w:eastAsia="宋体" w:cs="Times New Roman"/>
              </w:rPr>
              <w:t>m</w:t>
            </w:r>
            <w:r>
              <w:rPr>
                <w:rFonts w:ascii="Times New Roman" w:eastAsia="宋体" w:cs="Times New Roman"/>
              </w:rPr>
              <w:t>，内置</w:t>
            </w:r>
            <w:r>
              <w:rPr>
                <w:rFonts w:ascii="Times New Roman" w:eastAsia="宋体" w:cs="Times New Roman" w:hint="eastAsia"/>
              </w:rPr>
              <w:t>1</w:t>
            </w:r>
            <w:r>
              <w:rPr>
                <w:rFonts w:ascii="Times New Roman" w:eastAsia="宋体" w:cs="Times New Roman" w:hint="eastAsia"/>
              </w:rPr>
              <w:t>台</w:t>
            </w:r>
            <w:r>
              <w:rPr>
                <w:rFonts w:ascii="Times New Roman" w:eastAsia="宋体" w:cs="Times New Roman"/>
              </w:rPr>
              <w:t>球磨</w:t>
            </w:r>
            <w:r>
              <w:rPr>
                <w:rFonts w:ascii="Times New Roman" w:eastAsia="宋体" w:cs="Times New Roman" w:hint="eastAsia"/>
              </w:rPr>
              <w:t>机及配套</w:t>
            </w:r>
            <w:r>
              <w:rPr>
                <w:rFonts w:ascii="Times New Roman" w:eastAsia="宋体" w:cs="Times New Roman"/>
              </w:rPr>
              <w:t>磁选</w:t>
            </w:r>
            <w:r>
              <w:rPr>
                <w:rFonts w:ascii="Times New Roman" w:eastAsia="宋体" w:cs="Times New Roman" w:hint="eastAsia"/>
              </w:rPr>
              <w:t>、筛分设备</w:t>
            </w:r>
            <w:r>
              <w:rPr>
                <w:rFonts w:ascii="Times New Roman" w:eastAsia="宋体" w:cs="Times New Roman"/>
              </w:rPr>
              <w:t>。</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3</w:t>
            </w:r>
            <w:r>
              <w:rPr>
                <w:rFonts w:ascii="Times New Roman" w:eastAsia="宋体" w:cs="Times New Roman"/>
              </w:rPr>
              <w:t>#</w:t>
            </w:r>
            <w:r>
              <w:rPr>
                <w:rFonts w:ascii="Times New Roman" w:eastAsia="宋体" w:cs="Times New Roman"/>
              </w:rPr>
              <w:t>破碎</w:t>
            </w:r>
            <w:r>
              <w:rPr>
                <w:rFonts w:ascii="Times New Roman" w:eastAsia="宋体" w:cs="Times New Roman" w:hint="eastAsia"/>
              </w:rPr>
              <w:t>粗选</w:t>
            </w:r>
            <w:r>
              <w:rPr>
                <w:rFonts w:ascii="Times New Roman" w:eastAsia="宋体" w:cs="Times New Roman"/>
              </w:rPr>
              <w:t>车间</w:t>
            </w:r>
          </w:p>
        </w:tc>
        <w:tc>
          <w:tcPr>
            <w:tcW w:w="3417" w:type="pct"/>
            <w:tcBorders>
              <w:left w:val="single" w:sz="4" w:space="0" w:color="auto"/>
              <w:right w:val="single" w:sz="4" w:space="0" w:color="auto"/>
            </w:tcBorders>
            <w:vAlign w:val="center"/>
          </w:tcPr>
          <w:p w:rsidR="00DB7CC8" w:rsidRDefault="002B5250">
            <w:pPr>
              <w:spacing w:line="240" w:lineRule="auto"/>
              <w:ind w:firstLineChars="0" w:firstLine="0"/>
              <w:jc w:val="center"/>
            </w:pPr>
            <w:r>
              <w:rPr>
                <w:rFonts w:eastAsiaTheme="minorEastAsia"/>
                <w:sz w:val="21"/>
                <w:szCs w:val="21"/>
              </w:rPr>
              <w:t>全封闭，面积</w:t>
            </w:r>
            <w:r>
              <w:rPr>
                <w:rFonts w:eastAsiaTheme="minorEastAsia" w:hint="eastAsia"/>
                <w:sz w:val="21"/>
                <w:szCs w:val="21"/>
              </w:rPr>
              <w:t>150</w:t>
            </w:r>
            <w:r>
              <w:rPr>
                <w:rFonts w:eastAsiaTheme="minorEastAsia"/>
                <w:sz w:val="21"/>
                <w:szCs w:val="21"/>
              </w:rPr>
              <w:t>0m</w:t>
            </w:r>
            <w:r>
              <w:rPr>
                <w:rFonts w:eastAsiaTheme="minorEastAsia"/>
                <w:sz w:val="21"/>
                <w:szCs w:val="21"/>
                <w:vertAlign w:val="superscript"/>
              </w:rPr>
              <w:t>2</w:t>
            </w:r>
            <w:r>
              <w:rPr>
                <w:rFonts w:eastAsiaTheme="minorEastAsia"/>
                <w:sz w:val="21"/>
                <w:szCs w:val="21"/>
              </w:rPr>
              <w:t>，尺寸</w:t>
            </w:r>
            <w:r>
              <w:rPr>
                <w:rFonts w:eastAsiaTheme="minorEastAsia" w:hint="eastAsia"/>
                <w:sz w:val="21"/>
                <w:szCs w:val="21"/>
              </w:rPr>
              <w:t>6</w:t>
            </w:r>
            <w:r>
              <w:rPr>
                <w:rFonts w:eastAsiaTheme="minorEastAsia"/>
                <w:sz w:val="21"/>
                <w:szCs w:val="21"/>
              </w:rPr>
              <w:t>0m×</w:t>
            </w:r>
            <w:r>
              <w:rPr>
                <w:rFonts w:eastAsiaTheme="minorEastAsia" w:hint="eastAsia"/>
                <w:sz w:val="21"/>
                <w:szCs w:val="21"/>
              </w:rPr>
              <w:t>25</w:t>
            </w:r>
            <w:r>
              <w:rPr>
                <w:rFonts w:eastAsiaTheme="minorEastAsia"/>
                <w:sz w:val="21"/>
                <w:szCs w:val="21"/>
              </w:rPr>
              <w:t>m</w:t>
            </w:r>
            <w:r>
              <w:rPr>
                <w:rFonts w:eastAsiaTheme="minorEastAsia"/>
                <w:sz w:val="21"/>
                <w:szCs w:val="21"/>
              </w:rPr>
              <w:t>，内置</w:t>
            </w:r>
            <w:r>
              <w:rPr>
                <w:rFonts w:eastAsiaTheme="minorEastAsia"/>
                <w:sz w:val="21"/>
                <w:szCs w:val="21"/>
              </w:rPr>
              <w:t>1</w:t>
            </w:r>
            <w:r>
              <w:rPr>
                <w:rFonts w:eastAsiaTheme="minorEastAsia"/>
                <w:sz w:val="21"/>
                <w:szCs w:val="21"/>
              </w:rPr>
              <w:t>台颚破机、</w:t>
            </w:r>
            <w:r>
              <w:rPr>
                <w:rFonts w:eastAsiaTheme="minorEastAsia"/>
                <w:sz w:val="21"/>
                <w:szCs w:val="21"/>
              </w:rPr>
              <w:t>1</w:t>
            </w:r>
            <w:r>
              <w:rPr>
                <w:rFonts w:eastAsiaTheme="minorEastAsia"/>
                <w:sz w:val="21"/>
                <w:szCs w:val="21"/>
              </w:rPr>
              <w:t>台锤式破碎机、</w:t>
            </w:r>
            <w:r>
              <w:rPr>
                <w:rFonts w:eastAsiaTheme="minorEastAsia"/>
                <w:sz w:val="21"/>
                <w:szCs w:val="21"/>
              </w:rPr>
              <w:t>1</w:t>
            </w:r>
            <w:r>
              <w:rPr>
                <w:rFonts w:eastAsiaTheme="minorEastAsia"/>
                <w:sz w:val="21"/>
                <w:szCs w:val="21"/>
              </w:rPr>
              <w:t>台圆锥破碎机、</w:t>
            </w:r>
            <w:r>
              <w:rPr>
                <w:rFonts w:eastAsiaTheme="minorEastAsia" w:hint="eastAsia"/>
                <w:sz w:val="21"/>
                <w:szCs w:val="21"/>
              </w:rPr>
              <w:t>1</w:t>
            </w:r>
            <w:r>
              <w:rPr>
                <w:rFonts w:eastAsiaTheme="minorEastAsia"/>
                <w:sz w:val="21"/>
                <w:szCs w:val="21"/>
              </w:rPr>
              <w:t>台振动筛。</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1</w:t>
            </w:r>
            <w:r>
              <w:rPr>
                <w:rFonts w:ascii="Times New Roman" w:eastAsia="宋体" w:cs="Times New Roman"/>
              </w:rPr>
              <w:t>#</w:t>
            </w:r>
            <w:r>
              <w:rPr>
                <w:rFonts w:ascii="Times New Roman" w:eastAsia="宋体" w:cs="Times New Roman" w:hint="eastAsia"/>
              </w:rPr>
              <w:t>精选</w:t>
            </w:r>
            <w:r>
              <w:rPr>
                <w:rFonts w:ascii="Times New Roman" w:eastAsia="宋体" w:cs="Times New Roman"/>
              </w:rPr>
              <w:t>车间</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Theme="minorEastAsia" w:cs="Times New Roman"/>
              </w:rPr>
              <w:t>全封闭，面积</w:t>
            </w:r>
            <w:r>
              <w:rPr>
                <w:rFonts w:ascii="Times New Roman" w:eastAsiaTheme="minorEastAsia" w:cs="Times New Roman" w:hint="eastAsia"/>
              </w:rPr>
              <w:t>200</w:t>
            </w:r>
            <w:r>
              <w:rPr>
                <w:rFonts w:ascii="Times New Roman" w:eastAsiaTheme="minorEastAsia" w:cs="Times New Roman"/>
              </w:rPr>
              <w:t>0m</w:t>
            </w:r>
            <w:r>
              <w:rPr>
                <w:rFonts w:ascii="Times New Roman" w:eastAsiaTheme="minorEastAsia" w:cs="Times New Roman"/>
                <w:vertAlign w:val="superscript"/>
              </w:rPr>
              <w:t>2</w:t>
            </w:r>
            <w:r>
              <w:rPr>
                <w:rFonts w:ascii="Times New Roman" w:eastAsiaTheme="minorEastAsia" w:cs="Times New Roman"/>
              </w:rPr>
              <w:t>，尺寸</w:t>
            </w:r>
            <w:r>
              <w:rPr>
                <w:rFonts w:ascii="Times New Roman" w:eastAsiaTheme="minorEastAsia" w:cs="Times New Roman" w:hint="eastAsia"/>
              </w:rPr>
              <w:t>5</w:t>
            </w:r>
            <w:r>
              <w:rPr>
                <w:rFonts w:ascii="Times New Roman" w:eastAsiaTheme="minorEastAsia" w:cs="Times New Roman"/>
              </w:rPr>
              <w:t>0m×</w:t>
            </w:r>
            <w:r>
              <w:rPr>
                <w:rFonts w:ascii="Times New Roman" w:eastAsiaTheme="minorEastAsia" w:cs="Times New Roman" w:hint="eastAsia"/>
              </w:rPr>
              <w:t>40</w:t>
            </w:r>
            <w:r>
              <w:rPr>
                <w:rFonts w:ascii="Times New Roman" w:eastAsiaTheme="minorEastAsia" w:cs="Times New Roman"/>
              </w:rPr>
              <w:t>m</w:t>
            </w:r>
            <w:r>
              <w:rPr>
                <w:rFonts w:ascii="Times New Roman" w:eastAsiaTheme="minorEastAsia" w:cs="Times New Roman"/>
              </w:rPr>
              <w:t>，内置</w:t>
            </w:r>
            <w:r>
              <w:rPr>
                <w:rFonts w:ascii="Times New Roman" w:eastAsiaTheme="minorEastAsia" w:cs="Times New Roman"/>
              </w:rPr>
              <w:t>1</w:t>
            </w:r>
            <w:r>
              <w:rPr>
                <w:rFonts w:ascii="Times New Roman" w:eastAsiaTheme="minorEastAsia" w:cs="Times New Roman" w:hint="eastAsia"/>
              </w:rPr>
              <w:t>条球磨精选生产线</w:t>
            </w:r>
            <w:r>
              <w:rPr>
                <w:rFonts w:ascii="Times New Roman" w:eastAsiaTheme="minorEastAsia" w:cs="Times New Roman"/>
              </w:rPr>
              <w:t>。</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2</w:t>
            </w:r>
            <w:r>
              <w:rPr>
                <w:rFonts w:ascii="Times New Roman" w:eastAsia="宋体" w:cs="Times New Roman"/>
              </w:rPr>
              <w:t>#</w:t>
            </w:r>
            <w:r>
              <w:rPr>
                <w:rFonts w:ascii="Times New Roman" w:eastAsia="宋体" w:cs="Times New Roman" w:hint="eastAsia"/>
              </w:rPr>
              <w:t>精选</w:t>
            </w:r>
            <w:r>
              <w:rPr>
                <w:rFonts w:ascii="Times New Roman" w:eastAsia="宋体" w:cs="Times New Roman"/>
              </w:rPr>
              <w:t>车间</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Theme="minorEastAsia" w:cs="Times New Roman"/>
              </w:rPr>
              <w:t>全封闭，面积</w:t>
            </w:r>
            <w:r>
              <w:rPr>
                <w:rFonts w:ascii="Times New Roman" w:eastAsiaTheme="minorEastAsia" w:cs="Times New Roman" w:hint="eastAsia"/>
              </w:rPr>
              <w:t>200</w:t>
            </w:r>
            <w:r>
              <w:rPr>
                <w:rFonts w:ascii="Times New Roman" w:eastAsiaTheme="minorEastAsia" w:cs="Times New Roman"/>
              </w:rPr>
              <w:t>0m</w:t>
            </w:r>
            <w:r>
              <w:rPr>
                <w:rFonts w:ascii="Times New Roman" w:eastAsiaTheme="minorEastAsia" w:cs="Times New Roman"/>
                <w:vertAlign w:val="superscript"/>
              </w:rPr>
              <w:t>2</w:t>
            </w:r>
            <w:r>
              <w:rPr>
                <w:rFonts w:ascii="Times New Roman" w:eastAsiaTheme="minorEastAsia" w:cs="Times New Roman"/>
              </w:rPr>
              <w:t>，尺寸</w:t>
            </w:r>
            <w:r>
              <w:rPr>
                <w:rFonts w:ascii="Times New Roman" w:eastAsiaTheme="minorEastAsia" w:cs="Times New Roman" w:hint="eastAsia"/>
              </w:rPr>
              <w:t>5</w:t>
            </w:r>
            <w:r>
              <w:rPr>
                <w:rFonts w:ascii="Times New Roman" w:eastAsiaTheme="minorEastAsia" w:cs="Times New Roman"/>
              </w:rPr>
              <w:t>0m×</w:t>
            </w:r>
            <w:r>
              <w:rPr>
                <w:rFonts w:ascii="Times New Roman" w:eastAsiaTheme="minorEastAsia" w:cs="Times New Roman" w:hint="eastAsia"/>
              </w:rPr>
              <w:t>40</w:t>
            </w:r>
            <w:r>
              <w:rPr>
                <w:rFonts w:ascii="Times New Roman" w:eastAsiaTheme="minorEastAsia" w:cs="Times New Roman"/>
              </w:rPr>
              <w:t>m</w:t>
            </w:r>
            <w:r>
              <w:rPr>
                <w:rFonts w:ascii="Times New Roman" w:eastAsiaTheme="minorEastAsia" w:cs="Times New Roman"/>
              </w:rPr>
              <w:t>，内置</w:t>
            </w:r>
            <w:r>
              <w:rPr>
                <w:rFonts w:ascii="Times New Roman" w:eastAsiaTheme="minorEastAsia" w:cs="Times New Roman"/>
              </w:rPr>
              <w:t>1</w:t>
            </w:r>
            <w:r>
              <w:rPr>
                <w:rFonts w:ascii="Times New Roman" w:eastAsiaTheme="minorEastAsia" w:cs="Times New Roman" w:hint="eastAsia"/>
              </w:rPr>
              <w:t>条球磨精选生产线</w:t>
            </w:r>
            <w:r>
              <w:rPr>
                <w:rFonts w:ascii="Times New Roman" w:eastAsiaTheme="minorEastAsia" w:cs="Times New Roman"/>
              </w:rPr>
              <w:t>。</w:t>
            </w:r>
          </w:p>
        </w:tc>
      </w:tr>
      <w:tr w:rsidR="00DB7CC8">
        <w:trPr>
          <w:trHeight w:val="283"/>
          <w:jc w:val="center"/>
        </w:trPr>
        <w:tc>
          <w:tcPr>
            <w:tcW w:w="449" w:type="pct"/>
            <w:vMerge w:val="restar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储运</w:t>
            </w:r>
          </w:p>
          <w:p w:rsidR="00DB7CC8" w:rsidRDefault="002B5250">
            <w:pPr>
              <w:pStyle w:val="affffff3"/>
              <w:spacing w:line="240" w:lineRule="auto"/>
              <w:rPr>
                <w:rFonts w:ascii="Times New Roman" w:eastAsia="宋体" w:cs="Times New Roman"/>
              </w:rPr>
            </w:pPr>
            <w:r>
              <w:rPr>
                <w:rFonts w:ascii="Times New Roman" w:eastAsia="宋体" w:cs="Times New Roman"/>
              </w:rPr>
              <w:t>工程</w:t>
            </w: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原料</w:t>
            </w:r>
            <w:r>
              <w:rPr>
                <w:rFonts w:asciiTheme="minorEastAsia" w:eastAsiaTheme="minorEastAsia" w:hAnsiTheme="minorEastAsia" w:hint="eastAsia"/>
                <w:bCs/>
                <w:szCs w:val="24"/>
              </w:rPr>
              <w:t>棚</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原料</w:t>
            </w:r>
            <w:r>
              <w:rPr>
                <w:rFonts w:ascii="Times New Roman" w:eastAsia="宋体" w:cs="Times New Roman" w:hint="eastAsia"/>
              </w:rPr>
              <w:t>不露天堆存，运输车辆直接进入料棚卸料至受料仓，</w:t>
            </w:r>
            <w:r>
              <w:rPr>
                <w:rFonts w:ascii="Times New Roman" w:eastAsiaTheme="minorEastAsia" w:cs="Times New Roman"/>
              </w:rPr>
              <w:t>料棚进深尺度不小于</w:t>
            </w:r>
            <w:r>
              <w:rPr>
                <w:rFonts w:ascii="Times New Roman" w:eastAsiaTheme="minorEastAsia" w:cs="Times New Roman"/>
              </w:rPr>
              <w:t>8</w:t>
            </w:r>
            <w:r>
              <w:rPr>
                <w:rFonts w:ascii="Times New Roman" w:eastAsiaTheme="minorEastAsia" w:cs="Times New Roman"/>
              </w:rPr>
              <w:t>米</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成品库</w:t>
            </w:r>
            <w:r>
              <w:rPr>
                <w:rFonts w:ascii="Times New Roman" w:eastAsia="宋体" w:cs="Times New Roman" w:hint="eastAsia"/>
              </w:rPr>
              <w:t>（</w:t>
            </w:r>
            <w:r>
              <w:rPr>
                <w:rFonts w:ascii="Times New Roman" w:eastAsia="宋体" w:cs="Times New Roman" w:hint="eastAsia"/>
              </w:rPr>
              <w:t>新建</w:t>
            </w:r>
            <w:r>
              <w:rPr>
                <w:rFonts w:ascii="Times New Roman" w:eastAsia="宋体" w:cs="Times New Roman" w:hint="eastAsia"/>
              </w:rPr>
              <w:t>）</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全封闭彩钢结构，面积</w:t>
            </w:r>
            <w:r>
              <w:rPr>
                <w:rFonts w:ascii="Times New Roman" w:eastAsiaTheme="minorEastAsia" w:cs="Times New Roman" w:hint="eastAsia"/>
              </w:rPr>
              <w:t>100</w:t>
            </w:r>
            <w:r>
              <w:rPr>
                <w:rFonts w:ascii="Times New Roman" w:eastAsiaTheme="minorEastAsia" w:cs="Times New Roman" w:hint="eastAsia"/>
              </w:rPr>
              <w:t>0</w:t>
            </w:r>
            <w:r>
              <w:rPr>
                <w:rFonts w:ascii="Times New Roman" w:eastAsia="宋体" w:cs="Times New Roman"/>
              </w:rPr>
              <w:t>m</w:t>
            </w:r>
            <w:r>
              <w:rPr>
                <w:rFonts w:ascii="Times New Roman" w:eastAsia="宋体" w:cs="Times New Roman"/>
                <w:vertAlign w:val="superscript"/>
              </w:rPr>
              <w:t>2</w:t>
            </w:r>
            <w:r>
              <w:rPr>
                <w:rFonts w:ascii="Times New Roman" w:eastAsia="宋体" w:cs="Times New Roman"/>
              </w:rPr>
              <w:t>，尺寸</w:t>
            </w:r>
            <w:r>
              <w:rPr>
                <w:rFonts w:ascii="Times New Roman" w:eastAsia="宋体" w:cs="Times New Roman" w:hint="eastAsia"/>
              </w:rPr>
              <w:t>40</w:t>
            </w:r>
            <w:r>
              <w:rPr>
                <w:rFonts w:ascii="Times New Roman" w:eastAsia="宋体" w:cs="Times New Roman"/>
              </w:rPr>
              <w:t>m×</w:t>
            </w:r>
            <w:r>
              <w:rPr>
                <w:rFonts w:ascii="Times New Roman" w:eastAsia="宋体" w:cs="Times New Roman" w:hint="eastAsia"/>
              </w:rPr>
              <w:t>2</w:t>
            </w:r>
            <w:r>
              <w:rPr>
                <w:rFonts w:ascii="Times New Roman" w:eastAsia="宋体" w:cs="Times New Roman" w:hint="eastAsia"/>
              </w:rPr>
              <w:t>5</w:t>
            </w:r>
            <w:r>
              <w:rPr>
                <w:rFonts w:ascii="Times New Roman" w:eastAsia="宋体" w:cs="Times New Roman"/>
              </w:rPr>
              <w:t>m</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成品库</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全封闭彩钢结构，面积</w:t>
            </w:r>
            <w:r>
              <w:rPr>
                <w:rFonts w:ascii="Times New Roman" w:eastAsiaTheme="minorEastAsia" w:cs="Times New Roman" w:hint="eastAsia"/>
              </w:rPr>
              <w:t>450</w:t>
            </w:r>
            <w:r>
              <w:rPr>
                <w:rFonts w:ascii="Times New Roman" w:eastAsia="宋体" w:cs="Times New Roman"/>
              </w:rPr>
              <w:t>m</w:t>
            </w:r>
            <w:r>
              <w:rPr>
                <w:rFonts w:ascii="Times New Roman" w:eastAsia="宋体" w:cs="Times New Roman"/>
                <w:vertAlign w:val="superscript"/>
              </w:rPr>
              <w:t>2</w:t>
            </w:r>
            <w:r>
              <w:rPr>
                <w:rFonts w:ascii="Times New Roman" w:eastAsia="宋体" w:cs="Times New Roman"/>
              </w:rPr>
              <w:t>，尺寸</w:t>
            </w:r>
            <w:r>
              <w:rPr>
                <w:rFonts w:ascii="Times New Roman" w:eastAsia="宋体" w:cs="Times New Roman" w:hint="eastAsia"/>
              </w:rPr>
              <w:t>30</w:t>
            </w:r>
            <w:r>
              <w:rPr>
                <w:rFonts w:ascii="Times New Roman" w:eastAsia="宋体" w:cs="Times New Roman"/>
              </w:rPr>
              <w:t>m×</w:t>
            </w:r>
            <w:r>
              <w:rPr>
                <w:rFonts w:ascii="Times New Roman" w:eastAsia="宋体" w:cs="Times New Roman" w:hint="eastAsia"/>
              </w:rPr>
              <w:t>15</w:t>
            </w:r>
            <w:r>
              <w:rPr>
                <w:rFonts w:ascii="Times New Roman" w:eastAsia="宋体" w:cs="Times New Roman"/>
              </w:rPr>
              <w:t>m</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砂石库</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全封闭彩钢结构，面积</w:t>
            </w:r>
            <w:r>
              <w:rPr>
                <w:rFonts w:ascii="Times New Roman" w:eastAsiaTheme="minorEastAsia" w:cs="Times New Roman" w:hint="eastAsia"/>
              </w:rPr>
              <w:t>2</w:t>
            </w:r>
            <w:r>
              <w:rPr>
                <w:rFonts w:ascii="Times New Roman" w:eastAsiaTheme="minorEastAsia" w:cs="Times New Roman"/>
              </w:rPr>
              <w:t>00</w:t>
            </w:r>
            <w:r>
              <w:rPr>
                <w:rFonts w:ascii="Times New Roman" w:eastAsia="宋体" w:cs="Times New Roman"/>
              </w:rPr>
              <w:t xml:space="preserve"> m</w:t>
            </w:r>
            <w:r>
              <w:rPr>
                <w:rFonts w:ascii="Times New Roman" w:eastAsia="宋体" w:cs="Times New Roman"/>
                <w:vertAlign w:val="superscript"/>
              </w:rPr>
              <w:t>2</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尾砂库</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全封闭彩钢结构，面积</w:t>
            </w:r>
            <w:r>
              <w:rPr>
                <w:rFonts w:ascii="Times New Roman" w:eastAsiaTheme="minorEastAsia" w:cs="Times New Roman" w:hint="eastAsia"/>
              </w:rPr>
              <w:t>20</w:t>
            </w:r>
            <w:r>
              <w:rPr>
                <w:rFonts w:ascii="Times New Roman" w:eastAsiaTheme="minorEastAsia" w:cs="Times New Roman"/>
              </w:rPr>
              <w:t>00</w:t>
            </w:r>
            <w:r>
              <w:rPr>
                <w:rFonts w:ascii="Times New Roman" w:eastAsia="宋体" w:cs="Times New Roman"/>
              </w:rPr>
              <w:t xml:space="preserve"> m</w:t>
            </w:r>
            <w:r>
              <w:rPr>
                <w:rFonts w:ascii="Times New Roman" w:eastAsia="宋体" w:cs="Times New Roman"/>
                <w:vertAlign w:val="superscript"/>
              </w:rPr>
              <w:t>2</w:t>
            </w:r>
          </w:p>
        </w:tc>
      </w:tr>
      <w:tr w:rsidR="00DB7CC8">
        <w:trPr>
          <w:trHeight w:val="395"/>
          <w:jc w:val="center"/>
        </w:trPr>
        <w:tc>
          <w:tcPr>
            <w:tcW w:w="449" w:type="pct"/>
            <w:vMerge w:val="restar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辅助</w:t>
            </w:r>
          </w:p>
          <w:p w:rsidR="00DB7CC8" w:rsidRDefault="002B5250">
            <w:pPr>
              <w:pStyle w:val="affffff3"/>
              <w:spacing w:line="240" w:lineRule="auto"/>
              <w:rPr>
                <w:rFonts w:ascii="Times New Roman" w:eastAsia="宋体" w:cs="Times New Roman"/>
              </w:rPr>
            </w:pPr>
            <w:r>
              <w:rPr>
                <w:rFonts w:ascii="Times New Roman" w:eastAsia="宋体" w:cs="Times New Roman"/>
              </w:rPr>
              <w:t>工程</w:t>
            </w: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办公区</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建筑面积约</w:t>
            </w:r>
            <w:r>
              <w:rPr>
                <w:rFonts w:ascii="Times New Roman" w:eastAsia="宋体" w:cs="Times New Roman"/>
              </w:rPr>
              <w:t>80m</w:t>
            </w:r>
            <w:r>
              <w:rPr>
                <w:rFonts w:ascii="Times New Roman" w:eastAsia="宋体" w:cs="Times New Roman"/>
                <w:vertAlign w:val="superscript"/>
              </w:rPr>
              <w:t>2</w:t>
            </w:r>
            <w:r>
              <w:rPr>
                <w:rFonts w:ascii="Times New Roman" w:eastAsia="宋体" w:cs="Times New Roman"/>
              </w:rPr>
              <w:t>，</w:t>
            </w:r>
            <w:r>
              <w:rPr>
                <w:rFonts w:ascii="Times New Roman" w:eastAsia="宋体" w:cs="Times New Roman"/>
              </w:rPr>
              <w:t>20m×4m</w:t>
            </w:r>
            <w:r>
              <w:rPr>
                <w:rFonts w:ascii="Times New Roman" w:eastAsia="宋体" w:cs="Times New Roman"/>
              </w:rPr>
              <w:t>，一层砖混结构</w:t>
            </w:r>
          </w:p>
        </w:tc>
      </w:tr>
      <w:tr w:rsidR="00DB7CC8">
        <w:trPr>
          <w:trHeight w:val="560"/>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eastAsiaTheme="minorEastAsia"/>
              </w:rPr>
              <w:t>尾矿</w:t>
            </w:r>
            <w:r>
              <w:rPr>
                <w:rFonts w:ascii="Times New Roman" w:eastAsia="宋体" w:cs="Times New Roman" w:hint="eastAsia"/>
              </w:rPr>
              <w:t>压滤间</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建筑面积约</w:t>
            </w:r>
            <w:r>
              <w:rPr>
                <w:rFonts w:ascii="Times New Roman" w:eastAsia="宋体" w:cs="Times New Roman" w:hint="eastAsia"/>
              </w:rPr>
              <w:t>60</w:t>
            </w:r>
            <w:r>
              <w:rPr>
                <w:rFonts w:ascii="Times New Roman" w:eastAsia="宋体" w:cs="Times New Roman"/>
              </w:rPr>
              <w:t>0m</w:t>
            </w:r>
            <w:r>
              <w:rPr>
                <w:rFonts w:ascii="Times New Roman" w:eastAsia="宋体" w:cs="Times New Roman"/>
                <w:vertAlign w:val="superscript"/>
              </w:rPr>
              <w:t>2</w:t>
            </w:r>
            <w:r>
              <w:rPr>
                <w:rFonts w:ascii="Times New Roman" w:eastAsia="宋体" w:cs="Times New Roman"/>
              </w:rPr>
              <w:t>，</w:t>
            </w:r>
            <w:r>
              <w:rPr>
                <w:rFonts w:ascii="Times New Roman" w:eastAsia="宋体" w:cs="Times New Roman" w:hint="eastAsia"/>
              </w:rPr>
              <w:t>3</w:t>
            </w:r>
            <w:r>
              <w:rPr>
                <w:rFonts w:ascii="Times New Roman" w:eastAsia="宋体" w:cs="Times New Roman"/>
              </w:rPr>
              <w:t>0m×</w:t>
            </w:r>
            <w:r>
              <w:rPr>
                <w:rFonts w:ascii="Times New Roman" w:eastAsia="宋体" w:cs="Times New Roman" w:hint="eastAsia"/>
              </w:rPr>
              <w:t>20</w:t>
            </w:r>
            <w:r>
              <w:rPr>
                <w:rFonts w:ascii="Times New Roman" w:eastAsia="宋体" w:cs="Times New Roman"/>
              </w:rPr>
              <w:t>m</w:t>
            </w:r>
            <w:r>
              <w:rPr>
                <w:rFonts w:ascii="Times New Roman" w:eastAsia="宋体" w:cs="Times New Roman"/>
              </w:rPr>
              <w:t>，一层砖混结构</w:t>
            </w:r>
          </w:p>
        </w:tc>
      </w:tr>
      <w:tr w:rsidR="00DB7CC8">
        <w:trPr>
          <w:trHeight w:val="283"/>
          <w:jc w:val="center"/>
        </w:trPr>
        <w:tc>
          <w:tcPr>
            <w:tcW w:w="449" w:type="pct"/>
            <w:vMerge w:val="restart"/>
            <w:tcBorders>
              <w:left w:val="single" w:sz="4" w:space="0" w:color="auto"/>
              <w:right w:val="single" w:sz="4" w:space="0" w:color="auto"/>
            </w:tcBorders>
            <w:vAlign w:val="center"/>
          </w:tcPr>
          <w:p w:rsidR="00DB7CC8" w:rsidRDefault="002B5250">
            <w:pPr>
              <w:spacing w:line="240" w:lineRule="auto"/>
              <w:ind w:firstLineChars="0" w:firstLine="0"/>
              <w:jc w:val="center"/>
              <w:rPr>
                <w:kern w:val="2"/>
                <w:sz w:val="21"/>
                <w:szCs w:val="21"/>
              </w:rPr>
            </w:pPr>
            <w:r>
              <w:rPr>
                <w:kern w:val="2"/>
                <w:sz w:val="21"/>
                <w:szCs w:val="21"/>
              </w:rPr>
              <w:t>公用</w:t>
            </w:r>
          </w:p>
          <w:p w:rsidR="00DB7CC8" w:rsidRDefault="002B5250">
            <w:pPr>
              <w:spacing w:line="240" w:lineRule="auto"/>
              <w:ind w:firstLineChars="0" w:firstLine="0"/>
              <w:jc w:val="center"/>
              <w:rPr>
                <w:kern w:val="2"/>
                <w:sz w:val="21"/>
                <w:szCs w:val="21"/>
              </w:rPr>
            </w:pPr>
            <w:r>
              <w:rPr>
                <w:kern w:val="2"/>
                <w:sz w:val="21"/>
                <w:szCs w:val="21"/>
              </w:rPr>
              <w:t>工程</w:t>
            </w: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供水工程</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由厂区内现有的自备井供给</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供电工程</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电源引自</w:t>
            </w:r>
            <w:r>
              <w:rPr>
                <w:rFonts w:ascii="Times New Roman" w:eastAsia="宋体" w:cs="Times New Roman"/>
                <w:lang w:val="en-GB"/>
              </w:rPr>
              <w:t>当地</w:t>
            </w:r>
            <w:r>
              <w:rPr>
                <w:rFonts w:ascii="Times New Roman" w:eastAsia="宋体" w:cs="Times New Roman"/>
              </w:rPr>
              <w:t>35kV</w:t>
            </w:r>
            <w:r>
              <w:rPr>
                <w:rFonts w:ascii="Times New Roman" w:eastAsia="宋体" w:cs="Times New Roman"/>
              </w:rPr>
              <w:t>变电站，厂区内设配电室</w:t>
            </w:r>
            <w:r>
              <w:rPr>
                <w:rFonts w:ascii="Times New Roman" w:eastAsia="宋体" w:cs="Times New Roman"/>
              </w:rPr>
              <w:t>1</w:t>
            </w:r>
            <w:r>
              <w:rPr>
                <w:rFonts w:ascii="Times New Roman" w:eastAsia="宋体" w:cs="Times New Roman"/>
              </w:rPr>
              <w:t>座。</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供热设施</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生产系统无供热设施，办公区采用空调或电暖气采暖。</w:t>
            </w:r>
          </w:p>
        </w:tc>
      </w:tr>
      <w:tr w:rsidR="00DB7CC8">
        <w:trPr>
          <w:trHeight w:val="283"/>
          <w:jc w:val="center"/>
        </w:trPr>
        <w:tc>
          <w:tcPr>
            <w:tcW w:w="449" w:type="pct"/>
            <w:vMerge w:val="restar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环保</w:t>
            </w:r>
          </w:p>
          <w:p w:rsidR="00DB7CC8" w:rsidRDefault="002B5250">
            <w:pPr>
              <w:pStyle w:val="affffff3"/>
              <w:spacing w:line="240" w:lineRule="auto"/>
              <w:rPr>
                <w:rFonts w:ascii="Times New Roman" w:eastAsia="宋体" w:cs="Times New Roman"/>
              </w:rPr>
            </w:pPr>
            <w:r>
              <w:rPr>
                <w:rFonts w:ascii="Times New Roman" w:eastAsia="宋体" w:cs="Times New Roman"/>
              </w:rPr>
              <w:t>工程</w:t>
            </w: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1#</w:t>
            </w:r>
            <w:r>
              <w:rPr>
                <w:rFonts w:ascii="Times New Roman" w:eastAsia="宋体" w:cs="Times New Roman" w:hint="eastAsia"/>
              </w:rPr>
              <w:t>、</w:t>
            </w:r>
            <w:r>
              <w:rPr>
                <w:rFonts w:ascii="Times New Roman" w:eastAsia="宋体" w:cs="Times New Roman" w:hint="eastAsia"/>
              </w:rPr>
              <w:t>2#</w:t>
            </w:r>
            <w:r>
              <w:rPr>
                <w:rFonts w:ascii="Times New Roman" w:eastAsia="宋体" w:cs="Times New Roman"/>
              </w:rPr>
              <w:t>破碎车间</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封闭车间，各产尘点由集气罩收集进入布袋除尘器处理，</w:t>
            </w:r>
            <w:r>
              <w:rPr>
                <w:rFonts w:ascii="Times New Roman" w:eastAsia="宋体" w:cs="Times New Roman" w:hint="eastAsia"/>
              </w:rPr>
              <w:t>经</w:t>
            </w:r>
            <w:r>
              <w:rPr>
                <w:rFonts w:ascii="Times New Roman" w:eastAsia="宋体" w:cs="Times New Roman" w:hint="eastAsia"/>
              </w:rPr>
              <w:t>2</w:t>
            </w:r>
            <w:r>
              <w:rPr>
                <w:rFonts w:ascii="Times New Roman" w:eastAsia="宋体" w:cs="Times New Roman" w:hint="eastAsia"/>
              </w:rPr>
              <w:t>根</w:t>
            </w:r>
            <w:r>
              <w:rPr>
                <w:rFonts w:ascii="Times New Roman" w:eastAsia="宋体" w:cs="Times New Roman"/>
              </w:rPr>
              <w:t>16m</w:t>
            </w:r>
            <w:r>
              <w:rPr>
                <w:rFonts w:ascii="Times New Roman" w:eastAsia="宋体" w:cs="Times New Roman"/>
              </w:rPr>
              <w:t>高排气筒</w:t>
            </w:r>
            <w:r>
              <w:rPr>
                <w:rFonts w:ascii="Times New Roman" w:eastAsia="宋体" w:cs="Times New Roman" w:hint="eastAsia"/>
              </w:rPr>
              <w:t>P1</w:t>
            </w:r>
            <w:r>
              <w:rPr>
                <w:rFonts w:ascii="Times New Roman" w:eastAsia="宋体" w:cs="Times New Roman" w:hint="eastAsia"/>
              </w:rPr>
              <w:t>、</w:t>
            </w:r>
            <w:r>
              <w:rPr>
                <w:rFonts w:ascii="Times New Roman" w:eastAsia="宋体" w:cs="Times New Roman" w:hint="eastAsia"/>
              </w:rPr>
              <w:t>P2</w:t>
            </w:r>
            <w:r>
              <w:rPr>
                <w:rFonts w:ascii="Times New Roman" w:eastAsia="宋体" w:cs="Times New Roman"/>
              </w:rPr>
              <w:t>排放。</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3</w:t>
            </w:r>
            <w:r>
              <w:rPr>
                <w:rFonts w:ascii="Times New Roman" w:eastAsia="宋体" w:cs="Times New Roman" w:hint="eastAsia"/>
              </w:rPr>
              <w:t>#</w:t>
            </w:r>
            <w:r>
              <w:rPr>
                <w:rFonts w:ascii="Times New Roman" w:eastAsia="宋体" w:cs="Times New Roman"/>
              </w:rPr>
              <w:t>破碎车间</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封闭车间，各产尘点由集气罩收集进入布袋除尘器处理，</w:t>
            </w:r>
            <w:r>
              <w:rPr>
                <w:rFonts w:ascii="Times New Roman" w:eastAsia="宋体" w:cs="Times New Roman" w:hint="eastAsia"/>
              </w:rPr>
              <w:t>经</w:t>
            </w:r>
            <w:r>
              <w:rPr>
                <w:rFonts w:ascii="Times New Roman" w:eastAsia="宋体" w:cs="Times New Roman" w:hint="eastAsia"/>
              </w:rPr>
              <w:t>1</w:t>
            </w:r>
            <w:r>
              <w:rPr>
                <w:rFonts w:ascii="Times New Roman" w:eastAsia="宋体" w:cs="Times New Roman" w:hint="eastAsia"/>
              </w:rPr>
              <w:t>根</w:t>
            </w:r>
            <w:r>
              <w:rPr>
                <w:rFonts w:ascii="Times New Roman" w:eastAsia="宋体" w:cs="Times New Roman"/>
              </w:rPr>
              <w:t>1</w:t>
            </w:r>
            <w:r>
              <w:rPr>
                <w:rFonts w:ascii="Times New Roman" w:eastAsia="宋体" w:cs="Times New Roman" w:hint="eastAsia"/>
              </w:rPr>
              <w:t>8</w:t>
            </w:r>
            <w:r>
              <w:rPr>
                <w:rFonts w:ascii="Times New Roman" w:eastAsia="宋体" w:cs="Times New Roman"/>
              </w:rPr>
              <w:t>m</w:t>
            </w:r>
            <w:r>
              <w:rPr>
                <w:rFonts w:ascii="Times New Roman" w:eastAsia="宋体" w:cs="Times New Roman"/>
              </w:rPr>
              <w:t>高排气筒</w:t>
            </w:r>
            <w:r>
              <w:rPr>
                <w:rFonts w:ascii="Times New Roman" w:eastAsia="宋体" w:cs="Times New Roman" w:hint="eastAsia"/>
              </w:rPr>
              <w:t>P</w:t>
            </w:r>
            <w:r>
              <w:rPr>
                <w:rFonts w:ascii="Times New Roman" w:eastAsia="宋体" w:cs="Times New Roman" w:hint="eastAsia"/>
              </w:rPr>
              <w:t>3</w:t>
            </w:r>
            <w:r>
              <w:rPr>
                <w:rFonts w:ascii="Times New Roman" w:eastAsia="宋体" w:cs="Times New Roman"/>
              </w:rPr>
              <w:t>排放。</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原料及成品库</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原料</w:t>
            </w:r>
            <w:r>
              <w:rPr>
                <w:rFonts w:ascii="Times New Roman" w:eastAsia="宋体" w:cs="Times New Roman" w:hint="eastAsia"/>
              </w:rPr>
              <w:t>不露天堆存，设</w:t>
            </w:r>
            <w:r>
              <w:rPr>
                <w:rFonts w:ascii="Times New Roman" w:eastAsia="宋体" w:cs="Times New Roman"/>
              </w:rPr>
              <w:t>成品库</w:t>
            </w:r>
            <w:r>
              <w:rPr>
                <w:rFonts w:ascii="Times New Roman" w:eastAsia="宋体" w:cs="Times New Roman" w:hint="eastAsia"/>
              </w:rPr>
              <w:t>、砂石库、尾砂库等，</w:t>
            </w:r>
            <w:r>
              <w:rPr>
                <w:rFonts w:ascii="Times New Roman" w:eastAsia="宋体" w:cs="Times New Roman" w:hint="eastAsia"/>
              </w:rPr>
              <w:t>均为</w:t>
            </w:r>
            <w:r>
              <w:rPr>
                <w:rFonts w:ascii="Times New Roman" w:eastAsia="宋体" w:cs="Times New Roman"/>
              </w:rPr>
              <w:t>全封闭结构，并进行地面硬化，设置喷雾抑尘装置。</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生产废水</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设</w:t>
            </w:r>
            <w:r>
              <w:rPr>
                <w:rFonts w:ascii="Times New Roman" w:eastAsia="宋体" w:cs="Times New Roman"/>
              </w:rPr>
              <w:t>1</w:t>
            </w:r>
            <w:r>
              <w:rPr>
                <w:rFonts w:ascii="Times New Roman" w:eastAsia="宋体" w:cs="Times New Roman"/>
              </w:rPr>
              <w:t>个清水池，清水池容积约为</w:t>
            </w:r>
            <w:r>
              <w:rPr>
                <w:rFonts w:ascii="Times New Roman" w:eastAsia="宋体" w:cs="Times New Roman"/>
              </w:rPr>
              <w:t>80m</w:t>
            </w:r>
            <w:r>
              <w:rPr>
                <w:rFonts w:ascii="Times New Roman" w:eastAsia="宋体" w:cs="Times New Roman"/>
                <w:vertAlign w:val="superscript"/>
              </w:rPr>
              <w:t>3</w:t>
            </w:r>
            <w:r>
              <w:rPr>
                <w:rFonts w:ascii="Times New Roman" w:eastAsia="宋体" w:cs="Times New Roman"/>
              </w:rPr>
              <w:t>；</w:t>
            </w:r>
            <w:r>
              <w:rPr>
                <w:rFonts w:ascii="Times New Roman" w:eastAsia="宋体" w:cs="Times New Roman"/>
              </w:rPr>
              <w:t>2</w:t>
            </w:r>
            <w:r>
              <w:rPr>
                <w:rFonts w:ascii="Times New Roman" w:eastAsia="宋体" w:cs="Times New Roman"/>
              </w:rPr>
              <w:t>个浓密池</w:t>
            </w:r>
            <w:r>
              <w:rPr>
                <w:rFonts w:ascii="Times New Roman" w:eastAsia="宋体" w:cs="Times New Roman" w:hint="eastAsia"/>
              </w:rPr>
              <w:t>直径均</w:t>
            </w:r>
            <w:r>
              <w:rPr>
                <w:rFonts w:ascii="Times New Roman" w:eastAsia="宋体" w:cs="Times New Roman"/>
              </w:rPr>
              <w:t>为</w:t>
            </w:r>
            <w:r>
              <w:rPr>
                <w:rFonts w:ascii="Times New Roman" w:eastAsia="宋体" w:cs="Times New Roman" w:hint="eastAsia"/>
              </w:rPr>
              <w:t>Ф</w:t>
            </w:r>
            <w:r>
              <w:rPr>
                <w:rFonts w:ascii="Times New Roman" w:eastAsia="宋体" w:cs="Times New Roman"/>
              </w:rPr>
              <w:t>10m</w:t>
            </w:r>
            <w:r>
              <w:rPr>
                <w:rFonts w:ascii="Times New Roman" w:eastAsia="宋体" w:cs="Times New Roman"/>
              </w:rPr>
              <w:t>。尾矿浆经</w:t>
            </w:r>
            <w:r>
              <w:rPr>
                <w:rFonts w:ascii="Times New Roman" w:eastAsia="宋体" w:cs="Times New Roman" w:hint="eastAsia"/>
              </w:rPr>
              <w:t>选砂</w:t>
            </w:r>
            <w:r>
              <w:rPr>
                <w:rFonts w:ascii="Times New Roman" w:eastAsia="宋体" w:cs="Times New Roman"/>
              </w:rPr>
              <w:t>处理后，进入</w:t>
            </w:r>
            <w:r>
              <w:rPr>
                <w:rFonts w:ascii="Times New Roman" w:eastAsia="宋体" w:cs="Times New Roman" w:hint="eastAsia"/>
              </w:rPr>
              <w:t>浓密池</w:t>
            </w:r>
            <w:r>
              <w:rPr>
                <w:rFonts w:ascii="Times New Roman" w:eastAsia="宋体" w:cs="Times New Roman"/>
              </w:rPr>
              <w:t>浓缩，浓</w:t>
            </w:r>
            <w:r>
              <w:rPr>
                <w:rFonts w:ascii="Times New Roman" w:eastAsia="宋体" w:cs="Times New Roman" w:hint="eastAsia"/>
              </w:rPr>
              <w:t>密</w:t>
            </w:r>
            <w:r>
              <w:rPr>
                <w:rFonts w:ascii="Times New Roman" w:eastAsia="宋体" w:cs="Times New Roman"/>
              </w:rPr>
              <w:t>池上清液</w:t>
            </w:r>
            <w:r>
              <w:rPr>
                <w:rFonts w:ascii="Times New Roman" w:eastAsia="宋体" w:cs="Times New Roman" w:hint="eastAsia"/>
              </w:rPr>
              <w:t>进入清水池，</w:t>
            </w:r>
            <w:r>
              <w:rPr>
                <w:rFonts w:ascii="Times New Roman" w:eastAsia="宋体" w:cs="Times New Roman"/>
              </w:rPr>
              <w:t>回用于生产工序；洗车废水沉淀池容积约为</w:t>
            </w:r>
            <w:r>
              <w:rPr>
                <w:rFonts w:ascii="Times New Roman" w:eastAsia="宋体" w:cs="Times New Roman"/>
              </w:rPr>
              <w:t>6m</w:t>
            </w:r>
            <w:r>
              <w:rPr>
                <w:rFonts w:ascii="Times New Roman" w:eastAsia="宋体" w:cs="Times New Roman"/>
                <w:vertAlign w:val="superscript"/>
              </w:rPr>
              <w:t>3</w:t>
            </w:r>
            <w:r>
              <w:rPr>
                <w:rFonts w:ascii="Times New Roman" w:eastAsia="宋体" w:cs="Times New Roman"/>
              </w:rPr>
              <w:t>。</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噪声</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基础减振、隔声等措施</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固体废物</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石碴、</w:t>
            </w:r>
            <w:r>
              <w:rPr>
                <w:rFonts w:ascii="Times New Roman" w:eastAsia="宋体" w:cs="Times New Roman" w:hint="eastAsia"/>
              </w:rPr>
              <w:t>砂子</w:t>
            </w:r>
            <w:r>
              <w:rPr>
                <w:rFonts w:ascii="Times New Roman" w:eastAsia="宋体" w:cs="Times New Roman"/>
              </w:rPr>
              <w:t>作为建筑生产原料综合利用</w:t>
            </w:r>
            <w:r>
              <w:rPr>
                <w:rFonts w:ascii="Times New Roman" w:eastAsia="宋体" w:cs="Times New Roman" w:hint="eastAsia"/>
              </w:rPr>
              <w:t>，</w:t>
            </w:r>
            <w:r>
              <w:rPr>
                <w:rFonts w:ascii="Times New Roman" w:eastAsia="宋体" w:cs="Times New Roman"/>
              </w:rPr>
              <w:t>尾矿砂粗砂在尾砂库暂时堆存，作为建筑生产原料综合利用</w:t>
            </w:r>
            <w:r>
              <w:rPr>
                <w:rFonts w:ascii="Times New Roman" w:eastAsia="宋体" w:cs="Times New Roman" w:hint="eastAsia"/>
              </w:rPr>
              <w:t>，</w:t>
            </w:r>
            <w:r>
              <w:rPr>
                <w:rFonts w:ascii="Times New Roman" w:eastAsia="宋体" w:cs="Times New Roman"/>
              </w:rPr>
              <w:t>尾矿砂细砂</w:t>
            </w:r>
            <w:r>
              <w:rPr>
                <w:rFonts w:ascii="Times New Roman" w:eastAsia="宋体" w:cs="Times New Roman" w:hint="eastAsia"/>
              </w:rPr>
              <w:t>外运</w:t>
            </w:r>
            <w:r>
              <w:rPr>
                <w:rFonts w:ascii="Times New Roman" w:eastAsia="宋体" w:cs="Times New Roman"/>
              </w:rPr>
              <w:t>填坑造地</w:t>
            </w:r>
            <w:r>
              <w:rPr>
                <w:rFonts w:ascii="Times New Roman" w:eastAsia="宋体" w:cs="Times New Roman" w:hint="eastAsia"/>
              </w:rPr>
              <w:t>；废钢球厂家回收利用</w:t>
            </w:r>
            <w:r>
              <w:rPr>
                <w:rFonts w:ascii="Times New Roman" w:eastAsia="宋体" w:cs="Times New Roman"/>
              </w:rPr>
              <w:t>。</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危险废物</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hint="eastAsia"/>
              </w:rPr>
              <w:t>设危险废物暂存间</w:t>
            </w:r>
            <w:r>
              <w:rPr>
                <w:rFonts w:ascii="Times New Roman" w:eastAsia="宋体" w:cs="Times New Roman"/>
              </w:rPr>
              <w:t>，建筑面积</w:t>
            </w:r>
            <w:r>
              <w:rPr>
                <w:rFonts w:ascii="Times New Roman" w:eastAsia="宋体" w:cs="Times New Roman"/>
              </w:rPr>
              <w:t>12m</w:t>
            </w:r>
            <w:r>
              <w:rPr>
                <w:rFonts w:ascii="Times New Roman" w:eastAsia="宋体" w:cs="Times New Roman"/>
                <w:vertAlign w:val="superscript"/>
              </w:rPr>
              <w:t>2</w:t>
            </w:r>
            <w:r>
              <w:rPr>
                <w:rFonts w:ascii="Times New Roman" w:eastAsia="宋体" w:cs="Times New Roman"/>
              </w:rPr>
              <w:t>，地面防渗</w:t>
            </w:r>
            <w:r>
              <w:rPr>
                <w:rFonts w:ascii="Times New Roman" w:eastAsia="宋体" w:cs="Times New Roman" w:hint="eastAsia"/>
              </w:rPr>
              <w:t>；危险废物最终委托有资质单位处置</w:t>
            </w:r>
            <w:r>
              <w:rPr>
                <w:rFonts w:ascii="Times New Roman" w:eastAsia="宋体" w:cs="Times New Roman"/>
              </w:rPr>
              <w:t>。</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1132"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事故池</w:t>
            </w:r>
          </w:p>
        </w:tc>
        <w:tc>
          <w:tcPr>
            <w:tcW w:w="3417" w:type="pct"/>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球磨车间南侧设一个事故水池，容积为</w:t>
            </w:r>
            <w:r>
              <w:rPr>
                <w:rFonts w:ascii="Times New Roman" w:eastAsia="宋体" w:cs="Times New Roman" w:hint="eastAsia"/>
              </w:rPr>
              <w:t>25</w:t>
            </w:r>
            <w:r>
              <w:rPr>
                <w:rFonts w:ascii="Times New Roman" w:eastAsia="宋体" w:cs="Times New Roman"/>
              </w:rPr>
              <w:t>m</w:t>
            </w:r>
            <w:r>
              <w:rPr>
                <w:rFonts w:ascii="Times New Roman" w:eastAsia="宋体" w:cs="Times New Roman"/>
                <w:vertAlign w:val="superscript"/>
              </w:rPr>
              <w:t>3</w:t>
            </w:r>
            <w:r>
              <w:rPr>
                <w:rFonts w:ascii="Times New Roman" w:eastAsia="宋体" w:cs="Times New Roman"/>
              </w:rPr>
              <w:t>，用收集事故状态下的废水及浆液。</w:t>
            </w:r>
          </w:p>
        </w:tc>
      </w:tr>
      <w:tr w:rsidR="00DB7CC8">
        <w:trPr>
          <w:trHeight w:val="283"/>
          <w:jc w:val="center"/>
        </w:trPr>
        <w:tc>
          <w:tcPr>
            <w:tcW w:w="449" w:type="pct"/>
            <w:vMerge/>
            <w:tcBorders>
              <w:left w:val="single" w:sz="4" w:space="0" w:color="auto"/>
              <w:right w:val="single" w:sz="4" w:space="0" w:color="auto"/>
            </w:tcBorders>
            <w:vAlign w:val="center"/>
          </w:tcPr>
          <w:p w:rsidR="00DB7CC8" w:rsidRDefault="00DB7CC8">
            <w:pPr>
              <w:pStyle w:val="affffff3"/>
              <w:spacing w:line="240" w:lineRule="auto"/>
              <w:ind w:firstLine="560"/>
              <w:rPr>
                <w:rFonts w:ascii="Times New Roman" w:eastAsia="宋体" w:cs="Times New Roman"/>
              </w:rPr>
            </w:pPr>
          </w:p>
        </w:tc>
        <w:tc>
          <w:tcPr>
            <w:tcW w:w="4550" w:type="pct"/>
            <w:gridSpan w:val="2"/>
            <w:tcBorders>
              <w:left w:val="single" w:sz="4" w:space="0" w:color="auto"/>
              <w:right w:val="single" w:sz="4" w:space="0" w:color="auto"/>
            </w:tcBorders>
            <w:vAlign w:val="center"/>
          </w:tcPr>
          <w:p w:rsidR="00DB7CC8" w:rsidRDefault="002B5250">
            <w:pPr>
              <w:pStyle w:val="affffff3"/>
              <w:spacing w:line="240" w:lineRule="auto"/>
              <w:rPr>
                <w:rFonts w:ascii="Times New Roman" w:eastAsia="宋体" w:cs="Times New Roman"/>
              </w:rPr>
            </w:pPr>
            <w:r>
              <w:rPr>
                <w:rFonts w:ascii="Times New Roman" w:eastAsia="宋体" w:cs="Times New Roman"/>
              </w:rPr>
              <w:t>厂区门口</w:t>
            </w:r>
            <w:r>
              <w:rPr>
                <w:rFonts w:ascii="Times New Roman" w:eastAsia="宋体" w:cs="Times New Roman" w:hint="eastAsia"/>
              </w:rPr>
              <w:t>、</w:t>
            </w:r>
            <w:r>
              <w:rPr>
                <w:rFonts w:asciiTheme="minorEastAsia" w:eastAsiaTheme="minorEastAsia" w:hAnsiTheme="minorEastAsia" w:hint="eastAsia"/>
                <w:bCs/>
                <w:szCs w:val="24"/>
              </w:rPr>
              <w:t>成品库、砂石库、原料</w:t>
            </w:r>
            <w:r>
              <w:rPr>
                <w:rFonts w:asciiTheme="minorEastAsia" w:eastAsiaTheme="minorEastAsia" w:hAnsiTheme="minorEastAsia" w:hint="eastAsia"/>
                <w:bCs/>
                <w:szCs w:val="24"/>
              </w:rPr>
              <w:t>棚</w:t>
            </w:r>
            <w:r>
              <w:rPr>
                <w:rFonts w:ascii="Times New Roman" w:eastAsia="宋体" w:cs="Times New Roman"/>
              </w:rPr>
              <w:t>附近设置</w:t>
            </w:r>
            <w:r>
              <w:rPr>
                <w:rFonts w:ascii="Times New Roman" w:eastAsia="宋体" w:cs="Times New Roman" w:hint="eastAsia"/>
              </w:rPr>
              <w:t>4</w:t>
            </w:r>
            <w:r>
              <w:rPr>
                <w:rFonts w:ascii="Times New Roman" w:eastAsia="宋体" w:cs="Times New Roman" w:hint="eastAsia"/>
              </w:rPr>
              <w:t>个</w:t>
            </w:r>
            <w:r>
              <w:rPr>
                <w:rFonts w:ascii="Times New Roman" w:eastAsia="宋体" w:cs="Times New Roman"/>
              </w:rPr>
              <w:t>洗车平台（</w:t>
            </w:r>
            <w:r>
              <w:rPr>
                <w:rFonts w:ascii="Times New Roman" w:eastAsia="宋体" w:cs="Times New Roman"/>
              </w:rPr>
              <w:t>8m×3.5m</w:t>
            </w:r>
            <w:r>
              <w:rPr>
                <w:rFonts w:ascii="Times New Roman" w:eastAsia="宋体" w:cs="Times New Roman"/>
              </w:rPr>
              <w:t>）</w:t>
            </w:r>
            <w:r>
              <w:rPr>
                <w:rFonts w:ascii="Times New Roman" w:eastAsia="宋体" w:cs="Times New Roman" w:hint="eastAsia"/>
              </w:rPr>
              <w:t>，并各配套</w:t>
            </w:r>
            <w:r>
              <w:rPr>
                <w:rFonts w:ascii="Times New Roman" w:eastAsia="宋体" w:cs="Times New Roman" w:hint="eastAsia"/>
              </w:rPr>
              <w:t>1</w:t>
            </w:r>
            <w:r>
              <w:rPr>
                <w:rFonts w:ascii="Times New Roman" w:eastAsia="宋体" w:cs="Times New Roman" w:hint="eastAsia"/>
              </w:rPr>
              <w:t>个沉淀池</w:t>
            </w:r>
            <w:r>
              <w:rPr>
                <w:rFonts w:ascii="Times New Roman" w:eastAsia="宋体" w:cs="Times New Roman"/>
              </w:rPr>
              <w:t>，在洗车平台使用高压喷雾清洗轮胎及车身，洗车平台四周应设置防溢座，废水经导流渠流入沉淀池内（</w:t>
            </w:r>
            <w:r>
              <w:rPr>
                <w:rFonts w:ascii="Times New Roman" w:eastAsia="宋体" w:cs="Times New Roman"/>
              </w:rPr>
              <w:t>2m×3m×1m</w:t>
            </w:r>
            <w:r>
              <w:rPr>
                <w:rFonts w:ascii="Times New Roman" w:eastAsia="宋体" w:cs="Times New Roman"/>
              </w:rPr>
              <w:t>），回用于运输车辆清洗，在厂区西北侧门口设</w:t>
            </w:r>
            <w:r>
              <w:rPr>
                <w:rFonts w:ascii="Times New Roman" w:eastAsia="宋体" w:cs="Times New Roman" w:hint="eastAsia"/>
              </w:rPr>
              <w:t>车辆</w:t>
            </w:r>
            <w:r>
              <w:rPr>
                <w:rFonts w:ascii="Times New Roman" w:eastAsia="宋体" w:cs="Times New Roman"/>
              </w:rPr>
              <w:t>清洗装置。</w:t>
            </w:r>
          </w:p>
        </w:tc>
      </w:tr>
    </w:tbl>
    <w:p w:rsidR="00DB7CC8" w:rsidRDefault="002B5250">
      <w:pPr>
        <w:pStyle w:val="3"/>
        <w:numPr>
          <w:ilvl w:val="2"/>
          <w:numId w:val="1"/>
        </w:numPr>
        <w:rPr>
          <w:szCs w:val="28"/>
        </w:rPr>
      </w:pPr>
      <w:r>
        <w:rPr>
          <w:rFonts w:hint="eastAsia"/>
          <w:szCs w:val="28"/>
        </w:rPr>
        <w:t>改扩建工程完成后全厂生产设备</w:t>
      </w:r>
    </w:p>
    <w:p w:rsidR="00DB7CC8" w:rsidRDefault="002B5250">
      <w:pPr>
        <w:pStyle w:val="233"/>
        <w:spacing w:line="360" w:lineRule="auto"/>
        <w:ind w:firstLine="480"/>
        <w:rPr>
          <w:rFonts w:cs="Times New Roman"/>
        </w:rPr>
      </w:pPr>
      <w:r>
        <w:rPr>
          <w:rFonts w:cs="Times New Roman" w:hint="eastAsia"/>
        </w:rPr>
        <w:t>改扩建工程完成后全厂生产设备见表</w:t>
      </w:r>
      <w:r>
        <w:rPr>
          <w:rFonts w:cs="Times New Roman" w:hint="eastAsia"/>
        </w:rPr>
        <w:t>3.5-2</w:t>
      </w:r>
      <w:r>
        <w:rPr>
          <w:rFonts w:cs="Times New Roman" w:hint="eastAsia"/>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3.</w:t>
      </w:r>
      <w:r>
        <w:rPr>
          <w:rFonts w:eastAsia="黑体" w:hint="eastAsia"/>
          <w:kern w:val="2"/>
          <w:sz w:val="21"/>
          <w:szCs w:val="21"/>
        </w:rPr>
        <w:t>5</w:t>
      </w:r>
      <w:r>
        <w:rPr>
          <w:rFonts w:eastAsia="黑体"/>
          <w:kern w:val="2"/>
          <w:sz w:val="21"/>
          <w:szCs w:val="21"/>
        </w:rPr>
        <w:t>-</w:t>
      </w:r>
      <w:r>
        <w:rPr>
          <w:rFonts w:eastAsia="黑体" w:hint="eastAsia"/>
          <w:kern w:val="2"/>
          <w:sz w:val="21"/>
          <w:szCs w:val="21"/>
        </w:rPr>
        <w:t>2</w:t>
      </w:r>
      <w:r>
        <w:rPr>
          <w:rFonts w:eastAsia="黑体"/>
          <w:kern w:val="2"/>
          <w:sz w:val="21"/>
          <w:szCs w:val="21"/>
        </w:rPr>
        <w:t xml:space="preserve">   </w:t>
      </w:r>
      <w:r>
        <w:rPr>
          <w:rFonts w:eastAsia="黑体" w:hint="eastAsia"/>
          <w:kern w:val="2"/>
          <w:sz w:val="21"/>
          <w:szCs w:val="21"/>
        </w:rPr>
        <w:t>改扩建后全厂</w:t>
      </w:r>
      <w:r>
        <w:rPr>
          <w:rFonts w:eastAsia="黑体"/>
          <w:kern w:val="2"/>
          <w:sz w:val="21"/>
          <w:szCs w:val="21"/>
        </w:rPr>
        <w:t>主要设备一览表</w:t>
      </w:r>
    </w:p>
    <w:tbl>
      <w:tblPr>
        <w:tblW w:w="845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675"/>
        <w:gridCol w:w="2099"/>
        <w:gridCol w:w="1897"/>
        <w:gridCol w:w="783"/>
        <w:gridCol w:w="705"/>
        <w:gridCol w:w="2291"/>
      </w:tblGrid>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序号</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名称</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型号</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单位</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数量</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备注</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颚式破碎机（粗碎）</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75</w:t>
            </w:r>
            <w:r>
              <w:rPr>
                <w:sz w:val="21"/>
                <w:szCs w:val="21"/>
              </w:rPr>
              <w:t>0*</w:t>
            </w:r>
            <w:r>
              <w:rPr>
                <w:rFonts w:hint="eastAsia"/>
                <w:sz w:val="21"/>
                <w:szCs w:val="21"/>
              </w:rPr>
              <w:t>106</w:t>
            </w:r>
            <w:r>
              <w:rPr>
                <w:sz w:val="21"/>
                <w:szCs w:val="21"/>
              </w:rPr>
              <w:t>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颚式破碎机（粗碎）</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75</w:t>
            </w:r>
            <w:r>
              <w:rPr>
                <w:sz w:val="21"/>
                <w:szCs w:val="21"/>
              </w:rPr>
              <w:t>0*</w:t>
            </w:r>
            <w:r>
              <w:rPr>
                <w:rFonts w:hint="eastAsia"/>
                <w:sz w:val="21"/>
                <w:szCs w:val="21"/>
              </w:rPr>
              <w:t>106</w:t>
            </w:r>
            <w:r>
              <w:rPr>
                <w:sz w:val="21"/>
                <w:szCs w:val="21"/>
              </w:rPr>
              <w:t>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3</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圆锥破碎机（细碎）</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240</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4</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锤式破碎机</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20</w:t>
            </w:r>
            <w:r>
              <w:rPr>
                <w:sz w:val="21"/>
                <w:szCs w:val="21"/>
              </w:rPr>
              <w:t>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5</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锤式破碎机</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20</w:t>
            </w:r>
            <w:r>
              <w:rPr>
                <w:sz w:val="21"/>
                <w:szCs w:val="21"/>
              </w:rPr>
              <w:t>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w:t>
            </w:r>
            <w:r>
              <w:rPr>
                <w:sz w:val="21"/>
                <w:szCs w:val="21"/>
              </w:rPr>
              <w:t>#</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6</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振动筛</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rFonts w:hint="eastAsia"/>
                <w:sz w:val="21"/>
                <w:szCs w:val="21"/>
              </w:rPr>
              <w:t>7</w:t>
            </w:r>
            <w:r>
              <w:rPr>
                <w:sz w:val="21"/>
                <w:szCs w:val="21"/>
              </w:rPr>
              <w:t>00mm×</w:t>
            </w:r>
            <w:r>
              <w:rPr>
                <w:rFonts w:hint="eastAsia"/>
                <w:sz w:val="21"/>
                <w:szCs w:val="21"/>
              </w:rPr>
              <w:t>7</w:t>
            </w:r>
            <w:r>
              <w:rPr>
                <w:sz w:val="21"/>
                <w:szCs w:val="21"/>
              </w:rPr>
              <w:t>000mm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sz w:val="21"/>
                <w:szCs w:val="21"/>
              </w:rPr>
              <w:t>破碎车间，筛分矿石</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7</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振动筛</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rFonts w:hint="eastAsia"/>
                <w:sz w:val="21"/>
                <w:szCs w:val="21"/>
              </w:rPr>
              <w:t>7</w:t>
            </w:r>
            <w:r>
              <w:rPr>
                <w:sz w:val="21"/>
                <w:szCs w:val="21"/>
              </w:rPr>
              <w:t>00mm×7000mm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sz w:val="21"/>
                <w:szCs w:val="21"/>
              </w:rPr>
              <w:t>破碎车间，筛分毛石</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振动筛</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2400mm×7000mm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sz w:val="21"/>
                <w:szCs w:val="21"/>
              </w:rPr>
              <w:t>破碎车间，筛分矿石</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9</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振动筛</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2100mm×7000mm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sz w:val="21"/>
                <w:szCs w:val="21"/>
              </w:rPr>
              <w:t>破碎车间，筛分毛石</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10</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磁滑轮</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1800mm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11</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磁滑轮</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1800mm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12</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给料机</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1000mm×</w:t>
            </w:r>
            <w:r>
              <w:rPr>
                <w:rFonts w:hint="eastAsia"/>
                <w:sz w:val="21"/>
                <w:szCs w:val="21"/>
              </w:rPr>
              <w:t>45</w:t>
            </w:r>
            <w:r>
              <w:rPr>
                <w:sz w:val="21"/>
                <w:szCs w:val="21"/>
              </w:rPr>
              <w:t>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sz w:val="21"/>
                <w:szCs w:val="21"/>
              </w:rPr>
              <w:t>、</w:t>
            </w:r>
            <w:r>
              <w:rPr>
                <w:sz w:val="21"/>
                <w:szCs w:val="21"/>
              </w:rPr>
              <w:t>2#</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13</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皮带输送机</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10</w:t>
            </w:r>
            <w:r>
              <w:rPr>
                <w:sz w:val="21"/>
                <w:szCs w:val="21"/>
              </w:rPr>
              <w:t>00mm</w:t>
            </w:r>
            <w:r>
              <w:rPr>
                <w:sz w:val="21"/>
                <w:szCs w:val="21"/>
              </w:rPr>
              <w:t>宽</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8</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14</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皮带输送机</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80</w:t>
            </w:r>
            <w:r>
              <w:rPr>
                <w:sz w:val="21"/>
                <w:szCs w:val="21"/>
              </w:rPr>
              <w:t>0mm</w:t>
            </w:r>
            <w:r>
              <w:rPr>
                <w:sz w:val="21"/>
                <w:szCs w:val="21"/>
              </w:rPr>
              <w:t>宽</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3</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rFonts w:hint="eastAsia"/>
                <w:sz w:val="21"/>
                <w:szCs w:val="21"/>
              </w:rPr>
              <w:t>5</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球磨机</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24</w:t>
            </w:r>
            <w:r>
              <w:rPr>
                <w:sz w:val="21"/>
                <w:szCs w:val="21"/>
              </w:rPr>
              <w:t>00×</w:t>
            </w:r>
            <w:r>
              <w:rPr>
                <w:rFonts w:hint="eastAsia"/>
                <w:sz w:val="21"/>
                <w:szCs w:val="21"/>
              </w:rPr>
              <w:t>80</w:t>
            </w:r>
            <w:r>
              <w:rPr>
                <w:sz w:val="21"/>
                <w:szCs w:val="21"/>
              </w:rPr>
              <w:t>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53"/>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bCs/>
                <w:sz w:val="21"/>
                <w:szCs w:val="21"/>
              </w:rPr>
              <w:t>1</w:t>
            </w:r>
            <w:r>
              <w:rPr>
                <w:rFonts w:hint="eastAsia"/>
                <w:bCs/>
                <w:sz w:val="21"/>
                <w:szCs w:val="21"/>
              </w:rPr>
              <w:t>6</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磁选机</w:t>
            </w:r>
          </w:p>
        </w:tc>
        <w:tc>
          <w:tcPr>
            <w:tcW w:w="1897" w:type="dxa"/>
            <w:tcBorders>
              <w:tl2br w:val="nil"/>
              <w:tr2bl w:val="nil"/>
            </w:tcBorders>
            <w:vAlign w:val="bottom"/>
          </w:tcPr>
          <w:p w:rsidR="00DB7CC8" w:rsidRDefault="002B5250">
            <w:pPr>
              <w:spacing w:line="240" w:lineRule="auto"/>
              <w:ind w:firstLineChars="0" w:firstLine="0"/>
              <w:jc w:val="center"/>
              <w:rPr>
                <w:sz w:val="21"/>
                <w:szCs w:val="21"/>
              </w:rPr>
            </w:pPr>
            <w:r>
              <w:rPr>
                <w:rFonts w:eastAsia="等线"/>
                <w:sz w:val="21"/>
                <w:szCs w:val="21"/>
              </w:rPr>
              <w:t>1</w:t>
            </w:r>
            <w:r>
              <w:rPr>
                <w:rFonts w:eastAsia="等线" w:hint="eastAsia"/>
                <w:sz w:val="21"/>
                <w:szCs w:val="21"/>
              </w:rPr>
              <w:t>50</w:t>
            </w:r>
            <w:r>
              <w:rPr>
                <w:rFonts w:eastAsia="等线"/>
                <w:sz w:val="21"/>
                <w:szCs w:val="21"/>
              </w:rPr>
              <w:t>0*</w:t>
            </w:r>
            <w:r>
              <w:rPr>
                <w:rFonts w:eastAsia="等线" w:hint="eastAsia"/>
                <w:sz w:val="21"/>
                <w:szCs w:val="21"/>
              </w:rPr>
              <w:t>30</w:t>
            </w:r>
            <w:r>
              <w:rPr>
                <w:rFonts w:eastAsia="等线"/>
                <w:sz w:val="21"/>
                <w:szCs w:val="21"/>
              </w:rPr>
              <w:t>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bCs/>
                <w:sz w:val="21"/>
                <w:szCs w:val="21"/>
              </w:rPr>
              <w:t>17</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磁选机</w:t>
            </w:r>
          </w:p>
        </w:tc>
        <w:tc>
          <w:tcPr>
            <w:tcW w:w="1897" w:type="dxa"/>
            <w:tcBorders>
              <w:tl2br w:val="nil"/>
              <w:tr2bl w:val="nil"/>
            </w:tcBorders>
            <w:vAlign w:val="bottom"/>
          </w:tcPr>
          <w:p w:rsidR="00DB7CC8" w:rsidRDefault="002B5250">
            <w:pPr>
              <w:spacing w:line="240" w:lineRule="auto"/>
              <w:ind w:firstLineChars="0" w:firstLine="0"/>
              <w:jc w:val="center"/>
              <w:rPr>
                <w:sz w:val="21"/>
                <w:szCs w:val="21"/>
              </w:rPr>
            </w:pPr>
            <w:r>
              <w:rPr>
                <w:rFonts w:eastAsia="等线" w:hint="eastAsia"/>
                <w:sz w:val="21"/>
                <w:szCs w:val="21"/>
              </w:rPr>
              <w:t>120</w:t>
            </w:r>
            <w:r>
              <w:rPr>
                <w:rFonts w:eastAsia="等线"/>
                <w:sz w:val="21"/>
                <w:szCs w:val="21"/>
              </w:rPr>
              <w:t>0*</w:t>
            </w:r>
            <w:r>
              <w:rPr>
                <w:rFonts w:eastAsia="等线" w:hint="eastAsia"/>
                <w:sz w:val="21"/>
                <w:szCs w:val="21"/>
              </w:rPr>
              <w:t>24</w:t>
            </w:r>
            <w:r>
              <w:rPr>
                <w:rFonts w:eastAsia="等线"/>
                <w:sz w:val="21"/>
                <w:szCs w:val="21"/>
              </w:rPr>
              <w:t>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sz w:val="21"/>
                <w:szCs w:val="21"/>
              </w:rPr>
              <w:t>18</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磁选机</w:t>
            </w:r>
          </w:p>
        </w:tc>
        <w:tc>
          <w:tcPr>
            <w:tcW w:w="1897" w:type="dxa"/>
            <w:tcBorders>
              <w:tl2br w:val="nil"/>
              <w:tr2bl w:val="nil"/>
            </w:tcBorders>
            <w:vAlign w:val="bottom"/>
          </w:tcPr>
          <w:p w:rsidR="00DB7CC8" w:rsidRDefault="002B5250">
            <w:pPr>
              <w:spacing w:line="240" w:lineRule="auto"/>
              <w:ind w:firstLineChars="0" w:firstLine="0"/>
              <w:jc w:val="center"/>
              <w:rPr>
                <w:sz w:val="21"/>
                <w:szCs w:val="21"/>
              </w:rPr>
            </w:pPr>
            <w:r>
              <w:rPr>
                <w:rFonts w:eastAsia="等线" w:hint="eastAsia"/>
                <w:sz w:val="21"/>
                <w:szCs w:val="21"/>
              </w:rPr>
              <w:t>1000</w:t>
            </w:r>
            <w:r>
              <w:rPr>
                <w:rFonts w:eastAsia="等线"/>
                <w:sz w:val="21"/>
                <w:szCs w:val="21"/>
              </w:rPr>
              <w:t>*2400mm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w:t>
            </w:r>
            <w:r>
              <w:rPr>
                <w:rFonts w:hint="eastAsia"/>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sz w:val="21"/>
                <w:szCs w:val="21"/>
              </w:rPr>
              <w:t>19</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磁选机</w:t>
            </w:r>
          </w:p>
        </w:tc>
        <w:tc>
          <w:tcPr>
            <w:tcW w:w="1897" w:type="dxa"/>
            <w:tcBorders>
              <w:tl2br w:val="nil"/>
              <w:tr2bl w:val="nil"/>
            </w:tcBorders>
            <w:vAlign w:val="bottom"/>
          </w:tcPr>
          <w:p w:rsidR="00DB7CC8" w:rsidRDefault="002B5250">
            <w:pPr>
              <w:spacing w:line="240" w:lineRule="auto"/>
              <w:ind w:firstLineChars="0" w:firstLine="0"/>
              <w:jc w:val="center"/>
              <w:rPr>
                <w:rFonts w:eastAsia="等线"/>
                <w:sz w:val="21"/>
                <w:szCs w:val="21"/>
              </w:rPr>
            </w:pPr>
            <w:r>
              <w:rPr>
                <w:rFonts w:eastAsia="等线" w:hint="eastAsia"/>
                <w:sz w:val="21"/>
                <w:szCs w:val="21"/>
              </w:rPr>
              <w:t>1000</w:t>
            </w:r>
            <w:r>
              <w:rPr>
                <w:rFonts w:eastAsia="等线"/>
                <w:sz w:val="21"/>
                <w:szCs w:val="21"/>
              </w:rPr>
              <w:t>*2400mm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w:t>
            </w:r>
            <w:r>
              <w:rPr>
                <w:rFonts w:hint="eastAsia"/>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20</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高频筛</w:t>
            </w:r>
          </w:p>
        </w:tc>
        <w:tc>
          <w:tcPr>
            <w:tcW w:w="1897" w:type="dxa"/>
            <w:tcBorders>
              <w:tl2br w:val="nil"/>
              <w:tr2bl w:val="nil"/>
            </w:tcBorders>
            <w:vAlign w:val="center"/>
          </w:tcPr>
          <w:p w:rsidR="00DB7CC8" w:rsidRDefault="002B5250">
            <w:pPr>
              <w:spacing w:line="240" w:lineRule="auto"/>
              <w:ind w:firstLineChars="0" w:firstLine="0"/>
              <w:jc w:val="center"/>
              <w:rPr>
                <w:rFonts w:eastAsia="等线"/>
                <w:sz w:val="21"/>
                <w:szCs w:val="21"/>
              </w:rPr>
            </w:pPr>
            <w:r>
              <w:rPr>
                <w:sz w:val="21"/>
                <w:szCs w:val="21"/>
              </w:rPr>
              <w:t>4m</w:t>
            </w:r>
            <w:r>
              <w:rPr>
                <w:sz w:val="21"/>
                <w:szCs w:val="21"/>
                <w:vertAlign w:val="superscript"/>
              </w:rPr>
              <w:t>2</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7</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21</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高频筛</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6m</w:t>
            </w:r>
            <w:r>
              <w:rPr>
                <w:sz w:val="21"/>
                <w:szCs w:val="21"/>
                <w:vertAlign w:val="superscript"/>
              </w:rPr>
              <w:t>2</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8</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bCs/>
                <w:sz w:val="21"/>
                <w:szCs w:val="21"/>
              </w:rPr>
            </w:pPr>
            <w:r>
              <w:rPr>
                <w:sz w:val="21"/>
                <w:szCs w:val="21"/>
              </w:rPr>
              <w:t>2</w:t>
            </w:r>
            <w:r>
              <w:rPr>
                <w:rFonts w:hint="eastAsia"/>
                <w:sz w:val="21"/>
                <w:szCs w:val="21"/>
              </w:rPr>
              <w:t>2</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打捞机</w:t>
            </w:r>
          </w:p>
        </w:tc>
        <w:tc>
          <w:tcPr>
            <w:tcW w:w="1897" w:type="dxa"/>
            <w:tcBorders>
              <w:tl2br w:val="nil"/>
              <w:tr2bl w:val="nil"/>
            </w:tcBorders>
            <w:vAlign w:val="center"/>
          </w:tcPr>
          <w:p w:rsidR="00DB7CC8" w:rsidRDefault="00DB7CC8">
            <w:pPr>
              <w:spacing w:line="240" w:lineRule="auto"/>
              <w:ind w:firstLineChars="0" w:firstLine="0"/>
              <w:jc w:val="center"/>
              <w:rPr>
                <w:sz w:val="21"/>
                <w:szCs w:val="21"/>
              </w:rPr>
            </w:pP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rFonts w:hint="eastAsia"/>
                <w:sz w:val="21"/>
                <w:szCs w:val="21"/>
              </w:rPr>
              <w:t>3</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渣浆泵</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4m</w:t>
            </w:r>
            <w:r>
              <w:rPr>
                <w:sz w:val="21"/>
                <w:szCs w:val="21"/>
                <w:vertAlign w:val="superscript"/>
              </w:rPr>
              <w:t>3</w:t>
            </w:r>
            <w:r>
              <w:rPr>
                <w:sz w:val="21"/>
                <w:szCs w:val="21"/>
              </w:rPr>
              <w:t>/h</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4</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bCs/>
                <w:sz w:val="21"/>
                <w:szCs w:val="21"/>
              </w:rPr>
            </w:pPr>
            <w:r>
              <w:rPr>
                <w:sz w:val="21"/>
                <w:szCs w:val="21"/>
              </w:rPr>
              <w:t>2</w:t>
            </w:r>
            <w:r>
              <w:rPr>
                <w:rFonts w:hint="eastAsia"/>
                <w:sz w:val="21"/>
                <w:szCs w:val="21"/>
              </w:rPr>
              <w:t>4</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渣浆泵</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6m</w:t>
            </w:r>
            <w:r>
              <w:rPr>
                <w:sz w:val="21"/>
                <w:szCs w:val="21"/>
                <w:vertAlign w:val="superscript"/>
              </w:rPr>
              <w:t>3</w:t>
            </w:r>
            <w:r>
              <w:rPr>
                <w:sz w:val="21"/>
                <w:szCs w:val="21"/>
              </w:rPr>
              <w:t>/h</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rFonts w:hint="eastAsia"/>
                <w:sz w:val="21"/>
                <w:szCs w:val="21"/>
              </w:rPr>
              <w:t>5</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渣浆泵</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3m</w:t>
            </w:r>
            <w:r>
              <w:rPr>
                <w:sz w:val="21"/>
                <w:szCs w:val="21"/>
                <w:vertAlign w:val="superscript"/>
              </w:rPr>
              <w:t>3</w:t>
            </w:r>
            <w:r>
              <w:rPr>
                <w:sz w:val="21"/>
                <w:szCs w:val="21"/>
              </w:rPr>
              <w:t>/h</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rFonts w:hint="eastAsia"/>
                <w:sz w:val="21"/>
                <w:szCs w:val="21"/>
              </w:rPr>
              <w:t>6</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水泵</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150t/h</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5</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rFonts w:hint="eastAsia"/>
                <w:sz w:val="21"/>
                <w:szCs w:val="21"/>
              </w:rPr>
              <w:t>7</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脱水筛</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1800*3600mm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bCs/>
                <w:sz w:val="21"/>
                <w:szCs w:val="21"/>
              </w:rPr>
            </w:pPr>
            <w:r>
              <w:rPr>
                <w:rFonts w:hint="eastAsia"/>
                <w:sz w:val="21"/>
                <w:szCs w:val="21"/>
              </w:rPr>
              <w:t>28</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旋流罐</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Φ5m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球磨车间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bCs/>
                <w:sz w:val="21"/>
                <w:szCs w:val="21"/>
              </w:rPr>
            </w:pPr>
            <w:r>
              <w:rPr>
                <w:sz w:val="21"/>
                <w:szCs w:val="21"/>
              </w:rPr>
              <w:t>2</w:t>
            </w:r>
            <w:r>
              <w:rPr>
                <w:rFonts w:hint="eastAsia"/>
                <w:sz w:val="21"/>
                <w:szCs w:val="21"/>
              </w:rPr>
              <w:t>9</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浓密池</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Φ10m</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厂区</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30</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尾矿泥浆压滤机</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LW500kw</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6</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板框式，压滤机房</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31</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脉冲</w:t>
            </w:r>
            <w:r>
              <w:rPr>
                <w:sz w:val="21"/>
                <w:szCs w:val="21"/>
              </w:rPr>
              <w:t>布袋除尘器</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风量</w:t>
            </w:r>
            <w:r>
              <w:rPr>
                <w:bCs/>
                <w:sz w:val="21"/>
                <w:szCs w:val="21"/>
              </w:rPr>
              <w:t>36000m</w:t>
            </w:r>
            <w:r>
              <w:rPr>
                <w:bCs/>
                <w:sz w:val="21"/>
                <w:szCs w:val="21"/>
                <w:vertAlign w:val="superscript"/>
              </w:rPr>
              <w:t>3</w:t>
            </w:r>
            <w:r>
              <w:rPr>
                <w:bCs/>
                <w:sz w:val="21"/>
                <w:szCs w:val="21"/>
              </w:rPr>
              <w:t>/h</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套</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3</w:t>
            </w:r>
            <w:r>
              <w:rPr>
                <w:rFonts w:hint="eastAsia"/>
                <w:sz w:val="21"/>
                <w:szCs w:val="21"/>
              </w:rPr>
              <w:t>2</w:t>
            </w:r>
          </w:p>
        </w:tc>
        <w:tc>
          <w:tcPr>
            <w:tcW w:w="209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脉冲布袋除尘器</w:t>
            </w:r>
          </w:p>
        </w:tc>
        <w:tc>
          <w:tcPr>
            <w:tcW w:w="18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风量</w:t>
            </w:r>
            <w:r>
              <w:rPr>
                <w:bCs/>
                <w:sz w:val="21"/>
                <w:szCs w:val="21"/>
              </w:rPr>
              <w:t>36000m</w:t>
            </w:r>
            <w:r>
              <w:rPr>
                <w:bCs/>
                <w:sz w:val="21"/>
                <w:szCs w:val="21"/>
                <w:vertAlign w:val="superscript"/>
              </w:rPr>
              <w:t>3</w:t>
            </w:r>
            <w:r>
              <w:rPr>
                <w:bCs/>
                <w:sz w:val="21"/>
                <w:szCs w:val="21"/>
              </w:rPr>
              <w:t>/h</w:t>
            </w:r>
          </w:p>
        </w:tc>
        <w:tc>
          <w:tcPr>
            <w:tcW w:w="78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套</w:t>
            </w:r>
          </w:p>
        </w:tc>
        <w:tc>
          <w:tcPr>
            <w:tcW w:w="705"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w:t>
            </w:r>
          </w:p>
        </w:tc>
        <w:tc>
          <w:tcPr>
            <w:tcW w:w="229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2#</w:t>
            </w:r>
            <w:r>
              <w:rPr>
                <w:sz w:val="21"/>
                <w:szCs w:val="21"/>
              </w:rPr>
              <w:t>破碎车间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33</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颚式破碎机（粗碎）</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75</w:t>
            </w:r>
            <w:r>
              <w:rPr>
                <w:rFonts w:eastAsiaTheme="minorEastAsia"/>
                <w:sz w:val="21"/>
                <w:szCs w:val="21"/>
              </w:rPr>
              <w:t>0*</w:t>
            </w:r>
            <w:r>
              <w:rPr>
                <w:rFonts w:eastAsiaTheme="minorEastAsia" w:hint="eastAsia"/>
                <w:sz w:val="21"/>
                <w:szCs w:val="21"/>
              </w:rPr>
              <w:t>106</w:t>
            </w:r>
            <w:r>
              <w:rPr>
                <w:rFonts w:eastAsiaTheme="minorEastAsia"/>
                <w:sz w:val="21"/>
                <w:szCs w:val="21"/>
              </w:rPr>
              <w:t>0mm</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1</w:t>
            </w:r>
          </w:p>
        </w:tc>
        <w:tc>
          <w:tcPr>
            <w:tcW w:w="2291" w:type="dxa"/>
            <w:vMerge w:val="restart"/>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3</w:t>
            </w:r>
            <w:r>
              <w:rPr>
                <w:rFonts w:eastAsiaTheme="minorEastAsia"/>
                <w:sz w:val="21"/>
                <w:szCs w:val="21"/>
              </w:rPr>
              <w:t>#</w:t>
            </w:r>
            <w:r>
              <w:rPr>
                <w:rFonts w:eastAsiaTheme="minorEastAsia"/>
                <w:sz w:val="21"/>
                <w:szCs w:val="21"/>
              </w:rPr>
              <w:t>破碎</w:t>
            </w:r>
            <w:r>
              <w:rPr>
                <w:rFonts w:eastAsiaTheme="minorEastAsia" w:hint="eastAsia"/>
                <w:sz w:val="21"/>
                <w:szCs w:val="21"/>
              </w:rPr>
              <w:t>粗选</w:t>
            </w:r>
            <w:r>
              <w:rPr>
                <w:rFonts w:eastAsiaTheme="minorEastAsia"/>
                <w:sz w:val="21"/>
                <w:szCs w:val="21"/>
              </w:rPr>
              <w:t>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34</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圆锥破碎机（细碎）</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24</w:t>
            </w:r>
            <w:r>
              <w:rPr>
                <w:rFonts w:eastAsiaTheme="minorEastAsia"/>
                <w:sz w:val="21"/>
                <w:szCs w:val="21"/>
              </w:rPr>
              <w:t>0</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35</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sz w:val="21"/>
                <w:szCs w:val="21"/>
              </w:rPr>
              <w:t>锤式破碎机</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20</w:t>
            </w:r>
            <w:r>
              <w:rPr>
                <w:rFonts w:eastAsiaTheme="minorEastAsia"/>
                <w:sz w:val="21"/>
                <w:szCs w:val="21"/>
              </w:rPr>
              <w:t>00</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36</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振动筛</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2</w:t>
            </w:r>
            <w:r>
              <w:rPr>
                <w:rFonts w:eastAsiaTheme="minorEastAsia" w:hint="eastAsia"/>
                <w:sz w:val="21"/>
                <w:szCs w:val="21"/>
              </w:rPr>
              <w:t>7</w:t>
            </w:r>
            <w:r>
              <w:rPr>
                <w:rFonts w:eastAsiaTheme="minorEastAsia"/>
                <w:sz w:val="21"/>
                <w:szCs w:val="21"/>
              </w:rPr>
              <w:t>00mm×</w:t>
            </w:r>
            <w:r>
              <w:rPr>
                <w:rFonts w:eastAsiaTheme="minorEastAsia" w:hint="eastAsia"/>
                <w:sz w:val="21"/>
                <w:szCs w:val="21"/>
              </w:rPr>
              <w:t>7</w:t>
            </w:r>
            <w:r>
              <w:rPr>
                <w:rFonts w:eastAsiaTheme="minorEastAsia"/>
                <w:sz w:val="21"/>
                <w:szCs w:val="21"/>
              </w:rPr>
              <w:t>000mm</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37</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振动</w:t>
            </w:r>
            <w:r>
              <w:rPr>
                <w:rFonts w:eastAsiaTheme="minorEastAsia"/>
                <w:sz w:val="21"/>
                <w:szCs w:val="21"/>
              </w:rPr>
              <w:t>给料机</w:t>
            </w:r>
          </w:p>
        </w:tc>
        <w:tc>
          <w:tcPr>
            <w:tcW w:w="1897" w:type="dxa"/>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38</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中转料仓</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5</w:t>
            </w:r>
            <w:r>
              <w:rPr>
                <w:rFonts w:eastAsiaTheme="minorEastAsia" w:hint="eastAsia"/>
                <w:sz w:val="21"/>
                <w:szCs w:val="21"/>
              </w:rPr>
              <w:t>×</w:t>
            </w:r>
            <w:r>
              <w:rPr>
                <w:rFonts w:eastAsiaTheme="minorEastAsia" w:hint="eastAsia"/>
                <w:sz w:val="21"/>
                <w:szCs w:val="21"/>
              </w:rPr>
              <w:t>6m</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座</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39</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圆盘</w:t>
            </w:r>
            <w:r>
              <w:rPr>
                <w:rFonts w:eastAsiaTheme="minorEastAsia"/>
                <w:sz w:val="21"/>
                <w:szCs w:val="21"/>
              </w:rPr>
              <w:t>给料机</w:t>
            </w:r>
          </w:p>
        </w:tc>
        <w:tc>
          <w:tcPr>
            <w:tcW w:w="1897" w:type="dxa"/>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40</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皮带输送机</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150</w:t>
            </w:r>
            <w:r>
              <w:rPr>
                <w:rFonts w:eastAsiaTheme="minorEastAsia"/>
                <w:sz w:val="21"/>
                <w:szCs w:val="21"/>
              </w:rPr>
              <w:t>0mm</w:t>
            </w:r>
            <w:r>
              <w:rPr>
                <w:rFonts w:eastAsiaTheme="minorEastAsia"/>
                <w:sz w:val="21"/>
                <w:szCs w:val="21"/>
              </w:rPr>
              <w:t>宽</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条</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307"/>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lastRenderedPageBreak/>
              <w:t>41</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皮带输送机</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120</w:t>
            </w:r>
            <w:r>
              <w:rPr>
                <w:rFonts w:eastAsiaTheme="minorEastAsia"/>
                <w:sz w:val="21"/>
                <w:szCs w:val="21"/>
              </w:rPr>
              <w:t>0mm</w:t>
            </w:r>
            <w:r>
              <w:rPr>
                <w:rFonts w:eastAsiaTheme="minorEastAsia"/>
                <w:sz w:val="21"/>
                <w:szCs w:val="21"/>
              </w:rPr>
              <w:t>宽</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条</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90"/>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42</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皮带输送机</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10</w:t>
            </w:r>
            <w:r>
              <w:rPr>
                <w:rFonts w:eastAsiaTheme="minorEastAsia"/>
                <w:sz w:val="21"/>
                <w:szCs w:val="21"/>
              </w:rPr>
              <w:t>00mm</w:t>
            </w:r>
            <w:r>
              <w:rPr>
                <w:rFonts w:eastAsiaTheme="minorEastAsia"/>
                <w:sz w:val="21"/>
                <w:szCs w:val="21"/>
              </w:rPr>
              <w:t>宽</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条</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43</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皮带输送机</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80</w:t>
            </w:r>
            <w:r>
              <w:rPr>
                <w:rFonts w:eastAsiaTheme="minorEastAsia"/>
                <w:sz w:val="21"/>
                <w:szCs w:val="21"/>
              </w:rPr>
              <w:t>0mm</w:t>
            </w:r>
            <w:r>
              <w:rPr>
                <w:rFonts w:eastAsiaTheme="minorEastAsia"/>
                <w:sz w:val="21"/>
                <w:szCs w:val="21"/>
              </w:rPr>
              <w:t>宽</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条</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44</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皮带输送机</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6</w:t>
            </w:r>
            <w:r>
              <w:rPr>
                <w:rFonts w:eastAsiaTheme="minorEastAsia" w:hint="eastAsia"/>
                <w:sz w:val="21"/>
                <w:szCs w:val="21"/>
              </w:rPr>
              <w:t>0</w:t>
            </w:r>
            <w:r>
              <w:rPr>
                <w:rFonts w:eastAsiaTheme="minorEastAsia"/>
                <w:sz w:val="21"/>
                <w:szCs w:val="21"/>
              </w:rPr>
              <w:t>0mm</w:t>
            </w:r>
            <w:r>
              <w:rPr>
                <w:rFonts w:eastAsiaTheme="minorEastAsia"/>
                <w:sz w:val="21"/>
                <w:szCs w:val="21"/>
              </w:rPr>
              <w:t>宽</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条</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53"/>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bCs/>
                <w:sz w:val="21"/>
                <w:szCs w:val="21"/>
              </w:rPr>
              <w:t>45</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球磨机</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21</w:t>
            </w:r>
            <w:r>
              <w:rPr>
                <w:rFonts w:eastAsiaTheme="minorEastAsia"/>
                <w:sz w:val="21"/>
                <w:szCs w:val="21"/>
              </w:rPr>
              <w:t>00×</w:t>
            </w:r>
            <w:r>
              <w:rPr>
                <w:rFonts w:eastAsiaTheme="minorEastAsia" w:hint="eastAsia"/>
                <w:sz w:val="21"/>
                <w:szCs w:val="21"/>
              </w:rPr>
              <w:t>75</w:t>
            </w:r>
            <w:r>
              <w:rPr>
                <w:rFonts w:eastAsiaTheme="minorEastAsia"/>
                <w:sz w:val="21"/>
                <w:szCs w:val="21"/>
              </w:rPr>
              <w:t>00mm</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bCs/>
                <w:sz w:val="21"/>
                <w:szCs w:val="21"/>
              </w:rPr>
            </w:pPr>
            <w:r>
              <w:rPr>
                <w:rFonts w:eastAsiaTheme="minorEastAsia" w:hint="eastAsia"/>
                <w:bCs/>
                <w:sz w:val="21"/>
                <w:szCs w:val="21"/>
              </w:rPr>
              <w:t>46</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磁选机</w:t>
            </w:r>
          </w:p>
        </w:tc>
        <w:tc>
          <w:tcPr>
            <w:tcW w:w="1897" w:type="dxa"/>
            <w:tcBorders>
              <w:tl2br w:val="nil"/>
              <w:tr2bl w:val="nil"/>
            </w:tcBorders>
            <w:vAlign w:val="bottom"/>
          </w:tcPr>
          <w:p w:rsidR="00DB7CC8" w:rsidRDefault="002B5250">
            <w:pPr>
              <w:spacing w:line="240" w:lineRule="auto"/>
              <w:ind w:firstLineChars="0" w:firstLine="0"/>
              <w:jc w:val="center"/>
              <w:rPr>
                <w:rFonts w:eastAsiaTheme="minorEastAsia"/>
                <w:sz w:val="21"/>
                <w:szCs w:val="21"/>
              </w:rPr>
            </w:pPr>
            <w:r>
              <w:rPr>
                <w:rFonts w:eastAsia="等线" w:hint="eastAsia"/>
                <w:sz w:val="22"/>
                <w:szCs w:val="22"/>
              </w:rPr>
              <w:t>1500</w:t>
            </w:r>
            <w:r>
              <w:rPr>
                <w:rFonts w:eastAsia="等线"/>
                <w:sz w:val="22"/>
                <w:szCs w:val="22"/>
              </w:rPr>
              <w:t>*</w:t>
            </w:r>
            <w:r>
              <w:rPr>
                <w:rFonts w:eastAsia="等线" w:hint="eastAsia"/>
                <w:sz w:val="22"/>
                <w:szCs w:val="22"/>
              </w:rPr>
              <w:t>45</w:t>
            </w:r>
            <w:r>
              <w:rPr>
                <w:rFonts w:eastAsia="等线"/>
                <w:sz w:val="22"/>
                <w:szCs w:val="22"/>
              </w:rPr>
              <w:t>00mm</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5</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47</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高频筛</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7</w:t>
            </w:r>
            <w:r>
              <w:rPr>
                <w:rFonts w:eastAsiaTheme="minorEastAsia"/>
                <w:sz w:val="21"/>
                <w:szCs w:val="21"/>
              </w:rPr>
              <w:t>m</w:t>
            </w:r>
            <w:r>
              <w:rPr>
                <w:rFonts w:eastAsiaTheme="minorEastAsia"/>
                <w:sz w:val="21"/>
                <w:szCs w:val="21"/>
                <w:vertAlign w:val="superscript"/>
              </w:rPr>
              <w:t>2</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8</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48</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过滤机</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15</w:t>
            </w:r>
            <w:r>
              <w:rPr>
                <w:rFonts w:eastAsiaTheme="minorEastAsia"/>
                <w:sz w:val="21"/>
                <w:szCs w:val="21"/>
              </w:rPr>
              <w:t>m</w:t>
            </w:r>
            <w:r>
              <w:rPr>
                <w:rFonts w:eastAsiaTheme="minorEastAsia"/>
                <w:sz w:val="21"/>
                <w:szCs w:val="21"/>
                <w:vertAlign w:val="superscript"/>
              </w:rPr>
              <w:t>2</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49</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打捞机</w:t>
            </w:r>
          </w:p>
        </w:tc>
        <w:tc>
          <w:tcPr>
            <w:tcW w:w="1897" w:type="dxa"/>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bCs/>
                <w:sz w:val="21"/>
                <w:szCs w:val="21"/>
              </w:rPr>
            </w:pPr>
            <w:r>
              <w:rPr>
                <w:rFonts w:eastAsiaTheme="minorEastAsia" w:hint="eastAsia"/>
                <w:sz w:val="21"/>
                <w:szCs w:val="21"/>
              </w:rPr>
              <w:t>50</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渣浆泵</w:t>
            </w:r>
          </w:p>
        </w:tc>
        <w:tc>
          <w:tcPr>
            <w:tcW w:w="1897" w:type="dxa"/>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4</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51</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水</w:t>
            </w:r>
            <w:r>
              <w:rPr>
                <w:rFonts w:eastAsiaTheme="minorEastAsia"/>
                <w:sz w:val="21"/>
                <w:szCs w:val="21"/>
              </w:rPr>
              <w:t>泵</w:t>
            </w:r>
          </w:p>
        </w:tc>
        <w:tc>
          <w:tcPr>
            <w:tcW w:w="1897" w:type="dxa"/>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2</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bCs/>
                <w:sz w:val="21"/>
                <w:szCs w:val="21"/>
              </w:rPr>
            </w:pPr>
            <w:r>
              <w:rPr>
                <w:rFonts w:eastAsiaTheme="minorEastAsia" w:hint="eastAsia"/>
                <w:sz w:val="21"/>
                <w:szCs w:val="21"/>
              </w:rPr>
              <w:t>52</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脱水筛</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1800*3600mm</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bCs/>
                <w:sz w:val="21"/>
                <w:szCs w:val="21"/>
              </w:rPr>
            </w:pPr>
            <w:r>
              <w:rPr>
                <w:rFonts w:eastAsiaTheme="minorEastAsia" w:hint="eastAsia"/>
                <w:sz w:val="21"/>
                <w:szCs w:val="21"/>
              </w:rPr>
              <w:t>53</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旋流罐</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Φ5m</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54</w:t>
            </w:r>
          </w:p>
        </w:tc>
        <w:tc>
          <w:tcPr>
            <w:tcW w:w="2099"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脉冲布袋除尘器</w:t>
            </w:r>
          </w:p>
        </w:tc>
        <w:tc>
          <w:tcPr>
            <w:tcW w:w="1897"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风量</w:t>
            </w:r>
            <w:r>
              <w:rPr>
                <w:rFonts w:eastAsiaTheme="minorEastAsia" w:hint="eastAsia"/>
                <w:bCs/>
                <w:sz w:val="21"/>
                <w:szCs w:val="21"/>
              </w:rPr>
              <w:t>50</w:t>
            </w:r>
            <w:r>
              <w:rPr>
                <w:rFonts w:eastAsiaTheme="minorEastAsia"/>
                <w:bCs/>
                <w:sz w:val="21"/>
                <w:szCs w:val="21"/>
              </w:rPr>
              <w:t>000m</w:t>
            </w:r>
            <w:r>
              <w:rPr>
                <w:rFonts w:eastAsiaTheme="minorEastAsia"/>
                <w:bCs/>
                <w:sz w:val="21"/>
                <w:szCs w:val="21"/>
                <w:vertAlign w:val="superscript"/>
              </w:rPr>
              <w:t>3</w:t>
            </w:r>
            <w:r>
              <w:rPr>
                <w:rFonts w:eastAsiaTheme="minorEastAsia"/>
                <w:bCs/>
                <w:sz w:val="21"/>
                <w:szCs w:val="21"/>
              </w:rPr>
              <w:t>/h</w:t>
            </w:r>
          </w:p>
        </w:tc>
        <w:tc>
          <w:tcPr>
            <w:tcW w:w="783"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套</w:t>
            </w:r>
          </w:p>
        </w:tc>
        <w:tc>
          <w:tcPr>
            <w:tcW w:w="70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55</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料仓</w:t>
            </w:r>
          </w:p>
        </w:tc>
        <w:tc>
          <w:tcPr>
            <w:tcW w:w="1897" w:type="dxa"/>
            <w:tcBorders>
              <w:tl2br w:val="nil"/>
              <w:tr2bl w:val="nil"/>
            </w:tcBorders>
            <w:vAlign w:val="center"/>
          </w:tcPr>
          <w:p w:rsidR="00DB7CC8" w:rsidRDefault="00DB7CC8">
            <w:pPr>
              <w:spacing w:line="240" w:lineRule="auto"/>
              <w:ind w:firstLineChars="0" w:firstLine="0"/>
              <w:jc w:val="center"/>
              <w:rPr>
                <w:rFonts w:ascii="宋体" w:hAnsi="宋体" w:cs="宋体"/>
                <w:sz w:val="21"/>
                <w:szCs w:val="21"/>
              </w:rPr>
            </w:pP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座</w:t>
            </w:r>
          </w:p>
        </w:tc>
        <w:tc>
          <w:tcPr>
            <w:tcW w:w="705" w:type="dxa"/>
            <w:tcBorders>
              <w:tl2br w:val="nil"/>
              <w:tr2bl w:val="nil"/>
            </w:tcBorders>
            <w:vAlign w:val="bottom"/>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2</w:t>
            </w:r>
          </w:p>
        </w:tc>
        <w:tc>
          <w:tcPr>
            <w:tcW w:w="2291" w:type="dxa"/>
            <w:vMerge w:val="restart"/>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精选车间</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56</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圆盘给料机</w:t>
            </w:r>
          </w:p>
        </w:tc>
        <w:tc>
          <w:tcPr>
            <w:tcW w:w="1897" w:type="dxa"/>
            <w:tcBorders>
              <w:tl2br w:val="nil"/>
              <w:tr2bl w:val="nil"/>
            </w:tcBorders>
            <w:vAlign w:val="center"/>
          </w:tcPr>
          <w:p w:rsidR="00DB7CC8" w:rsidRDefault="00DB7CC8">
            <w:pPr>
              <w:spacing w:line="240" w:lineRule="auto"/>
              <w:ind w:firstLineChars="0" w:firstLine="0"/>
              <w:jc w:val="center"/>
              <w:rPr>
                <w:rFonts w:ascii="宋体" w:hAnsi="宋体" w:cs="宋体"/>
                <w:sz w:val="21"/>
                <w:szCs w:val="21"/>
              </w:rPr>
            </w:pP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台</w:t>
            </w:r>
          </w:p>
        </w:tc>
        <w:tc>
          <w:tcPr>
            <w:tcW w:w="705" w:type="dxa"/>
            <w:tcBorders>
              <w:tl2br w:val="nil"/>
              <w:tr2bl w:val="nil"/>
            </w:tcBorders>
            <w:vAlign w:val="bottom"/>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2</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57</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球磨机</w:t>
            </w:r>
          </w:p>
        </w:tc>
        <w:tc>
          <w:tcPr>
            <w:tcW w:w="1897" w:type="dxa"/>
            <w:tcBorders>
              <w:tl2br w:val="nil"/>
              <w:tr2bl w:val="nil"/>
            </w:tcBorders>
            <w:vAlign w:val="bottom"/>
          </w:tcPr>
          <w:p w:rsidR="00DB7CC8" w:rsidRDefault="002B5250">
            <w:pPr>
              <w:spacing w:line="240" w:lineRule="auto"/>
              <w:ind w:firstLineChars="0" w:firstLine="0"/>
              <w:jc w:val="center"/>
              <w:rPr>
                <w:sz w:val="22"/>
                <w:szCs w:val="22"/>
              </w:rPr>
            </w:pPr>
            <w:r>
              <w:rPr>
                <w:rFonts w:eastAsiaTheme="minorEastAsia"/>
                <w:sz w:val="22"/>
                <w:szCs w:val="22"/>
              </w:rPr>
              <w:t>24</w:t>
            </w:r>
            <w:r>
              <w:rPr>
                <w:rFonts w:eastAsiaTheme="minorEastAsia"/>
                <w:sz w:val="22"/>
                <w:szCs w:val="22"/>
              </w:rPr>
              <w:t>00×</w:t>
            </w:r>
            <w:r>
              <w:rPr>
                <w:rFonts w:eastAsiaTheme="minorEastAsia"/>
                <w:sz w:val="22"/>
                <w:szCs w:val="22"/>
              </w:rPr>
              <w:t>100</w:t>
            </w:r>
            <w:r>
              <w:rPr>
                <w:rFonts w:eastAsiaTheme="minorEastAsia"/>
                <w:sz w:val="22"/>
                <w:szCs w:val="22"/>
              </w:rPr>
              <w:t>00mm</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台</w:t>
            </w:r>
          </w:p>
        </w:tc>
        <w:tc>
          <w:tcPr>
            <w:tcW w:w="705" w:type="dxa"/>
            <w:tcBorders>
              <w:tl2br w:val="nil"/>
              <w:tr2bl w:val="nil"/>
            </w:tcBorders>
            <w:vAlign w:val="bottom"/>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2</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58</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高频筛</w:t>
            </w:r>
          </w:p>
        </w:tc>
        <w:tc>
          <w:tcPr>
            <w:tcW w:w="1897" w:type="dxa"/>
            <w:tcBorders>
              <w:tl2br w:val="nil"/>
              <w:tr2bl w:val="nil"/>
            </w:tcBorders>
            <w:vAlign w:val="center"/>
          </w:tcPr>
          <w:p w:rsidR="00DB7CC8" w:rsidRDefault="002B5250">
            <w:pPr>
              <w:spacing w:line="240" w:lineRule="auto"/>
              <w:ind w:firstLineChars="0" w:firstLine="0"/>
              <w:jc w:val="center"/>
              <w:rPr>
                <w:sz w:val="22"/>
                <w:szCs w:val="22"/>
              </w:rPr>
            </w:pPr>
            <w:r>
              <w:rPr>
                <w:sz w:val="22"/>
                <w:szCs w:val="22"/>
              </w:rPr>
              <w:t>7</w:t>
            </w:r>
            <w:r>
              <w:rPr>
                <w:rFonts w:eastAsiaTheme="minorEastAsia"/>
                <w:sz w:val="22"/>
                <w:szCs w:val="22"/>
              </w:rPr>
              <w:t>m</w:t>
            </w:r>
            <w:r>
              <w:rPr>
                <w:rFonts w:eastAsiaTheme="minorEastAsia"/>
                <w:sz w:val="22"/>
                <w:szCs w:val="22"/>
                <w:vertAlign w:val="superscript"/>
              </w:rPr>
              <w:t>2</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台</w:t>
            </w:r>
          </w:p>
        </w:tc>
        <w:tc>
          <w:tcPr>
            <w:tcW w:w="705" w:type="dxa"/>
            <w:tcBorders>
              <w:tl2br w:val="nil"/>
              <w:tr2bl w:val="nil"/>
            </w:tcBorders>
            <w:vAlign w:val="bottom"/>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24</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59</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磁选机</w:t>
            </w:r>
          </w:p>
        </w:tc>
        <w:tc>
          <w:tcPr>
            <w:tcW w:w="1897" w:type="dxa"/>
            <w:tcBorders>
              <w:tl2br w:val="nil"/>
              <w:tr2bl w:val="nil"/>
            </w:tcBorders>
            <w:vAlign w:val="center"/>
          </w:tcPr>
          <w:p w:rsidR="00DB7CC8" w:rsidRDefault="002B5250">
            <w:pPr>
              <w:spacing w:line="240" w:lineRule="auto"/>
              <w:ind w:firstLineChars="0" w:firstLine="0"/>
              <w:jc w:val="center"/>
              <w:rPr>
                <w:sz w:val="22"/>
                <w:szCs w:val="22"/>
              </w:rPr>
            </w:pPr>
            <w:r>
              <w:rPr>
                <w:sz w:val="22"/>
                <w:szCs w:val="22"/>
              </w:rPr>
              <w:t>1.5×4.5m</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台</w:t>
            </w:r>
          </w:p>
        </w:tc>
        <w:tc>
          <w:tcPr>
            <w:tcW w:w="705" w:type="dxa"/>
            <w:tcBorders>
              <w:tl2br w:val="nil"/>
              <w:tr2bl w:val="nil"/>
            </w:tcBorders>
            <w:vAlign w:val="bottom"/>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10</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60</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磁团聚</w:t>
            </w:r>
          </w:p>
        </w:tc>
        <w:tc>
          <w:tcPr>
            <w:tcW w:w="1897" w:type="dxa"/>
            <w:tcBorders>
              <w:tl2br w:val="nil"/>
              <w:tr2bl w:val="nil"/>
            </w:tcBorders>
            <w:vAlign w:val="center"/>
          </w:tcPr>
          <w:p w:rsidR="00DB7CC8" w:rsidRDefault="002B5250">
            <w:pPr>
              <w:spacing w:line="240" w:lineRule="auto"/>
              <w:ind w:firstLineChars="0" w:firstLine="0"/>
              <w:jc w:val="center"/>
              <w:rPr>
                <w:sz w:val="22"/>
                <w:szCs w:val="22"/>
              </w:rPr>
            </w:pPr>
            <w:r>
              <w:rPr>
                <w:sz w:val="22"/>
                <w:szCs w:val="22"/>
              </w:rPr>
              <w:t>Φ2m</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台</w:t>
            </w:r>
          </w:p>
        </w:tc>
        <w:tc>
          <w:tcPr>
            <w:tcW w:w="705" w:type="dxa"/>
            <w:tcBorders>
              <w:tl2br w:val="nil"/>
              <w:tr2bl w:val="nil"/>
            </w:tcBorders>
            <w:vAlign w:val="bottom"/>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6</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61</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过滤机</w:t>
            </w:r>
          </w:p>
        </w:tc>
        <w:tc>
          <w:tcPr>
            <w:tcW w:w="1897" w:type="dxa"/>
            <w:tcBorders>
              <w:tl2br w:val="nil"/>
              <w:tr2bl w:val="nil"/>
            </w:tcBorders>
            <w:vAlign w:val="center"/>
          </w:tcPr>
          <w:p w:rsidR="00DB7CC8" w:rsidRDefault="002B5250">
            <w:pPr>
              <w:spacing w:line="240" w:lineRule="auto"/>
              <w:ind w:firstLineChars="0" w:firstLine="0"/>
              <w:jc w:val="center"/>
              <w:rPr>
                <w:sz w:val="22"/>
                <w:szCs w:val="22"/>
              </w:rPr>
            </w:pPr>
            <w:r>
              <w:rPr>
                <w:sz w:val="22"/>
                <w:szCs w:val="22"/>
              </w:rPr>
              <w:t>80</w:t>
            </w:r>
            <w:r>
              <w:rPr>
                <w:rFonts w:eastAsiaTheme="minorEastAsia"/>
                <w:sz w:val="22"/>
                <w:szCs w:val="22"/>
              </w:rPr>
              <w:t>m</w:t>
            </w:r>
            <w:r>
              <w:rPr>
                <w:rFonts w:eastAsiaTheme="minorEastAsia"/>
                <w:sz w:val="22"/>
                <w:szCs w:val="22"/>
                <w:vertAlign w:val="superscript"/>
              </w:rPr>
              <w:t>2</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台</w:t>
            </w:r>
          </w:p>
        </w:tc>
        <w:tc>
          <w:tcPr>
            <w:tcW w:w="705" w:type="dxa"/>
            <w:tcBorders>
              <w:tl2br w:val="nil"/>
              <w:tr2bl w:val="nil"/>
            </w:tcBorders>
            <w:vAlign w:val="bottom"/>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2</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62</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打捞机</w:t>
            </w:r>
          </w:p>
        </w:tc>
        <w:tc>
          <w:tcPr>
            <w:tcW w:w="1897" w:type="dxa"/>
            <w:tcBorders>
              <w:tl2br w:val="nil"/>
              <w:tr2bl w:val="nil"/>
            </w:tcBorders>
            <w:vAlign w:val="center"/>
          </w:tcPr>
          <w:p w:rsidR="00DB7CC8" w:rsidRDefault="002B5250">
            <w:pPr>
              <w:spacing w:line="240" w:lineRule="auto"/>
              <w:ind w:firstLineChars="0" w:firstLine="0"/>
              <w:jc w:val="center"/>
              <w:rPr>
                <w:sz w:val="22"/>
                <w:szCs w:val="22"/>
              </w:rPr>
            </w:pPr>
            <w:r>
              <w:rPr>
                <w:sz w:val="22"/>
                <w:szCs w:val="22"/>
              </w:rPr>
              <w:t>1×3m</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台</w:t>
            </w:r>
          </w:p>
        </w:tc>
        <w:tc>
          <w:tcPr>
            <w:tcW w:w="705" w:type="dxa"/>
            <w:tcBorders>
              <w:tl2br w:val="nil"/>
              <w:tr2bl w:val="nil"/>
            </w:tcBorders>
            <w:vAlign w:val="bottom"/>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2</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63</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皮带输送机</w:t>
            </w:r>
          </w:p>
        </w:tc>
        <w:tc>
          <w:tcPr>
            <w:tcW w:w="1897" w:type="dxa"/>
            <w:tcBorders>
              <w:tl2br w:val="nil"/>
              <w:tr2bl w:val="nil"/>
            </w:tcBorders>
            <w:vAlign w:val="center"/>
          </w:tcPr>
          <w:p w:rsidR="00DB7CC8" w:rsidRDefault="002B5250">
            <w:pPr>
              <w:spacing w:line="240" w:lineRule="auto"/>
              <w:ind w:firstLineChars="0" w:firstLine="0"/>
              <w:jc w:val="center"/>
              <w:rPr>
                <w:sz w:val="22"/>
                <w:szCs w:val="22"/>
              </w:rPr>
            </w:pPr>
            <w:r>
              <w:rPr>
                <w:sz w:val="22"/>
                <w:szCs w:val="22"/>
              </w:rPr>
              <w:t>0.8m</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条</w:t>
            </w:r>
          </w:p>
        </w:tc>
        <w:tc>
          <w:tcPr>
            <w:tcW w:w="705"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4</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64</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sz w:val="21"/>
                <w:szCs w:val="21"/>
              </w:rPr>
              <w:t>铲车</w:t>
            </w:r>
          </w:p>
        </w:tc>
        <w:tc>
          <w:tcPr>
            <w:tcW w:w="1897" w:type="dxa"/>
            <w:tcBorders>
              <w:tl2br w:val="nil"/>
              <w:tr2bl w:val="nil"/>
            </w:tcBorders>
            <w:vAlign w:val="center"/>
          </w:tcPr>
          <w:p w:rsidR="00DB7CC8" w:rsidRDefault="002B5250">
            <w:pPr>
              <w:spacing w:line="240" w:lineRule="auto"/>
              <w:ind w:firstLineChars="0" w:firstLine="0"/>
              <w:jc w:val="center"/>
              <w:rPr>
                <w:sz w:val="22"/>
                <w:szCs w:val="22"/>
              </w:rPr>
            </w:pPr>
            <w:r>
              <w:rPr>
                <w:sz w:val="21"/>
                <w:szCs w:val="21"/>
              </w:rPr>
              <w:t>50t</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sz w:val="21"/>
                <w:szCs w:val="21"/>
              </w:rPr>
              <w:t>1</w:t>
            </w:r>
          </w:p>
        </w:tc>
        <w:tc>
          <w:tcPr>
            <w:tcW w:w="2291" w:type="dxa"/>
            <w:tcBorders>
              <w:bottom w:val="single" w:sz="4" w:space="0" w:color="auto"/>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hint="eastAsia"/>
                <w:sz w:val="21"/>
                <w:szCs w:val="21"/>
              </w:rPr>
              <w:t>非道路移动机械达到国三及以上排放标准</w:t>
            </w: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65</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sz w:val="21"/>
                <w:szCs w:val="21"/>
              </w:rPr>
              <w:t>清扫车</w:t>
            </w:r>
          </w:p>
        </w:tc>
        <w:tc>
          <w:tcPr>
            <w:tcW w:w="1897" w:type="dxa"/>
            <w:tcBorders>
              <w:tl2br w:val="nil"/>
              <w:tr2bl w:val="nil"/>
            </w:tcBorders>
            <w:vAlign w:val="center"/>
          </w:tcPr>
          <w:p w:rsidR="00DB7CC8" w:rsidRDefault="002B5250">
            <w:pPr>
              <w:spacing w:line="240" w:lineRule="auto"/>
              <w:ind w:firstLineChars="0" w:firstLine="0"/>
              <w:jc w:val="center"/>
              <w:rPr>
                <w:sz w:val="22"/>
                <w:szCs w:val="22"/>
              </w:rPr>
            </w:pPr>
            <w:r>
              <w:rPr>
                <w:sz w:val="21"/>
                <w:szCs w:val="21"/>
              </w:rPr>
              <w:t>/</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sz w:val="21"/>
                <w:szCs w:val="21"/>
              </w:rPr>
              <w:t>1</w:t>
            </w:r>
          </w:p>
        </w:tc>
        <w:tc>
          <w:tcPr>
            <w:tcW w:w="2291" w:type="dxa"/>
            <w:vMerge w:val="restart"/>
            <w:tcBorders>
              <w:top w:val="single" w:sz="4" w:space="0" w:color="auto"/>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r w:rsidR="00DB7CC8">
        <w:trPr>
          <w:trHeight w:val="245"/>
          <w:tblHeader/>
          <w:jc w:val="center"/>
        </w:trPr>
        <w:tc>
          <w:tcPr>
            <w:tcW w:w="675"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66</w:t>
            </w:r>
          </w:p>
        </w:tc>
        <w:tc>
          <w:tcPr>
            <w:tcW w:w="2099"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sz w:val="21"/>
                <w:szCs w:val="21"/>
              </w:rPr>
              <w:t>洒水车</w:t>
            </w:r>
          </w:p>
        </w:tc>
        <w:tc>
          <w:tcPr>
            <w:tcW w:w="1897" w:type="dxa"/>
            <w:tcBorders>
              <w:tl2br w:val="nil"/>
              <w:tr2bl w:val="nil"/>
            </w:tcBorders>
            <w:vAlign w:val="center"/>
          </w:tcPr>
          <w:p w:rsidR="00DB7CC8" w:rsidRDefault="002B5250">
            <w:pPr>
              <w:spacing w:line="240" w:lineRule="auto"/>
              <w:ind w:firstLineChars="0" w:firstLine="0"/>
              <w:jc w:val="center"/>
              <w:rPr>
                <w:sz w:val="22"/>
                <w:szCs w:val="22"/>
              </w:rPr>
            </w:pPr>
            <w:r>
              <w:rPr>
                <w:sz w:val="21"/>
                <w:szCs w:val="21"/>
              </w:rPr>
              <w:t>/</w:t>
            </w:r>
          </w:p>
        </w:tc>
        <w:tc>
          <w:tcPr>
            <w:tcW w:w="783"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sz w:val="21"/>
                <w:szCs w:val="21"/>
              </w:rPr>
              <w:t>台</w:t>
            </w:r>
          </w:p>
        </w:tc>
        <w:tc>
          <w:tcPr>
            <w:tcW w:w="705"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sz w:val="21"/>
                <w:szCs w:val="21"/>
              </w:rPr>
              <w:t>1</w:t>
            </w:r>
          </w:p>
        </w:tc>
        <w:tc>
          <w:tcPr>
            <w:tcW w:w="2291" w:type="dxa"/>
            <w:vMerge/>
            <w:tcBorders>
              <w:tl2br w:val="nil"/>
              <w:tr2bl w:val="nil"/>
            </w:tcBorders>
            <w:vAlign w:val="center"/>
          </w:tcPr>
          <w:p w:rsidR="00DB7CC8" w:rsidRDefault="00DB7CC8">
            <w:pPr>
              <w:spacing w:line="240" w:lineRule="auto"/>
              <w:ind w:firstLineChars="0" w:firstLine="0"/>
              <w:jc w:val="center"/>
              <w:rPr>
                <w:rFonts w:eastAsiaTheme="minorEastAsia"/>
                <w:sz w:val="21"/>
                <w:szCs w:val="21"/>
              </w:rPr>
            </w:pPr>
          </w:p>
        </w:tc>
      </w:tr>
    </w:tbl>
    <w:p w:rsidR="00DB7CC8" w:rsidRDefault="002B5250">
      <w:pPr>
        <w:pStyle w:val="3"/>
        <w:numPr>
          <w:ilvl w:val="2"/>
          <w:numId w:val="1"/>
        </w:numPr>
        <w:rPr>
          <w:szCs w:val="28"/>
        </w:rPr>
      </w:pPr>
      <w:r>
        <w:rPr>
          <w:rFonts w:hint="eastAsia"/>
          <w:szCs w:val="28"/>
        </w:rPr>
        <w:t>改扩建工程完成后全厂建构筑物</w:t>
      </w:r>
    </w:p>
    <w:p w:rsidR="00DB7CC8" w:rsidRDefault="002B5250">
      <w:pPr>
        <w:pStyle w:val="233"/>
        <w:spacing w:line="360" w:lineRule="auto"/>
        <w:ind w:firstLine="480"/>
        <w:rPr>
          <w:rFonts w:cs="Times New Roman"/>
        </w:rPr>
      </w:pPr>
      <w:r>
        <w:rPr>
          <w:rFonts w:cs="Times New Roman" w:hint="eastAsia"/>
        </w:rPr>
        <w:t>改扩建工程完成后全厂建构筑物情况见表</w:t>
      </w:r>
      <w:r>
        <w:rPr>
          <w:rFonts w:cs="Times New Roman" w:hint="eastAsia"/>
        </w:rPr>
        <w:t>3.5-3</w:t>
      </w:r>
      <w:r>
        <w:rPr>
          <w:rFonts w:cs="Times New Roman" w:hint="eastAsia"/>
        </w:rPr>
        <w:t>。</w:t>
      </w:r>
    </w:p>
    <w:p w:rsidR="00DB7CC8" w:rsidRDefault="002B5250">
      <w:pPr>
        <w:widowControl/>
        <w:spacing w:line="240" w:lineRule="auto"/>
        <w:ind w:firstLineChars="0" w:firstLine="0"/>
        <w:jc w:val="center"/>
        <w:textAlignment w:val="auto"/>
        <w:rPr>
          <w:rFonts w:eastAsia="黑体"/>
          <w:sz w:val="21"/>
          <w:szCs w:val="21"/>
        </w:rPr>
      </w:pPr>
      <w:r>
        <w:rPr>
          <w:rFonts w:eastAsia="黑体"/>
          <w:sz w:val="21"/>
          <w:szCs w:val="21"/>
        </w:rPr>
        <w:t>表</w:t>
      </w:r>
      <w:r>
        <w:rPr>
          <w:rFonts w:eastAsia="黑体"/>
          <w:sz w:val="21"/>
          <w:szCs w:val="21"/>
        </w:rPr>
        <w:t>3.</w:t>
      </w:r>
      <w:r>
        <w:rPr>
          <w:rFonts w:eastAsia="黑体" w:hint="eastAsia"/>
          <w:sz w:val="21"/>
          <w:szCs w:val="21"/>
        </w:rPr>
        <w:t>5</w:t>
      </w:r>
      <w:r>
        <w:rPr>
          <w:rFonts w:eastAsia="黑体"/>
          <w:sz w:val="21"/>
          <w:szCs w:val="21"/>
        </w:rPr>
        <w:t>-3</w:t>
      </w:r>
      <w:r>
        <w:rPr>
          <w:rFonts w:eastAsia="黑体" w:hint="eastAsia"/>
          <w:sz w:val="21"/>
          <w:szCs w:val="21"/>
        </w:rPr>
        <w:t>改扩建工程完成后全厂</w:t>
      </w:r>
      <w:r>
        <w:rPr>
          <w:rFonts w:eastAsia="黑体"/>
          <w:sz w:val="21"/>
          <w:szCs w:val="21"/>
        </w:rPr>
        <w:t>主要建（构）筑物一览表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709"/>
        <w:gridCol w:w="1422"/>
        <w:gridCol w:w="1152"/>
        <w:gridCol w:w="1537"/>
        <w:gridCol w:w="2885"/>
      </w:tblGrid>
      <w:tr w:rsidR="00DB7CC8">
        <w:trPr>
          <w:trHeight w:val="283"/>
        </w:trPr>
        <w:tc>
          <w:tcPr>
            <w:tcW w:w="81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建设内容</w:t>
            </w: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序号</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名称</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建筑面积</w:t>
            </w:r>
            <w:r>
              <w:rPr>
                <w:rFonts w:eastAsiaTheme="minorEastAsia"/>
                <w:sz w:val="21"/>
                <w:szCs w:val="21"/>
              </w:rPr>
              <w:t>m</w:t>
            </w:r>
            <w:r>
              <w:rPr>
                <w:rFonts w:eastAsiaTheme="minorEastAsia"/>
                <w:sz w:val="21"/>
                <w:szCs w:val="21"/>
                <w:vertAlign w:val="superscript"/>
              </w:rPr>
              <w:t>2</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规格（长</w:t>
            </w:r>
            <w:r>
              <w:rPr>
                <w:rFonts w:eastAsiaTheme="minorEastAsia"/>
                <w:sz w:val="21"/>
                <w:szCs w:val="21"/>
              </w:rPr>
              <w:t>×</w:t>
            </w:r>
            <w:r>
              <w:rPr>
                <w:rFonts w:eastAsiaTheme="minorEastAsia"/>
                <w:sz w:val="21"/>
                <w:szCs w:val="21"/>
              </w:rPr>
              <w:t>宽</w:t>
            </w:r>
            <w:r>
              <w:rPr>
                <w:rFonts w:eastAsiaTheme="minorEastAsia"/>
                <w:sz w:val="21"/>
                <w:szCs w:val="21"/>
              </w:rPr>
              <w:t>×</w:t>
            </w:r>
            <w:r>
              <w:rPr>
                <w:rFonts w:eastAsiaTheme="minorEastAsia"/>
                <w:sz w:val="21"/>
                <w:szCs w:val="21"/>
              </w:rPr>
              <w:t>高）</w:t>
            </w:r>
            <w:r>
              <w:rPr>
                <w:rFonts w:eastAsiaTheme="minorEastAsia"/>
                <w:sz w:val="21"/>
                <w:szCs w:val="21"/>
              </w:rPr>
              <w:t>m</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备注</w:t>
            </w:r>
          </w:p>
        </w:tc>
      </w:tr>
      <w:tr w:rsidR="00DB7CC8">
        <w:trPr>
          <w:trHeight w:val="283"/>
        </w:trPr>
        <w:tc>
          <w:tcPr>
            <w:tcW w:w="817" w:type="dxa"/>
            <w:vMerge w:val="restart"/>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主体工程</w:t>
            </w: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原料</w:t>
            </w:r>
            <w:r>
              <w:rPr>
                <w:rFonts w:eastAsiaTheme="minorEastAsia" w:hint="eastAsia"/>
                <w:sz w:val="21"/>
                <w:szCs w:val="21"/>
              </w:rPr>
              <w:t>棚</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50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10</w:t>
            </w:r>
            <w:r>
              <w:rPr>
                <w:sz w:val="21"/>
                <w:szCs w:val="21"/>
              </w:rPr>
              <w:t>×</w:t>
            </w:r>
            <w:r>
              <w:rPr>
                <w:rFonts w:eastAsiaTheme="minorEastAsia" w:hint="eastAsia"/>
                <w:sz w:val="21"/>
                <w:szCs w:val="21"/>
              </w:rPr>
              <w:t>5</w:t>
            </w:r>
            <w:r>
              <w:rPr>
                <w:sz w:val="21"/>
                <w:szCs w:val="21"/>
              </w:rPr>
              <w:t>×</w:t>
            </w:r>
            <w:r>
              <w:rPr>
                <w:rFonts w:eastAsiaTheme="minorEastAsia"/>
                <w:sz w:val="21"/>
                <w:szCs w:val="21"/>
              </w:rPr>
              <w:t>13</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料棚进深尺度</w:t>
            </w:r>
            <w:r>
              <w:rPr>
                <w:rFonts w:eastAsiaTheme="minorEastAsia" w:hint="eastAsia"/>
                <w:sz w:val="21"/>
                <w:szCs w:val="21"/>
              </w:rPr>
              <w:t>10</w:t>
            </w:r>
            <w:r>
              <w:rPr>
                <w:rFonts w:eastAsiaTheme="minorEastAsia"/>
                <w:sz w:val="21"/>
                <w:szCs w:val="21"/>
              </w:rPr>
              <w:t>米</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2</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w:t>
            </w:r>
            <w:r>
              <w:rPr>
                <w:rFonts w:eastAsiaTheme="minorEastAsia"/>
                <w:sz w:val="21"/>
                <w:szCs w:val="21"/>
              </w:rPr>
              <w:t>破碎车间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100</w:t>
            </w:r>
            <w:r>
              <w:rPr>
                <w:rFonts w:eastAsiaTheme="minor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40</w:t>
            </w:r>
            <w:r>
              <w:rPr>
                <w:sz w:val="21"/>
                <w:szCs w:val="21"/>
              </w:rPr>
              <w:t>×</w:t>
            </w:r>
            <w:r>
              <w:rPr>
                <w:rFonts w:eastAsiaTheme="minorEastAsia"/>
                <w:sz w:val="21"/>
                <w:szCs w:val="21"/>
              </w:rPr>
              <w:t>2</w:t>
            </w:r>
            <w:r>
              <w:rPr>
                <w:rFonts w:eastAsiaTheme="minorEastAsia" w:hint="eastAsia"/>
                <w:sz w:val="21"/>
                <w:szCs w:val="21"/>
              </w:rPr>
              <w:t>5</w:t>
            </w:r>
            <w:r>
              <w:rPr>
                <w:sz w:val="21"/>
                <w:szCs w:val="21"/>
              </w:rPr>
              <w:t>×</w:t>
            </w:r>
            <w:r>
              <w:rPr>
                <w:rFonts w:eastAsiaTheme="minorEastAsia"/>
                <w:sz w:val="21"/>
                <w:szCs w:val="21"/>
              </w:rPr>
              <w:t>1</w:t>
            </w:r>
            <w:r>
              <w:rPr>
                <w:rFonts w:eastAsiaTheme="minorEastAsia" w:hint="eastAsia"/>
                <w:sz w:val="21"/>
                <w:szCs w:val="21"/>
              </w:rPr>
              <w:t>0</w:t>
            </w:r>
          </w:p>
        </w:tc>
        <w:tc>
          <w:tcPr>
            <w:tcW w:w="2885" w:type="dxa"/>
            <w:vMerge w:val="restart"/>
            <w:tcBorders>
              <w:tl2br w:val="nil"/>
              <w:tr2bl w:val="nil"/>
            </w:tcBorders>
            <w:vAlign w:val="center"/>
          </w:tcPr>
          <w:p w:rsidR="00DB7CC8" w:rsidRDefault="002B5250">
            <w:pPr>
              <w:widowControl/>
              <w:spacing w:line="240" w:lineRule="auto"/>
              <w:ind w:firstLineChars="0" w:firstLine="0"/>
              <w:textAlignment w:val="auto"/>
              <w:rPr>
                <w:rFonts w:eastAsiaTheme="minorEastAsia"/>
                <w:sz w:val="21"/>
                <w:szCs w:val="21"/>
              </w:rPr>
            </w:pPr>
            <w:r>
              <w:rPr>
                <w:rFonts w:eastAsiaTheme="minorEastAsia"/>
                <w:sz w:val="21"/>
                <w:szCs w:val="21"/>
              </w:rPr>
              <w:t>1.5m</w:t>
            </w:r>
            <w:r>
              <w:rPr>
                <w:rFonts w:eastAsiaTheme="minorEastAsia"/>
                <w:sz w:val="21"/>
                <w:szCs w:val="21"/>
              </w:rPr>
              <w:t>混凝土基础</w:t>
            </w:r>
            <w:r>
              <w:rPr>
                <w:rFonts w:eastAsiaTheme="minorEastAsia"/>
                <w:sz w:val="21"/>
                <w:szCs w:val="21"/>
              </w:rPr>
              <w:t>+</w:t>
            </w:r>
            <w:r>
              <w:rPr>
                <w:rFonts w:eastAsiaTheme="minorEastAsia"/>
                <w:sz w:val="21"/>
                <w:szCs w:val="21"/>
              </w:rPr>
              <w:t>单层彩钢结构，彩钢板封闭，车间地面硬化</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3</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2#</w:t>
            </w:r>
            <w:r>
              <w:rPr>
                <w:rFonts w:eastAsiaTheme="minorEastAsia"/>
                <w:sz w:val="21"/>
                <w:szCs w:val="21"/>
              </w:rPr>
              <w:t>破碎车间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120</w:t>
            </w:r>
            <w:r>
              <w:rPr>
                <w:rFonts w:eastAsiaTheme="minor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40</w:t>
            </w:r>
            <w:r>
              <w:rPr>
                <w:sz w:val="21"/>
                <w:szCs w:val="21"/>
              </w:rPr>
              <w:t>×</w:t>
            </w:r>
            <w:r>
              <w:rPr>
                <w:rFonts w:eastAsiaTheme="minorEastAsia" w:hint="eastAsia"/>
                <w:sz w:val="21"/>
                <w:szCs w:val="21"/>
              </w:rPr>
              <w:t>30</w:t>
            </w:r>
            <w:r>
              <w:rPr>
                <w:sz w:val="21"/>
                <w:szCs w:val="21"/>
              </w:rPr>
              <w:t>×</w:t>
            </w:r>
            <w:r>
              <w:rPr>
                <w:rFonts w:eastAsiaTheme="minorEastAsia"/>
                <w:sz w:val="21"/>
                <w:szCs w:val="21"/>
              </w:rPr>
              <w:t>1</w:t>
            </w:r>
            <w:r>
              <w:rPr>
                <w:rFonts w:eastAsiaTheme="minorEastAsia" w:hint="eastAsia"/>
                <w:sz w:val="21"/>
                <w:szCs w:val="21"/>
              </w:rPr>
              <w:t>0</w:t>
            </w:r>
          </w:p>
        </w:tc>
        <w:tc>
          <w:tcPr>
            <w:tcW w:w="2885"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4</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w:t>
            </w:r>
            <w:r>
              <w:rPr>
                <w:rFonts w:eastAsiaTheme="minorEastAsia"/>
                <w:sz w:val="21"/>
                <w:szCs w:val="21"/>
              </w:rPr>
              <w:t>球磨车间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120</w:t>
            </w:r>
            <w:r>
              <w:rPr>
                <w:rFonts w:eastAsiaTheme="minor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48</w:t>
            </w:r>
            <w:r>
              <w:rPr>
                <w:sz w:val="21"/>
                <w:szCs w:val="21"/>
              </w:rPr>
              <w:t>×</w:t>
            </w:r>
            <w:r>
              <w:rPr>
                <w:rFonts w:eastAsiaTheme="minorEastAsia"/>
                <w:sz w:val="21"/>
                <w:szCs w:val="21"/>
              </w:rPr>
              <w:t>2</w:t>
            </w:r>
            <w:r>
              <w:rPr>
                <w:rFonts w:eastAsiaTheme="minorEastAsia" w:hint="eastAsia"/>
                <w:sz w:val="21"/>
                <w:szCs w:val="21"/>
              </w:rPr>
              <w:t>5</w:t>
            </w:r>
            <w:r>
              <w:rPr>
                <w:sz w:val="21"/>
                <w:szCs w:val="21"/>
              </w:rPr>
              <w:t>×</w:t>
            </w:r>
            <w:r>
              <w:rPr>
                <w:rFonts w:eastAsiaTheme="minorEastAsia"/>
                <w:sz w:val="21"/>
                <w:szCs w:val="21"/>
              </w:rPr>
              <w:t>1</w:t>
            </w:r>
            <w:r>
              <w:rPr>
                <w:rFonts w:eastAsiaTheme="minorEastAsia" w:hint="eastAsia"/>
                <w:sz w:val="21"/>
                <w:szCs w:val="21"/>
              </w:rPr>
              <w:t>2</w:t>
            </w:r>
          </w:p>
        </w:tc>
        <w:tc>
          <w:tcPr>
            <w:tcW w:w="2885"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5</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w:t>
            </w:r>
            <w:r>
              <w:rPr>
                <w:rFonts w:eastAsiaTheme="minorEastAsia"/>
                <w:sz w:val="21"/>
                <w:szCs w:val="21"/>
              </w:rPr>
              <w:t>#</w:t>
            </w:r>
            <w:r>
              <w:rPr>
                <w:rFonts w:eastAsiaTheme="minorEastAsia"/>
                <w:sz w:val="21"/>
                <w:szCs w:val="21"/>
              </w:rPr>
              <w:t>球磨车间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168</w:t>
            </w:r>
            <w:r>
              <w:rPr>
                <w:rFonts w:eastAsiaTheme="minor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48</w:t>
            </w:r>
            <w:r>
              <w:rPr>
                <w:sz w:val="21"/>
                <w:szCs w:val="21"/>
              </w:rPr>
              <w:t>×</w:t>
            </w:r>
            <w:r>
              <w:rPr>
                <w:rFonts w:eastAsiaTheme="minorEastAsia" w:hint="eastAsia"/>
                <w:sz w:val="21"/>
                <w:szCs w:val="21"/>
              </w:rPr>
              <w:t>35</w:t>
            </w:r>
            <w:r>
              <w:rPr>
                <w:sz w:val="21"/>
                <w:szCs w:val="21"/>
              </w:rPr>
              <w:t>×</w:t>
            </w:r>
            <w:r>
              <w:rPr>
                <w:rFonts w:eastAsiaTheme="minorEastAsia"/>
                <w:sz w:val="21"/>
                <w:szCs w:val="21"/>
              </w:rPr>
              <w:t>1</w:t>
            </w:r>
            <w:r>
              <w:rPr>
                <w:rFonts w:eastAsiaTheme="minorEastAsia" w:hint="eastAsia"/>
                <w:sz w:val="21"/>
                <w:szCs w:val="21"/>
              </w:rPr>
              <w:t>5</w:t>
            </w:r>
          </w:p>
        </w:tc>
        <w:tc>
          <w:tcPr>
            <w:tcW w:w="2885"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6</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成品库</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120</w:t>
            </w:r>
            <w:r>
              <w:rPr>
                <w:rFonts w:eastAsiaTheme="minorEastAsia" w:hint="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4</w:t>
            </w:r>
            <w:r>
              <w:rPr>
                <w:rFonts w:eastAsiaTheme="minorEastAsia" w:hint="eastAsia"/>
                <w:sz w:val="21"/>
                <w:szCs w:val="21"/>
              </w:rPr>
              <w:t>0</w:t>
            </w:r>
            <w:r>
              <w:rPr>
                <w:sz w:val="21"/>
                <w:szCs w:val="21"/>
              </w:rPr>
              <w:t>×</w:t>
            </w:r>
            <w:r>
              <w:rPr>
                <w:rFonts w:eastAsiaTheme="minorEastAsia" w:hint="eastAsia"/>
                <w:sz w:val="21"/>
                <w:szCs w:val="21"/>
              </w:rPr>
              <w:t>30</w:t>
            </w:r>
            <w:r>
              <w:rPr>
                <w:sz w:val="21"/>
                <w:szCs w:val="21"/>
              </w:rPr>
              <w:t>×</w:t>
            </w:r>
            <w:r>
              <w:rPr>
                <w:rFonts w:eastAsiaTheme="minorEastAsia"/>
                <w:sz w:val="21"/>
                <w:szCs w:val="21"/>
              </w:rPr>
              <w:t>1</w:t>
            </w:r>
            <w:r>
              <w:rPr>
                <w:rFonts w:eastAsiaTheme="minorEastAsia" w:hint="eastAsia"/>
                <w:sz w:val="21"/>
                <w:szCs w:val="21"/>
              </w:rPr>
              <w:t>2</w:t>
            </w:r>
          </w:p>
        </w:tc>
        <w:tc>
          <w:tcPr>
            <w:tcW w:w="2885"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7</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配电室</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24</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4</w:t>
            </w:r>
            <w:r>
              <w:rPr>
                <w:sz w:val="21"/>
                <w:szCs w:val="21"/>
              </w:rPr>
              <w:t>×</w:t>
            </w:r>
            <w:r>
              <w:rPr>
                <w:rFonts w:eastAsiaTheme="minorEastAsia"/>
                <w:sz w:val="21"/>
                <w:szCs w:val="21"/>
              </w:rPr>
              <w:t>6</w:t>
            </w:r>
          </w:p>
        </w:tc>
        <w:tc>
          <w:tcPr>
            <w:tcW w:w="288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单层砖混结构</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8</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原料</w:t>
            </w:r>
            <w:r>
              <w:rPr>
                <w:rFonts w:eastAsiaTheme="minorEastAsia" w:hint="eastAsia"/>
                <w:sz w:val="21"/>
                <w:szCs w:val="21"/>
              </w:rPr>
              <w:t>棚</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50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10</w:t>
            </w:r>
            <w:r>
              <w:rPr>
                <w:sz w:val="21"/>
                <w:szCs w:val="21"/>
              </w:rPr>
              <w:t>×</w:t>
            </w:r>
            <w:r>
              <w:rPr>
                <w:rFonts w:eastAsiaTheme="minorEastAsia" w:hint="eastAsia"/>
                <w:sz w:val="21"/>
                <w:szCs w:val="21"/>
              </w:rPr>
              <w:t>5</w:t>
            </w:r>
            <w:r>
              <w:rPr>
                <w:sz w:val="21"/>
                <w:szCs w:val="21"/>
              </w:rPr>
              <w:t>×</w:t>
            </w:r>
            <w:r>
              <w:rPr>
                <w:rFonts w:eastAsiaTheme="minorEastAsia"/>
                <w:sz w:val="21"/>
                <w:szCs w:val="21"/>
              </w:rPr>
              <w:t>13</w:t>
            </w:r>
          </w:p>
        </w:tc>
        <w:tc>
          <w:tcPr>
            <w:tcW w:w="288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料棚进深尺度</w:t>
            </w:r>
            <w:r>
              <w:rPr>
                <w:rFonts w:eastAsiaTheme="minorEastAsia" w:hint="eastAsia"/>
                <w:sz w:val="21"/>
                <w:szCs w:val="21"/>
              </w:rPr>
              <w:t>10</w:t>
            </w:r>
            <w:r>
              <w:rPr>
                <w:rFonts w:eastAsiaTheme="minorEastAsia"/>
                <w:sz w:val="21"/>
                <w:szCs w:val="21"/>
              </w:rPr>
              <w:t>米</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9</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3</w:t>
            </w:r>
            <w:r>
              <w:rPr>
                <w:rFonts w:eastAsiaTheme="minorEastAsia"/>
                <w:sz w:val="21"/>
                <w:szCs w:val="21"/>
              </w:rPr>
              <w:t>#</w:t>
            </w:r>
            <w:r>
              <w:rPr>
                <w:rFonts w:eastAsiaTheme="minorEastAsia"/>
                <w:sz w:val="21"/>
                <w:szCs w:val="21"/>
              </w:rPr>
              <w:t>破碎</w:t>
            </w:r>
            <w:r>
              <w:rPr>
                <w:rFonts w:eastAsiaTheme="minorEastAsia" w:hint="eastAsia"/>
                <w:sz w:val="21"/>
                <w:szCs w:val="21"/>
              </w:rPr>
              <w:t>粗选</w:t>
            </w:r>
            <w:r>
              <w:rPr>
                <w:rFonts w:eastAsiaTheme="minorEastAsia"/>
                <w:sz w:val="21"/>
                <w:szCs w:val="21"/>
              </w:rPr>
              <w:t>车间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150</w:t>
            </w:r>
            <w:r>
              <w:rPr>
                <w:rFonts w:eastAsiaTheme="minor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60</w:t>
            </w:r>
            <w:r>
              <w:rPr>
                <w:sz w:val="21"/>
                <w:szCs w:val="21"/>
              </w:rPr>
              <w:t>×</w:t>
            </w:r>
            <w:r>
              <w:rPr>
                <w:rFonts w:eastAsiaTheme="minorEastAsia"/>
                <w:sz w:val="21"/>
                <w:szCs w:val="21"/>
              </w:rPr>
              <w:t>2</w:t>
            </w:r>
            <w:r>
              <w:rPr>
                <w:rFonts w:eastAsiaTheme="minorEastAsia" w:hint="eastAsia"/>
                <w:sz w:val="21"/>
                <w:szCs w:val="21"/>
              </w:rPr>
              <w:t>5</w:t>
            </w:r>
            <w:r>
              <w:rPr>
                <w:sz w:val="21"/>
                <w:szCs w:val="21"/>
              </w:rPr>
              <w:t>×</w:t>
            </w:r>
            <w:r>
              <w:rPr>
                <w:rFonts w:eastAsiaTheme="minorEastAsia"/>
                <w:sz w:val="21"/>
                <w:szCs w:val="21"/>
              </w:rPr>
              <w:t>1</w:t>
            </w:r>
            <w:r>
              <w:rPr>
                <w:rFonts w:eastAsiaTheme="minorEastAsia" w:hint="eastAsia"/>
                <w:sz w:val="21"/>
                <w:szCs w:val="21"/>
              </w:rPr>
              <w:t>2</w:t>
            </w:r>
          </w:p>
        </w:tc>
        <w:tc>
          <w:tcPr>
            <w:tcW w:w="2885" w:type="dxa"/>
            <w:vMerge w:val="restart"/>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1.5m</w:t>
            </w:r>
            <w:r>
              <w:rPr>
                <w:rFonts w:eastAsiaTheme="minorEastAsia"/>
                <w:sz w:val="21"/>
                <w:szCs w:val="21"/>
              </w:rPr>
              <w:t>混凝土基础</w:t>
            </w:r>
            <w:r>
              <w:rPr>
                <w:rFonts w:eastAsiaTheme="minorEastAsia"/>
                <w:sz w:val="21"/>
                <w:szCs w:val="21"/>
              </w:rPr>
              <w:t>+</w:t>
            </w:r>
            <w:r>
              <w:rPr>
                <w:rFonts w:eastAsiaTheme="minorEastAsia"/>
                <w:sz w:val="21"/>
                <w:szCs w:val="21"/>
              </w:rPr>
              <w:t>单层彩钢结构，彩钢板封闭，车间地面硬化</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10</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w:t>
            </w:r>
            <w:r>
              <w:rPr>
                <w:rFonts w:eastAsiaTheme="minorEastAsia"/>
                <w:sz w:val="21"/>
                <w:szCs w:val="21"/>
              </w:rPr>
              <w:t>#</w:t>
            </w:r>
            <w:r>
              <w:rPr>
                <w:rFonts w:eastAsiaTheme="minorEastAsia" w:hint="eastAsia"/>
                <w:sz w:val="21"/>
                <w:szCs w:val="21"/>
              </w:rPr>
              <w:t>精选</w:t>
            </w:r>
            <w:r>
              <w:rPr>
                <w:rFonts w:eastAsiaTheme="minorEastAsia"/>
                <w:sz w:val="21"/>
                <w:szCs w:val="21"/>
              </w:rPr>
              <w:t>车间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200</w:t>
            </w:r>
            <w:r>
              <w:rPr>
                <w:rFonts w:eastAsiaTheme="minor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5</w:t>
            </w:r>
            <w:r>
              <w:rPr>
                <w:rFonts w:eastAsiaTheme="minorEastAsia"/>
                <w:sz w:val="21"/>
                <w:szCs w:val="21"/>
              </w:rPr>
              <w:t>0</w:t>
            </w:r>
            <w:r>
              <w:rPr>
                <w:sz w:val="21"/>
                <w:szCs w:val="21"/>
              </w:rPr>
              <w:t>×</w:t>
            </w:r>
            <w:r>
              <w:rPr>
                <w:rFonts w:eastAsiaTheme="minorEastAsia" w:hint="eastAsia"/>
                <w:sz w:val="21"/>
                <w:szCs w:val="21"/>
              </w:rPr>
              <w:t>40</w:t>
            </w:r>
            <w:r>
              <w:rPr>
                <w:sz w:val="21"/>
                <w:szCs w:val="21"/>
              </w:rPr>
              <w:t>×</w:t>
            </w:r>
            <w:r>
              <w:rPr>
                <w:rFonts w:eastAsiaTheme="minorEastAsia"/>
                <w:sz w:val="21"/>
                <w:szCs w:val="21"/>
              </w:rPr>
              <w:t>1</w:t>
            </w:r>
            <w:r>
              <w:rPr>
                <w:rFonts w:eastAsiaTheme="minorEastAsia" w:hint="eastAsia"/>
                <w:sz w:val="21"/>
                <w:szCs w:val="21"/>
              </w:rPr>
              <w:t>2</w:t>
            </w:r>
          </w:p>
        </w:tc>
        <w:tc>
          <w:tcPr>
            <w:tcW w:w="2885" w:type="dxa"/>
            <w:vMerge/>
            <w:tcBorders>
              <w:tl2br w:val="nil"/>
              <w:tr2bl w:val="nil"/>
            </w:tcBorders>
            <w:shd w:val="clear" w:color="auto" w:fill="auto"/>
            <w:vAlign w:val="center"/>
          </w:tcPr>
          <w:p w:rsidR="00DB7CC8" w:rsidRDefault="00DB7CC8">
            <w:pPr>
              <w:widowControl/>
              <w:spacing w:line="240" w:lineRule="auto"/>
              <w:ind w:firstLineChars="0" w:firstLine="0"/>
              <w:jc w:val="center"/>
              <w:textAlignment w:val="auto"/>
              <w:rPr>
                <w:rFonts w:eastAsiaTheme="minorEastAsia"/>
                <w:sz w:val="21"/>
                <w:szCs w:val="21"/>
              </w:rPr>
            </w:pP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11</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w:t>
            </w:r>
            <w:r>
              <w:rPr>
                <w:rFonts w:eastAsiaTheme="minorEastAsia"/>
                <w:sz w:val="21"/>
                <w:szCs w:val="21"/>
              </w:rPr>
              <w:t>#</w:t>
            </w:r>
            <w:r>
              <w:rPr>
                <w:rFonts w:eastAsiaTheme="minorEastAsia" w:hint="eastAsia"/>
                <w:sz w:val="21"/>
                <w:szCs w:val="21"/>
              </w:rPr>
              <w:t>精选</w:t>
            </w:r>
            <w:r>
              <w:rPr>
                <w:rFonts w:eastAsiaTheme="minorEastAsia"/>
                <w:sz w:val="21"/>
                <w:szCs w:val="21"/>
              </w:rPr>
              <w:t>车间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200</w:t>
            </w:r>
            <w:r>
              <w:rPr>
                <w:rFonts w:eastAsiaTheme="minor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50</w:t>
            </w:r>
            <w:r>
              <w:rPr>
                <w:sz w:val="21"/>
                <w:szCs w:val="21"/>
              </w:rPr>
              <w:t>×</w:t>
            </w:r>
            <w:r>
              <w:rPr>
                <w:rFonts w:eastAsiaTheme="minorEastAsia" w:hint="eastAsia"/>
                <w:sz w:val="21"/>
                <w:szCs w:val="21"/>
              </w:rPr>
              <w:t>40</w:t>
            </w:r>
            <w:r>
              <w:rPr>
                <w:sz w:val="21"/>
                <w:szCs w:val="21"/>
              </w:rPr>
              <w:t>×</w:t>
            </w:r>
            <w:r>
              <w:rPr>
                <w:rFonts w:eastAsiaTheme="minorEastAsia"/>
                <w:sz w:val="21"/>
                <w:szCs w:val="21"/>
              </w:rPr>
              <w:t>1</w:t>
            </w:r>
            <w:r>
              <w:rPr>
                <w:rFonts w:eastAsiaTheme="minorEastAsia" w:hint="eastAsia"/>
                <w:sz w:val="21"/>
                <w:szCs w:val="21"/>
              </w:rPr>
              <w:t>2</w:t>
            </w:r>
          </w:p>
        </w:tc>
        <w:tc>
          <w:tcPr>
            <w:tcW w:w="2885" w:type="dxa"/>
            <w:vMerge/>
            <w:tcBorders>
              <w:tl2br w:val="nil"/>
              <w:tr2bl w:val="nil"/>
            </w:tcBorders>
            <w:shd w:val="clear" w:color="auto" w:fill="auto"/>
            <w:vAlign w:val="center"/>
          </w:tcPr>
          <w:p w:rsidR="00DB7CC8" w:rsidRDefault="00DB7CC8">
            <w:pPr>
              <w:widowControl/>
              <w:spacing w:line="240" w:lineRule="auto"/>
              <w:ind w:firstLineChars="0" w:firstLine="0"/>
              <w:jc w:val="center"/>
              <w:textAlignment w:val="auto"/>
              <w:rPr>
                <w:rFonts w:eastAsiaTheme="minorEastAsia"/>
                <w:sz w:val="21"/>
                <w:szCs w:val="21"/>
              </w:rPr>
            </w:pP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12</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成品库</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1000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sz w:val="21"/>
                <w:szCs w:val="21"/>
              </w:rPr>
            </w:pPr>
            <w:r>
              <w:rPr>
                <w:rFonts w:eastAsiaTheme="minorEastAsia" w:hint="eastAsia"/>
                <w:sz w:val="21"/>
                <w:szCs w:val="21"/>
              </w:rPr>
              <w:t>40</w:t>
            </w:r>
            <w:r>
              <w:rPr>
                <w:sz w:val="21"/>
                <w:szCs w:val="21"/>
              </w:rPr>
              <w:t>×</w:t>
            </w:r>
            <w:r>
              <w:rPr>
                <w:rFonts w:eastAsiaTheme="minorEastAsia" w:hint="eastAsia"/>
                <w:sz w:val="21"/>
                <w:szCs w:val="21"/>
              </w:rPr>
              <w:t>25</w:t>
            </w:r>
            <w:r>
              <w:rPr>
                <w:sz w:val="21"/>
                <w:szCs w:val="21"/>
              </w:rPr>
              <w:t>×</w:t>
            </w:r>
            <w:r>
              <w:rPr>
                <w:rFonts w:eastAsiaTheme="minorEastAsia" w:hint="eastAsia"/>
                <w:sz w:val="21"/>
                <w:szCs w:val="21"/>
              </w:rPr>
              <w:t>11</w:t>
            </w:r>
          </w:p>
        </w:tc>
        <w:tc>
          <w:tcPr>
            <w:tcW w:w="2885" w:type="dxa"/>
            <w:vMerge/>
            <w:tcBorders>
              <w:tl2br w:val="nil"/>
              <w:tr2bl w:val="nil"/>
            </w:tcBorders>
            <w:shd w:val="clear" w:color="auto" w:fill="auto"/>
            <w:vAlign w:val="center"/>
          </w:tcPr>
          <w:p w:rsidR="00DB7CC8" w:rsidRDefault="00DB7CC8">
            <w:pPr>
              <w:widowControl/>
              <w:spacing w:line="240" w:lineRule="auto"/>
              <w:ind w:firstLineChars="0" w:firstLine="0"/>
              <w:jc w:val="center"/>
              <w:textAlignment w:val="auto"/>
              <w:rPr>
                <w:rFonts w:eastAsiaTheme="minorEastAsia"/>
                <w:sz w:val="21"/>
                <w:szCs w:val="21"/>
              </w:rPr>
            </w:pPr>
          </w:p>
        </w:tc>
      </w:tr>
      <w:tr w:rsidR="00DB7CC8">
        <w:trPr>
          <w:trHeight w:val="90"/>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13</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办公室</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100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sz w:val="21"/>
                <w:szCs w:val="21"/>
              </w:rPr>
            </w:pPr>
            <w:r>
              <w:rPr>
                <w:rFonts w:eastAsiaTheme="minorEastAsia"/>
                <w:sz w:val="21"/>
                <w:szCs w:val="21"/>
              </w:rPr>
              <w:t>20</w:t>
            </w:r>
            <w:r>
              <w:rPr>
                <w:sz w:val="21"/>
                <w:szCs w:val="21"/>
              </w:rPr>
              <w:t>×</w:t>
            </w:r>
            <w:r>
              <w:rPr>
                <w:rFonts w:eastAsiaTheme="minorEastAsia" w:hint="eastAsia"/>
                <w:sz w:val="21"/>
                <w:szCs w:val="21"/>
              </w:rPr>
              <w:t>5</w:t>
            </w:r>
          </w:p>
        </w:tc>
        <w:tc>
          <w:tcPr>
            <w:tcW w:w="288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单层砖混结构</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14</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危废暂存间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6</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sz w:val="21"/>
                <w:szCs w:val="21"/>
              </w:rPr>
            </w:pPr>
            <w:r>
              <w:rPr>
                <w:rFonts w:eastAsiaTheme="minorEastAsia"/>
                <w:sz w:val="21"/>
                <w:szCs w:val="21"/>
              </w:rPr>
              <w:t>3</w:t>
            </w:r>
            <w:r>
              <w:rPr>
                <w:sz w:val="21"/>
                <w:szCs w:val="21"/>
              </w:rPr>
              <w:t>×</w:t>
            </w:r>
            <w:r>
              <w:rPr>
                <w:rFonts w:eastAsiaTheme="minorEastAsia" w:hint="eastAsia"/>
                <w:sz w:val="21"/>
                <w:szCs w:val="21"/>
              </w:rPr>
              <w:t>2</w:t>
            </w:r>
          </w:p>
        </w:tc>
        <w:tc>
          <w:tcPr>
            <w:tcW w:w="288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单层砖混结构，地面防渗</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w:t>
            </w:r>
            <w:r>
              <w:rPr>
                <w:rFonts w:eastAsiaTheme="minorEastAsia"/>
                <w:sz w:val="21"/>
                <w:szCs w:val="21"/>
              </w:rPr>
              <w:t>5</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尾矿压滤间</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60</w:t>
            </w:r>
            <w:r>
              <w:rPr>
                <w:rFonts w:eastAsiaTheme="minorEastAsia"/>
                <w:sz w:val="21"/>
                <w:szCs w:val="21"/>
              </w:rPr>
              <w:t>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sz w:val="21"/>
                <w:szCs w:val="21"/>
              </w:rPr>
            </w:pPr>
            <w:r>
              <w:rPr>
                <w:rFonts w:eastAsiaTheme="minorEastAsia" w:hint="eastAsia"/>
                <w:sz w:val="21"/>
                <w:szCs w:val="21"/>
              </w:rPr>
              <w:t>3</w:t>
            </w:r>
            <w:r>
              <w:rPr>
                <w:rFonts w:eastAsiaTheme="minorEastAsia"/>
                <w:sz w:val="21"/>
                <w:szCs w:val="21"/>
              </w:rPr>
              <w:t>0</w:t>
            </w:r>
            <w:r>
              <w:rPr>
                <w:sz w:val="21"/>
                <w:szCs w:val="21"/>
              </w:rPr>
              <w:t>×</w:t>
            </w:r>
            <w:r>
              <w:rPr>
                <w:rFonts w:eastAsiaTheme="minorEastAsia" w:hint="eastAsia"/>
                <w:sz w:val="21"/>
                <w:szCs w:val="21"/>
              </w:rPr>
              <w:t>20</w:t>
            </w:r>
            <w:r>
              <w:rPr>
                <w:sz w:val="21"/>
                <w:szCs w:val="21"/>
              </w:rPr>
              <w:t>×</w:t>
            </w:r>
            <w:r>
              <w:rPr>
                <w:rFonts w:eastAsiaTheme="minorEastAsia" w:hint="eastAsia"/>
                <w:sz w:val="21"/>
                <w:szCs w:val="21"/>
              </w:rPr>
              <w:t>10</w:t>
            </w:r>
          </w:p>
        </w:tc>
        <w:tc>
          <w:tcPr>
            <w:tcW w:w="288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单层砖混结构，地面硬化</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w:t>
            </w:r>
            <w:r>
              <w:rPr>
                <w:rFonts w:eastAsiaTheme="minorEastAsia"/>
                <w:sz w:val="21"/>
                <w:szCs w:val="21"/>
              </w:rPr>
              <w:t>6</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砂石库</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200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20</w:t>
            </w:r>
            <w:r>
              <w:rPr>
                <w:sz w:val="21"/>
                <w:szCs w:val="21"/>
              </w:rPr>
              <w:t>×</w:t>
            </w:r>
            <w:r>
              <w:rPr>
                <w:rFonts w:eastAsiaTheme="minorEastAsia"/>
                <w:sz w:val="21"/>
                <w:szCs w:val="21"/>
              </w:rPr>
              <w:t>1</w:t>
            </w:r>
            <w:r>
              <w:rPr>
                <w:rFonts w:eastAsiaTheme="minorEastAsia" w:hint="eastAsia"/>
                <w:sz w:val="21"/>
                <w:szCs w:val="21"/>
              </w:rPr>
              <w:t>0</w:t>
            </w:r>
            <w:r>
              <w:rPr>
                <w:sz w:val="21"/>
                <w:szCs w:val="21"/>
              </w:rPr>
              <w:t>×12</w:t>
            </w:r>
          </w:p>
        </w:tc>
        <w:tc>
          <w:tcPr>
            <w:tcW w:w="288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单层砖混结构，地面防渗</w:t>
            </w:r>
          </w:p>
        </w:tc>
      </w:tr>
      <w:tr w:rsidR="00DB7CC8">
        <w:trPr>
          <w:trHeight w:val="324"/>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highlight w:val="green"/>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17</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尾砂库</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20</w:t>
            </w:r>
            <w:r>
              <w:rPr>
                <w:rFonts w:eastAsiaTheme="minorEastAsia" w:hint="eastAsia"/>
                <w:sz w:val="21"/>
                <w:szCs w:val="21"/>
              </w:rPr>
              <w:t>00</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10</w:t>
            </w:r>
            <w:r>
              <w:rPr>
                <w:rFonts w:eastAsiaTheme="minorEastAsia"/>
                <w:sz w:val="21"/>
                <w:szCs w:val="21"/>
              </w:rPr>
              <w:t>0</w:t>
            </w:r>
            <w:r>
              <w:rPr>
                <w:sz w:val="21"/>
                <w:szCs w:val="21"/>
              </w:rPr>
              <w:t>×</w:t>
            </w:r>
            <w:r>
              <w:rPr>
                <w:rFonts w:hint="eastAsia"/>
                <w:sz w:val="21"/>
                <w:szCs w:val="21"/>
              </w:rPr>
              <w:t>20</w:t>
            </w:r>
            <w:r>
              <w:rPr>
                <w:sz w:val="21"/>
                <w:szCs w:val="21"/>
              </w:rPr>
              <w:t>×</w:t>
            </w:r>
            <w:r>
              <w:rPr>
                <w:rFonts w:eastAsiaTheme="minorEastAsia"/>
                <w:sz w:val="21"/>
                <w:szCs w:val="21"/>
              </w:rPr>
              <w:t>1</w:t>
            </w:r>
            <w:r>
              <w:rPr>
                <w:rFonts w:eastAsiaTheme="minorEastAsia" w:hint="eastAsia"/>
                <w:sz w:val="21"/>
                <w:szCs w:val="21"/>
              </w:rPr>
              <w:t>0</w:t>
            </w:r>
          </w:p>
        </w:tc>
        <w:tc>
          <w:tcPr>
            <w:tcW w:w="288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单层砖混结构，地面防渗</w:t>
            </w:r>
          </w:p>
        </w:tc>
      </w:tr>
      <w:tr w:rsidR="00DB7CC8">
        <w:trPr>
          <w:trHeight w:val="283"/>
        </w:trPr>
        <w:tc>
          <w:tcPr>
            <w:tcW w:w="817" w:type="dxa"/>
            <w:vMerge w:val="restart"/>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环保工程</w:t>
            </w: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18</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清水回用池</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80m</w:t>
            </w:r>
            <w:r>
              <w:rPr>
                <w:rFonts w:eastAsiaTheme="minorEastAsia"/>
                <w:sz w:val="21"/>
                <w:szCs w:val="21"/>
                <w:vertAlign w:val="superscript"/>
              </w:rPr>
              <w:t>3</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地上</w:t>
            </w:r>
            <w:r>
              <w:rPr>
                <w:rFonts w:eastAsiaTheme="minorEastAsia" w:hint="eastAsia"/>
                <w:sz w:val="21"/>
                <w:szCs w:val="21"/>
              </w:rPr>
              <w:t>，</w:t>
            </w:r>
            <w:r>
              <w:rPr>
                <w:rFonts w:eastAsiaTheme="minorEastAsia" w:hint="eastAsia"/>
                <w:sz w:val="21"/>
                <w:szCs w:val="21"/>
              </w:rPr>
              <w:t>10</w:t>
            </w:r>
            <w:r>
              <w:rPr>
                <w:rFonts w:eastAsiaTheme="minorEastAsia"/>
                <w:sz w:val="21"/>
                <w:szCs w:val="21"/>
              </w:rPr>
              <w:t>×4×2m</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地上钢制，下设混凝土基础</w:t>
            </w:r>
          </w:p>
        </w:tc>
      </w:tr>
      <w:tr w:rsidR="00DB7CC8">
        <w:trPr>
          <w:trHeight w:val="283"/>
        </w:trPr>
        <w:tc>
          <w:tcPr>
            <w:tcW w:w="817" w:type="dxa"/>
            <w:vMerge/>
            <w:tcBorders>
              <w:tl2br w:val="nil"/>
              <w:tr2bl w:val="nil"/>
            </w:tcBorders>
            <w:shd w:val="clear" w:color="auto" w:fill="auto"/>
            <w:noWrap/>
            <w:vAlign w:val="center"/>
          </w:tcPr>
          <w:p w:rsidR="00DB7CC8" w:rsidRDefault="00DB7CC8">
            <w:pPr>
              <w:widowControl/>
              <w:spacing w:line="240" w:lineRule="auto"/>
              <w:ind w:firstLineChars="0" w:firstLine="0"/>
              <w:jc w:val="center"/>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19</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浓密池</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3600</w:t>
            </w:r>
            <w:r>
              <w:rPr>
                <w:rFonts w:eastAsiaTheme="minorEastAsia" w:hint="eastAsia"/>
                <w:sz w:val="21"/>
                <w:szCs w:val="21"/>
              </w:rPr>
              <w:t>m</w:t>
            </w:r>
            <w:r>
              <w:rPr>
                <w:rFonts w:eastAsiaTheme="minorEastAsia" w:hint="eastAsia"/>
                <w:sz w:val="21"/>
                <w:szCs w:val="21"/>
                <w:vertAlign w:val="superscript"/>
              </w:rPr>
              <w:t>3</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地上，</w:t>
            </w:r>
            <w:r>
              <w:rPr>
                <w:rFonts w:eastAsiaTheme="minorEastAsia"/>
                <w:sz w:val="21"/>
                <w:szCs w:val="21"/>
              </w:rPr>
              <w:t>Φ</w:t>
            </w:r>
            <w:r>
              <w:rPr>
                <w:rFonts w:eastAsiaTheme="minorEastAsia" w:hint="eastAsia"/>
                <w:sz w:val="21"/>
                <w:szCs w:val="21"/>
              </w:rPr>
              <w:t>3</w:t>
            </w:r>
            <w:r>
              <w:rPr>
                <w:rFonts w:eastAsiaTheme="minorEastAsia"/>
                <w:sz w:val="21"/>
                <w:szCs w:val="21"/>
              </w:rPr>
              <w:t>0m</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地上钢制</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20</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事故水池</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25m</w:t>
            </w:r>
            <w:r>
              <w:rPr>
                <w:rFonts w:eastAsiaTheme="minorEastAsia"/>
                <w:sz w:val="21"/>
                <w:szCs w:val="21"/>
                <w:vertAlign w:val="superscript"/>
              </w:rPr>
              <w:t>3</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5</w:t>
            </w:r>
            <w:r>
              <w:rPr>
                <w:sz w:val="21"/>
                <w:szCs w:val="21"/>
              </w:rPr>
              <w:t>×</w:t>
            </w:r>
            <w:r>
              <w:rPr>
                <w:rFonts w:eastAsiaTheme="minorEastAsia"/>
                <w:sz w:val="21"/>
                <w:szCs w:val="21"/>
              </w:rPr>
              <w:t>5</w:t>
            </w:r>
            <w:r>
              <w:rPr>
                <w:sz w:val="21"/>
                <w:szCs w:val="21"/>
              </w:rPr>
              <w:t>×</w:t>
            </w:r>
            <w:r>
              <w:rPr>
                <w:rFonts w:eastAsiaTheme="minorEastAsia"/>
                <w:sz w:val="21"/>
                <w:szCs w:val="21"/>
              </w:rPr>
              <w:t>1m</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3</w:t>
            </w:r>
            <w:r>
              <w:rPr>
                <w:rFonts w:eastAsiaTheme="minorEastAsia" w:hint="eastAsia"/>
                <w:sz w:val="21"/>
                <w:szCs w:val="21"/>
              </w:rPr>
              <w:t>座，</w:t>
            </w:r>
            <w:r>
              <w:rPr>
                <w:rFonts w:eastAsiaTheme="minorEastAsia"/>
                <w:sz w:val="21"/>
                <w:szCs w:val="21"/>
              </w:rPr>
              <w:t>混凝土结构</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21</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洗车平台</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112</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sz w:val="21"/>
                <w:szCs w:val="21"/>
              </w:rPr>
              <w:t>8m×3.5m</w:t>
            </w:r>
          </w:p>
        </w:tc>
        <w:tc>
          <w:tcPr>
            <w:tcW w:w="2885" w:type="dxa"/>
            <w:tcBorders>
              <w:tl2br w:val="nil"/>
              <w:tr2bl w:val="nil"/>
            </w:tcBorders>
            <w:shd w:val="clear" w:color="auto" w:fill="auto"/>
            <w:noWrap/>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4</w:t>
            </w:r>
            <w:r>
              <w:rPr>
                <w:rFonts w:eastAsiaTheme="minorEastAsia" w:hint="eastAsia"/>
                <w:sz w:val="21"/>
                <w:szCs w:val="21"/>
              </w:rPr>
              <w:t>套，</w:t>
            </w:r>
            <w:r>
              <w:rPr>
                <w:rFonts w:eastAsiaTheme="minorEastAsia"/>
                <w:sz w:val="21"/>
                <w:szCs w:val="21"/>
              </w:rPr>
              <w:t>混凝土结构</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22</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轮胎冲洗</w:t>
            </w:r>
          </w:p>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装置</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112</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sz w:val="21"/>
                <w:szCs w:val="21"/>
              </w:rPr>
              <w:t>8m×3.5m</w:t>
            </w:r>
          </w:p>
        </w:tc>
        <w:tc>
          <w:tcPr>
            <w:tcW w:w="2885"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1</w:t>
            </w:r>
            <w:r>
              <w:rPr>
                <w:rFonts w:eastAsiaTheme="minorEastAsia" w:hint="eastAsia"/>
                <w:sz w:val="21"/>
                <w:szCs w:val="21"/>
              </w:rPr>
              <w:t>套，</w:t>
            </w:r>
            <w:r>
              <w:rPr>
                <w:rFonts w:eastAsiaTheme="minorEastAsia"/>
                <w:sz w:val="21"/>
                <w:szCs w:val="21"/>
              </w:rPr>
              <w:t>混凝土结构</w:t>
            </w:r>
          </w:p>
        </w:tc>
      </w:tr>
      <w:tr w:rsidR="00DB7CC8">
        <w:trPr>
          <w:trHeight w:val="283"/>
        </w:trPr>
        <w:tc>
          <w:tcPr>
            <w:tcW w:w="817" w:type="dxa"/>
            <w:vMerge/>
            <w:tcBorders>
              <w:tl2br w:val="nil"/>
              <w:tr2bl w:val="nil"/>
            </w:tcBorders>
            <w:vAlign w:val="center"/>
          </w:tcPr>
          <w:p w:rsidR="00DB7CC8" w:rsidRDefault="00DB7CC8">
            <w:pPr>
              <w:widowControl/>
              <w:spacing w:line="240" w:lineRule="auto"/>
              <w:ind w:firstLineChars="0" w:firstLine="0"/>
              <w:textAlignment w:val="auto"/>
              <w:rPr>
                <w:rFonts w:eastAsiaTheme="minorEastAsia"/>
                <w:sz w:val="21"/>
                <w:szCs w:val="21"/>
              </w:rPr>
            </w:pPr>
          </w:p>
        </w:tc>
        <w:tc>
          <w:tcPr>
            <w:tcW w:w="709"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23</w:t>
            </w:r>
          </w:p>
        </w:tc>
        <w:tc>
          <w:tcPr>
            <w:tcW w:w="142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洗车沉淀池</w:t>
            </w:r>
          </w:p>
        </w:tc>
        <w:tc>
          <w:tcPr>
            <w:tcW w:w="1152"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6 m</w:t>
            </w:r>
            <w:r>
              <w:rPr>
                <w:rFonts w:eastAsiaTheme="minorEastAsia"/>
                <w:sz w:val="21"/>
                <w:szCs w:val="21"/>
                <w:vertAlign w:val="superscript"/>
              </w:rPr>
              <w:t>3</w:t>
            </w:r>
          </w:p>
        </w:tc>
        <w:tc>
          <w:tcPr>
            <w:tcW w:w="1537" w:type="dxa"/>
            <w:tcBorders>
              <w:tl2br w:val="nil"/>
              <w:tr2bl w:val="nil"/>
            </w:tcBorders>
            <w:shd w:val="clear" w:color="auto" w:fill="auto"/>
            <w:noWrap/>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sz w:val="21"/>
                <w:szCs w:val="21"/>
              </w:rPr>
              <w:t>地下</w:t>
            </w:r>
            <w:r>
              <w:rPr>
                <w:rFonts w:eastAsiaTheme="minorEastAsia" w:hint="eastAsia"/>
                <w:sz w:val="21"/>
                <w:szCs w:val="21"/>
              </w:rPr>
              <w:t>，</w:t>
            </w:r>
            <w:r>
              <w:rPr>
                <w:rFonts w:eastAsiaTheme="minorEastAsia"/>
                <w:sz w:val="21"/>
                <w:szCs w:val="21"/>
              </w:rPr>
              <w:t>2×3×1m</w:t>
            </w:r>
          </w:p>
        </w:tc>
        <w:tc>
          <w:tcPr>
            <w:tcW w:w="2885" w:type="dxa"/>
            <w:tcBorders>
              <w:tl2br w:val="nil"/>
              <w:tr2bl w:val="nil"/>
            </w:tcBorders>
            <w:shd w:val="clear" w:color="auto" w:fill="auto"/>
            <w:vAlign w:val="center"/>
          </w:tcPr>
          <w:p w:rsidR="00DB7CC8" w:rsidRDefault="002B5250">
            <w:pPr>
              <w:widowControl/>
              <w:spacing w:line="240" w:lineRule="auto"/>
              <w:ind w:firstLineChars="0" w:firstLine="0"/>
              <w:jc w:val="center"/>
              <w:textAlignment w:val="auto"/>
              <w:rPr>
                <w:rFonts w:eastAsiaTheme="minorEastAsia"/>
                <w:sz w:val="21"/>
                <w:szCs w:val="21"/>
              </w:rPr>
            </w:pPr>
            <w:r>
              <w:rPr>
                <w:rFonts w:eastAsiaTheme="minorEastAsia" w:hint="eastAsia"/>
                <w:sz w:val="21"/>
                <w:szCs w:val="21"/>
              </w:rPr>
              <w:t>5</w:t>
            </w:r>
            <w:r>
              <w:rPr>
                <w:rFonts w:eastAsiaTheme="minorEastAsia" w:hint="eastAsia"/>
                <w:sz w:val="21"/>
                <w:szCs w:val="21"/>
              </w:rPr>
              <w:t>套，</w:t>
            </w:r>
            <w:r>
              <w:rPr>
                <w:rFonts w:eastAsiaTheme="minorEastAsia"/>
                <w:sz w:val="21"/>
                <w:szCs w:val="21"/>
              </w:rPr>
              <w:t>混凝土结构，池底及四周防渗</w:t>
            </w:r>
          </w:p>
        </w:tc>
      </w:tr>
    </w:tbl>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r>
        <w:rPr>
          <w:rFonts w:ascii="Times New Roman" w:eastAsia="宋体" w:hAnsi="Times New Roman"/>
          <w:bCs w:val="0"/>
          <w:snapToGrid w:val="0"/>
          <w:kern w:val="0"/>
          <w:sz w:val="28"/>
          <w:szCs w:val="28"/>
        </w:rPr>
        <w:t>清洁生产分析</w:t>
      </w:r>
    </w:p>
    <w:p w:rsidR="00DB7CC8" w:rsidRDefault="002B5250">
      <w:pPr>
        <w:pStyle w:val="233"/>
        <w:spacing w:line="360" w:lineRule="auto"/>
        <w:ind w:firstLine="480"/>
        <w:rPr>
          <w:rFonts w:cs="Times New Roman"/>
        </w:rPr>
      </w:pPr>
      <w:r>
        <w:rPr>
          <w:rFonts w:cs="Times New Roman"/>
        </w:rPr>
        <w:t>清洁生产通常是指产品在生产过程和预期消费中，既合理利用自然资源，把对人类和环境的危害降至最小，又能充分满足人类需要，使社会经济效益最大化的一种生产模式。其内涵为：</w:t>
      </w:r>
    </w:p>
    <w:p w:rsidR="00DB7CC8" w:rsidRDefault="002B5250">
      <w:pPr>
        <w:pStyle w:val="233"/>
        <w:widowControl w:val="0"/>
        <w:spacing w:line="360" w:lineRule="auto"/>
        <w:ind w:firstLine="480"/>
        <w:rPr>
          <w:rFonts w:cs="Times New Roman"/>
        </w:rPr>
      </w:pPr>
      <w:r>
        <w:rPr>
          <w:rFonts w:cs="Times New Roman"/>
        </w:rPr>
        <w:t>（</w:t>
      </w:r>
      <w:r>
        <w:rPr>
          <w:rFonts w:cs="Times New Roman"/>
        </w:rPr>
        <w:t>1</w:t>
      </w:r>
      <w:r>
        <w:rPr>
          <w:rFonts w:cs="Times New Roman"/>
        </w:rPr>
        <w:t>）自然资源和能源利用的合理化：突出的反映在节约能源，节约原材料，利用无毒无害原材料，循环利用物料等；</w:t>
      </w:r>
    </w:p>
    <w:p w:rsidR="00DB7CC8" w:rsidRDefault="002B5250">
      <w:pPr>
        <w:pStyle w:val="233"/>
        <w:widowControl w:val="0"/>
        <w:spacing w:line="360" w:lineRule="auto"/>
        <w:ind w:firstLine="480"/>
        <w:rPr>
          <w:rFonts w:cs="Times New Roman"/>
        </w:rPr>
      </w:pPr>
      <w:r>
        <w:rPr>
          <w:rFonts w:cs="Times New Roman"/>
        </w:rPr>
        <w:t>（</w:t>
      </w:r>
      <w:r>
        <w:rPr>
          <w:rFonts w:cs="Times New Roman"/>
        </w:rPr>
        <w:t>2</w:t>
      </w:r>
      <w:r>
        <w:rPr>
          <w:rFonts w:cs="Times New Roman"/>
        </w:rPr>
        <w:t>）经济效益最大化：反应在不断提高生产效率，降低生产成本，增加产品和服务的附加值。要实现经济效益最大化，必须采用高效生产技术和工艺，提高产品质量，降低物耗和能源消耗；</w:t>
      </w:r>
    </w:p>
    <w:p w:rsidR="00DB7CC8" w:rsidRDefault="002B5250">
      <w:pPr>
        <w:pStyle w:val="233"/>
        <w:widowControl w:val="0"/>
        <w:spacing w:line="360" w:lineRule="auto"/>
        <w:ind w:firstLine="480"/>
        <w:rPr>
          <w:rFonts w:cs="Times New Roman"/>
        </w:rPr>
      </w:pPr>
      <w:r>
        <w:rPr>
          <w:rFonts w:cs="Times New Roman"/>
        </w:rPr>
        <w:t>（</w:t>
      </w:r>
      <w:r>
        <w:rPr>
          <w:rFonts w:cs="Times New Roman"/>
        </w:rPr>
        <w:t>3</w:t>
      </w:r>
      <w:r>
        <w:rPr>
          <w:rFonts w:cs="Times New Roman"/>
        </w:rPr>
        <w:t>）对人类和环境危害最小化：即把生产活动对环境负面影响降低到最小。为此，企业生产应减小有毒有害物料的使用、采用少废无废生产技术和工艺、使用可回收物料、合理利用产品功能、延长产品寿命，以实现经济效益和环境效益的和谐统一。</w:t>
      </w:r>
    </w:p>
    <w:p w:rsidR="00DB7CC8" w:rsidRDefault="002B5250">
      <w:pPr>
        <w:pStyle w:val="3"/>
        <w:numPr>
          <w:ilvl w:val="2"/>
          <w:numId w:val="1"/>
        </w:numPr>
        <w:rPr>
          <w:szCs w:val="28"/>
        </w:rPr>
      </w:pPr>
      <w:r>
        <w:rPr>
          <w:szCs w:val="28"/>
        </w:rPr>
        <w:t>清洁生产水平控制</w:t>
      </w:r>
    </w:p>
    <w:p w:rsidR="00DB7CC8" w:rsidRDefault="002B5250">
      <w:pPr>
        <w:pStyle w:val="233"/>
        <w:widowControl w:val="0"/>
        <w:spacing w:line="360" w:lineRule="auto"/>
        <w:ind w:firstLine="480"/>
        <w:rPr>
          <w:rFonts w:cs="Times New Roman"/>
        </w:rPr>
      </w:pPr>
      <w:r>
        <w:rPr>
          <w:rFonts w:cs="Times New Roman"/>
        </w:rPr>
        <w:t>根据《清洁生产标准铁矿采选行业》（</w:t>
      </w:r>
      <w:r>
        <w:rPr>
          <w:rFonts w:cs="Times New Roman"/>
        </w:rPr>
        <w:t>HJ/T294-2006</w:t>
      </w:r>
      <w:r>
        <w:rPr>
          <w:rFonts w:cs="Times New Roman"/>
        </w:rPr>
        <w:t>），按照清洁生产的一般要求，同时考虑到铁矿采</w:t>
      </w:r>
      <w:r>
        <w:rPr>
          <w:rFonts w:cs="Times New Roman"/>
        </w:rPr>
        <w:t>选行业的特点，从装备要求、资源能源利用指标、污染物产量指标、废物回收利用指标和环境管理要求</w:t>
      </w:r>
      <w:r>
        <w:rPr>
          <w:rFonts w:cs="Times New Roman"/>
        </w:rPr>
        <w:t>5</w:t>
      </w:r>
      <w:r>
        <w:rPr>
          <w:rFonts w:cs="Times New Roman"/>
        </w:rPr>
        <w:t>个指标分析论证项目清洁生产水平。</w:t>
      </w:r>
    </w:p>
    <w:p w:rsidR="00DB7CC8" w:rsidRDefault="002B5250">
      <w:pPr>
        <w:pStyle w:val="3"/>
        <w:numPr>
          <w:ilvl w:val="2"/>
          <w:numId w:val="1"/>
        </w:numPr>
        <w:rPr>
          <w:szCs w:val="28"/>
        </w:rPr>
      </w:pPr>
      <w:r>
        <w:rPr>
          <w:szCs w:val="28"/>
        </w:rPr>
        <w:t>与行业清洁生产标准对比分析</w:t>
      </w:r>
    </w:p>
    <w:p w:rsidR="00DB7CC8" w:rsidRDefault="002B5250">
      <w:pPr>
        <w:pStyle w:val="233"/>
        <w:widowControl w:val="0"/>
        <w:spacing w:line="360" w:lineRule="auto"/>
        <w:ind w:firstLine="480"/>
        <w:rPr>
          <w:rFonts w:cs="Times New Roman"/>
        </w:rPr>
      </w:pPr>
      <w:r>
        <w:rPr>
          <w:rFonts w:cs="Times New Roman"/>
        </w:rPr>
        <w:t>本项目与《清洁生产标准铁矿采选业》（</w:t>
      </w:r>
      <w:r>
        <w:rPr>
          <w:rFonts w:cs="Times New Roman"/>
        </w:rPr>
        <w:t>HJ/T294-2006</w:t>
      </w:r>
      <w:r>
        <w:rPr>
          <w:rFonts w:cs="Times New Roman"/>
        </w:rPr>
        <w:t>）进行对比分析，结果见表</w:t>
      </w:r>
      <w:r>
        <w:rPr>
          <w:rFonts w:cs="Times New Roman"/>
        </w:rPr>
        <w:t>3.</w:t>
      </w:r>
      <w:r>
        <w:rPr>
          <w:rFonts w:cs="Times New Roman" w:hint="eastAsia"/>
        </w:rPr>
        <w:t>6</w:t>
      </w:r>
      <w:r>
        <w:rPr>
          <w:rFonts w:cs="Times New Roman"/>
        </w:rPr>
        <w:t>-1</w:t>
      </w:r>
      <w:r>
        <w:rPr>
          <w:rFonts w:cs="Times New Roman"/>
        </w:rPr>
        <w:t>。</w:t>
      </w:r>
    </w:p>
    <w:p w:rsidR="00DB7CC8" w:rsidRDefault="002B5250">
      <w:pPr>
        <w:pStyle w:val="233"/>
        <w:widowControl w:val="0"/>
        <w:spacing w:line="240" w:lineRule="auto"/>
        <w:ind w:firstLine="420"/>
        <w:jc w:val="center"/>
        <w:rPr>
          <w:rFonts w:eastAsia="黑体" w:cs="Times New Roman"/>
          <w:kern w:val="2"/>
          <w:sz w:val="21"/>
          <w:szCs w:val="21"/>
        </w:rPr>
      </w:pPr>
      <w:r>
        <w:rPr>
          <w:rFonts w:eastAsia="黑体" w:cs="Times New Roman"/>
          <w:kern w:val="2"/>
          <w:sz w:val="21"/>
          <w:szCs w:val="21"/>
        </w:rPr>
        <w:t>表</w:t>
      </w:r>
      <w:r>
        <w:rPr>
          <w:rFonts w:eastAsia="黑体" w:cs="Times New Roman"/>
          <w:kern w:val="2"/>
          <w:sz w:val="21"/>
          <w:szCs w:val="21"/>
        </w:rPr>
        <w:t>3.</w:t>
      </w:r>
      <w:r>
        <w:rPr>
          <w:rFonts w:eastAsia="黑体" w:cs="Times New Roman" w:hint="eastAsia"/>
          <w:kern w:val="2"/>
          <w:sz w:val="21"/>
          <w:szCs w:val="21"/>
        </w:rPr>
        <w:t>6</w:t>
      </w:r>
      <w:r>
        <w:rPr>
          <w:rFonts w:eastAsia="黑体" w:cs="Times New Roman"/>
          <w:kern w:val="2"/>
          <w:sz w:val="21"/>
          <w:szCs w:val="21"/>
        </w:rPr>
        <w:t xml:space="preserve">-1    </w:t>
      </w:r>
      <w:r>
        <w:rPr>
          <w:rFonts w:eastAsia="黑体" w:cs="Times New Roman"/>
          <w:kern w:val="2"/>
          <w:sz w:val="21"/>
          <w:szCs w:val="21"/>
        </w:rPr>
        <w:t>项目清洁生产水平指标对比情况</w:t>
      </w:r>
    </w:p>
    <w:tbl>
      <w:tblPr>
        <w:tblW w:w="852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57"/>
        <w:gridCol w:w="1700"/>
        <w:gridCol w:w="1873"/>
        <w:gridCol w:w="1735"/>
        <w:gridCol w:w="1613"/>
        <w:gridCol w:w="619"/>
        <w:gridCol w:w="31"/>
      </w:tblGrid>
      <w:tr w:rsidR="00DB7CC8">
        <w:trPr>
          <w:tblHeader/>
        </w:trPr>
        <w:tc>
          <w:tcPr>
            <w:tcW w:w="957" w:type="dxa"/>
            <w:vMerge w:val="restart"/>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清洁生产指标等级</w:t>
            </w:r>
          </w:p>
        </w:tc>
        <w:tc>
          <w:tcPr>
            <w:tcW w:w="1700" w:type="dxa"/>
            <w:vMerge w:val="restart"/>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一级</w:t>
            </w:r>
          </w:p>
        </w:tc>
        <w:tc>
          <w:tcPr>
            <w:tcW w:w="1873" w:type="dxa"/>
            <w:vMerge w:val="restart"/>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二级</w:t>
            </w:r>
          </w:p>
        </w:tc>
        <w:tc>
          <w:tcPr>
            <w:tcW w:w="1735" w:type="dxa"/>
            <w:vMerge w:val="restart"/>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三级</w:t>
            </w:r>
          </w:p>
        </w:tc>
        <w:tc>
          <w:tcPr>
            <w:tcW w:w="2263" w:type="dxa"/>
            <w:gridSpan w:val="3"/>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项目</w:t>
            </w:r>
          </w:p>
        </w:tc>
      </w:tr>
      <w:tr w:rsidR="00DB7CC8">
        <w:trPr>
          <w:trHeight w:val="400"/>
          <w:tblHeader/>
        </w:trPr>
        <w:tc>
          <w:tcPr>
            <w:tcW w:w="957" w:type="dxa"/>
            <w:vMerge/>
            <w:tcBorders>
              <w:tl2br w:val="nil"/>
              <w:tr2bl w:val="nil"/>
            </w:tcBorders>
            <w:tcMar>
              <w:left w:w="0" w:type="dxa"/>
              <w:right w:w="0" w:type="dxa"/>
            </w:tcMar>
            <w:vAlign w:val="center"/>
          </w:tcPr>
          <w:p w:rsidR="00DB7CC8" w:rsidRDefault="00DB7CC8">
            <w:pPr>
              <w:pStyle w:val="affff"/>
              <w:spacing w:line="240" w:lineRule="auto"/>
              <w:rPr>
                <w:color w:val="auto"/>
                <w:kern w:val="2"/>
              </w:rPr>
            </w:pPr>
          </w:p>
        </w:tc>
        <w:tc>
          <w:tcPr>
            <w:tcW w:w="1700" w:type="dxa"/>
            <w:vMerge/>
            <w:tcBorders>
              <w:tl2br w:val="nil"/>
              <w:tr2bl w:val="nil"/>
            </w:tcBorders>
            <w:tcMar>
              <w:left w:w="0" w:type="dxa"/>
              <w:right w:w="0" w:type="dxa"/>
            </w:tcMar>
            <w:vAlign w:val="center"/>
          </w:tcPr>
          <w:p w:rsidR="00DB7CC8" w:rsidRDefault="00DB7CC8">
            <w:pPr>
              <w:pStyle w:val="affff"/>
              <w:spacing w:line="240" w:lineRule="auto"/>
              <w:rPr>
                <w:color w:val="auto"/>
                <w:kern w:val="2"/>
              </w:rPr>
            </w:pPr>
          </w:p>
        </w:tc>
        <w:tc>
          <w:tcPr>
            <w:tcW w:w="1873" w:type="dxa"/>
            <w:vMerge/>
            <w:tcBorders>
              <w:tl2br w:val="nil"/>
              <w:tr2bl w:val="nil"/>
            </w:tcBorders>
            <w:tcMar>
              <w:left w:w="0" w:type="dxa"/>
              <w:right w:w="0" w:type="dxa"/>
            </w:tcMar>
            <w:vAlign w:val="center"/>
          </w:tcPr>
          <w:p w:rsidR="00DB7CC8" w:rsidRDefault="00DB7CC8">
            <w:pPr>
              <w:pStyle w:val="affff"/>
              <w:spacing w:line="240" w:lineRule="auto"/>
              <w:rPr>
                <w:color w:val="auto"/>
                <w:kern w:val="2"/>
              </w:rPr>
            </w:pPr>
          </w:p>
        </w:tc>
        <w:tc>
          <w:tcPr>
            <w:tcW w:w="1735" w:type="dxa"/>
            <w:vMerge/>
            <w:tcBorders>
              <w:tl2br w:val="nil"/>
              <w:tr2bl w:val="nil"/>
            </w:tcBorders>
            <w:tcMar>
              <w:left w:w="0" w:type="dxa"/>
              <w:right w:w="0" w:type="dxa"/>
            </w:tcMar>
            <w:vAlign w:val="center"/>
          </w:tcPr>
          <w:p w:rsidR="00DB7CC8" w:rsidRDefault="00DB7CC8">
            <w:pPr>
              <w:pStyle w:val="affff"/>
              <w:spacing w:line="240" w:lineRule="auto"/>
              <w:rPr>
                <w:color w:val="auto"/>
                <w:kern w:val="2"/>
              </w:rPr>
            </w:pPr>
          </w:p>
        </w:tc>
        <w:tc>
          <w:tcPr>
            <w:tcW w:w="161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指标</w:t>
            </w:r>
          </w:p>
        </w:tc>
        <w:tc>
          <w:tcPr>
            <w:tcW w:w="650" w:type="dxa"/>
            <w:gridSpan w:val="2"/>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级别</w:t>
            </w:r>
          </w:p>
        </w:tc>
      </w:tr>
      <w:tr w:rsidR="00DB7CC8">
        <w:trPr>
          <w:trHeight w:val="279"/>
        </w:trPr>
        <w:tc>
          <w:tcPr>
            <w:tcW w:w="8528" w:type="dxa"/>
            <w:gridSpan w:val="7"/>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lastRenderedPageBreak/>
              <w:t>一、工艺装备要求</w:t>
            </w:r>
          </w:p>
        </w:tc>
      </w:tr>
      <w:tr w:rsidR="00DB7CC8">
        <w:trPr>
          <w:trHeight w:val="1600"/>
        </w:trPr>
        <w:tc>
          <w:tcPr>
            <w:tcW w:w="957"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破碎</w:t>
            </w:r>
          </w:p>
          <w:p w:rsidR="00DB7CC8" w:rsidRDefault="002B5250">
            <w:pPr>
              <w:pStyle w:val="affff"/>
              <w:spacing w:line="240" w:lineRule="auto"/>
              <w:rPr>
                <w:color w:val="auto"/>
                <w:kern w:val="2"/>
              </w:rPr>
            </w:pPr>
            <w:r>
              <w:rPr>
                <w:color w:val="auto"/>
                <w:kern w:val="2"/>
              </w:rPr>
              <w:t>筛分</w:t>
            </w:r>
          </w:p>
        </w:tc>
        <w:tc>
          <w:tcPr>
            <w:tcW w:w="1700"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采用国际先进的处理量大、高效超细破碎机等破碎设备，配有除尘净化设施</w:t>
            </w:r>
          </w:p>
        </w:tc>
        <w:tc>
          <w:tcPr>
            <w:tcW w:w="187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采用国内先进的处理量较大，效率较高的超细破碎机等破碎设备，配有除尘净化设施</w:t>
            </w:r>
          </w:p>
        </w:tc>
        <w:tc>
          <w:tcPr>
            <w:tcW w:w="1735"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采用国内先进的旋回、鄂式、圆锥破碎机等破碎设备，配有除尘净化设施</w:t>
            </w:r>
          </w:p>
        </w:tc>
        <w:tc>
          <w:tcPr>
            <w:tcW w:w="161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采用国内先进的处理量较大、效率较高的破碎设备，配有除尘净化设施</w:t>
            </w:r>
          </w:p>
        </w:tc>
        <w:tc>
          <w:tcPr>
            <w:tcW w:w="650" w:type="dxa"/>
            <w:gridSpan w:val="2"/>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二级</w:t>
            </w:r>
          </w:p>
        </w:tc>
      </w:tr>
      <w:tr w:rsidR="00DB7CC8">
        <w:tc>
          <w:tcPr>
            <w:tcW w:w="957"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磨矿</w:t>
            </w:r>
          </w:p>
        </w:tc>
        <w:tc>
          <w:tcPr>
            <w:tcW w:w="1700"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采用国际先进的处理量大、能耗低、效率高的筒式磨矿机、高压辊磨机等磨矿设备</w:t>
            </w:r>
          </w:p>
        </w:tc>
        <w:tc>
          <w:tcPr>
            <w:tcW w:w="187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采用国内先进的处理量较大、能耗较低、效率较高的筒式磨矿机、高压辊磨机等磨矿设备</w:t>
            </w:r>
          </w:p>
        </w:tc>
        <w:tc>
          <w:tcPr>
            <w:tcW w:w="1735"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采用国内较先进的筒式磨矿、干式自磨、棒磨、球磨等磨矿设备</w:t>
            </w:r>
          </w:p>
        </w:tc>
        <w:tc>
          <w:tcPr>
            <w:tcW w:w="161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采用国内先进的处理量较大、能耗较低、效率较高的湿式球磨机</w:t>
            </w:r>
          </w:p>
        </w:tc>
        <w:tc>
          <w:tcPr>
            <w:tcW w:w="650" w:type="dxa"/>
            <w:gridSpan w:val="2"/>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二级</w:t>
            </w:r>
          </w:p>
        </w:tc>
      </w:tr>
      <w:tr w:rsidR="00DB7CC8">
        <w:trPr>
          <w:trHeight w:val="1136"/>
        </w:trPr>
        <w:tc>
          <w:tcPr>
            <w:tcW w:w="957"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分级</w:t>
            </w:r>
          </w:p>
        </w:tc>
        <w:tc>
          <w:tcPr>
            <w:tcW w:w="1700"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采用国际先进的分级效率高的高频振动细筛分级机等分级设备</w:t>
            </w:r>
          </w:p>
        </w:tc>
        <w:tc>
          <w:tcPr>
            <w:tcW w:w="187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采用国内先进的分级效率较高的电磁振动筛、高频细筛等分级设备</w:t>
            </w:r>
          </w:p>
        </w:tc>
        <w:tc>
          <w:tcPr>
            <w:tcW w:w="1735"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采用国内较先进的旋流分级、振动筛、高频细筛等分级设备</w:t>
            </w:r>
          </w:p>
        </w:tc>
        <w:tc>
          <w:tcPr>
            <w:tcW w:w="161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采用国内先进的分级效率较高的高频筛</w:t>
            </w:r>
          </w:p>
        </w:tc>
        <w:tc>
          <w:tcPr>
            <w:tcW w:w="650" w:type="dxa"/>
            <w:gridSpan w:val="2"/>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二级</w:t>
            </w:r>
          </w:p>
        </w:tc>
      </w:tr>
      <w:tr w:rsidR="00DB7CC8">
        <w:trPr>
          <w:trHeight w:val="2538"/>
        </w:trPr>
        <w:tc>
          <w:tcPr>
            <w:tcW w:w="957"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选别</w:t>
            </w:r>
          </w:p>
        </w:tc>
        <w:tc>
          <w:tcPr>
            <w:tcW w:w="1700"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采用国际先进的回收率高、自动化程度高的大粒度中高场强磁选机和跳汰机、立环脉动高梯度强磁选机、冲气机械搅拌式浮选机等选别设备</w:t>
            </w:r>
          </w:p>
        </w:tc>
        <w:tc>
          <w:tcPr>
            <w:tcW w:w="187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采用国内先进的回收率较高、自动化程度较高的大粒度中高场强磁选机和跳汰机、立环脉动高梯度强磁选机、冲气机械搅拌式浮选机等选别设备</w:t>
            </w:r>
          </w:p>
        </w:tc>
        <w:tc>
          <w:tcPr>
            <w:tcW w:w="1735"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采用国内较先进的回收率较高的立环式、平环式强磁选机、机械搅拌式浮选机、棒型浮选机等选别设备</w:t>
            </w:r>
          </w:p>
        </w:tc>
        <w:tc>
          <w:tcPr>
            <w:tcW w:w="161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国内高效磁选机</w:t>
            </w:r>
          </w:p>
        </w:tc>
        <w:tc>
          <w:tcPr>
            <w:tcW w:w="650" w:type="dxa"/>
            <w:gridSpan w:val="2"/>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二级</w:t>
            </w:r>
          </w:p>
        </w:tc>
      </w:tr>
      <w:tr w:rsidR="00DB7CC8">
        <w:tc>
          <w:tcPr>
            <w:tcW w:w="957"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脱水</w:t>
            </w:r>
          </w:p>
          <w:p w:rsidR="00DB7CC8" w:rsidRDefault="002B5250">
            <w:pPr>
              <w:pStyle w:val="affff"/>
              <w:spacing w:line="240" w:lineRule="auto"/>
              <w:rPr>
                <w:color w:val="auto"/>
                <w:kern w:val="2"/>
              </w:rPr>
            </w:pPr>
            <w:r>
              <w:rPr>
                <w:color w:val="auto"/>
                <w:kern w:val="2"/>
              </w:rPr>
              <w:t>过滤</w:t>
            </w:r>
          </w:p>
        </w:tc>
        <w:tc>
          <w:tcPr>
            <w:tcW w:w="1700"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采用国际先进的效率高、自动化程度高的高效浓缩机和大型高效盘式过滤机等脱水过滤设备</w:t>
            </w:r>
          </w:p>
        </w:tc>
        <w:tc>
          <w:tcPr>
            <w:tcW w:w="187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采用国内先进的脱水过滤效率较高、自动化程度较高的高效浓缩机和大型高效盘式压滤机等脱水过滤设备</w:t>
            </w:r>
          </w:p>
        </w:tc>
        <w:tc>
          <w:tcPr>
            <w:tcW w:w="1735"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采用国内较先进的脱水过滤效率较高的浓缩机和筒式压滤机等脱水过滤设备</w:t>
            </w:r>
          </w:p>
        </w:tc>
        <w:tc>
          <w:tcPr>
            <w:tcW w:w="161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国内先进的</w:t>
            </w:r>
            <w:r>
              <w:rPr>
                <w:color w:val="auto"/>
                <w:szCs w:val="21"/>
              </w:rPr>
              <w:t>盘式过滤机</w:t>
            </w:r>
          </w:p>
        </w:tc>
        <w:tc>
          <w:tcPr>
            <w:tcW w:w="650" w:type="dxa"/>
            <w:gridSpan w:val="2"/>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二级</w:t>
            </w:r>
          </w:p>
        </w:tc>
      </w:tr>
      <w:tr w:rsidR="00DB7CC8">
        <w:tc>
          <w:tcPr>
            <w:tcW w:w="8528" w:type="dxa"/>
            <w:gridSpan w:val="7"/>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二、资源能源利用指标</w:t>
            </w:r>
          </w:p>
        </w:tc>
      </w:tr>
      <w:tr w:rsidR="00DB7CC8">
        <w:trPr>
          <w:gridAfter w:val="1"/>
          <w:wAfter w:w="31" w:type="dxa"/>
        </w:trPr>
        <w:tc>
          <w:tcPr>
            <w:tcW w:w="957"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金属回收率（</w:t>
            </w:r>
            <w:r>
              <w:rPr>
                <w:color w:val="auto"/>
                <w:kern w:val="2"/>
              </w:rPr>
              <w:t>%</w:t>
            </w:r>
            <w:r>
              <w:rPr>
                <w:color w:val="auto"/>
                <w:kern w:val="2"/>
              </w:rPr>
              <w:t>）</w:t>
            </w:r>
          </w:p>
        </w:tc>
        <w:tc>
          <w:tcPr>
            <w:tcW w:w="1700"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≥90</w:t>
            </w:r>
          </w:p>
        </w:tc>
        <w:tc>
          <w:tcPr>
            <w:tcW w:w="187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≥80</w:t>
            </w:r>
          </w:p>
        </w:tc>
        <w:tc>
          <w:tcPr>
            <w:tcW w:w="1735"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≥70</w:t>
            </w:r>
          </w:p>
        </w:tc>
        <w:tc>
          <w:tcPr>
            <w:tcW w:w="161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rFonts w:hint="eastAsia"/>
                <w:color w:val="auto"/>
                <w:kern w:val="2"/>
              </w:rPr>
              <w:t>92.3</w:t>
            </w:r>
          </w:p>
        </w:tc>
        <w:tc>
          <w:tcPr>
            <w:tcW w:w="619"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一级</w:t>
            </w:r>
          </w:p>
        </w:tc>
      </w:tr>
      <w:tr w:rsidR="00DB7CC8">
        <w:trPr>
          <w:gridAfter w:val="1"/>
          <w:wAfter w:w="31" w:type="dxa"/>
        </w:trPr>
        <w:tc>
          <w:tcPr>
            <w:tcW w:w="957"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电耗</w:t>
            </w:r>
            <w:r>
              <w:rPr>
                <w:color w:val="auto"/>
                <w:kern w:val="2"/>
              </w:rPr>
              <w:t>(kW.h/t)</w:t>
            </w:r>
          </w:p>
        </w:tc>
        <w:tc>
          <w:tcPr>
            <w:tcW w:w="1700"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≤16</w:t>
            </w:r>
          </w:p>
        </w:tc>
        <w:tc>
          <w:tcPr>
            <w:tcW w:w="187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≤28</w:t>
            </w:r>
          </w:p>
        </w:tc>
        <w:tc>
          <w:tcPr>
            <w:tcW w:w="1735"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≤35</w:t>
            </w:r>
          </w:p>
        </w:tc>
        <w:tc>
          <w:tcPr>
            <w:tcW w:w="161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27.4</w:t>
            </w:r>
          </w:p>
        </w:tc>
        <w:tc>
          <w:tcPr>
            <w:tcW w:w="619"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二级</w:t>
            </w:r>
          </w:p>
        </w:tc>
      </w:tr>
      <w:tr w:rsidR="00DB7CC8">
        <w:trPr>
          <w:gridAfter w:val="1"/>
          <w:wAfter w:w="31" w:type="dxa"/>
        </w:trPr>
        <w:tc>
          <w:tcPr>
            <w:tcW w:w="957"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水耗（</w:t>
            </w:r>
            <w:r>
              <w:rPr>
                <w:color w:val="auto"/>
                <w:kern w:val="2"/>
              </w:rPr>
              <w:t>m</w:t>
            </w:r>
            <w:r>
              <w:rPr>
                <w:color w:val="auto"/>
                <w:kern w:val="2"/>
                <w:vertAlign w:val="superscript"/>
              </w:rPr>
              <w:t>3</w:t>
            </w:r>
            <w:r>
              <w:rPr>
                <w:color w:val="auto"/>
                <w:kern w:val="2"/>
              </w:rPr>
              <w:t>/t</w:t>
            </w:r>
            <w:r>
              <w:rPr>
                <w:color w:val="auto"/>
                <w:kern w:val="2"/>
              </w:rPr>
              <w:t>）</w:t>
            </w:r>
          </w:p>
        </w:tc>
        <w:tc>
          <w:tcPr>
            <w:tcW w:w="1700"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≤2</w:t>
            </w:r>
          </w:p>
        </w:tc>
        <w:tc>
          <w:tcPr>
            <w:tcW w:w="187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≤7</w:t>
            </w:r>
          </w:p>
        </w:tc>
        <w:tc>
          <w:tcPr>
            <w:tcW w:w="1735"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≤10</w:t>
            </w:r>
          </w:p>
        </w:tc>
        <w:tc>
          <w:tcPr>
            <w:tcW w:w="161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0.1</w:t>
            </w:r>
            <w:r>
              <w:rPr>
                <w:rFonts w:hint="eastAsia"/>
                <w:color w:val="auto"/>
                <w:kern w:val="2"/>
              </w:rPr>
              <w:t>5</w:t>
            </w:r>
          </w:p>
        </w:tc>
        <w:tc>
          <w:tcPr>
            <w:tcW w:w="619"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一级</w:t>
            </w:r>
          </w:p>
        </w:tc>
      </w:tr>
      <w:tr w:rsidR="00DB7CC8">
        <w:tc>
          <w:tcPr>
            <w:tcW w:w="8528" w:type="dxa"/>
            <w:gridSpan w:val="7"/>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三、污染物产生指标</w:t>
            </w:r>
          </w:p>
        </w:tc>
      </w:tr>
      <w:tr w:rsidR="00DB7CC8">
        <w:trPr>
          <w:gridAfter w:val="1"/>
          <w:wAfter w:w="31" w:type="dxa"/>
        </w:trPr>
        <w:tc>
          <w:tcPr>
            <w:tcW w:w="957"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废水产生量（</w:t>
            </w:r>
            <w:r>
              <w:rPr>
                <w:color w:val="auto"/>
                <w:kern w:val="2"/>
              </w:rPr>
              <w:t>m</w:t>
            </w:r>
            <w:r>
              <w:rPr>
                <w:color w:val="auto"/>
                <w:kern w:val="2"/>
                <w:vertAlign w:val="superscript"/>
              </w:rPr>
              <w:t>3</w:t>
            </w:r>
            <w:r>
              <w:rPr>
                <w:color w:val="auto"/>
                <w:kern w:val="2"/>
              </w:rPr>
              <w:t>/t</w:t>
            </w:r>
            <w:r>
              <w:rPr>
                <w:color w:val="auto"/>
                <w:kern w:val="2"/>
              </w:rPr>
              <w:t>）</w:t>
            </w:r>
          </w:p>
        </w:tc>
        <w:tc>
          <w:tcPr>
            <w:tcW w:w="1700"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≤0.1</w:t>
            </w:r>
          </w:p>
        </w:tc>
        <w:tc>
          <w:tcPr>
            <w:tcW w:w="187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≤0.7</w:t>
            </w:r>
          </w:p>
        </w:tc>
        <w:tc>
          <w:tcPr>
            <w:tcW w:w="1735"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≤1.5</w:t>
            </w:r>
          </w:p>
        </w:tc>
        <w:tc>
          <w:tcPr>
            <w:tcW w:w="161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0</w:t>
            </w:r>
          </w:p>
        </w:tc>
        <w:tc>
          <w:tcPr>
            <w:tcW w:w="619"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一级</w:t>
            </w:r>
          </w:p>
        </w:tc>
      </w:tr>
      <w:tr w:rsidR="00DB7CC8">
        <w:trPr>
          <w:gridAfter w:val="1"/>
          <w:wAfter w:w="31" w:type="dxa"/>
        </w:trPr>
        <w:tc>
          <w:tcPr>
            <w:tcW w:w="957"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悬浮物（</w:t>
            </w:r>
            <w:r>
              <w:rPr>
                <w:color w:val="auto"/>
                <w:kern w:val="2"/>
              </w:rPr>
              <w:t>kg/t</w:t>
            </w:r>
            <w:r>
              <w:rPr>
                <w:color w:val="auto"/>
                <w:kern w:val="2"/>
              </w:rPr>
              <w:t>）</w:t>
            </w:r>
          </w:p>
        </w:tc>
        <w:tc>
          <w:tcPr>
            <w:tcW w:w="1700"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≤0.01</w:t>
            </w:r>
          </w:p>
        </w:tc>
        <w:tc>
          <w:tcPr>
            <w:tcW w:w="187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≤0.21</w:t>
            </w:r>
          </w:p>
        </w:tc>
        <w:tc>
          <w:tcPr>
            <w:tcW w:w="1735"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≤0.60</w:t>
            </w:r>
          </w:p>
        </w:tc>
        <w:tc>
          <w:tcPr>
            <w:tcW w:w="161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0</w:t>
            </w:r>
          </w:p>
        </w:tc>
        <w:tc>
          <w:tcPr>
            <w:tcW w:w="619"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一级</w:t>
            </w:r>
          </w:p>
        </w:tc>
      </w:tr>
      <w:tr w:rsidR="00DB7CC8">
        <w:trPr>
          <w:gridAfter w:val="1"/>
          <w:wAfter w:w="31" w:type="dxa"/>
        </w:trPr>
        <w:tc>
          <w:tcPr>
            <w:tcW w:w="957"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化学需氧量（</w:t>
            </w:r>
            <w:r>
              <w:rPr>
                <w:color w:val="auto"/>
                <w:kern w:val="2"/>
              </w:rPr>
              <w:t>kg/t</w:t>
            </w:r>
            <w:r>
              <w:rPr>
                <w:color w:val="auto"/>
                <w:kern w:val="2"/>
              </w:rPr>
              <w:t>）</w:t>
            </w:r>
          </w:p>
        </w:tc>
        <w:tc>
          <w:tcPr>
            <w:tcW w:w="1700"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≤0.01</w:t>
            </w:r>
          </w:p>
        </w:tc>
        <w:tc>
          <w:tcPr>
            <w:tcW w:w="187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≤0.11</w:t>
            </w:r>
          </w:p>
        </w:tc>
        <w:tc>
          <w:tcPr>
            <w:tcW w:w="1735"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≤0.75</w:t>
            </w:r>
          </w:p>
        </w:tc>
        <w:tc>
          <w:tcPr>
            <w:tcW w:w="161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0</w:t>
            </w:r>
          </w:p>
        </w:tc>
        <w:tc>
          <w:tcPr>
            <w:tcW w:w="619"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一级</w:t>
            </w:r>
          </w:p>
        </w:tc>
      </w:tr>
      <w:tr w:rsidR="00DB7CC8">
        <w:tc>
          <w:tcPr>
            <w:tcW w:w="8528" w:type="dxa"/>
            <w:gridSpan w:val="7"/>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四、废物回收利用指标</w:t>
            </w:r>
          </w:p>
        </w:tc>
      </w:tr>
      <w:tr w:rsidR="00DB7CC8">
        <w:trPr>
          <w:gridAfter w:val="1"/>
          <w:wAfter w:w="31" w:type="dxa"/>
        </w:trPr>
        <w:tc>
          <w:tcPr>
            <w:tcW w:w="957"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工业水重复利用率（</w:t>
            </w:r>
            <w:r>
              <w:rPr>
                <w:color w:val="auto"/>
                <w:kern w:val="2"/>
              </w:rPr>
              <w:t>%</w:t>
            </w:r>
            <w:r>
              <w:rPr>
                <w:color w:val="auto"/>
                <w:kern w:val="2"/>
              </w:rPr>
              <w:t>）</w:t>
            </w:r>
          </w:p>
        </w:tc>
        <w:tc>
          <w:tcPr>
            <w:tcW w:w="1700"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≥95</w:t>
            </w:r>
          </w:p>
        </w:tc>
        <w:tc>
          <w:tcPr>
            <w:tcW w:w="187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≥90</w:t>
            </w:r>
          </w:p>
        </w:tc>
        <w:tc>
          <w:tcPr>
            <w:tcW w:w="1735"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≥85</w:t>
            </w:r>
          </w:p>
        </w:tc>
        <w:tc>
          <w:tcPr>
            <w:tcW w:w="161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96.0</w:t>
            </w:r>
          </w:p>
        </w:tc>
        <w:tc>
          <w:tcPr>
            <w:tcW w:w="619"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rFonts w:hint="eastAsia"/>
                <w:color w:val="auto"/>
                <w:kern w:val="2"/>
              </w:rPr>
              <w:t>一</w:t>
            </w:r>
            <w:r>
              <w:rPr>
                <w:color w:val="auto"/>
                <w:kern w:val="2"/>
              </w:rPr>
              <w:t>级</w:t>
            </w:r>
          </w:p>
        </w:tc>
      </w:tr>
      <w:tr w:rsidR="00DB7CC8">
        <w:trPr>
          <w:gridAfter w:val="1"/>
          <w:wAfter w:w="31" w:type="dxa"/>
        </w:trPr>
        <w:tc>
          <w:tcPr>
            <w:tcW w:w="957"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lastRenderedPageBreak/>
              <w:t>尾矿综合利用率（</w:t>
            </w:r>
            <w:r>
              <w:rPr>
                <w:color w:val="auto"/>
                <w:kern w:val="2"/>
              </w:rPr>
              <w:t>%</w:t>
            </w:r>
            <w:r>
              <w:rPr>
                <w:color w:val="auto"/>
                <w:kern w:val="2"/>
              </w:rPr>
              <w:t>）</w:t>
            </w:r>
          </w:p>
        </w:tc>
        <w:tc>
          <w:tcPr>
            <w:tcW w:w="1700"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≥30</w:t>
            </w:r>
          </w:p>
        </w:tc>
        <w:tc>
          <w:tcPr>
            <w:tcW w:w="187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≥15</w:t>
            </w:r>
          </w:p>
        </w:tc>
        <w:tc>
          <w:tcPr>
            <w:tcW w:w="1735"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≥8</w:t>
            </w:r>
          </w:p>
        </w:tc>
        <w:tc>
          <w:tcPr>
            <w:tcW w:w="1613"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100</w:t>
            </w:r>
          </w:p>
        </w:tc>
        <w:tc>
          <w:tcPr>
            <w:tcW w:w="619" w:type="dxa"/>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一级</w:t>
            </w:r>
          </w:p>
        </w:tc>
      </w:tr>
      <w:tr w:rsidR="00DB7CC8">
        <w:tc>
          <w:tcPr>
            <w:tcW w:w="8528" w:type="dxa"/>
            <w:gridSpan w:val="7"/>
            <w:tcBorders>
              <w:tl2br w:val="nil"/>
              <w:tr2bl w:val="nil"/>
            </w:tcBorders>
            <w:tcMar>
              <w:left w:w="0" w:type="dxa"/>
              <w:right w:w="0" w:type="dxa"/>
            </w:tcMar>
            <w:vAlign w:val="center"/>
          </w:tcPr>
          <w:p w:rsidR="00DB7CC8" w:rsidRDefault="002B5250">
            <w:pPr>
              <w:pStyle w:val="affff"/>
              <w:spacing w:line="240" w:lineRule="auto"/>
              <w:rPr>
                <w:color w:val="auto"/>
                <w:kern w:val="2"/>
              </w:rPr>
            </w:pPr>
            <w:r>
              <w:rPr>
                <w:color w:val="auto"/>
                <w:kern w:val="2"/>
              </w:rPr>
              <w:t>五、环境管理要求</w:t>
            </w:r>
          </w:p>
        </w:tc>
      </w:tr>
      <w:tr w:rsidR="00DB7CC8">
        <w:tc>
          <w:tcPr>
            <w:tcW w:w="8528" w:type="dxa"/>
            <w:gridSpan w:val="7"/>
            <w:tcBorders>
              <w:tl2br w:val="nil"/>
              <w:tr2bl w:val="nil"/>
            </w:tcBorders>
            <w:tcMar>
              <w:left w:w="0" w:type="dxa"/>
              <w:right w:w="0" w:type="dxa"/>
            </w:tcMar>
            <w:vAlign w:val="center"/>
          </w:tcPr>
          <w:p w:rsidR="00DB7CC8" w:rsidRDefault="002B5250">
            <w:pPr>
              <w:pStyle w:val="affff"/>
              <w:spacing w:line="240" w:lineRule="auto"/>
              <w:jc w:val="both"/>
              <w:rPr>
                <w:color w:val="auto"/>
                <w:kern w:val="2"/>
              </w:rPr>
            </w:pPr>
            <w:r>
              <w:rPr>
                <w:color w:val="auto"/>
                <w:kern w:val="2"/>
              </w:rPr>
              <w:t>严格按照《清洁生产标准铁矿采选业》（</w:t>
            </w:r>
            <w:r>
              <w:rPr>
                <w:color w:val="auto"/>
                <w:kern w:val="2"/>
              </w:rPr>
              <w:t>HJ/T294-2006</w:t>
            </w:r>
            <w:r>
              <w:rPr>
                <w:color w:val="auto"/>
                <w:kern w:val="2"/>
              </w:rPr>
              <w:t>）中的环境管理要求，组织实施清洁生产，确保达到国内铁矿行业清洁生产先进水平。</w:t>
            </w:r>
          </w:p>
        </w:tc>
      </w:tr>
    </w:tbl>
    <w:p w:rsidR="00DB7CC8" w:rsidRDefault="002B5250">
      <w:pPr>
        <w:pStyle w:val="3"/>
        <w:numPr>
          <w:ilvl w:val="2"/>
          <w:numId w:val="1"/>
        </w:numPr>
        <w:spacing w:beforeLines="50" w:before="120"/>
        <w:rPr>
          <w:szCs w:val="28"/>
        </w:rPr>
      </w:pPr>
      <w:r>
        <w:rPr>
          <w:szCs w:val="28"/>
        </w:rPr>
        <w:t>清洁生产水平分析</w:t>
      </w:r>
    </w:p>
    <w:p w:rsidR="00DB7CC8" w:rsidRDefault="002B5250">
      <w:pPr>
        <w:pStyle w:val="233"/>
        <w:widowControl w:val="0"/>
        <w:spacing w:line="360" w:lineRule="auto"/>
        <w:ind w:firstLine="480"/>
        <w:rPr>
          <w:rFonts w:cs="Times New Roman"/>
        </w:rPr>
      </w:pPr>
      <w:r>
        <w:rPr>
          <w:rFonts w:cs="Times New Roman"/>
        </w:rPr>
        <w:t>由表</w:t>
      </w:r>
      <w:r>
        <w:rPr>
          <w:rFonts w:cs="Times New Roman"/>
        </w:rPr>
        <w:t>3.4-1</w:t>
      </w:r>
      <w:r>
        <w:rPr>
          <w:rFonts w:cs="Times New Roman"/>
        </w:rPr>
        <w:t>可知，项目工艺装备指标均达到</w:t>
      </w:r>
      <w:r>
        <w:rPr>
          <w:rFonts w:cs="Times New Roman"/>
        </w:rPr>
        <w:t>HJ/T294-2006</w:t>
      </w:r>
      <w:r>
        <w:rPr>
          <w:rFonts w:cs="Times New Roman"/>
        </w:rPr>
        <w:t>二级水平；水耗、电耗指标达到</w:t>
      </w:r>
      <w:r>
        <w:rPr>
          <w:rFonts w:cs="Times New Roman"/>
        </w:rPr>
        <w:t>HJ/T294-2006</w:t>
      </w:r>
      <w:r>
        <w:rPr>
          <w:rFonts w:cs="Times New Roman"/>
        </w:rPr>
        <w:t>二级水平；金属回收率达到</w:t>
      </w:r>
      <w:r>
        <w:rPr>
          <w:rFonts w:cs="Times New Roman"/>
        </w:rPr>
        <w:t>HJ/T294-2006</w:t>
      </w:r>
      <w:r>
        <w:rPr>
          <w:rFonts w:cs="Times New Roman"/>
        </w:rPr>
        <w:t>一级水平；污染物产生指标达到</w:t>
      </w:r>
      <w:r>
        <w:rPr>
          <w:rFonts w:cs="Times New Roman"/>
        </w:rPr>
        <w:t>HJ/T294-2006</w:t>
      </w:r>
      <w:r>
        <w:rPr>
          <w:rFonts w:cs="Times New Roman"/>
        </w:rPr>
        <w:t>一级水平；</w:t>
      </w:r>
      <w:r>
        <w:rPr>
          <w:rFonts w:cs="Times New Roman"/>
          <w:kern w:val="2"/>
        </w:rPr>
        <w:t>工业水重复利用率达到</w:t>
      </w:r>
      <w:r>
        <w:rPr>
          <w:rFonts w:cs="Times New Roman"/>
        </w:rPr>
        <w:t>HJ/T294-2006</w:t>
      </w:r>
      <w:r>
        <w:rPr>
          <w:rFonts w:cs="Times New Roman"/>
        </w:rPr>
        <w:t>二级水平</w:t>
      </w:r>
      <w:r>
        <w:rPr>
          <w:rFonts w:cs="Times New Roman"/>
          <w:kern w:val="2"/>
        </w:rPr>
        <w:t>，</w:t>
      </w:r>
      <w:r>
        <w:rPr>
          <w:rFonts w:cs="Times New Roman"/>
        </w:rPr>
        <w:t>尾矿综合利用率达到</w:t>
      </w:r>
      <w:r>
        <w:rPr>
          <w:rFonts w:cs="Times New Roman"/>
        </w:rPr>
        <w:t>HJ/T294-2006</w:t>
      </w:r>
      <w:r>
        <w:rPr>
          <w:rFonts w:cs="Times New Roman"/>
        </w:rPr>
        <w:t>一级水平；环境管理要求达二级水</w:t>
      </w:r>
      <w:r>
        <w:rPr>
          <w:rFonts w:cs="Times New Roman"/>
        </w:rPr>
        <w:t>平。</w:t>
      </w:r>
    </w:p>
    <w:p w:rsidR="00DB7CC8" w:rsidRDefault="002B5250">
      <w:pPr>
        <w:pStyle w:val="3"/>
        <w:numPr>
          <w:ilvl w:val="2"/>
          <w:numId w:val="1"/>
        </w:numPr>
        <w:rPr>
          <w:szCs w:val="28"/>
        </w:rPr>
      </w:pPr>
      <w:r>
        <w:rPr>
          <w:szCs w:val="28"/>
        </w:rPr>
        <w:t>国内同行业类比分析</w:t>
      </w:r>
    </w:p>
    <w:p w:rsidR="00DB7CC8" w:rsidRDefault="002B5250">
      <w:pPr>
        <w:pStyle w:val="233"/>
        <w:spacing w:line="360" w:lineRule="auto"/>
        <w:ind w:firstLine="480"/>
        <w:rPr>
          <w:rFonts w:cs="Times New Roman"/>
        </w:rPr>
      </w:pPr>
      <w:r>
        <w:rPr>
          <w:rFonts w:cs="Times New Roman"/>
        </w:rPr>
        <w:t>项目所用原料铁矿石矿物组分简单，项目采用破碎</w:t>
      </w:r>
      <w:r>
        <w:rPr>
          <w:rFonts w:cs="Times New Roman" w:hint="eastAsia"/>
        </w:rPr>
        <w:t>、筛分</w:t>
      </w:r>
      <w:r>
        <w:rPr>
          <w:rFonts w:cs="Times New Roman"/>
        </w:rPr>
        <w:t>、球磨、磁选工艺，在生产过程中不添加任何药剂，为传统工艺，技术较为成熟；类比同类行业项目，本项目基本达到国内清洁生产先进水平。</w:t>
      </w:r>
    </w:p>
    <w:p w:rsidR="00DB7CC8" w:rsidRDefault="002B5250">
      <w:pPr>
        <w:ind w:firstLine="480"/>
        <w:jc w:val="both"/>
        <w:rPr>
          <w:sz w:val="24"/>
        </w:rPr>
      </w:pPr>
      <w:r>
        <w:rPr>
          <w:sz w:val="24"/>
        </w:rPr>
        <w:t>项目在运行过程中，应不断加强生产技术和设备管理，切实做好环境保护工作，进一步净化环境，控制生产过程中的无组织排放，杜绝</w:t>
      </w:r>
      <w:r>
        <w:rPr>
          <w:sz w:val="24"/>
        </w:rPr>
        <w:t>“</w:t>
      </w:r>
      <w:r>
        <w:rPr>
          <w:sz w:val="24"/>
        </w:rPr>
        <w:t>跑、冒、滴、漏</w:t>
      </w:r>
      <w:r>
        <w:rPr>
          <w:sz w:val="24"/>
        </w:rPr>
        <w:t>”</w:t>
      </w:r>
      <w:r>
        <w:rPr>
          <w:sz w:val="24"/>
        </w:rPr>
        <w:t>，本次评价提出如下建议：</w:t>
      </w:r>
    </w:p>
    <w:p w:rsidR="00DB7CC8" w:rsidRDefault="002B5250">
      <w:pPr>
        <w:ind w:firstLine="480"/>
        <w:rPr>
          <w:sz w:val="24"/>
        </w:rPr>
      </w:pPr>
      <w:r>
        <w:rPr>
          <w:sz w:val="24"/>
        </w:rPr>
        <w:t>（</w:t>
      </w:r>
      <w:r>
        <w:rPr>
          <w:sz w:val="24"/>
        </w:rPr>
        <w:t>1</w:t>
      </w:r>
      <w:r>
        <w:rPr>
          <w:sz w:val="24"/>
        </w:rPr>
        <w:t>）充分利用好各种资源、能源，提高原料、能源利用率，减少废弃物的产生。</w:t>
      </w:r>
    </w:p>
    <w:p w:rsidR="00DB7CC8" w:rsidRDefault="002B5250">
      <w:pPr>
        <w:ind w:firstLine="480"/>
        <w:rPr>
          <w:sz w:val="24"/>
        </w:rPr>
      </w:pPr>
      <w:r>
        <w:rPr>
          <w:sz w:val="24"/>
        </w:rPr>
        <w:t>（</w:t>
      </w:r>
      <w:r>
        <w:rPr>
          <w:sz w:val="24"/>
        </w:rPr>
        <w:t>2</w:t>
      </w:r>
      <w:r>
        <w:rPr>
          <w:sz w:val="24"/>
        </w:rPr>
        <w:t>）生产过程严格按工艺要求稳定工艺操作，减少无序排放，避免对大气造成污</w:t>
      </w:r>
      <w:r>
        <w:rPr>
          <w:sz w:val="24"/>
        </w:rPr>
        <w:t>染。</w:t>
      </w:r>
    </w:p>
    <w:p w:rsidR="00DB7CC8" w:rsidRDefault="002B5250">
      <w:pPr>
        <w:ind w:firstLine="480"/>
        <w:rPr>
          <w:sz w:val="24"/>
        </w:rPr>
      </w:pPr>
      <w:r>
        <w:rPr>
          <w:sz w:val="24"/>
        </w:rPr>
        <w:t>（</w:t>
      </w:r>
      <w:r>
        <w:rPr>
          <w:sz w:val="24"/>
        </w:rPr>
        <w:t>3</w:t>
      </w:r>
      <w:r>
        <w:rPr>
          <w:sz w:val="24"/>
        </w:rPr>
        <w:t>）加强各物料机泵的维护保养，定期换机械密封，凡是通过检修、更换设备能够解决污染问题的，要及时停产检修、更换设备，绝不能带</w:t>
      </w:r>
      <w:r>
        <w:rPr>
          <w:sz w:val="24"/>
        </w:rPr>
        <w:t>“</w:t>
      </w:r>
      <w:r>
        <w:rPr>
          <w:sz w:val="24"/>
        </w:rPr>
        <w:t>病</w:t>
      </w:r>
      <w:r>
        <w:rPr>
          <w:sz w:val="24"/>
        </w:rPr>
        <w:t>”</w:t>
      </w:r>
      <w:r>
        <w:rPr>
          <w:sz w:val="24"/>
        </w:rPr>
        <w:t>作业。</w:t>
      </w:r>
    </w:p>
    <w:p w:rsidR="00DB7CC8" w:rsidRDefault="002B5250">
      <w:pPr>
        <w:ind w:firstLine="480"/>
        <w:rPr>
          <w:sz w:val="24"/>
        </w:rPr>
      </w:pPr>
      <w:r>
        <w:rPr>
          <w:sz w:val="24"/>
        </w:rPr>
        <w:t>（</w:t>
      </w:r>
      <w:r>
        <w:rPr>
          <w:sz w:val="24"/>
        </w:rPr>
        <w:t>4</w:t>
      </w:r>
      <w:r>
        <w:rPr>
          <w:sz w:val="24"/>
        </w:rPr>
        <w:t>）必须认真按照生产工艺要求，加强巡检，发现各阀门、流量计、控制仪表、工艺管线等有滴漏现象，应及时处理，杜绝</w:t>
      </w:r>
      <w:r>
        <w:rPr>
          <w:sz w:val="24"/>
        </w:rPr>
        <w:t>“</w:t>
      </w:r>
      <w:r>
        <w:rPr>
          <w:sz w:val="24"/>
        </w:rPr>
        <w:t>跑、冒、滴、漏</w:t>
      </w:r>
      <w:r>
        <w:rPr>
          <w:sz w:val="24"/>
        </w:rPr>
        <w:t>”</w:t>
      </w:r>
      <w:r>
        <w:rPr>
          <w:sz w:val="24"/>
        </w:rPr>
        <w:t>现象。</w:t>
      </w:r>
    </w:p>
    <w:p w:rsidR="00DB7CC8" w:rsidRDefault="002B5250">
      <w:pPr>
        <w:ind w:firstLine="480"/>
        <w:rPr>
          <w:sz w:val="24"/>
        </w:rPr>
      </w:pPr>
      <w:r>
        <w:rPr>
          <w:sz w:val="24"/>
        </w:rPr>
        <w:t>（</w:t>
      </w:r>
      <w:r>
        <w:rPr>
          <w:sz w:val="24"/>
        </w:rPr>
        <w:t>5</w:t>
      </w:r>
      <w:r>
        <w:rPr>
          <w:sz w:val="24"/>
        </w:rPr>
        <w:t>）一旦出现</w:t>
      </w:r>
      <w:r>
        <w:rPr>
          <w:sz w:val="24"/>
        </w:rPr>
        <w:t>“</w:t>
      </w:r>
      <w:r>
        <w:rPr>
          <w:sz w:val="24"/>
        </w:rPr>
        <w:t>跑、冒、滴、漏</w:t>
      </w:r>
      <w:r>
        <w:rPr>
          <w:sz w:val="24"/>
        </w:rPr>
        <w:t>”</w:t>
      </w:r>
      <w:r>
        <w:rPr>
          <w:sz w:val="24"/>
        </w:rPr>
        <w:t>现象，工作人员应及时采取合理有效的补救措施，杜绝环境污染事故的发生。</w:t>
      </w:r>
    </w:p>
    <w:p w:rsidR="00DB7CC8" w:rsidRDefault="002B5250">
      <w:pPr>
        <w:ind w:firstLine="480"/>
        <w:rPr>
          <w:sz w:val="24"/>
        </w:rPr>
      </w:pPr>
      <w:r>
        <w:rPr>
          <w:sz w:val="24"/>
        </w:rPr>
        <w:t>（</w:t>
      </w:r>
      <w:r>
        <w:rPr>
          <w:sz w:val="24"/>
        </w:rPr>
        <w:t>6</w:t>
      </w:r>
      <w:r>
        <w:rPr>
          <w:sz w:val="24"/>
        </w:rPr>
        <w:t>）生产装备符合相关清洁生产标准中国内清洁生产先进要求，设备运行无故障，设备完好率要保持在</w:t>
      </w:r>
      <w:r>
        <w:rPr>
          <w:sz w:val="24"/>
        </w:rPr>
        <w:t>98%</w:t>
      </w:r>
      <w:r>
        <w:rPr>
          <w:sz w:val="24"/>
        </w:rPr>
        <w:t>以上。</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233" w:name="_Toc20379"/>
      <w:r>
        <w:rPr>
          <w:rFonts w:ascii="Times New Roman" w:eastAsia="宋体" w:hAnsi="Times New Roman" w:hint="eastAsia"/>
          <w:bCs w:val="0"/>
          <w:snapToGrid w:val="0"/>
          <w:kern w:val="0"/>
          <w:sz w:val="28"/>
          <w:szCs w:val="28"/>
        </w:rPr>
        <w:lastRenderedPageBreak/>
        <w:t>污染物排放量“三本账”</w:t>
      </w:r>
      <w:bookmarkEnd w:id="233"/>
    </w:p>
    <w:p w:rsidR="00DB7CC8" w:rsidRDefault="002B5250">
      <w:pPr>
        <w:ind w:firstLine="480"/>
        <w:rPr>
          <w:sz w:val="24"/>
          <w:szCs w:val="24"/>
        </w:rPr>
      </w:pPr>
      <w:r>
        <w:rPr>
          <w:rFonts w:hint="eastAsia"/>
          <w:sz w:val="24"/>
          <w:szCs w:val="24"/>
        </w:rPr>
        <w:t>本项目实施后全厂污染物排放量“三本账”见表</w:t>
      </w:r>
      <w:r>
        <w:rPr>
          <w:rFonts w:hint="eastAsia"/>
          <w:sz w:val="24"/>
          <w:szCs w:val="24"/>
        </w:rPr>
        <w:t>3.7-1</w:t>
      </w:r>
      <w:r>
        <w:rPr>
          <w:rFonts w:hint="eastAsia"/>
          <w:sz w:val="24"/>
          <w:szCs w:val="24"/>
        </w:rPr>
        <w:t>。</w:t>
      </w:r>
    </w:p>
    <w:p w:rsidR="00DB7CC8" w:rsidRDefault="002B5250">
      <w:pPr>
        <w:ind w:firstLine="420"/>
        <w:jc w:val="center"/>
        <w:rPr>
          <w:rFonts w:eastAsia="黑体"/>
          <w:kern w:val="2"/>
          <w:sz w:val="21"/>
          <w:szCs w:val="21"/>
        </w:rPr>
      </w:pPr>
      <w:r>
        <w:rPr>
          <w:rFonts w:eastAsia="黑体" w:hint="eastAsia"/>
          <w:kern w:val="2"/>
          <w:sz w:val="21"/>
          <w:szCs w:val="21"/>
        </w:rPr>
        <w:t>表</w:t>
      </w:r>
      <w:r>
        <w:rPr>
          <w:rFonts w:eastAsia="黑体"/>
          <w:kern w:val="2"/>
          <w:sz w:val="21"/>
          <w:szCs w:val="21"/>
        </w:rPr>
        <w:t xml:space="preserve"> 3.</w:t>
      </w:r>
      <w:r>
        <w:rPr>
          <w:rFonts w:eastAsia="黑体" w:hint="eastAsia"/>
          <w:kern w:val="2"/>
          <w:sz w:val="21"/>
          <w:szCs w:val="21"/>
        </w:rPr>
        <w:t>7-1</w:t>
      </w:r>
      <w:r>
        <w:rPr>
          <w:rFonts w:eastAsia="黑体"/>
          <w:kern w:val="2"/>
          <w:sz w:val="21"/>
          <w:szCs w:val="21"/>
        </w:rPr>
        <w:t xml:space="preserve">   </w:t>
      </w:r>
      <w:r>
        <w:rPr>
          <w:rFonts w:eastAsia="黑体" w:hint="eastAsia"/>
          <w:kern w:val="2"/>
          <w:sz w:val="21"/>
          <w:szCs w:val="21"/>
        </w:rPr>
        <w:t>改扩建工程实施后全厂污染排放量“三本账”</w:t>
      </w:r>
      <w:r>
        <w:rPr>
          <w:rFonts w:eastAsia="黑体"/>
          <w:kern w:val="2"/>
          <w:sz w:val="21"/>
          <w:szCs w:val="21"/>
        </w:rPr>
        <w:t xml:space="preserve"> </w:t>
      </w:r>
      <w:r>
        <w:rPr>
          <w:rFonts w:eastAsia="黑体" w:hint="eastAsia"/>
          <w:kern w:val="2"/>
          <w:sz w:val="21"/>
          <w:szCs w:val="21"/>
        </w:rPr>
        <w:t>单位</w:t>
      </w:r>
      <w:r>
        <w:rPr>
          <w:rFonts w:eastAsia="黑体"/>
          <w:kern w:val="2"/>
          <w:sz w:val="21"/>
          <w:szCs w:val="21"/>
        </w:rPr>
        <w:t xml:space="preserve"> t/a</w:t>
      </w: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024"/>
        <w:gridCol w:w="1485"/>
        <w:gridCol w:w="1651"/>
        <w:gridCol w:w="1337"/>
        <w:gridCol w:w="964"/>
        <w:gridCol w:w="1067"/>
      </w:tblGrid>
      <w:tr w:rsidR="00DB7CC8">
        <w:trPr>
          <w:jc w:val="center"/>
        </w:trPr>
        <w:tc>
          <w:tcPr>
            <w:tcW w:w="2024" w:type="dxa"/>
            <w:vMerge w:val="restart"/>
          </w:tcPr>
          <w:p w:rsidR="00DB7CC8" w:rsidRDefault="002B5250">
            <w:pPr>
              <w:spacing w:line="240" w:lineRule="auto"/>
              <w:ind w:firstLineChars="0" w:firstLine="0"/>
              <w:jc w:val="center"/>
              <w:rPr>
                <w:bCs/>
                <w:sz w:val="21"/>
                <w:szCs w:val="21"/>
              </w:rPr>
            </w:pPr>
            <w:r>
              <w:rPr>
                <w:rFonts w:hint="eastAsia"/>
                <w:bCs/>
                <w:sz w:val="21"/>
                <w:szCs w:val="21"/>
              </w:rPr>
              <w:t>项目</w:t>
            </w:r>
          </w:p>
        </w:tc>
        <w:tc>
          <w:tcPr>
            <w:tcW w:w="3136" w:type="dxa"/>
            <w:gridSpan w:val="2"/>
          </w:tcPr>
          <w:p w:rsidR="00DB7CC8" w:rsidRDefault="002B5250">
            <w:pPr>
              <w:spacing w:line="240" w:lineRule="auto"/>
              <w:ind w:firstLine="420"/>
              <w:jc w:val="center"/>
              <w:rPr>
                <w:bCs/>
                <w:sz w:val="21"/>
                <w:szCs w:val="21"/>
              </w:rPr>
            </w:pPr>
            <w:r>
              <w:rPr>
                <w:rFonts w:hint="eastAsia"/>
                <w:bCs/>
                <w:sz w:val="21"/>
                <w:szCs w:val="21"/>
              </w:rPr>
              <w:t>废水污染物</w:t>
            </w:r>
          </w:p>
        </w:tc>
        <w:tc>
          <w:tcPr>
            <w:tcW w:w="3368" w:type="dxa"/>
            <w:gridSpan w:val="3"/>
          </w:tcPr>
          <w:p w:rsidR="00DB7CC8" w:rsidRDefault="002B5250">
            <w:pPr>
              <w:spacing w:line="240" w:lineRule="auto"/>
              <w:ind w:firstLine="420"/>
              <w:jc w:val="both"/>
              <w:rPr>
                <w:bCs/>
                <w:sz w:val="21"/>
                <w:szCs w:val="21"/>
              </w:rPr>
            </w:pPr>
            <w:r>
              <w:rPr>
                <w:rFonts w:hint="eastAsia"/>
                <w:bCs/>
                <w:sz w:val="21"/>
                <w:szCs w:val="21"/>
              </w:rPr>
              <w:t>大气污染物</w:t>
            </w:r>
          </w:p>
        </w:tc>
      </w:tr>
      <w:tr w:rsidR="00DB7CC8">
        <w:trPr>
          <w:jc w:val="center"/>
        </w:trPr>
        <w:tc>
          <w:tcPr>
            <w:tcW w:w="2024" w:type="dxa"/>
            <w:vMerge/>
            <w:vAlign w:val="center"/>
          </w:tcPr>
          <w:p w:rsidR="00DB7CC8" w:rsidRDefault="00DB7CC8">
            <w:pPr>
              <w:spacing w:line="240" w:lineRule="auto"/>
              <w:ind w:firstLineChars="0" w:firstLine="0"/>
              <w:jc w:val="center"/>
              <w:rPr>
                <w:bCs/>
                <w:sz w:val="21"/>
                <w:szCs w:val="21"/>
              </w:rPr>
            </w:pPr>
          </w:p>
        </w:tc>
        <w:tc>
          <w:tcPr>
            <w:tcW w:w="1485" w:type="dxa"/>
          </w:tcPr>
          <w:p w:rsidR="00DB7CC8" w:rsidRDefault="002B5250">
            <w:pPr>
              <w:spacing w:line="240" w:lineRule="auto"/>
              <w:ind w:firstLineChars="0" w:firstLine="0"/>
              <w:jc w:val="center"/>
              <w:rPr>
                <w:bCs/>
                <w:sz w:val="21"/>
                <w:szCs w:val="21"/>
              </w:rPr>
            </w:pPr>
            <w:r>
              <w:rPr>
                <w:bCs/>
                <w:sz w:val="21"/>
                <w:szCs w:val="21"/>
              </w:rPr>
              <w:t>COD</w:t>
            </w:r>
          </w:p>
        </w:tc>
        <w:tc>
          <w:tcPr>
            <w:tcW w:w="1651" w:type="dxa"/>
          </w:tcPr>
          <w:p w:rsidR="00DB7CC8" w:rsidRDefault="002B5250">
            <w:pPr>
              <w:spacing w:line="240" w:lineRule="auto"/>
              <w:ind w:firstLineChars="0" w:firstLine="0"/>
              <w:jc w:val="center"/>
              <w:rPr>
                <w:bCs/>
                <w:sz w:val="21"/>
                <w:szCs w:val="21"/>
              </w:rPr>
            </w:pPr>
            <w:r>
              <w:rPr>
                <w:rFonts w:hint="eastAsia"/>
                <w:bCs/>
                <w:sz w:val="21"/>
                <w:szCs w:val="21"/>
              </w:rPr>
              <w:t>氨氮</w:t>
            </w:r>
          </w:p>
        </w:tc>
        <w:tc>
          <w:tcPr>
            <w:tcW w:w="1337" w:type="dxa"/>
          </w:tcPr>
          <w:p w:rsidR="00DB7CC8" w:rsidRDefault="002B5250">
            <w:pPr>
              <w:spacing w:line="240" w:lineRule="auto"/>
              <w:ind w:firstLineChars="0" w:firstLine="0"/>
              <w:jc w:val="center"/>
              <w:rPr>
                <w:bCs/>
                <w:sz w:val="21"/>
                <w:szCs w:val="21"/>
              </w:rPr>
            </w:pPr>
            <w:r>
              <w:rPr>
                <w:bCs/>
                <w:sz w:val="21"/>
                <w:szCs w:val="21"/>
              </w:rPr>
              <w:t>SO</w:t>
            </w:r>
            <w:r>
              <w:rPr>
                <w:bCs/>
                <w:sz w:val="21"/>
                <w:szCs w:val="21"/>
                <w:vertAlign w:val="subscript"/>
              </w:rPr>
              <w:t>2</w:t>
            </w:r>
          </w:p>
        </w:tc>
        <w:tc>
          <w:tcPr>
            <w:tcW w:w="964" w:type="dxa"/>
          </w:tcPr>
          <w:p w:rsidR="00DB7CC8" w:rsidRDefault="002B5250">
            <w:pPr>
              <w:spacing w:line="240" w:lineRule="auto"/>
              <w:ind w:firstLineChars="0" w:firstLine="0"/>
              <w:jc w:val="center"/>
              <w:rPr>
                <w:bCs/>
                <w:sz w:val="21"/>
                <w:szCs w:val="21"/>
              </w:rPr>
            </w:pPr>
            <w:r>
              <w:rPr>
                <w:bCs/>
                <w:sz w:val="21"/>
                <w:szCs w:val="21"/>
              </w:rPr>
              <w:t>NO</w:t>
            </w:r>
            <w:r>
              <w:rPr>
                <w:bCs/>
                <w:sz w:val="21"/>
                <w:szCs w:val="21"/>
                <w:vertAlign w:val="subscript"/>
              </w:rPr>
              <w:t>x</w:t>
            </w:r>
          </w:p>
        </w:tc>
        <w:tc>
          <w:tcPr>
            <w:tcW w:w="1067" w:type="dxa"/>
          </w:tcPr>
          <w:p w:rsidR="00DB7CC8" w:rsidRDefault="002B5250">
            <w:pPr>
              <w:spacing w:line="240" w:lineRule="auto"/>
              <w:ind w:firstLineChars="0" w:firstLine="0"/>
              <w:jc w:val="center"/>
              <w:rPr>
                <w:bCs/>
                <w:sz w:val="21"/>
                <w:szCs w:val="21"/>
              </w:rPr>
            </w:pPr>
            <w:r>
              <w:rPr>
                <w:rFonts w:hint="eastAsia"/>
                <w:bCs/>
                <w:sz w:val="21"/>
                <w:szCs w:val="21"/>
              </w:rPr>
              <w:t>颗粒物</w:t>
            </w:r>
          </w:p>
        </w:tc>
      </w:tr>
      <w:tr w:rsidR="00DB7CC8">
        <w:trPr>
          <w:jc w:val="center"/>
        </w:trPr>
        <w:tc>
          <w:tcPr>
            <w:tcW w:w="2024" w:type="dxa"/>
            <w:vAlign w:val="center"/>
          </w:tcPr>
          <w:p w:rsidR="00DB7CC8" w:rsidRDefault="002B5250">
            <w:pPr>
              <w:spacing w:line="240" w:lineRule="auto"/>
              <w:ind w:firstLineChars="0" w:firstLine="0"/>
              <w:jc w:val="center"/>
              <w:rPr>
                <w:bCs/>
                <w:sz w:val="21"/>
                <w:szCs w:val="21"/>
              </w:rPr>
            </w:pPr>
            <w:r>
              <w:rPr>
                <w:rFonts w:hint="eastAsia"/>
                <w:bCs/>
                <w:sz w:val="21"/>
                <w:szCs w:val="21"/>
              </w:rPr>
              <w:t>现有工程排放量</w:t>
            </w:r>
          </w:p>
        </w:tc>
        <w:tc>
          <w:tcPr>
            <w:tcW w:w="1485" w:type="dxa"/>
          </w:tcPr>
          <w:p w:rsidR="00DB7CC8" w:rsidRDefault="002B5250">
            <w:pPr>
              <w:spacing w:line="240" w:lineRule="auto"/>
              <w:ind w:firstLineChars="0" w:firstLine="0"/>
              <w:jc w:val="center"/>
              <w:rPr>
                <w:bCs/>
                <w:sz w:val="21"/>
                <w:szCs w:val="21"/>
              </w:rPr>
            </w:pPr>
            <w:r>
              <w:rPr>
                <w:bCs/>
                <w:sz w:val="21"/>
                <w:szCs w:val="21"/>
              </w:rPr>
              <w:t>0</w:t>
            </w:r>
          </w:p>
        </w:tc>
        <w:tc>
          <w:tcPr>
            <w:tcW w:w="1651" w:type="dxa"/>
          </w:tcPr>
          <w:p w:rsidR="00DB7CC8" w:rsidRDefault="002B5250">
            <w:pPr>
              <w:spacing w:line="240" w:lineRule="auto"/>
              <w:ind w:firstLineChars="0" w:firstLine="0"/>
              <w:jc w:val="center"/>
              <w:rPr>
                <w:bCs/>
                <w:sz w:val="21"/>
                <w:szCs w:val="21"/>
              </w:rPr>
            </w:pPr>
            <w:r>
              <w:rPr>
                <w:bCs/>
                <w:sz w:val="21"/>
                <w:szCs w:val="21"/>
              </w:rPr>
              <w:t>0</w:t>
            </w:r>
          </w:p>
        </w:tc>
        <w:tc>
          <w:tcPr>
            <w:tcW w:w="1337" w:type="dxa"/>
          </w:tcPr>
          <w:p w:rsidR="00DB7CC8" w:rsidRDefault="002B5250">
            <w:pPr>
              <w:spacing w:line="240" w:lineRule="auto"/>
              <w:ind w:firstLineChars="0" w:firstLine="0"/>
              <w:jc w:val="center"/>
              <w:rPr>
                <w:bCs/>
                <w:sz w:val="21"/>
                <w:szCs w:val="21"/>
              </w:rPr>
            </w:pPr>
            <w:r>
              <w:rPr>
                <w:bCs/>
                <w:sz w:val="21"/>
                <w:szCs w:val="21"/>
              </w:rPr>
              <w:t>0</w:t>
            </w:r>
          </w:p>
        </w:tc>
        <w:tc>
          <w:tcPr>
            <w:tcW w:w="964" w:type="dxa"/>
          </w:tcPr>
          <w:p w:rsidR="00DB7CC8" w:rsidRDefault="002B5250">
            <w:pPr>
              <w:spacing w:line="240" w:lineRule="auto"/>
              <w:ind w:firstLineChars="0" w:firstLine="0"/>
              <w:jc w:val="center"/>
              <w:rPr>
                <w:bCs/>
                <w:sz w:val="21"/>
                <w:szCs w:val="21"/>
              </w:rPr>
            </w:pPr>
            <w:r>
              <w:rPr>
                <w:bCs/>
                <w:sz w:val="21"/>
                <w:szCs w:val="21"/>
              </w:rPr>
              <w:t>0</w:t>
            </w:r>
          </w:p>
        </w:tc>
        <w:tc>
          <w:tcPr>
            <w:tcW w:w="1067" w:type="dxa"/>
          </w:tcPr>
          <w:p w:rsidR="00DB7CC8" w:rsidRDefault="002B5250">
            <w:pPr>
              <w:spacing w:line="240" w:lineRule="auto"/>
              <w:ind w:firstLineChars="0" w:firstLine="0"/>
              <w:jc w:val="center"/>
              <w:rPr>
                <w:bCs/>
                <w:sz w:val="21"/>
                <w:szCs w:val="21"/>
              </w:rPr>
            </w:pPr>
            <w:r>
              <w:rPr>
                <w:rFonts w:hint="eastAsia"/>
                <w:bCs/>
                <w:sz w:val="21"/>
                <w:szCs w:val="21"/>
              </w:rPr>
              <w:t>3.949</w:t>
            </w:r>
          </w:p>
        </w:tc>
      </w:tr>
      <w:tr w:rsidR="00DB7CC8">
        <w:trPr>
          <w:jc w:val="center"/>
        </w:trPr>
        <w:tc>
          <w:tcPr>
            <w:tcW w:w="2024" w:type="dxa"/>
            <w:vAlign w:val="center"/>
          </w:tcPr>
          <w:p w:rsidR="00DB7CC8" w:rsidRDefault="002B5250">
            <w:pPr>
              <w:spacing w:line="240" w:lineRule="auto"/>
              <w:ind w:firstLineChars="0" w:firstLine="0"/>
              <w:jc w:val="center"/>
              <w:rPr>
                <w:bCs/>
                <w:sz w:val="21"/>
                <w:szCs w:val="21"/>
              </w:rPr>
            </w:pPr>
            <w:r>
              <w:rPr>
                <w:rFonts w:hint="eastAsia"/>
                <w:bCs/>
                <w:sz w:val="21"/>
                <w:szCs w:val="21"/>
              </w:rPr>
              <w:t>改扩建工程排放量</w:t>
            </w:r>
          </w:p>
        </w:tc>
        <w:tc>
          <w:tcPr>
            <w:tcW w:w="1485" w:type="dxa"/>
          </w:tcPr>
          <w:p w:rsidR="00DB7CC8" w:rsidRDefault="002B5250">
            <w:pPr>
              <w:spacing w:line="240" w:lineRule="auto"/>
              <w:ind w:firstLineChars="0" w:firstLine="0"/>
              <w:jc w:val="center"/>
              <w:rPr>
                <w:bCs/>
                <w:sz w:val="21"/>
                <w:szCs w:val="21"/>
              </w:rPr>
            </w:pPr>
            <w:r>
              <w:rPr>
                <w:rFonts w:hint="eastAsia"/>
                <w:bCs/>
                <w:sz w:val="21"/>
                <w:szCs w:val="21"/>
              </w:rPr>
              <w:t>0</w:t>
            </w:r>
          </w:p>
        </w:tc>
        <w:tc>
          <w:tcPr>
            <w:tcW w:w="1651" w:type="dxa"/>
          </w:tcPr>
          <w:p w:rsidR="00DB7CC8" w:rsidRDefault="002B5250">
            <w:pPr>
              <w:spacing w:line="240" w:lineRule="auto"/>
              <w:ind w:firstLineChars="0" w:firstLine="0"/>
              <w:jc w:val="center"/>
              <w:rPr>
                <w:bCs/>
                <w:sz w:val="21"/>
                <w:szCs w:val="21"/>
              </w:rPr>
            </w:pPr>
            <w:r>
              <w:rPr>
                <w:rFonts w:hint="eastAsia"/>
                <w:bCs/>
                <w:sz w:val="21"/>
                <w:szCs w:val="21"/>
              </w:rPr>
              <w:t>0</w:t>
            </w:r>
          </w:p>
        </w:tc>
        <w:tc>
          <w:tcPr>
            <w:tcW w:w="1337" w:type="dxa"/>
          </w:tcPr>
          <w:p w:rsidR="00DB7CC8" w:rsidRDefault="002B5250">
            <w:pPr>
              <w:spacing w:line="240" w:lineRule="auto"/>
              <w:ind w:firstLineChars="0" w:firstLine="0"/>
              <w:jc w:val="center"/>
              <w:rPr>
                <w:bCs/>
                <w:sz w:val="21"/>
                <w:szCs w:val="21"/>
              </w:rPr>
            </w:pPr>
            <w:r>
              <w:rPr>
                <w:rFonts w:hint="eastAsia"/>
                <w:bCs/>
                <w:sz w:val="21"/>
                <w:szCs w:val="21"/>
              </w:rPr>
              <w:t>0</w:t>
            </w:r>
          </w:p>
        </w:tc>
        <w:tc>
          <w:tcPr>
            <w:tcW w:w="964" w:type="dxa"/>
          </w:tcPr>
          <w:p w:rsidR="00DB7CC8" w:rsidRDefault="002B5250">
            <w:pPr>
              <w:spacing w:line="240" w:lineRule="auto"/>
              <w:ind w:firstLineChars="0" w:firstLine="0"/>
              <w:jc w:val="center"/>
              <w:rPr>
                <w:bCs/>
                <w:sz w:val="21"/>
                <w:szCs w:val="21"/>
              </w:rPr>
            </w:pPr>
            <w:r>
              <w:rPr>
                <w:rFonts w:hint="eastAsia"/>
                <w:bCs/>
                <w:sz w:val="21"/>
                <w:szCs w:val="21"/>
              </w:rPr>
              <w:t>0</w:t>
            </w:r>
          </w:p>
        </w:tc>
        <w:tc>
          <w:tcPr>
            <w:tcW w:w="1067" w:type="dxa"/>
          </w:tcPr>
          <w:p w:rsidR="00DB7CC8" w:rsidRDefault="002B5250">
            <w:pPr>
              <w:spacing w:line="240" w:lineRule="auto"/>
              <w:ind w:firstLineChars="0" w:firstLine="0"/>
              <w:jc w:val="center"/>
              <w:rPr>
                <w:bCs/>
                <w:sz w:val="21"/>
                <w:szCs w:val="21"/>
              </w:rPr>
            </w:pPr>
            <w:r>
              <w:rPr>
                <w:rFonts w:hint="eastAsia"/>
                <w:bCs/>
                <w:sz w:val="21"/>
                <w:szCs w:val="21"/>
              </w:rPr>
              <w:t>4.097</w:t>
            </w:r>
          </w:p>
        </w:tc>
      </w:tr>
      <w:tr w:rsidR="00DB7CC8">
        <w:trPr>
          <w:jc w:val="center"/>
        </w:trPr>
        <w:tc>
          <w:tcPr>
            <w:tcW w:w="2024" w:type="dxa"/>
            <w:vAlign w:val="center"/>
          </w:tcPr>
          <w:p w:rsidR="00DB7CC8" w:rsidRDefault="002B5250">
            <w:pPr>
              <w:spacing w:line="240" w:lineRule="auto"/>
              <w:ind w:firstLineChars="0" w:firstLine="0"/>
              <w:jc w:val="center"/>
              <w:rPr>
                <w:bCs/>
                <w:sz w:val="21"/>
                <w:szCs w:val="21"/>
              </w:rPr>
            </w:pPr>
            <w:r>
              <w:rPr>
                <w:rFonts w:hint="eastAsia"/>
                <w:bCs/>
                <w:sz w:val="21"/>
                <w:szCs w:val="21"/>
              </w:rPr>
              <w:t>以新带老削减量</w:t>
            </w:r>
          </w:p>
        </w:tc>
        <w:tc>
          <w:tcPr>
            <w:tcW w:w="1485" w:type="dxa"/>
          </w:tcPr>
          <w:p w:rsidR="00DB7CC8" w:rsidRDefault="002B5250">
            <w:pPr>
              <w:spacing w:line="240" w:lineRule="auto"/>
              <w:ind w:firstLineChars="0" w:firstLine="0"/>
              <w:jc w:val="center"/>
              <w:rPr>
                <w:bCs/>
                <w:sz w:val="21"/>
                <w:szCs w:val="21"/>
              </w:rPr>
            </w:pPr>
            <w:r>
              <w:rPr>
                <w:rFonts w:hint="eastAsia"/>
                <w:bCs/>
                <w:sz w:val="21"/>
                <w:szCs w:val="21"/>
              </w:rPr>
              <w:t>0</w:t>
            </w:r>
          </w:p>
        </w:tc>
        <w:tc>
          <w:tcPr>
            <w:tcW w:w="1651" w:type="dxa"/>
          </w:tcPr>
          <w:p w:rsidR="00DB7CC8" w:rsidRDefault="002B5250">
            <w:pPr>
              <w:spacing w:line="240" w:lineRule="auto"/>
              <w:ind w:firstLineChars="0" w:firstLine="0"/>
              <w:jc w:val="center"/>
              <w:rPr>
                <w:bCs/>
                <w:sz w:val="21"/>
                <w:szCs w:val="21"/>
              </w:rPr>
            </w:pPr>
            <w:r>
              <w:rPr>
                <w:rFonts w:hint="eastAsia"/>
                <w:bCs/>
                <w:sz w:val="21"/>
                <w:szCs w:val="21"/>
              </w:rPr>
              <w:t>0</w:t>
            </w:r>
          </w:p>
        </w:tc>
        <w:tc>
          <w:tcPr>
            <w:tcW w:w="1337" w:type="dxa"/>
          </w:tcPr>
          <w:p w:rsidR="00DB7CC8" w:rsidRDefault="002B5250">
            <w:pPr>
              <w:spacing w:line="240" w:lineRule="auto"/>
              <w:ind w:firstLineChars="0" w:firstLine="0"/>
              <w:jc w:val="center"/>
              <w:rPr>
                <w:bCs/>
                <w:sz w:val="21"/>
                <w:szCs w:val="21"/>
              </w:rPr>
            </w:pPr>
            <w:r>
              <w:rPr>
                <w:rFonts w:hint="eastAsia"/>
                <w:bCs/>
                <w:sz w:val="21"/>
                <w:szCs w:val="21"/>
              </w:rPr>
              <w:t>0</w:t>
            </w:r>
          </w:p>
        </w:tc>
        <w:tc>
          <w:tcPr>
            <w:tcW w:w="964" w:type="dxa"/>
          </w:tcPr>
          <w:p w:rsidR="00DB7CC8" w:rsidRDefault="002B5250">
            <w:pPr>
              <w:spacing w:line="240" w:lineRule="auto"/>
              <w:ind w:firstLineChars="0" w:firstLine="0"/>
              <w:jc w:val="center"/>
              <w:rPr>
                <w:bCs/>
                <w:sz w:val="21"/>
                <w:szCs w:val="21"/>
              </w:rPr>
            </w:pPr>
            <w:r>
              <w:rPr>
                <w:rFonts w:hint="eastAsia"/>
                <w:bCs/>
                <w:sz w:val="21"/>
                <w:szCs w:val="21"/>
              </w:rPr>
              <w:t>0</w:t>
            </w:r>
          </w:p>
        </w:tc>
        <w:tc>
          <w:tcPr>
            <w:tcW w:w="1067" w:type="dxa"/>
          </w:tcPr>
          <w:p w:rsidR="00DB7CC8" w:rsidRDefault="002B5250">
            <w:pPr>
              <w:spacing w:line="240" w:lineRule="auto"/>
              <w:ind w:firstLineChars="0" w:firstLine="0"/>
              <w:jc w:val="center"/>
              <w:rPr>
                <w:bCs/>
                <w:sz w:val="21"/>
                <w:szCs w:val="21"/>
              </w:rPr>
            </w:pPr>
            <w:r>
              <w:rPr>
                <w:rFonts w:hint="eastAsia"/>
                <w:bCs/>
                <w:sz w:val="21"/>
                <w:szCs w:val="21"/>
              </w:rPr>
              <w:t>0</w:t>
            </w:r>
          </w:p>
        </w:tc>
      </w:tr>
      <w:tr w:rsidR="00DB7CC8">
        <w:trPr>
          <w:jc w:val="center"/>
        </w:trPr>
        <w:tc>
          <w:tcPr>
            <w:tcW w:w="2024" w:type="dxa"/>
            <w:vAlign w:val="center"/>
          </w:tcPr>
          <w:p w:rsidR="00DB7CC8" w:rsidRDefault="002B5250">
            <w:pPr>
              <w:spacing w:line="240" w:lineRule="auto"/>
              <w:ind w:firstLineChars="0" w:firstLine="0"/>
              <w:jc w:val="center"/>
              <w:rPr>
                <w:bCs/>
                <w:sz w:val="21"/>
                <w:szCs w:val="21"/>
              </w:rPr>
            </w:pPr>
            <w:r>
              <w:rPr>
                <w:rFonts w:hint="eastAsia"/>
                <w:bCs/>
                <w:sz w:val="21"/>
                <w:szCs w:val="21"/>
              </w:rPr>
              <w:t>全厂排放量</w:t>
            </w:r>
          </w:p>
        </w:tc>
        <w:tc>
          <w:tcPr>
            <w:tcW w:w="1485" w:type="dxa"/>
          </w:tcPr>
          <w:p w:rsidR="00DB7CC8" w:rsidRDefault="002B5250">
            <w:pPr>
              <w:spacing w:line="240" w:lineRule="auto"/>
              <w:ind w:firstLineChars="0" w:firstLine="0"/>
              <w:jc w:val="center"/>
              <w:rPr>
                <w:bCs/>
                <w:sz w:val="21"/>
                <w:szCs w:val="21"/>
              </w:rPr>
            </w:pPr>
            <w:r>
              <w:rPr>
                <w:rFonts w:hint="eastAsia"/>
                <w:bCs/>
                <w:sz w:val="21"/>
                <w:szCs w:val="21"/>
              </w:rPr>
              <w:t>0</w:t>
            </w:r>
          </w:p>
        </w:tc>
        <w:tc>
          <w:tcPr>
            <w:tcW w:w="1651" w:type="dxa"/>
          </w:tcPr>
          <w:p w:rsidR="00DB7CC8" w:rsidRDefault="002B5250">
            <w:pPr>
              <w:spacing w:line="240" w:lineRule="auto"/>
              <w:ind w:firstLineChars="0" w:firstLine="0"/>
              <w:jc w:val="center"/>
              <w:rPr>
                <w:bCs/>
                <w:sz w:val="21"/>
                <w:szCs w:val="21"/>
              </w:rPr>
            </w:pPr>
            <w:r>
              <w:rPr>
                <w:rFonts w:hint="eastAsia"/>
                <w:bCs/>
                <w:sz w:val="21"/>
                <w:szCs w:val="21"/>
              </w:rPr>
              <w:t>0</w:t>
            </w:r>
          </w:p>
        </w:tc>
        <w:tc>
          <w:tcPr>
            <w:tcW w:w="1337" w:type="dxa"/>
          </w:tcPr>
          <w:p w:rsidR="00DB7CC8" w:rsidRDefault="002B5250">
            <w:pPr>
              <w:spacing w:line="240" w:lineRule="auto"/>
              <w:ind w:firstLineChars="0" w:firstLine="0"/>
              <w:jc w:val="center"/>
              <w:rPr>
                <w:bCs/>
                <w:sz w:val="21"/>
                <w:szCs w:val="21"/>
              </w:rPr>
            </w:pPr>
            <w:r>
              <w:rPr>
                <w:rFonts w:hint="eastAsia"/>
                <w:bCs/>
                <w:sz w:val="21"/>
                <w:szCs w:val="21"/>
              </w:rPr>
              <w:t>0</w:t>
            </w:r>
          </w:p>
        </w:tc>
        <w:tc>
          <w:tcPr>
            <w:tcW w:w="964" w:type="dxa"/>
          </w:tcPr>
          <w:p w:rsidR="00DB7CC8" w:rsidRDefault="002B5250">
            <w:pPr>
              <w:spacing w:line="240" w:lineRule="auto"/>
              <w:ind w:firstLineChars="0" w:firstLine="0"/>
              <w:jc w:val="center"/>
              <w:rPr>
                <w:bCs/>
                <w:sz w:val="21"/>
                <w:szCs w:val="21"/>
              </w:rPr>
            </w:pPr>
            <w:r>
              <w:rPr>
                <w:rFonts w:hint="eastAsia"/>
                <w:bCs/>
                <w:sz w:val="21"/>
                <w:szCs w:val="21"/>
              </w:rPr>
              <w:t>0</w:t>
            </w:r>
          </w:p>
        </w:tc>
        <w:tc>
          <w:tcPr>
            <w:tcW w:w="1067" w:type="dxa"/>
          </w:tcPr>
          <w:p w:rsidR="00DB7CC8" w:rsidRDefault="002B5250">
            <w:pPr>
              <w:spacing w:line="240" w:lineRule="auto"/>
              <w:ind w:firstLineChars="0" w:firstLine="0"/>
              <w:jc w:val="center"/>
              <w:rPr>
                <w:bCs/>
                <w:sz w:val="21"/>
                <w:szCs w:val="21"/>
              </w:rPr>
            </w:pPr>
            <w:r>
              <w:rPr>
                <w:rFonts w:hint="eastAsia"/>
                <w:bCs/>
                <w:sz w:val="21"/>
                <w:szCs w:val="21"/>
              </w:rPr>
              <w:t>8.046</w:t>
            </w:r>
          </w:p>
        </w:tc>
      </w:tr>
      <w:tr w:rsidR="00DB7CC8">
        <w:trPr>
          <w:jc w:val="center"/>
        </w:trPr>
        <w:tc>
          <w:tcPr>
            <w:tcW w:w="2024" w:type="dxa"/>
            <w:vAlign w:val="center"/>
          </w:tcPr>
          <w:p w:rsidR="00DB7CC8" w:rsidRDefault="002B5250">
            <w:pPr>
              <w:spacing w:line="240" w:lineRule="auto"/>
              <w:ind w:firstLineChars="0" w:firstLine="0"/>
              <w:jc w:val="center"/>
              <w:rPr>
                <w:bCs/>
                <w:sz w:val="21"/>
                <w:szCs w:val="21"/>
              </w:rPr>
            </w:pPr>
            <w:r>
              <w:rPr>
                <w:rFonts w:hint="eastAsia"/>
                <w:bCs/>
                <w:sz w:val="21"/>
                <w:szCs w:val="21"/>
              </w:rPr>
              <w:t>排放增减量</w:t>
            </w:r>
          </w:p>
        </w:tc>
        <w:tc>
          <w:tcPr>
            <w:tcW w:w="1485" w:type="dxa"/>
          </w:tcPr>
          <w:p w:rsidR="00DB7CC8" w:rsidRDefault="002B5250">
            <w:pPr>
              <w:spacing w:line="240" w:lineRule="auto"/>
              <w:ind w:firstLineChars="0" w:firstLine="0"/>
              <w:jc w:val="center"/>
              <w:rPr>
                <w:bCs/>
                <w:sz w:val="21"/>
                <w:szCs w:val="21"/>
              </w:rPr>
            </w:pPr>
            <w:r>
              <w:rPr>
                <w:rFonts w:hint="eastAsia"/>
                <w:bCs/>
                <w:sz w:val="21"/>
                <w:szCs w:val="21"/>
              </w:rPr>
              <w:t>0</w:t>
            </w:r>
          </w:p>
        </w:tc>
        <w:tc>
          <w:tcPr>
            <w:tcW w:w="1651" w:type="dxa"/>
          </w:tcPr>
          <w:p w:rsidR="00DB7CC8" w:rsidRDefault="002B5250">
            <w:pPr>
              <w:spacing w:line="240" w:lineRule="auto"/>
              <w:ind w:firstLineChars="0" w:firstLine="0"/>
              <w:jc w:val="center"/>
              <w:rPr>
                <w:bCs/>
                <w:sz w:val="21"/>
                <w:szCs w:val="21"/>
              </w:rPr>
            </w:pPr>
            <w:r>
              <w:rPr>
                <w:rFonts w:hint="eastAsia"/>
                <w:bCs/>
                <w:sz w:val="21"/>
                <w:szCs w:val="21"/>
              </w:rPr>
              <w:t>0</w:t>
            </w:r>
          </w:p>
        </w:tc>
        <w:tc>
          <w:tcPr>
            <w:tcW w:w="1337" w:type="dxa"/>
          </w:tcPr>
          <w:p w:rsidR="00DB7CC8" w:rsidRDefault="002B5250">
            <w:pPr>
              <w:spacing w:line="240" w:lineRule="auto"/>
              <w:ind w:firstLineChars="0" w:firstLine="0"/>
              <w:jc w:val="center"/>
              <w:rPr>
                <w:bCs/>
                <w:sz w:val="21"/>
                <w:szCs w:val="21"/>
              </w:rPr>
            </w:pPr>
            <w:r>
              <w:rPr>
                <w:rFonts w:hint="eastAsia"/>
                <w:bCs/>
                <w:sz w:val="21"/>
                <w:szCs w:val="21"/>
              </w:rPr>
              <w:t>0</w:t>
            </w:r>
          </w:p>
        </w:tc>
        <w:tc>
          <w:tcPr>
            <w:tcW w:w="964" w:type="dxa"/>
          </w:tcPr>
          <w:p w:rsidR="00DB7CC8" w:rsidRDefault="002B5250">
            <w:pPr>
              <w:spacing w:line="240" w:lineRule="auto"/>
              <w:ind w:firstLineChars="0" w:firstLine="0"/>
              <w:jc w:val="center"/>
              <w:rPr>
                <w:bCs/>
                <w:sz w:val="21"/>
                <w:szCs w:val="21"/>
              </w:rPr>
            </w:pPr>
            <w:r>
              <w:rPr>
                <w:rFonts w:hint="eastAsia"/>
                <w:bCs/>
                <w:sz w:val="21"/>
                <w:szCs w:val="21"/>
              </w:rPr>
              <w:t>0</w:t>
            </w:r>
          </w:p>
        </w:tc>
        <w:tc>
          <w:tcPr>
            <w:tcW w:w="1067" w:type="dxa"/>
          </w:tcPr>
          <w:p w:rsidR="00DB7CC8" w:rsidRDefault="002B5250">
            <w:pPr>
              <w:spacing w:line="240" w:lineRule="auto"/>
              <w:ind w:firstLineChars="0" w:firstLine="0"/>
              <w:jc w:val="center"/>
              <w:rPr>
                <w:bCs/>
                <w:sz w:val="21"/>
                <w:szCs w:val="21"/>
              </w:rPr>
            </w:pPr>
            <w:r>
              <w:rPr>
                <w:rFonts w:hint="eastAsia"/>
                <w:bCs/>
                <w:sz w:val="21"/>
                <w:szCs w:val="21"/>
              </w:rPr>
              <w:t>+4.097</w:t>
            </w:r>
          </w:p>
        </w:tc>
      </w:tr>
    </w:tbl>
    <w:p w:rsidR="00DB7CC8" w:rsidRDefault="002B5250">
      <w:pPr>
        <w:spacing w:beforeLines="50" w:before="120"/>
        <w:ind w:firstLine="480"/>
        <w:rPr>
          <w:sz w:val="24"/>
          <w:szCs w:val="24"/>
        </w:rPr>
        <w:sectPr w:rsidR="00DB7CC8">
          <w:pgSz w:w="11906" w:h="16838"/>
          <w:pgMar w:top="993" w:right="1797" w:bottom="1134" w:left="1797" w:header="851" w:footer="992" w:gutter="0"/>
          <w:cols w:space="720"/>
          <w:docGrid w:linePitch="312"/>
        </w:sectPr>
      </w:pPr>
      <w:r>
        <w:rPr>
          <w:rFonts w:hint="eastAsia"/>
          <w:sz w:val="24"/>
          <w:szCs w:val="24"/>
        </w:rPr>
        <w:t>本项目应进行颗粒物排放倍量削减替代，在落实倍量削减替代方案的前提下将会对区域环境空气质量起到一定改善作用。</w:t>
      </w:r>
    </w:p>
    <w:p w:rsidR="00DB7CC8" w:rsidRDefault="002B5250">
      <w:pPr>
        <w:pStyle w:val="1"/>
        <w:numPr>
          <w:ilvl w:val="0"/>
          <w:numId w:val="1"/>
        </w:numPr>
        <w:rPr>
          <w:rFonts w:ascii="Times New Roman"/>
          <w:sz w:val="36"/>
        </w:rPr>
      </w:pPr>
      <w:bookmarkStart w:id="234" w:name="_Toc16411"/>
      <w:bookmarkStart w:id="235" w:name="_Toc476574695"/>
      <w:bookmarkStart w:id="236" w:name="_Toc521591772"/>
      <w:bookmarkStart w:id="237" w:name="_Toc524284668"/>
      <w:bookmarkStart w:id="238" w:name="_Toc2970"/>
      <w:bookmarkStart w:id="239" w:name="_Toc19844"/>
      <w:bookmarkStart w:id="240" w:name="_Toc499651408"/>
      <w:bookmarkStart w:id="241" w:name="_Toc27468"/>
      <w:bookmarkStart w:id="242" w:name="_Toc503218107"/>
      <w:r>
        <w:rPr>
          <w:rFonts w:ascii="Times New Roman"/>
          <w:sz w:val="36"/>
        </w:rPr>
        <w:lastRenderedPageBreak/>
        <w:t>环境现状调查与评价</w:t>
      </w:r>
      <w:bookmarkEnd w:id="234"/>
      <w:bookmarkEnd w:id="235"/>
      <w:bookmarkEnd w:id="236"/>
      <w:bookmarkEnd w:id="237"/>
      <w:bookmarkEnd w:id="238"/>
      <w:bookmarkEnd w:id="239"/>
      <w:bookmarkEnd w:id="240"/>
      <w:bookmarkEnd w:id="241"/>
      <w:bookmarkEnd w:id="242"/>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243" w:name="_Toc31686"/>
      <w:bookmarkStart w:id="244" w:name="_Toc12750"/>
      <w:bookmarkStart w:id="245" w:name="_Toc18506"/>
      <w:bookmarkStart w:id="246" w:name="_Toc524284669"/>
      <w:bookmarkStart w:id="247" w:name="_Toc521591773"/>
      <w:bookmarkStart w:id="248" w:name="_Toc6705"/>
      <w:bookmarkStart w:id="249" w:name="_Toc503218108"/>
      <w:bookmarkStart w:id="250" w:name="_Toc476574696"/>
      <w:bookmarkStart w:id="251" w:name="_Toc11419"/>
      <w:bookmarkStart w:id="252" w:name="_Toc399486901"/>
      <w:bookmarkStart w:id="253" w:name="_Toc391912273"/>
      <w:bookmarkStart w:id="254" w:name="_Toc30561"/>
      <w:bookmarkStart w:id="255" w:name="_Toc25835"/>
      <w:bookmarkStart w:id="256" w:name="_Toc468636397"/>
      <w:bookmarkStart w:id="257" w:name="_Toc499651409"/>
      <w:r>
        <w:rPr>
          <w:rFonts w:ascii="Times New Roman" w:eastAsia="宋体" w:hAnsi="Times New Roman"/>
          <w:bCs w:val="0"/>
          <w:snapToGrid w:val="0"/>
          <w:kern w:val="0"/>
          <w:sz w:val="28"/>
          <w:szCs w:val="28"/>
        </w:rPr>
        <w:t>自然环境概况</w:t>
      </w:r>
      <w:bookmarkEnd w:id="243"/>
      <w:bookmarkEnd w:id="244"/>
      <w:bookmarkEnd w:id="245"/>
      <w:bookmarkEnd w:id="246"/>
      <w:bookmarkEnd w:id="247"/>
      <w:bookmarkEnd w:id="248"/>
    </w:p>
    <w:p w:rsidR="00DB7CC8" w:rsidRDefault="002B5250">
      <w:pPr>
        <w:pStyle w:val="3"/>
        <w:numPr>
          <w:ilvl w:val="2"/>
          <w:numId w:val="1"/>
        </w:numPr>
        <w:rPr>
          <w:szCs w:val="28"/>
        </w:rPr>
      </w:pPr>
      <w:bookmarkStart w:id="258" w:name="_Toc521591774"/>
      <w:bookmarkStart w:id="259" w:name="_Toc10118"/>
      <w:r>
        <w:rPr>
          <w:szCs w:val="28"/>
        </w:rPr>
        <w:t>地理位置</w:t>
      </w:r>
      <w:bookmarkEnd w:id="258"/>
      <w:bookmarkEnd w:id="259"/>
    </w:p>
    <w:p w:rsidR="00DB7CC8" w:rsidRDefault="002B5250">
      <w:pPr>
        <w:ind w:firstLine="480"/>
        <w:jc w:val="both"/>
        <w:rPr>
          <w:bCs/>
          <w:sz w:val="24"/>
          <w:szCs w:val="24"/>
        </w:rPr>
      </w:pPr>
      <w:r>
        <w:rPr>
          <w:bCs/>
          <w:sz w:val="24"/>
          <w:szCs w:val="24"/>
        </w:rPr>
        <w:t>遵化市位于河北省东北部燕山南麓古长城脚下，地处北纬</w:t>
      </w:r>
      <w:r>
        <w:rPr>
          <w:bCs/>
          <w:sz w:val="24"/>
          <w:szCs w:val="24"/>
        </w:rPr>
        <w:t>39°55′-40°22′</w:t>
      </w:r>
      <w:r>
        <w:rPr>
          <w:bCs/>
          <w:sz w:val="24"/>
          <w:szCs w:val="24"/>
        </w:rPr>
        <w:t>，东经</w:t>
      </w:r>
      <w:r>
        <w:rPr>
          <w:bCs/>
          <w:sz w:val="24"/>
          <w:szCs w:val="24"/>
        </w:rPr>
        <w:t>117°34′-118°14′</w:t>
      </w:r>
      <w:r>
        <w:rPr>
          <w:bCs/>
          <w:sz w:val="24"/>
          <w:szCs w:val="24"/>
        </w:rPr>
        <w:t>之间，北以长城为界与承德地区兴隆县相依，西与天津蓟县相连，东与迁西县交界，南与丰润、玉田两县接壤。东西长</w:t>
      </w:r>
      <w:r>
        <w:rPr>
          <w:bCs/>
          <w:sz w:val="24"/>
          <w:szCs w:val="24"/>
        </w:rPr>
        <w:t>53km</w:t>
      </w:r>
      <w:r>
        <w:rPr>
          <w:bCs/>
          <w:sz w:val="24"/>
          <w:szCs w:val="24"/>
        </w:rPr>
        <w:t>，南北宽</w:t>
      </w:r>
      <w:r>
        <w:rPr>
          <w:bCs/>
          <w:sz w:val="24"/>
          <w:szCs w:val="24"/>
        </w:rPr>
        <w:t>43km</w:t>
      </w:r>
      <w:r>
        <w:rPr>
          <w:bCs/>
          <w:sz w:val="24"/>
          <w:szCs w:val="24"/>
        </w:rPr>
        <w:t>，总面积</w:t>
      </w:r>
      <w:r>
        <w:rPr>
          <w:bCs/>
          <w:sz w:val="24"/>
          <w:szCs w:val="24"/>
        </w:rPr>
        <w:t>1521km</w:t>
      </w:r>
      <w:r>
        <w:rPr>
          <w:bCs/>
          <w:sz w:val="24"/>
          <w:szCs w:val="24"/>
          <w:vertAlign w:val="superscript"/>
        </w:rPr>
        <w:t>2</w:t>
      </w:r>
      <w:r>
        <w:rPr>
          <w:bCs/>
          <w:sz w:val="24"/>
          <w:szCs w:val="24"/>
        </w:rPr>
        <w:t>。遵化市区位于市域中部偏北，距首都北京</w:t>
      </w:r>
      <w:r>
        <w:rPr>
          <w:bCs/>
          <w:sz w:val="24"/>
          <w:szCs w:val="24"/>
        </w:rPr>
        <w:t>140km</w:t>
      </w:r>
      <w:r>
        <w:rPr>
          <w:bCs/>
          <w:sz w:val="24"/>
          <w:szCs w:val="24"/>
        </w:rPr>
        <w:t>，距省会石家庄</w:t>
      </w:r>
      <w:r>
        <w:rPr>
          <w:bCs/>
          <w:sz w:val="24"/>
          <w:szCs w:val="24"/>
        </w:rPr>
        <w:t>380km</w:t>
      </w:r>
      <w:r>
        <w:rPr>
          <w:bCs/>
          <w:sz w:val="24"/>
          <w:szCs w:val="24"/>
        </w:rPr>
        <w:t>，距唐山市中心区</w:t>
      </w:r>
      <w:r>
        <w:rPr>
          <w:bCs/>
          <w:sz w:val="24"/>
          <w:szCs w:val="24"/>
        </w:rPr>
        <w:t>66km</w:t>
      </w:r>
      <w:r>
        <w:rPr>
          <w:bCs/>
          <w:sz w:val="24"/>
          <w:szCs w:val="24"/>
        </w:rPr>
        <w:t>，交通较为便利。</w:t>
      </w:r>
    </w:p>
    <w:p w:rsidR="00DB7CC8" w:rsidRDefault="002B5250">
      <w:pPr>
        <w:pStyle w:val="53"/>
        <w:spacing w:line="360" w:lineRule="auto"/>
        <w:ind w:firstLine="480"/>
        <w:rPr>
          <w:snapToGrid w:val="0"/>
        </w:rPr>
      </w:pPr>
      <w:r>
        <w:rPr>
          <w:snapToGrid w:val="0"/>
        </w:rPr>
        <w:t>本项目位于</w:t>
      </w:r>
      <w:r>
        <w:rPr>
          <w:szCs w:val="24"/>
        </w:rPr>
        <w:t>建明镇靠山庄村</w:t>
      </w:r>
      <w:r>
        <w:rPr>
          <w:bCs/>
          <w:szCs w:val="24"/>
        </w:rPr>
        <w:t>，厂区中心地理位置坐标为：东经：</w:t>
      </w:r>
      <w:r>
        <w:rPr>
          <w:bCs/>
          <w:szCs w:val="24"/>
        </w:rPr>
        <w:t>118°7'</w:t>
      </w:r>
      <w:r>
        <w:rPr>
          <w:rFonts w:hint="eastAsia"/>
          <w:bCs/>
          <w:szCs w:val="24"/>
        </w:rPr>
        <w:t>17.73</w:t>
      </w:r>
      <w:r>
        <w:rPr>
          <w:bCs/>
          <w:szCs w:val="24"/>
        </w:rPr>
        <w:t>"</w:t>
      </w:r>
      <w:r>
        <w:rPr>
          <w:bCs/>
          <w:szCs w:val="24"/>
        </w:rPr>
        <w:t>，北纬：</w:t>
      </w:r>
      <w:r>
        <w:rPr>
          <w:bCs/>
          <w:szCs w:val="24"/>
        </w:rPr>
        <w:t>40°11'1</w:t>
      </w:r>
      <w:r>
        <w:rPr>
          <w:rFonts w:hint="eastAsia"/>
          <w:bCs/>
          <w:szCs w:val="24"/>
        </w:rPr>
        <w:t>2.13</w:t>
      </w:r>
      <w:r>
        <w:rPr>
          <w:bCs/>
          <w:szCs w:val="24"/>
        </w:rPr>
        <w:t>"</w:t>
      </w:r>
      <w:r>
        <w:rPr>
          <w:snapToGrid w:val="0"/>
        </w:rPr>
        <w:t>。具体地理位置图详见附图</w:t>
      </w:r>
      <w:r>
        <w:rPr>
          <w:snapToGrid w:val="0"/>
        </w:rPr>
        <w:t>2</w:t>
      </w:r>
      <w:r>
        <w:rPr>
          <w:snapToGrid w:val="0"/>
        </w:rPr>
        <w:t>，周边关系图详见附图</w:t>
      </w:r>
      <w:r>
        <w:rPr>
          <w:snapToGrid w:val="0"/>
        </w:rPr>
        <w:t>4</w:t>
      </w:r>
      <w:r>
        <w:rPr>
          <w:snapToGrid w:val="0"/>
        </w:rPr>
        <w:t>。</w:t>
      </w:r>
    </w:p>
    <w:p w:rsidR="00DB7CC8" w:rsidRDefault="002B5250">
      <w:pPr>
        <w:pStyle w:val="53"/>
        <w:spacing w:line="360" w:lineRule="auto"/>
        <w:ind w:firstLine="480"/>
        <w:rPr>
          <w:snapToGrid w:val="0"/>
        </w:rPr>
      </w:pPr>
      <w:r>
        <w:rPr>
          <w:noProof/>
        </w:rPr>
        <w:drawing>
          <wp:anchor distT="0" distB="0" distL="0" distR="0" simplePos="0" relativeHeight="251671552" behindDoc="0" locked="0" layoutInCell="1" allowOverlap="1">
            <wp:simplePos x="0" y="0"/>
            <wp:positionH relativeFrom="column">
              <wp:posOffset>73660</wp:posOffset>
            </wp:positionH>
            <wp:positionV relativeFrom="paragraph">
              <wp:posOffset>1270</wp:posOffset>
            </wp:positionV>
            <wp:extent cx="5295900" cy="5124450"/>
            <wp:effectExtent l="0" t="0" r="0" b="0"/>
            <wp:wrapNone/>
            <wp:docPr id="128" name="图片 128" descr="流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流域"/>
                    <pic:cNvPicPr>
                      <a:picLocks noChangeAspect="1" noChangeArrowheads="1"/>
                    </pic:cNvPicPr>
                  </pic:nvPicPr>
                  <pic:blipFill>
                    <a:blip r:embed="rId45" cstate="print">
                      <a:extLst>
                        <a:ext uri="{28A0092B-C50C-407E-A947-70E740481C1C}">
                          <a14:useLocalDpi xmlns:a14="http://schemas.microsoft.com/office/drawing/2010/main" val="0"/>
                        </a:ext>
                      </a:extLst>
                    </a:blip>
                    <a:srcRect l="1044" t="2316" r="1669" b="2924"/>
                    <a:stretch>
                      <a:fillRect/>
                    </a:stretch>
                  </pic:blipFill>
                  <pic:spPr>
                    <a:xfrm>
                      <a:off x="0" y="0"/>
                      <a:ext cx="5295900" cy="5124450"/>
                    </a:xfrm>
                    <a:prstGeom prst="rect">
                      <a:avLst/>
                    </a:prstGeom>
                    <a:noFill/>
                    <a:ln>
                      <a:noFill/>
                    </a:ln>
                  </pic:spPr>
                </pic:pic>
              </a:graphicData>
            </a:graphic>
          </wp:anchor>
        </w:drawing>
      </w:r>
    </w:p>
    <w:p w:rsidR="00DB7CC8" w:rsidRDefault="00DB7CC8">
      <w:pPr>
        <w:pStyle w:val="53"/>
        <w:spacing w:line="360" w:lineRule="auto"/>
        <w:ind w:firstLine="480"/>
        <w:rPr>
          <w:snapToGrid w:val="0"/>
        </w:rPr>
      </w:pPr>
    </w:p>
    <w:p w:rsidR="00DB7CC8" w:rsidRDefault="00DB7CC8">
      <w:pPr>
        <w:pStyle w:val="53"/>
        <w:spacing w:line="360" w:lineRule="auto"/>
        <w:ind w:firstLine="480"/>
        <w:rPr>
          <w:snapToGrid w:val="0"/>
        </w:rPr>
      </w:pPr>
    </w:p>
    <w:p w:rsidR="00DB7CC8" w:rsidRDefault="00DB7CC8">
      <w:pPr>
        <w:pStyle w:val="53"/>
        <w:spacing w:line="360" w:lineRule="auto"/>
        <w:ind w:firstLine="480"/>
        <w:rPr>
          <w:snapToGrid w:val="0"/>
        </w:rPr>
      </w:pPr>
    </w:p>
    <w:p w:rsidR="00DB7CC8" w:rsidRDefault="00DB7CC8">
      <w:pPr>
        <w:pStyle w:val="53"/>
        <w:spacing w:line="360" w:lineRule="auto"/>
        <w:ind w:firstLine="480"/>
        <w:rPr>
          <w:snapToGrid w:val="0"/>
        </w:rPr>
      </w:pPr>
    </w:p>
    <w:p w:rsidR="00DB7CC8" w:rsidRDefault="00DB7CC8">
      <w:pPr>
        <w:pStyle w:val="53"/>
        <w:spacing w:line="360" w:lineRule="auto"/>
        <w:ind w:firstLine="480"/>
        <w:rPr>
          <w:snapToGrid w:val="0"/>
        </w:rPr>
      </w:pPr>
    </w:p>
    <w:p w:rsidR="00DB7CC8" w:rsidRDefault="00DB7CC8">
      <w:pPr>
        <w:pStyle w:val="53"/>
        <w:spacing w:line="360" w:lineRule="auto"/>
        <w:ind w:firstLine="480"/>
        <w:rPr>
          <w:snapToGrid w:val="0"/>
        </w:rPr>
      </w:pPr>
    </w:p>
    <w:p w:rsidR="00DB7CC8" w:rsidRDefault="00DB7CC8">
      <w:pPr>
        <w:pStyle w:val="53"/>
        <w:spacing w:line="360" w:lineRule="auto"/>
        <w:ind w:firstLine="480"/>
        <w:rPr>
          <w:snapToGrid w:val="0"/>
        </w:rPr>
      </w:pPr>
    </w:p>
    <w:p w:rsidR="00DB7CC8" w:rsidRDefault="00DB7CC8">
      <w:pPr>
        <w:pStyle w:val="53"/>
        <w:spacing w:line="360" w:lineRule="auto"/>
        <w:ind w:firstLine="480"/>
        <w:rPr>
          <w:snapToGrid w:val="0"/>
        </w:rPr>
      </w:pPr>
    </w:p>
    <w:p w:rsidR="00DB7CC8" w:rsidRDefault="00DB7CC8">
      <w:pPr>
        <w:pStyle w:val="53"/>
        <w:spacing w:line="360" w:lineRule="auto"/>
        <w:ind w:firstLine="480"/>
        <w:rPr>
          <w:snapToGrid w:val="0"/>
        </w:rPr>
      </w:pPr>
    </w:p>
    <w:p w:rsidR="00DB7CC8" w:rsidRDefault="00DB7CC8">
      <w:pPr>
        <w:pStyle w:val="53"/>
        <w:spacing w:line="360" w:lineRule="auto"/>
        <w:ind w:firstLine="480"/>
        <w:rPr>
          <w:snapToGrid w:val="0"/>
        </w:rPr>
      </w:pPr>
    </w:p>
    <w:p w:rsidR="00DB7CC8" w:rsidRDefault="00DB7CC8">
      <w:pPr>
        <w:pStyle w:val="53"/>
        <w:spacing w:line="360" w:lineRule="auto"/>
        <w:ind w:firstLine="480"/>
        <w:rPr>
          <w:snapToGrid w:val="0"/>
        </w:rPr>
      </w:pPr>
    </w:p>
    <w:p w:rsidR="00DB7CC8" w:rsidRDefault="00DB7CC8">
      <w:pPr>
        <w:pStyle w:val="53"/>
        <w:spacing w:line="360" w:lineRule="auto"/>
        <w:ind w:firstLine="480"/>
        <w:rPr>
          <w:snapToGrid w:val="0"/>
        </w:rPr>
      </w:pPr>
    </w:p>
    <w:p w:rsidR="00DB7CC8" w:rsidRDefault="00DB7CC8">
      <w:pPr>
        <w:pStyle w:val="53"/>
        <w:spacing w:line="360" w:lineRule="auto"/>
        <w:ind w:firstLine="480"/>
        <w:rPr>
          <w:snapToGrid w:val="0"/>
        </w:rPr>
      </w:pPr>
    </w:p>
    <w:p w:rsidR="00DB7CC8" w:rsidRDefault="00DB7CC8">
      <w:pPr>
        <w:pStyle w:val="53"/>
        <w:spacing w:line="360" w:lineRule="auto"/>
        <w:ind w:firstLine="480"/>
        <w:rPr>
          <w:snapToGrid w:val="0"/>
        </w:rPr>
      </w:pPr>
    </w:p>
    <w:p w:rsidR="00DB7CC8" w:rsidRDefault="00DB7CC8">
      <w:pPr>
        <w:pStyle w:val="53"/>
        <w:spacing w:line="360" w:lineRule="auto"/>
        <w:ind w:firstLine="480"/>
        <w:rPr>
          <w:snapToGrid w:val="0"/>
        </w:rPr>
      </w:pPr>
    </w:p>
    <w:p w:rsidR="00DB7CC8" w:rsidRDefault="00DB7CC8">
      <w:pPr>
        <w:pStyle w:val="53"/>
        <w:spacing w:line="360" w:lineRule="auto"/>
        <w:ind w:firstLine="480"/>
        <w:rPr>
          <w:snapToGrid w:val="0"/>
        </w:rPr>
      </w:pPr>
    </w:p>
    <w:p w:rsidR="00DB7CC8" w:rsidRDefault="00DB7CC8">
      <w:pPr>
        <w:pStyle w:val="53"/>
        <w:spacing w:line="360" w:lineRule="auto"/>
        <w:ind w:firstLine="480"/>
        <w:rPr>
          <w:snapToGrid w:val="0"/>
        </w:rPr>
      </w:pPr>
    </w:p>
    <w:p w:rsidR="00DB7CC8" w:rsidRDefault="00DB7CC8">
      <w:pPr>
        <w:ind w:firstLine="420"/>
        <w:jc w:val="center"/>
        <w:rPr>
          <w:rFonts w:eastAsia="黑体"/>
          <w:kern w:val="2"/>
          <w:sz w:val="21"/>
          <w:szCs w:val="21"/>
        </w:rPr>
      </w:pPr>
    </w:p>
    <w:p w:rsidR="00DB7CC8" w:rsidRDefault="00DB7CC8">
      <w:pPr>
        <w:ind w:firstLine="420"/>
        <w:jc w:val="center"/>
        <w:rPr>
          <w:rFonts w:eastAsia="黑体"/>
          <w:kern w:val="2"/>
          <w:sz w:val="21"/>
          <w:szCs w:val="21"/>
        </w:rPr>
      </w:pPr>
    </w:p>
    <w:p w:rsidR="00DB7CC8" w:rsidRDefault="002B5250">
      <w:pPr>
        <w:ind w:firstLine="420"/>
        <w:jc w:val="center"/>
        <w:rPr>
          <w:snapToGrid w:val="0"/>
        </w:rPr>
      </w:pPr>
      <w:r>
        <w:rPr>
          <w:rFonts w:eastAsia="黑体" w:hint="eastAsia"/>
          <w:kern w:val="2"/>
          <w:sz w:val="21"/>
          <w:szCs w:val="21"/>
        </w:rPr>
        <w:t>图</w:t>
      </w:r>
      <w:r>
        <w:rPr>
          <w:rFonts w:eastAsia="黑体"/>
          <w:kern w:val="2"/>
          <w:sz w:val="21"/>
          <w:szCs w:val="21"/>
        </w:rPr>
        <w:t>4</w:t>
      </w:r>
      <w:r>
        <w:rPr>
          <w:rFonts w:eastAsia="黑体" w:hint="eastAsia"/>
          <w:kern w:val="2"/>
          <w:sz w:val="21"/>
          <w:szCs w:val="21"/>
        </w:rPr>
        <w:t xml:space="preserve">.1-1   </w:t>
      </w:r>
      <w:r>
        <w:rPr>
          <w:rFonts w:eastAsia="黑体" w:hint="eastAsia"/>
          <w:kern w:val="2"/>
          <w:sz w:val="21"/>
          <w:szCs w:val="21"/>
        </w:rPr>
        <w:t>遵化市地理位置图</w:t>
      </w:r>
    </w:p>
    <w:p w:rsidR="00DB7CC8" w:rsidRDefault="002B5250">
      <w:pPr>
        <w:pStyle w:val="3"/>
        <w:numPr>
          <w:ilvl w:val="2"/>
          <w:numId w:val="1"/>
        </w:numPr>
        <w:rPr>
          <w:szCs w:val="28"/>
        </w:rPr>
      </w:pPr>
      <w:bookmarkStart w:id="260" w:name="_Toc521591775"/>
      <w:bookmarkStart w:id="261" w:name="_Toc31599"/>
      <w:r>
        <w:rPr>
          <w:szCs w:val="28"/>
        </w:rPr>
        <w:lastRenderedPageBreak/>
        <w:t>地形地貌</w:t>
      </w:r>
      <w:bookmarkEnd w:id="260"/>
      <w:bookmarkEnd w:id="261"/>
    </w:p>
    <w:p w:rsidR="00DB7CC8" w:rsidRDefault="002B5250">
      <w:pPr>
        <w:spacing w:line="440" w:lineRule="atLeast"/>
        <w:ind w:firstLine="480"/>
        <w:rPr>
          <w:sz w:val="24"/>
        </w:rPr>
      </w:pPr>
      <w:bookmarkStart w:id="262" w:name="_Hlk535828358"/>
      <w:r>
        <w:rPr>
          <w:sz w:val="24"/>
        </w:rPr>
        <w:t>遵化市全境由山区、丘陵、平原三种地貌组成。境内四周环山，中间为一平原，形成了遵化市三山两川的盆地地形。北部山势挺拔，山峰海拔高度多在</w:t>
      </w:r>
      <w:r>
        <w:rPr>
          <w:sz w:val="24"/>
        </w:rPr>
        <w:t>500m</w:t>
      </w:r>
      <w:r>
        <w:rPr>
          <w:sz w:val="24"/>
        </w:rPr>
        <w:t>以下，个别山峰海拔高度</w:t>
      </w:r>
      <w:r>
        <w:rPr>
          <w:sz w:val="24"/>
        </w:rPr>
        <w:t>700-900m</w:t>
      </w:r>
      <w:r>
        <w:rPr>
          <w:sz w:val="24"/>
        </w:rPr>
        <w:t>，山峦层叠，地面坡降达</w:t>
      </w:r>
      <w:r>
        <w:rPr>
          <w:sz w:val="24"/>
        </w:rPr>
        <w:t>15%</w:t>
      </w:r>
      <w:r>
        <w:rPr>
          <w:sz w:val="24"/>
        </w:rPr>
        <w:t>，山体上部有岩石裸露，植被较差，中下部及丘陵区多为褐土和淋溶褐土覆盖。两川平原为沙河、黎河、洪积而成，地势平坦开阔，地面坡降小于</w:t>
      </w:r>
      <w:r>
        <w:rPr>
          <w:sz w:val="24"/>
        </w:rPr>
        <w:t>1%</w:t>
      </w:r>
      <w:r>
        <w:rPr>
          <w:sz w:val="24"/>
        </w:rPr>
        <w:t>，海拔高程</w:t>
      </w:r>
      <w:r>
        <w:rPr>
          <w:sz w:val="24"/>
        </w:rPr>
        <w:t>20-80m</w:t>
      </w:r>
      <w:r>
        <w:rPr>
          <w:sz w:val="24"/>
        </w:rPr>
        <w:t>。总的地势是北高南低，东高西低，向西南微倾。表现为明显的山间盆地地貌特征，盆地周边为地势较高的低山丘陵，中部为平展的冲洪积平原，较大的地貌类型可分为以下</w:t>
      </w:r>
      <w:r>
        <w:rPr>
          <w:sz w:val="24"/>
        </w:rPr>
        <w:t>几种：</w:t>
      </w:r>
    </w:p>
    <w:p w:rsidR="00DB7CC8" w:rsidRDefault="002B5250">
      <w:pPr>
        <w:spacing w:line="440" w:lineRule="atLeast"/>
        <w:ind w:firstLine="480"/>
        <w:rPr>
          <w:sz w:val="24"/>
        </w:rPr>
      </w:pPr>
      <w:r>
        <w:rPr>
          <w:sz w:val="24"/>
        </w:rPr>
        <w:t>（</w:t>
      </w:r>
      <w:r>
        <w:rPr>
          <w:sz w:val="24"/>
        </w:rPr>
        <w:t>1</w:t>
      </w:r>
      <w:r>
        <w:rPr>
          <w:sz w:val="24"/>
        </w:rPr>
        <w:t>）构造侵蚀低山丘陵</w:t>
      </w:r>
    </w:p>
    <w:p w:rsidR="00DB7CC8" w:rsidRDefault="002B5250">
      <w:pPr>
        <w:spacing w:line="440" w:lineRule="atLeast"/>
        <w:ind w:firstLine="480"/>
        <w:rPr>
          <w:sz w:val="24"/>
        </w:rPr>
      </w:pPr>
      <w:r>
        <w:rPr>
          <w:sz w:val="24"/>
        </w:rPr>
        <w:t>主要分布于盆地的周边，北部和南部为由太古界片麻岩和由中元古界碳酸岩组成的裸露和半裸露的低山丘陵，标高</w:t>
      </w:r>
      <w:r>
        <w:rPr>
          <w:sz w:val="24"/>
        </w:rPr>
        <w:t>100-500m</w:t>
      </w:r>
      <w:r>
        <w:rPr>
          <w:sz w:val="24"/>
        </w:rPr>
        <w:t>，以常态山和干沟为主，裸露区地表溶蚀裂隙发育，坡脚可见碳酸盐岩角砾和蚀余红土。为碳酸盐岩风化产物。沟谷切割较深，多为排泄洪流的干谷，有不厚的松散沉积层充填。半裸露区以丘陵为主，上覆不厚的上更新统坡洪积层，在沟口两侧常形成剥蚀堆积台地。</w:t>
      </w:r>
    </w:p>
    <w:p w:rsidR="00DB7CC8" w:rsidRDefault="002B5250">
      <w:pPr>
        <w:spacing w:line="440" w:lineRule="atLeast"/>
        <w:ind w:firstLine="480"/>
        <w:rPr>
          <w:sz w:val="24"/>
        </w:rPr>
      </w:pPr>
      <w:r>
        <w:rPr>
          <w:sz w:val="24"/>
        </w:rPr>
        <w:t>中部为由长城系下部的变质岩、碳酸盐岩、碎屑岩组成的低山丘陵，呈东西向弧形展布，标高</w:t>
      </w:r>
      <w:r>
        <w:rPr>
          <w:sz w:val="24"/>
        </w:rPr>
        <w:t>200-500m</w:t>
      </w:r>
      <w:r>
        <w:rPr>
          <w:sz w:val="24"/>
        </w:rPr>
        <w:t>，山势陡峻，沟谷切割较深。</w:t>
      </w:r>
    </w:p>
    <w:p w:rsidR="00DB7CC8" w:rsidRDefault="002B5250">
      <w:pPr>
        <w:spacing w:line="440" w:lineRule="atLeast"/>
        <w:ind w:firstLine="480"/>
        <w:rPr>
          <w:sz w:val="24"/>
        </w:rPr>
      </w:pPr>
      <w:r>
        <w:rPr>
          <w:sz w:val="24"/>
        </w:rPr>
        <w:t>盆</w:t>
      </w:r>
      <w:r>
        <w:rPr>
          <w:sz w:val="24"/>
        </w:rPr>
        <w:t>地内尚有零星分布的岛状残山峰，多呈东西向沿岩层走向展布，高度</w:t>
      </w:r>
      <w:r>
        <w:rPr>
          <w:sz w:val="24"/>
        </w:rPr>
        <w:t>50-100m</w:t>
      </w:r>
      <w:r>
        <w:rPr>
          <w:sz w:val="24"/>
        </w:rPr>
        <w:t>，为碳酸盐岩山体在侵蚀和剥蚀作用下形成的残留地地貌形态。</w:t>
      </w:r>
    </w:p>
    <w:p w:rsidR="00DB7CC8" w:rsidRDefault="002B5250">
      <w:pPr>
        <w:spacing w:line="440" w:lineRule="atLeast"/>
        <w:ind w:firstLine="480"/>
        <w:rPr>
          <w:sz w:val="24"/>
        </w:rPr>
      </w:pPr>
      <w:r>
        <w:rPr>
          <w:sz w:val="24"/>
        </w:rPr>
        <w:t>（</w:t>
      </w:r>
      <w:r>
        <w:rPr>
          <w:sz w:val="24"/>
        </w:rPr>
        <w:t>2</w:t>
      </w:r>
      <w:r>
        <w:rPr>
          <w:sz w:val="24"/>
        </w:rPr>
        <w:t>）侵蚀堆积平原洼地</w:t>
      </w:r>
    </w:p>
    <w:p w:rsidR="00DB7CC8" w:rsidRDefault="002B5250">
      <w:pPr>
        <w:spacing w:line="440" w:lineRule="atLeast"/>
        <w:ind w:firstLine="480"/>
        <w:rPr>
          <w:sz w:val="24"/>
        </w:rPr>
      </w:pPr>
      <w:r>
        <w:rPr>
          <w:sz w:val="24"/>
        </w:rPr>
        <w:t>冲洪积平原：主要分布于盆地中部，由近代冲洪积层组成，地势平展，微向南缓倾，遵化北部盆地地面标高</w:t>
      </w:r>
      <w:r>
        <w:rPr>
          <w:sz w:val="24"/>
        </w:rPr>
        <w:t>40-80m</w:t>
      </w:r>
      <w:r>
        <w:rPr>
          <w:sz w:val="24"/>
        </w:rPr>
        <w:t>，地面坡度约</w:t>
      </w:r>
      <w:r>
        <w:rPr>
          <w:sz w:val="24"/>
        </w:rPr>
        <w:t>3‰-5‰</w:t>
      </w:r>
      <w:r>
        <w:rPr>
          <w:sz w:val="24"/>
        </w:rPr>
        <w:t>，南北宽</w:t>
      </w:r>
      <w:r>
        <w:rPr>
          <w:sz w:val="24"/>
        </w:rPr>
        <w:t>4-8km</w:t>
      </w:r>
      <w:r>
        <w:rPr>
          <w:sz w:val="24"/>
        </w:rPr>
        <w:t>，东西长度</w:t>
      </w:r>
      <w:r>
        <w:rPr>
          <w:sz w:val="24"/>
        </w:rPr>
        <w:t>30-40km</w:t>
      </w:r>
      <w:r>
        <w:rPr>
          <w:sz w:val="24"/>
        </w:rPr>
        <w:t>，面积</w:t>
      </w:r>
      <w:r>
        <w:rPr>
          <w:sz w:val="24"/>
        </w:rPr>
        <w:t>323.3km</w:t>
      </w:r>
      <w:r>
        <w:rPr>
          <w:sz w:val="24"/>
          <w:vertAlign w:val="superscript"/>
        </w:rPr>
        <w:t>2</w:t>
      </w:r>
      <w:r>
        <w:rPr>
          <w:sz w:val="24"/>
        </w:rPr>
        <w:t>左右；南盆地地面标高</w:t>
      </w:r>
      <w:r>
        <w:rPr>
          <w:sz w:val="24"/>
        </w:rPr>
        <w:t>18-30m</w:t>
      </w:r>
      <w:r>
        <w:rPr>
          <w:sz w:val="24"/>
        </w:rPr>
        <w:t>，地面坡度约</w:t>
      </w:r>
      <w:r>
        <w:rPr>
          <w:sz w:val="24"/>
        </w:rPr>
        <w:t>0.5‰</w:t>
      </w:r>
      <w:r>
        <w:rPr>
          <w:sz w:val="24"/>
        </w:rPr>
        <w:t>，南北宽</w:t>
      </w:r>
      <w:r>
        <w:rPr>
          <w:sz w:val="24"/>
        </w:rPr>
        <w:t>8-10km</w:t>
      </w:r>
      <w:r>
        <w:rPr>
          <w:sz w:val="24"/>
        </w:rPr>
        <w:t>，东西长度</w:t>
      </w:r>
      <w:r>
        <w:rPr>
          <w:sz w:val="24"/>
        </w:rPr>
        <w:t>25-30km</w:t>
      </w:r>
      <w:r>
        <w:rPr>
          <w:sz w:val="24"/>
        </w:rPr>
        <w:t>，面积约</w:t>
      </w:r>
      <w:r>
        <w:rPr>
          <w:sz w:val="24"/>
        </w:rPr>
        <w:t>90.7 km</w:t>
      </w:r>
      <w:r>
        <w:rPr>
          <w:sz w:val="24"/>
          <w:vertAlign w:val="superscript"/>
        </w:rPr>
        <w:t>2</w:t>
      </w:r>
      <w:r>
        <w:rPr>
          <w:sz w:val="24"/>
        </w:rPr>
        <w:t>近山地带为规模不大的冲洪积扇裙，主要由沙、淋</w:t>
      </w:r>
      <w:r>
        <w:rPr>
          <w:sz w:val="24"/>
        </w:rPr>
        <w:t>河冲积而成。</w:t>
      </w:r>
    </w:p>
    <w:p w:rsidR="00DB7CC8" w:rsidRDefault="002B5250">
      <w:pPr>
        <w:spacing w:line="440" w:lineRule="atLeast"/>
        <w:ind w:firstLine="480"/>
        <w:rPr>
          <w:sz w:val="24"/>
        </w:rPr>
      </w:pPr>
      <w:r>
        <w:rPr>
          <w:sz w:val="24"/>
        </w:rPr>
        <w:t>河谷洼地：横贯全区的黎河、沙河、林河河谷两侧形成宽</w:t>
      </w:r>
      <w:r>
        <w:rPr>
          <w:sz w:val="24"/>
        </w:rPr>
        <w:t>50-80m</w:t>
      </w:r>
      <w:r>
        <w:rPr>
          <w:sz w:val="24"/>
        </w:rPr>
        <w:t>的河谷洼地，除碗蜒曲折的河床外，主要为河漫滩和局部土地，由近代冲积层组成，两侧多有天然堤域人工堤。</w:t>
      </w:r>
    </w:p>
    <w:p w:rsidR="00DB7CC8" w:rsidRDefault="002B5250">
      <w:pPr>
        <w:spacing w:line="440" w:lineRule="atLeast"/>
        <w:ind w:firstLine="480"/>
        <w:rPr>
          <w:sz w:val="24"/>
        </w:rPr>
      </w:pPr>
      <w:r>
        <w:rPr>
          <w:sz w:val="24"/>
        </w:rPr>
        <w:t>山间谷地：分布于北部低山丘陵之间及以北地区，属北盆地的一部分，地势由北向南降低，坡度在</w:t>
      </w:r>
      <w:r>
        <w:rPr>
          <w:sz w:val="24"/>
        </w:rPr>
        <w:t>3-5‰</w:t>
      </w:r>
      <w:r>
        <w:rPr>
          <w:sz w:val="24"/>
        </w:rPr>
        <w:t>由冲洪积沙砾土组成，标高</w:t>
      </w:r>
      <w:r>
        <w:rPr>
          <w:sz w:val="24"/>
        </w:rPr>
        <w:t>50-80m</w:t>
      </w:r>
      <w:r>
        <w:rPr>
          <w:sz w:val="24"/>
        </w:rPr>
        <w:t>。山间沟谷发育，且多为张性断裂所成，往往成为沟通南北盆地的通道。</w:t>
      </w:r>
    </w:p>
    <w:p w:rsidR="00DB7CC8" w:rsidRDefault="002B5250">
      <w:pPr>
        <w:spacing w:line="440" w:lineRule="atLeast"/>
        <w:ind w:firstLine="480"/>
        <w:rPr>
          <w:sz w:val="24"/>
        </w:rPr>
      </w:pPr>
      <w:r>
        <w:rPr>
          <w:rFonts w:hint="eastAsia"/>
          <w:sz w:val="24"/>
        </w:rPr>
        <w:lastRenderedPageBreak/>
        <w:t>项目区位于以第四系松散岩类为主的冲洪积缓斜地小区（</w:t>
      </w:r>
      <w:r>
        <w:rPr>
          <w:rFonts w:hint="eastAsia"/>
          <w:sz w:val="24"/>
        </w:rPr>
        <w:t>II</w:t>
      </w:r>
      <w:r>
        <w:rPr>
          <w:rFonts w:hint="eastAsia"/>
          <w:sz w:val="24"/>
          <w:vertAlign w:val="subscript"/>
        </w:rPr>
        <w:t>6</w:t>
      </w:r>
      <w:r>
        <w:rPr>
          <w:sz w:val="24"/>
          <w:vertAlign w:val="subscript"/>
        </w:rPr>
        <w:t>-3</w:t>
      </w:r>
      <w:r>
        <w:rPr>
          <w:rFonts w:hint="eastAsia"/>
          <w:sz w:val="24"/>
        </w:rPr>
        <w:t>），主要分布于遵化市中部以及西部，项目区地形相对平缓，北部和南部地形相对较高，项</w:t>
      </w:r>
      <w:r>
        <w:rPr>
          <w:rFonts w:hint="eastAsia"/>
          <w:sz w:val="24"/>
        </w:rPr>
        <w:t>目评价区内有黎河流过，详见图</w:t>
      </w:r>
      <w:r>
        <w:rPr>
          <w:rFonts w:hint="eastAsia"/>
          <w:sz w:val="24"/>
        </w:rPr>
        <w:t>4.1-2</w:t>
      </w:r>
      <w:r>
        <w:rPr>
          <w:rFonts w:hint="eastAsia"/>
          <w:sz w:val="24"/>
        </w:rPr>
        <w:t>。</w:t>
      </w:r>
    </w:p>
    <w:p w:rsidR="00DB7CC8" w:rsidRDefault="002B5250">
      <w:pPr>
        <w:ind w:firstLineChars="0" w:firstLine="0"/>
        <w:jc w:val="center"/>
      </w:pPr>
      <w:r>
        <w:rPr>
          <w:b/>
          <w:noProof/>
          <w:sz w:val="24"/>
        </w:rPr>
        <mc:AlternateContent>
          <mc:Choice Requires="wps">
            <w:drawing>
              <wp:anchor distT="0" distB="0" distL="114300" distR="114300" simplePos="0" relativeHeight="251666432" behindDoc="0" locked="0" layoutInCell="1" allowOverlap="1">
                <wp:simplePos x="0" y="0"/>
                <wp:positionH relativeFrom="column">
                  <wp:posOffset>3766185</wp:posOffset>
                </wp:positionH>
                <wp:positionV relativeFrom="paragraph">
                  <wp:posOffset>2186940</wp:posOffset>
                </wp:positionV>
                <wp:extent cx="872490" cy="263525"/>
                <wp:effectExtent l="4445" t="402590" r="18415" b="19685"/>
                <wp:wrapNone/>
                <wp:docPr id="109" name="自选图形 32"/>
                <wp:cNvGraphicFramePr/>
                <a:graphic xmlns:a="http://schemas.openxmlformats.org/drawingml/2006/main">
                  <a:graphicData uri="http://schemas.microsoft.com/office/word/2010/wordprocessingShape">
                    <wps:wsp>
                      <wps:cNvSpPr/>
                      <wps:spPr>
                        <a:xfrm>
                          <a:off x="0" y="0"/>
                          <a:ext cx="872490" cy="263525"/>
                        </a:xfrm>
                        <a:prstGeom prst="wedgeRectCallout">
                          <a:avLst>
                            <a:gd name="adj1" fmla="val 35153"/>
                            <a:gd name="adj2" fmla="val -195782"/>
                          </a:avLst>
                        </a:prstGeom>
                        <a:noFill/>
                        <a:ln w="9525" cap="flat" cmpd="sng">
                          <a:solidFill>
                            <a:srgbClr val="000000"/>
                          </a:solidFill>
                          <a:prstDash val="solid"/>
                          <a:miter/>
                          <a:headEnd type="none" w="med" len="med"/>
                          <a:tailEnd type="none" w="med" len="med"/>
                        </a:ln>
                      </wps:spPr>
                      <wps:txbx>
                        <w:txbxContent>
                          <w:p w:rsidR="00DB7CC8" w:rsidRDefault="002B5250">
                            <w:pPr>
                              <w:spacing w:line="240" w:lineRule="atLeast"/>
                              <w:ind w:firstLineChars="0" w:firstLine="0"/>
                              <w:jc w:val="center"/>
                              <w:rPr>
                                <w:sz w:val="21"/>
                                <w:szCs w:val="21"/>
                              </w:rPr>
                            </w:pPr>
                            <w:r>
                              <w:rPr>
                                <w:rFonts w:hint="eastAsia"/>
                                <w:sz w:val="21"/>
                                <w:szCs w:val="21"/>
                              </w:rPr>
                              <w:t>项目位置</w:t>
                            </w:r>
                          </w:p>
                        </w:txbxContent>
                      </wps:txbx>
                      <wps:bodyPr upright="1"/>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自选图形 32" o:spid="_x0000_s1081" type="#_x0000_t61" style="position:absolute;left:0;text-align:left;margin-left:296.55pt;margin-top:172.2pt;width:68.7pt;height:20.7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" adj="18393,-31489" filled="f">
                <v:textbox>
                  <w:txbxContent>
                    <w:p w:rsidR="00DB7CC8" w:rsidRDefault="002B5250">
                      <w:pPr>
                        <w:spacing w:line="240" w:lineRule="atLeast"/>
                        <w:ind w:firstLineChars="0" w:firstLine="0"/>
                        <w:jc w:val="center"/>
                        <w:rPr>
                          <w:sz w:val="21"/>
                          <w:szCs w:val="21"/>
                        </w:rPr>
                      </w:pPr>
                      <w:r>
                        <w:rPr>
                          <w:rFonts w:hint="eastAsia"/>
                          <w:sz w:val="21"/>
                          <w:szCs w:val="21"/>
                        </w:rPr>
                        <w:t>项目位置</w:t>
                      </w:r>
                    </w:p>
                  </w:txbxContent>
                </v:textbox>
              </v:shape>
            </w:pict>
          </mc:Fallback>
        </mc:AlternateContent>
      </w:r>
      <w:r>
        <w:rPr>
          <w:b/>
          <w:noProof/>
          <w:sz w:val="24"/>
        </w:rPr>
        <mc:AlternateContent>
          <mc:Choice Requires="wps">
            <w:drawing>
              <wp:anchor distT="0" distB="0" distL="114300" distR="114300" simplePos="0" relativeHeight="251667456" behindDoc="0" locked="0" layoutInCell="1" allowOverlap="1">
                <wp:simplePos x="0" y="0"/>
                <wp:positionH relativeFrom="column">
                  <wp:posOffset>4521835</wp:posOffset>
                </wp:positionH>
                <wp:positionV relativeFrom="paragraph">
                  <wp:posOffset>1706245</wp:posOffset>
                </wp:positionV>
                <wp:extent cx="116840" cy="90805"/>
                <wp:effectExtent l="4445" t="4445" r="12065" b="19050"/>
                <wp:wrapNone/>
                <wp:docPr id="110" name="矩形 33"/>
                <wp:cNvGraphicFramePr/>
                <a:graphic xmlns:a="http://schemas.openxmlformats.org/drawingml/2006/main">
                  <a:graphicData uri="http://schemas.microsoft.com/office/word/2010/wordprocessingShape">
                    <wps:wsp>
                      <wps:cNvSpPr/>
                      <wps:spPr>
                        <a:xfrm>
                          <a:off x="0" y="0"/>
                          <a:ext cx="116840" cy="90805"/>
                        </a:xfrm>
                        <a:prstGeom prst="rect">
                          <a:avLst/>
                        </a:prstGeom>
                        <a:solidFill>
                          <a:srgbClr val="FF0000"/>
                        </a:solidFill>
                        <a:ln w="9525" cap="flat" cmpd="sng">
                          <a:solidFill>
                            <a:srgbClr val="FF0000"/>
                          </a:solidFill>
                          <a:prstDash val="solid"/>
                          <a:miter/>
                          <a:headEnd type="none" w="med" len="med"/>
                          <a:tailEnd type="none" w="med" len="med"/>
                        </a:ln>
                      </wps:spPr>
                      <wps:txbx>
                        <w:txbxContent>
                          <w:p w:rsidR="00DB7CC8" w:rsidRDefault="00DB7CC8">
                            <w:pPr>
                              <w:ind w:firstLine="560"/>
                              <w:jc w:val="center"/>
                            </w:pPr>
                          </w:p>
                        </w:txbxContent>
                      </wps:txbx>
                      <wps:bodyPr upright="1"/>
                    </wps:wsp>
                  </a:graphicData>
                </a:graphic>
              </wp:anchor>
            </w:drawing>
          </mc:Choice>
          <mc:Fallback>
            <w:pict>
              <v:rect id="矩形 33" o:spid="_x0000_s1082" style="position:absolute;left:0;text-align:left;margin-left:356.05pt;margin-top:134.35pt;width:9.2pt;height:7.1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" fillcolor="red" strokecolor="red">
                <v:textbox>
                  <w:txbxContent>
                    <w:p w:rsidR="00DB7CC8" w:rsidRDefault="00DB7CC8">
                      <w:pPr>
                        <w:ind w:firstLine="560"/>
                        <w:jc w:val="center"/>
                      </w:pPr>
                    </w:p>
                  </w:txbxContent>
                </v:textbox>
              </v:rect>
            </w:pict>
          </mc:Fallback>
        </mc:AlternateContent>
      </w:r>
      <w:r>
        <w:rPr>
          <w:noProof/>
        </w:rPr>
        <w:drawing>
          <wp:inline distT="0" distB="0" distL="0" distR="0">
            <wp:extent cx="5010150" cy="5600700"/>
            <wp:effectExtent l="0" t="0" r="0" b="0"/>
            <wp:docPr id="60" name="图片 60" descr="地貌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地貌图.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010150" cy="5600700"/>
                    </a:xfrm>
                    <a:prstGeom prst="rect">
                      <a:avLst/>
                    </a:prstGeom>
                    <a:noFill/>
                    <a:ln>
                      <a:noFill/>
                    </a:ln>
                  </pic:spPr>
                </pic:pic>
              </a:graphicData>
            </a:graphic>
          </wp:inline>
        </w:drawing>
      </w:r>
    </w:p>
    <w:p w:rsidR="00DB7CC8" w:rsidRDefault="002B5250">
      <w:pPr>
        <w:ind w:firstLineChars="0" w:firstLine="0"/>
        <w:jc w:val="center"/>
        <w:rPr>
          <w:rFonts w:eastAsia="黑体"/>
          <w:kern w:val="2"/>
          <w:sz w:val="21"/>
          <w:szCs w:val="21"/>
        </w:rPr>
      </w:pPr>
      <w:r>
        <w:rPr>
          <w:rFonts w:eastAsia="黑体" w:hint="eastAsia"/>
          <w:kern w:val="2"/>
          <w:sz w:val="21"/>
          <w:szCs w:val="21"/>
        </w:rPr>
        <w:t>图</w:t>
      </w:r>
      <w:r>
        <w:rPr>
          <w:rFonts w:eastAsia="黑体" w:hint="eastAsia"/>
          <w:kern w:val="2"/>
          <w:sz w:val="21"/>
          <w:szCs w:val="21"/>
        </w:rPr>
        <w:t xml:space="preserve">4.1-2   </w:t>
      </w:r>
      <w:r>
        <w:rPr>
          <w:rFonts w:eastAsia="黑体" w:hint="eastAsia"/>
          <w:kern w:val="2"/>
          <w:sz w:val="21"/>
          <w:szCs w:val="21"/>
        </w:rPr>
        <w:t>遵化市地形地貌图</w:t>
      </w:r>
    </w:p>
    <w:p w:rsidR="00DB7CC8" w:rsidRDefault="002B5250">
      <w:pPr>
        <w:pStyle w:val="3"/>
        <w:numPr>
          <w:ilvl w:val="2"/>
          <w:numId w:val="1"/>
        </w:numPr>
        <w:rPr>
          <w:szCs w:val="28"/>
        </w:rPr>
      </w:pPr>
      <w:bookmarkStart w:id="263" w:name="_Toc468692990"/>
      <w:r>
        <w:rPr>
          <w:rFonts w:hint="eastAsia"/>
          <w:szCs w:val="28"/>
        </w:rPr>
        <w:t>气象</w:t>
      </w:r>
      <w:bookmarkEnd w:id="263"/>
    </w:p>
    <w:p w:rsidR="00DB7CC8" w:rsidRDefault="002B5250">
      <w:pPr>
        <w:spacing w:line="440" w:lineRule="atLeast"/>
        <w:ind w:firstLine="480"/>
        <w:rPr>
          <w:sz w:val="24"/>
        </w:rPr>
      </w:pPr>
      <w:bookmarkStart w:id="264" w:name="_Toc468692991"/>
      <w:r>
        <w:rPr>
          <w:sz w:val="24"/>
        </w:rPr>
        <w:t>本区属于温带半湿润季风气候，四季分明，具有春季干旱多风，夏季炎热多雨，秋季冷暖变化大，冬季寒冷干燥的特点。</w:t>
      </w:r>
    </w:p>
    <w:p w:rsidR="00DB7CC8" w:rsidRDefault="002B5250">
      <w:pPr>
        <w:spacing w:line="440" w:lineRule="atLeast"/>
        <w:ind w:firstLine="480"/>
        <w:rPr>
          <w:sz w:val="24"/>
        </w:rPr>
      </w:pPr>
      <w:r>
        <w:rPr>
          <w:sz w:val="24"/>
        </w:rPr>
        <w:t>常年平均日照时数</w:t>
      </w:r>
      <w:r>
        <w:rPr>
          <w:sz w:val="24"/>
        </w:rPr>
        <w:t>2608.2h</w:t>
      </w:r>
      <w:r>
        <w:rPr>
          <w:sz w:val="24"/>
        </w:rPr>
        <w:t>。多年平均气温</w:t>
      </w:r>
      <w:r>
        <w:rPr>
          <w:sz w:val="24"/>
        </w:rPr>
        <w:t>10.5</w:t>
      </w:r>
      <w:r>
        <w:rPr>
          <w:rFonts w:hAnsi="宋体"/>
          <w:sz w:val="24"/>
        </w:rPr>
        <w:t>℃</w:t>
      </w:r>
      <w:r>
        <w:rPr>
          <w:sz w:val="24"/>
        </w:rPr>
        <w:t>，其中一月份最低，月平均气温－</w:t>
      </w:r>
      <w:r>
        <w:rPr>
          <w:sz w:val="24"/>
        </w:rPr>
        <w:t>5-</w:t>
      </w:r>
      <w:r>
        <w:rPr>
          <w:sz w:val="24"/>
        </w:rPr>
        <w:t>－</w:t>
      </w:r>
      <w:r>
        <w:rPr>
          <w:sz w:val="24"/>
        </w:rPr>
        <w:t>8</w:t>
      </w:r>
      <w:r>
        <w:rPr>
          <w:rFonts w:hAnsi="宋体"/>
          <w:sz w:val="24"/>
        </w:rPr>
        <w:t>℃</w:t>
      </w:r>
      <w:r>
        <w:rPr>
          <w:sz w:val="24"/>
        </w:rPr>
        <w:t>。历年最高气温为</w:t>
      </w:r>
      <w:r>
        <w:rPr>
          <w:sz w:val="24"/>
        </w:rPr>
        <w:t>40.3</w:t>
      </w:r>
      <w:r>
        <w:rPr>
          <w:rFonts w:hAnsi="宋体"/>
          <w:sz w:val="24"/>
        </w:rPr>
        <w:t>℃</w:t>
      </w:r>
      <w:r>
        <w:rPr>
          <w:sz w:val="24"/>
        </w:rPr>
        <w:t>，最低气温为－</w:t>
      </w:r>
      <w:r>
        <w:rPr>
          <w:sz w:val="24"/>
        </w:rPr>
        <w:t>25.7</w:t>
      </w:r>
      <w:r>
        <w:rPr>
          <w:rFonts w:hAnsi="宋体"/>
          <w:sz w:val="24"/>
        </w:rPr>
        <w:t>℃</w:t>
      </w:r>
      <w:r>
        <w:rPr>
          <w:sz w:val="24"/>
        </w:rPr>
        <w:t>。全年无霜期平均</w:t>
      </w:r>
      <w:r>
        <w:rPr>
          <w:sz w:val="24"/>
        </w:rPr>
        <w:t>180d</w:t>
      </w:r>
      <w:r>
        <w:rPr>
          <w:sz w:val="24"/>
        </w:rPr>
        <w:t>，初霜期一般在</w:t>
      </w:r>
      <w:r>
        <w:rPr>
          <w:sz w:val="24"/>
        </w:rPr>
        <w:t>10</w:t>
      </w:r>
      <w:r>
        <w:rPr>
          <w:sz w:val="24"/>
        </w:rPr>
        <w:t>月上旬，终霜期在次年</w:t>
      </w:r>
      <w:r>
        <w:rPr>
          <w:sz w:val="24"/>
        </w:rPr>
        <w:t>4</w:t>
      </w:r>
      <w:r>
        <w:rPr>
          <w:sz w:val="24"/>
        </w:rPr>
        <w:t>月份。</w:t>
      </w:r>
    </w:p>
    <w:p w:rsidR="00DB7CC8" w:rsidRDefault="002B5250">
      <w:pPr>
        <w:spacing w:line="440" w:lineRule="atLeast"/>
        <w:ind w:firstLine="480"/>
        <w:rPr>
          <w:sz w:val="24"/>
        </w:rPr>
      </w:pPr>
      <w:r>
        <w:rPr>
          <w:sz w:val="24"/>
        </w:rPr>
        <w:t>本区降水较丰富，年均降水天数</w:t>
      </w:r>
      <w:r>
        <w:rPr>
          <w:sz w:val="24"/>
        </w:rPr>
        <w:t>73.6d</w:t>
      </w:r>
      <w:r>
        <w:rPr>
          <w:sz w:val="24"/>
        </w:rPr>
        <w:t>，多年平均降水量</w:t>
      </w:r>
      <w:r>
        <w:rPr>
          <w:sz w:val="24"/>
        </w:rPr>
        <w:t>681.8mm</w:t>
      </w:r>
      <w:r>
        <w:rPr>
          <w:sz w:val="24"/>
        </w:rPr>
        <w:t>见（图</w:t>
      </w:r>
      <w:r>
        <w:rPr>
          <w:sz w:val="24"/>
        </w:rPr>
        <w:lastRenderedPageBreak/>
        <w:t>4.1-</w:t>
      </w:r>
      <w:r>
        <w:rPr>
          <w:rFonts w:hint="eastAsia"/>
          <w:sz w:val="24"/>
        </w:rPr>
        <w:t>3</w:t>
      </w:r>
      <w:r>
        <w:rPr>
          <w:sz w:val="24"/>
        </w:rPr>
        <w:t>）。马兰峪一带为河北省的多雨暴雨中心，年降雨最多可达</w:t>
      </w:r>
      <w:r>
        <w:rPr>
          <w:sz w:val="24"/>
        </w:rPr>
        <w:t>1500-1600mm</w:t>
      </w:r>
      <w:r>
        <w:rPr>
          <w:sz w:val="24"/>
        </w:rPr>
        <w:t>，但年际变化较大。由于受季风影响，夏秋两季（</w:t>
      </w:r>
      <w:r>
        <w:rPr>
          <w:sz w:val="24"/>
        </w:rPr>
        <w:t>6</w:t>
      </w:r>
      <w:r>
        <w:rPr>
          <w:sz w:val="24"/>
        </w:rPr>
        <w:t>－</w:t>
      </w:r>
      <w:r>
        <w:rPr>
          <w:sz w:val="24"/>
        </w:rPr>
        <w:t>11</w:t>
      </w:r>
      <w:r>
        <w:rPr>
          <w:sz w:val="24"/>
        </w:rPr>
        <w:t>月）降水量占全年降水量的</w:t>
      </w:r>
      <w:r>
        <w:rPr>
          <w:sz w:val="24"/>
        </w:rPr>
        <w:t>85%</w:t>
      </w:r>
      <w:r>
        <w:rPr>
          <w:sz w:val="24"/>
        </w:rPr>
        <w:t>上，其中以夏季（</w:t>
      </w:r>
      <w:r>
        <w:rPr>
          <w:sz w:val="24"/>
        </w:rPr>
        <w:t>6</w:t>
      </w:r>
      <w:r>
        <w:rPr>
          <w:sz w:val="24"/>
        </w:rPr>
        <w:t>－</w:t>
      </w:r>
      <w:r>
        <w:rPr>
          <w:sz w:val="24"/>
        </w:rPr>
        <w:t>8</w:t>
      </w:r>
      <w:r>
        <w:rPr>
          <w:sz w:val="24"/>
        </w:rPr>
        <w:t>月）雨量最大且集中，并多暴雨，占年降水量的</w:t>
      </w:r>
      <w:r>
        <w:rPr>
          <w:sz w:val="24"/>
        </w:rPr>
        <w:t>74.2</w:t>
      </w:r>
      <w:r>
        <w:rPr>
          <w:sz w:val="24"/>
        </w:rPr>
        <w:t>％。冬春两季雨水量一般小于降水的</w:t>
      </w:r>
      <w:r>
        <w:rPr>
          <w:sz w:val="24"/>
        </w:rPr>
        <w:t>5</w:t>
      </w:r>
      <w:r>
        <w:rPr>
          <w:sz w:val="24"/>
        </w:rPr>
        <w:t>％。降水量年际变幅大是另一突出特点，年最大降水量是年最小降水量和年平均降水的</w:t>
      </w:r>
      <w:r>
        <w:rPr>
          <w:sz w:val="24"/>
        </w:rPr>
        <w:t>3.11</w:t>
      </w:r>
      <w:r>
        <w:rPr>
          <w:sz w:val="24"/>
        </w:rPr>
        <w:t>倍和</w:t>
      </w:r>
      <w:r>
        <w:rPr>
          <w:sz w:val="24"/>
        </w:rPr>
        <w:t>1.74</w:t>
      </w:r>
      <w:r>
        <w:rPr>
          <w:sz w:val="24"/>
        </w:rPr>
        <w:t>倍。</w:t>
      </w:r>
    </w:p>
    <w:p w:rsidR="00DB7CC8" w:rsidRDefault="002B5250">
      <w:pPr>
        <w:spacing w:line="440" w:lineRule="atLeast"/>
        <w:ind w:firstLine="480"/>
        <w:rPr>
          <w:sz w:val="24"/>
        </w:rPr>
      </w:pPr>
      <w:r>
        <w:rPr>
          <w:sz w:val="24"/>
        </w:rPr>
        <w:t>区内多年平均蒸发量（</w:t>
      </w:r>
      <w:r>
        <w:rPr>
          <w:sz w:val="24"/>
        </w:rPr>
        <w:t>20cm</w:t>
      </w:r>
      <w:r>
        <w:rPr>
          <w:sz w:val="24"/>
        </w:rPr>
        <w:t>蒸发皿）</w:t>
      </w:r>
      <w:r>
        <w:rPr>
          <w:sz w:val="24"/>
        </w:rPr>
        <w:t>1598.6mm</w:t>
      </w:r>
      <w:r>
        <w:rPr>
          <w:sz w:val="24"/>
        </w:rPr>
        <w:t>，年内蒸发量</w:t>
      </w:r>
      <w:r>
        <w:rPr>
          <w:sz w:val="24"/>
        </w:rPr>
        <w:t>以</w:t>
      </w:r>
      <w:r>
        <w:rPr>
          <w:sz w:val="24"/>
        </w:rPr>
        <w:t>3-10</w:t>
      </w:r>
      <w:r>
        <w:rPr>
          <w:sz w:val="24"/>
        </w:rPr>
        <w:t>月份较高，尤以</w:t>
      </w:r>
      <w:r>
        <w:rPr>
          <w:sz w:val="24"/>
        </w:rPr>
        <w:t>5</w:t>
      </w:r>
      <w:r>
        <w:rPr>
          <w:sz w:val="24"/>
        </w:rPr>
        <w:t>月份最大，约占全年蒸发量的</w:t>
      </w:r>
      <w:r>
        <w:rPr>
          <w:sz w:val="24"/>
        </w:rPr>
        <w:t>1/5</w:t>
      </w:r>
      <w:r>
        <w:rPr>
          <w:sz w:val="24"/>
        </w:rPr>
        <w:t>。年际蒸发量变化较小，一般丰水年降水量大而蒸发量较小。</w:t>
      </w:r>
    </w:p>
    <w:p w:rsidR="00DB7CC8" w:rsidRDefault="002B5250">
      <w:pPr>
        <w:ind w:leftChars="-171" w:hangingChars="171" w:hanging="479"/>
        <w:jc w:val="center"/>
        <w:rPr>
          <w:rFonts w:ascii="宋体" w:hAnsi="宋体"/>
          <w:sz w:val="24"/>
        </w:rPr>
      </w:pPr>
      <w:r>
        <w:rPr>
          <w:noProof/>
        </w:rPr>
        <w:drawing>
          <wp:inline distT="0" distB="0" distL="114300" distR="114300">
            <wp:extent cx="4381500" cy="2609850"/>
            <wp:effectExtent l="4445" t="4445" r="14605" b="14605"/>
            <wp:docPr id="33" name="图表 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DB7CC8" w:rsidRDefault="002B5250">
      <w:pPr>
        <w:ind w:firstLineChars="0" w:firstLine="0"/>
        <w:jc w:val="center"/>
        <w:rPr>
          <w:rFonts w:eastAsia="黑体"/>
          <w:kern w:val="2"/>
          <w:sz w:val="21"/>
          <w:szCs w:val="21"/>
        </w:rPr>
      </w:pPr>
      <w:r>
        <w:rPr>
          <w:rFonts w:eastAsia="黑体" w:hint="eastAsia"/>
          <w:kern w:val="2"/>
          <w:sz w:val="21"/>
          <w:szCs w:val="21"/>
        </w:rPr>
        <w:t>图</w:t>
      </w:r>
      <w:r>
        <w:rPr>
          <w:rFonts w:eastAsia="黑体" w:hint="eastAsia"/>
          <w:kern w:val="2"/>
          <w:sz w:val="21"/>
          <w:szCs w:val="21"/>
        </w:rPr>
        <w:t xml:space="preserve">4.1-3   </w:t>
      </w:r>
      <w:r>
        <w:rPr>
          <w:rFonts w:eastAsia="黑体" w:hint="eastAsia"/>
          <w:kern w:val="2"/>
          <w:sz w:val="21"/>
          <w:szCs w:val="21"/>
        </w:rPr>
        <w:t>遵化市历年降水量</w:t>
      </w:r>
    </w:p>
    <w:p w:rsidR="00DB7CC8" w:rsidRDefault="002B5250">
      <w:pPr>
        <w:pStyle w:val="3"/>
        <w:numPr>
          <w:ilvl w:val="2"/>
          <w:numId w:val="1"/>
        </w:numPr>
        <w:rPr>
          <w:szCs w:val="28"/>
        </w:rPr>
      </w:pPr>
      <w:r>
        <w:rPr>
          <w:rFonts w:hint="eastAsia"/>
          <w:szCs w:val="28"/>
        </w:rPr>
        <w:t>河流水系</w:t>
      </w:r>
      <w:bookmarkEnd w:id="264"/>
    </w:p>
    <w:p w:rsidR="00DB7CC8" w:rsidRDefault="002B5250">
      <w:pPr>
        <w:spacing w:line="440" w:lineRule="atLeast"/>
        <w:ind w:firstLine="480"/>
        <w:rPr>
          <w:sz w:val="24"/>
        </w:rPr>
      </w:pPr>
      <w:r>
        <w:rPr>
          <w:sz w:val="24"/>
        </w:rPr>
        <w:t>本区河流发育，有大小河流</w:t>
      </w:r>
      <w:r>
        <w:rPr>
          <w:sz w:val="24"/>
        </w:rPr>
        <w:t>37</w:t>
      </w:r>
      <w:r>
        <w:rPr>
          <w:sz w:val="24"/>
        </w:rPr>
        <w:t>条，按河系可划分为淋河、沙河、黎河、还乡河和洒河五大河系，分属于滦河和蓟运河两大流域河系。纵贯全区的淋河、沙河、黎河三条河均属蓟运河水系，发源于北盆地北部和东部山区，向西循果河汇入于桥水库。</w:t>
      </w:r>
    </w:p>
    <w:p w:rsidR="00DB7CC8" w:rsidRDefault="002B5250">
      <w:pPr>
        <w:spacing w:line="440" w:lineRule="atLeast"/>
        <w:ind w:firstLine="480"/>
        <w:rPr>
          <w:sz w:val="24"/>
        </w:rPr>
      </w:pPr>
      <w:r>
        <w:rPr>
          <w:sz w:val="24"/>
        </w:rPr>
        <w:t>淋河全长</w:t>
      </w:r>
      <w:r>
        <w:rPr>
          <w:sz w:val="24"/>
        </w:rPr>
        <w:t>35km</w:t>
      </w:r>
      <w:r>
        <w:rPr>
          <w:sz w:val="24"/>
        </w:rPr>
        <w:t>，流域面积</w:t>
      </w:r>
      <w:r>
        <w:rPr>
          <w:sz w:val="24"/>
        </w:rPr>
        <w:t>400km</w:t>
      </w:r>
      <w:r>
        <w:rPr>
          <w:sz w:val="24"/>
          <w:vertAlign w:val="superscript"/>
        </w:rPr>
        <w:t>2</w:t>
      </w:r>
      <w:r>
        <w:rPr>
          <w:sz w:val="24"/>
        </w:rPr>
        <w:t>，年迳流量</w:t>
      </w:r>
      <w:r>
        <w:rPr>
          <w:sz w:val="24"/>
        </w:rPr>
        <w:t>0.410×10</w:t>
      </w:r>
      <w:r>
        <w:rPr>
          <w:sz w:val="24"/>
          <w:vertAlign w:val="superscript"/>
        </w:rPr>
        <w:t>8</w:t>
      </w:r>
      <w:r>
        <w:rPr>
          <w:sz w:val="24"/>
        </w:rPr>
        <w:t>m</w:t>
      </w:r>
      <w:r>
        <w:rPr>
          <w:sz w:val="24"/>
          <w:vertAlign w:val="superscript"/>
        </w:rPr>
        <w:t>3</w:t>
      </w:r>
      <w:r>
        <w:rPr>
          <w:sz w:val="24"/>
        </w:rPr>
        <w:t>；沙河全长</w:t>
      </w:r>
      <w:r>
        <w:rPr>
          <w:sz w:val="24"/>
        </w:rPr>
        <w:t>56km</w:t>
      </w:r>
      <w:r>
        <w:rPr>
          <w:sz w:val="24"/>
        </w:rPr>
        <w:t>，流域面积</w:t>
      </w:r>
      <w:r>
        <w:rPr>
          <w:sz w:val="24"/>
        </w:rPr>
        <w:t>850km</w:t>
      </w:r>
      <w:r>
        <w:rPr>
          <w:sz w:val="24"/>
          <w:vertAlign w:val="superscript"/>
        </w:rPr>
        <w:t>2</w:t>
      </w:r>
      <w:r>
        <w:rPr>
          <w:sz w:val="24"/>
        </w:rPr>
        <w:t>，年迳流量</w:t>
      </w:r>
      <w:r>
        <w:rPr>
          <w:sz w:val="24"/>
        </w:rPr>
        <w:t>1.05</w:t>
      </w:r>
      <w:r>
        <w:rPr>
          <w:sz w:val="24"/>
        </w:rPr>
        <w:t>3×10</w:t>
      </w:r>
      <w:r>
        <w:rPr>
          <w:sz w:val="24"/>
          <w:vertAlign w:val="superscript"/>
        </w:rPr>
        <w:t>8</w:t>
      </w:r>
      <w:r>
        <w:rPr>
          <w:sz w:val="24"/>
        </w:rPr>
        <w:t>m</w:t>
      </w:r>
      <w:r>
        <w:rPr>
          <w:sz w:val="24"/>
          <w:vertAlign w:val="superscript"/>
        </w:rPr>
        <w:t>3</w:t>
      </w:r>
      <w:r>
        <w:rPr>
          <w:sz w:val="24"/>
        </w:rPr>
        <w:t>；黎河全长</w:t>
      </w:r>
      <w:r>
        <w:rPr>
          <w:sz w:val="24"/>
        </w:rPr>
        <w:t>64km</w:t>
      </w:r>
      <w:r>
        <w:rPr>
          <w:sz w:val="24"/>
        </w:rPr>
        <w:t>，流域面积</w:t>
      </w:r>
      <w:r>
        <w:rPr>
          <w:sz w:val="24"/>
        </w:rPr>
        <w:t>800km</w:t>
      </w:r>
      <w:r>
        <w:rPr>
          <w:sz w:val="24"/>
          <w:vertAlign w:val="superscript"/>
        </w:rPr>
        <w:t>2</w:t>
      </w:r>
      <w:r>
        <w:rPr>
          <w:sz w:val="24"/>
        </w:rPr>
        <w:t>，年迳流量</w:t>
      </w:r>
      <w:r>
        <w:rPr>
          <w:sz w:val="24"/>
        </w:rPr>
        <w:t>6.236×10</w:t>
      </w:r>
      <w:r>
        <w:rPr>
          <w:sz w:val="24"/>
          <w:vertAlign w:val="superscript"/>
        </w:rPr>
        <w:t>8</w:t>
      </w:r>
      <w:r>
        <w:rPr>
          <w:sz w:val="24"/>
        </w:rPr>
        <w:t>m</w:t>
      </w:r>
      <w:r>
        <w:rPr>
          <w:sz w:val="24"/>
          <w:vertAlign w:val="superscript"/>
        </w:rPr>
        <w:t>3</w:t>
      </w:r>
      <w:r>
        <w:rPr>
          <w:sz w:val="24"/>
        </w:rPr>
        <w:t>，为引滦输入河道。除黎河外，淋河和沙河为季节性河流，汛期泄洪量较大。由于上游都已建水库，流量受人工调节。</w:t>
      </w:r>
    </w:p>
    <w:p w:rsidR="00DB7CC8" w:rsidRDefault="002B5250">
      <w:pPr>
        <w:spacing w:line="440" w:lineRule="atLeast"/>
        <w:ind w:firstLine="480"/>
        <w:rPr>
          <w:sz w:val="24"/>
        </w:rPr>
      </w:pPr>
      <w:r>
        <w:rPr>
          <w:sz w:val="24"/>
        </w:rPr>
        <w:t>全市有中小型水库</w:t>
      </w:r>
      <w:r>
        <w:rPr>
          <w:sz w:val="24"/>
        </w:rPr>
        <w:t>22</w:t>
      </w:r>
      <w:r>
        <w:rPr>
          <w:sz w:val="24"/>
        </w:rPr>
        <w:t>座，较大的水库有般若院水库、上关水库、龙门口水库等</w:t>
      </w:r>
      <w:r>
        <w:rPr>
          <w:rFonts w:hint="eastAsia"/>
          <w:sz w:val="24"/>
        </w:rPr>
        <w:t>（详见图</w:t>
      </w:r>
      <w:r>
        <w:rPr>
          <w:rFonts w:hint="eastAsia"/>
          <w:sz w:val="24"/>
        </w:rPr>
        <w:t>4.1-4</w:t>
      </w:r>
      <w:r>
        <w:rPr>
          <w:rFonts w:hint="eastAsia"/>
          <w:sz w:val="24"/>
        </w:rPr>
        <w:t>）</w:t>
      </w:r>
      <w:r>
        <w:rPr>
          <w:sz w:val="24"/>
        </w:rPr>
        <w:t>。</w:t>
      </w:r>
    </w:p>
    <w:p w:rsidR="00DB7CC8" w:rsidRDefault="00DB7CC8">
      <w:pPr>
        <w:spacing w:line="440" w:lineRule="atLeast"/>
        <w:ind w:firstLine="480"/>
        <w:rPr>
          <w:sz w:val="24"/>
        </w:rPr>
      </w:pPr>
    </w:p>
    <w:p w:rsidR="00DB7CC8" w:rsidRDefault="002B5250">
      <w:pPr>
        <w:ind w:firstLineChars="0" w:firstLine="0"/>
        <w:rPr>
          <w:sz w:val="24"/>
        </w:rPr>
      </w:pPr>
      <w:r>
        <w:rPr>
          <w:rFonts w:eastAsia="黑体"/>
          <w:noProof/>
          <w:kern w:val="2"/>
          <w:sz w:val="21"/>
          <w:szCs w:val="21"/>
        </w:rPr>
        <w:lastRenderedPageBreak/>
        <mc:AlternateContent>
          <mc:Choice Requires="wps">
            <w:drawing>
              <wp:anchor distT="0" distB="0" distL="114300" distR="114300" simplePos="0" relativeHeight="251670528" behindDoc="0" locked="0" layoutInCell="1" allowOverlap="1">
                <wp:simplePos x="0" y="0"/>
                <wp:positionH relativeFrom="column">
                  <wp:posOffset>3897630</wp:posOffset>
                </wp:positionH>
                <wp:positionV relativeFrom="paragraph">
                  <wp:posOffset>1669415</wp:posOffset>
                </wp:positionV>
                <wp:extent cx="116840" cy="90805"/>
                <wp:effectExtent l="4445" t="4445" r="12065" b="19050"/>
                <wp:wrapNone/>
                <wp:docPr id="113" name="矩形 1175"/>
                <wp:cNvGraphicFramePr/>
                <a:graphic xmlns:a="http://schemas.openxmlformats.org/drawingml/2006/main">
                  <a:graphicData uri="http://schemas.microsoft.com/office/word/2010/wordprocessingShape">
                    <wps:wsp>
                      <wps:cNvSpPr/>
                      <wps:spPr>
                        <a:xfrm>
                          <a:off x="0" y="0"/>
                          <a:ext cx="116840" cy="90805"/>
                        </a:xfrm>
                        <a:prstGeom prst="rect">
                          <a:avLst/>
                        </a:prstGeom>
                        <a:solidFill>
                          <a:srgbClr val="FF0000"/>
                        </a:solidFill>
                        <a:ln w="9525" cap="flat" cmpd="sng">
                          <a:solidFill>
                            <a:srgbClr val="FF0000"/>
                          </a:solidFill>
                          <a:prstDash val="solid"/>
                          <a:miter/>
                          <a:headEnd type="none" w="med" len="med"/>
                          <a:tailEnd type="none" w="med" len="med"/>
                        </a:ln>
                      </wps:spPr>
                      <wps:txbx>
                        <w:txbxContent>
                          <w:p w:rsidR="00DB7CC8" w:rsidRDefault="00DB7CC8">
                            <w:pPr>
                              <w:ind w:firstLine="560"/>
                              <w:jc w:val="center"/>
                            </w:pPr>
                          </w:p>
                        </w:txbxContent>
                      </wps:txbx>
                      <wps:bodyPr upright="1"/>
                    </wps:wsp>
                  </a:graphicData>
                </a:graphic>
              </wp:anchor>
            </w:drawing>
          </mc:Choice>
          <mc:Fallback>
            <w:pict>
              <v:rect id="矩形 1175" o:spid="_x0000_s1083" style="position:absolute;margin-left:306.9pt;margin-top:131.45pt;width:9.2pt;height:7.1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" fillcolor="red" strokecolor="red">
                <v:textbox>
                  <w:txbxContent>
                    <w:p w:rsidR="00DB7CC8" w:rsidRDefault="00DB7CC8">
                      <w:pPr>
                        <w:ind w:firstLine="560"/>
                        <w:jc w:val="center"/>
                      </w:pPr>
                    </w:p>
                  </w:txbxContent>
                </v:textbox>
              </v:rect>
            </w:pict>
          </mc:Fallback>
        </mc:AlternateContent>
      </w:r>
      <w:r>
        <w:rPr>
          <w:rFonts w:eastAsia="黑体"/>
          <w:noProof/>
          <w:kern w:val="2"/>
          <w:sz w:val="21"/>
          <w:szCs w:val="21"/>
        </w:rPr>
        <mc:AlternateContent>
          <mc:Choice Requires="wps">
            <w:drawing>
              <wp:anchor distT="0" distB="0" distL="114300" distR="114300" simplePos="0" relativeHeight="251669504" behindDoc="0" locked="0" layoutInCell="1" allowOverlap="1">
                <wp:simplePos x="0" y="0"/>
                <wp:positionH relativeFrom="column">
                  <wp:posOffset>3141980</wp:posOffset>
                </wp:positionH>
                <wp:positionV relativeFrom="paragraph">
                  <wp:posOffset>2150110</wp:posOffset>
                </wp:positionV>
                <wp:extent cx="872490" cy="263525"/>
                <wp:effectExtent l="4445" t="402590" r="18415" b="19685"/>
                <wp:wrapNone/>
                <wp:docPr id="112" name="自选图形 1174"/>
                <wp:cNvGraphicFramePr/>
                <a:graphic xmlns:a="http://schemas.openxmlformats.org/drawingml/2006/main">
                  <a:graphicData uri="http://schemas.microsoft.com/office/word/2010/wordprocessingShape">
                    <wps:wsp>
                      <wps:cNvSpPr/>
                      <wps:spPr>
                        <a:xfrm>
                          <a:off x="0" y="0"/>
                          <a:ext cx="872490" cy="263525"/>
                        </a:xfrm>
                        <a:prstGeom prst="wedgeRectCallout">
                          <a:avLst>
                            <a:gd name="adj1" fmla="val 35153"/>
                            <a:gd name="adj2" fmla="val -195782"/>
                          </a:avLst>
                        </a:prstGeom>
                        <a:noFill/>
                        <a:ln w="9525" cap="flat" cmpd="sng">
                          <a:solidFill>
                            <a:srgbClr val="000000"/>
                          </a:solidFill>
                          <a:prstDash val="solid"/>
                          <a:miter/>
                          <a:headEnd type="none" w="med" len="med"/>
                          <a:tailEnd type="none" w="med" len="med"/>
                        </a:ln>
                      </wps:spPr>
                      <wps:txbx>
                        <w:txbxContent>
                          <w:p w:rsidR="00DB7CC8" w:rsidRDefault="002B5250">
                            <w:pPr>
                              <w:spacing w:line="240" w:lineRule="atLeast"/>
                              <w:ind w:firstLineChars="0" w:firstLine="0"/>
                              <w:jc w:val="center"/>
                              <w:rPr>
                                <w:sz w:val="21"/>
                                <w:szCs w:val="21"/>
                              </w:rPr>
                            </w:pPr>
                            <w:r>
                              <w:rPr>
                                <w:rFonts w:hint="eastAsia"/>
                                <w:sz w:val="21"/>
                                <w:szCs w:val="21"/>
                              </w:rPr>
                              <w:t>项目位置</w:t>
                            </w:r>
                          </w:p>
                        </w:txbxContent>
                      </wps:txbx>
                      <wps:bodyPr upright="1"/>
                    </wps:wsp>
                  </a:graphicData>
                </a:graphic>
              </wp:anchor>
            </w:drawing>
          </mc:Choice>
          <mc:Fallback>
            <w:pict>
              <v:shape id="自选图形 1174" o:spid="_x0000_s1084" type="#_x0000_t61" style="position:absolute;margin-left:247.4pt;margin-top:169.3pt;width:68.7pt;height:20.7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" adj="18393,-31489" filled="f">
                <v:textbox>
                  <w:txbxContent>
                    <w:p w:rsidR="00DB7CC8" w:rsidRDefault="002B5250">
                      <w:pPr>
                        <w:spacing w:line="240" w:lineRule="atLeast"/>
                        <w:ind w:firstLineChars="0" w:firstLine="0"/>
                        <w:jc w:val="center"/>
                        <w:rPr>
                          <w:sz w:val="21"/>
                          <w:szCs w:val="21"/>
                        </w:rPr>
                      </w:pPr>
                      <w:r>
                        <w:rPr>
                          <w:rFonts w:hint="eastAsia"/>
                          <w:sz w:val="21"/>
                          <w:szCs w:val="21"/>
                        </w:rPr>
                        <w:t>项目位置</w:t>
                      </w:r>
                    </w:p>
                  </w:txbxContent>
                </v:textbox>
              </v:shape>
            </w:pict>
          </mc:Fallback>
        </mc:AlternateContent>
      </w:r>
      <w:r>
        <w:rPr>
          <w:rFonts w:hint="eastAsia"/>
          <w:noProof/>
          <w:sz w:val="24"/>
        </w:rPr>
        <w:drawing>
          <wp:inline distT="0" distB="0" distL="0" distR="0">
            <wp:extent cx="5648325" cy="4076700"/>
            <wp:effectExtent l="0" t="0" r="0" b="0"/>
            <wp:docPr id="58" name="图片 58" descr="图4.2-1  区域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4.2-1  区域水系图"/>
                    <pic:cNvPicPr>
                      <a:picLocks noChangeAspect="1" noChangeArrowheads="1"/>
                    </pic:cNvPicPr>
                  </pic:nvPicPr>
                  <pic:blipFill>
                    <a:blip r:embed="rId48">
                      <a:extLst>
                        <a:ext uri="{28A0092B-C50C-407E-A947-70E740481C1C}">
                          <a14:useLocalDpi xmlns:a14="http://schemas.microsoft.com/office/drawing/2010/main" val="0"/>
                        </a:ext>
                      </a:extLst>
                    </a:blip>
                    <a:srcRect b="5780"/>
                    <a:stretch>
                      <a:fillRect/>
                    </a:stretch>
                  </pic:blipFill>
                  <pic:spPr>
                    <a:xfrm>
                      <a:off x="0" y="0"/>
                      <a:ext cx="5648325" cy="4076700"/>
                    </a:xfrm>
                    <a:prstGeom prst="rect">
                      <a:avLst/>
                    </a:prstGeom>
                    <a:noFill/>
                    <a:ln>
                      <a:noFill/>
                    </a:ln>
                  </pic:spPr>
                </pic:pic>
              </a:graphicData>
            </a:graphic>
          </wp:inline>
        </w:drawing>
      </w:r>
    </w:p>
    <w:bookmarkEnd w:id="262"/>
    <w:p w:rsidR="00DB7CC8" w:rsidRDefault="002B5250">
      <w:pPr>
        <w:ind w:firstLineChars="0" w:firstLine="0"/>
        <w:jc w:val="center"/>
        <w:rPr>
          <w:rFonts w:eastAsia="黑体"/>
          <w:kern w:val="2"/>
          <w:sz w:val="21"/>
          <w:szCs w:val="21"/>
        </w:rPr>
      </w:pPr>
      <w:r>
        <w:rPr>
          <w:rFonts w:eastAsia="黑体"/>
          <w:kern w:val="2"/>
          <w:sz w:val="21"/>
          <w:szCs w:val="21"/>
        </w:rPr>
        <w:t>图</w:t>
      </w:r>
      <w:r>
        <w:rPr>
          <w:rFonts w:eastAsia="黑体"/>
          <w:kern w:val="2"/>
          <w:sz w:val="21"/>
          <w:szCs w:val="21"/>
        </w:rPr>
        <w:t xml:space="preserve">4.1-4  </w:t>
      </w:r>
      <w:r>
        <w:rPr>
          <w:rFonts w:eastAsia="黑体" w:hint="eastAsia"/>
          <w:kern w:val="2"/>
          <w:sz w:val="21"/>
          <w:szCs w:val="21"/>
        </w:rPr>
        <w:t xml:space="preserve"> </w:t>
      </w:r>
      <w:r>
        <w:rPr>
          <w:rFonts w:eastAsia="黑体"/>
          <w:kern w:val="2"/>
          <w:sz w:val="21"/>
          <w:szCs w:val="21"/>
        </w:rPr>
        <w:t>遵化市河流水系</w:t>
      </w:r>
    </w:p>
    <w:p w:rsidR="00DB7CC8" w:rsidRDefault="002B5250">
      <w:pPr>
        <w:pStyle w:val="3"/>
        <w:numPr>
          <w:ilvl w:val="2"/>
          <w:numId w:val="1"/>
        </w:numPr>
        <w:rPr>
          <w:szCs w:val="28"/>
        </w:rPr>
      </w:pPr>
      <w:bookmarkStart w:id="265" w:name="_Toc29014"/>
      <w:bookmarkStart w:id="266" w:name="_Toc521591778"/>
      <w:r>
        <w:rPr>
          <w:rFonts w:hint="eastAsia"/>
          <w:szCs w:val="28"/>
        </w:rPr>
        <w:t>区域地质概况</w:t>
      </w:r>
      <w:bookmarkEnd w:id="265"/>
      <w:bookmarkEnd w:id="266"/>
    </w:p>
    <w:p w:rsidR="00DB7CC8" w:rsidRDefault="002B5250">
      <w:pPr>
        <w:pStyle w:val="4"/>
        <w:rPr>
          <w:rFonts w:eastAsia="宋体"/>
          <w:b/>
          <w:szCs w:val="24"/>
        </w:rPr>
      </w:pPr>
      <w:bookmarkStart w:id="267" w:name="_Toc195428537"/>
      <w:bookmarkStart w:id="268" w:name="_Toc294202409"/>
      <w:bookmarkStart w:id="269" w:name="_Toc294465477"/>
      <w:r>
        <w:rPr>
          <w:rFonts w:eastAsia="宋体"/>
          <w:b/>
          <w:szCs w:val="24"/>
        </w:rPr>
        <w:t>4.1.5.1</w:t>
      </w:r>
      <w:r>
        <w:rPr>
          <w:rFonts w:eastAsia="宋体"/>
          <w:b/>
          <w:szCs w:val="24"/>
        </w:rPr>
        <w:t>基岩地质</w:t>
      </w:r>
      <w:bookmarkEnd w:id="267"/>
      <w:bookmarkEnd w:id="268"/>
      <w:bookmarkEnd w:id="269"/>
    </w:p>
    <w:p w:rsidR="00DB7CC8" w:rsidRDefault="002B5250">
      <w:pPr>
        <w:spacing w:line="440" w:lineRule="atLeast"/>
        <w:ind w:firstLine="480"/>
        <w:rPr>
          <w:sz w:val="24"/>
        </w:rPr>
      </w:pPr>
      <w:bookmarkStart w:id="270" w:name="_Toc294465478"/>
      <w:bookmarkStart w:id="271" w:name="_Toc294202410"/>
      <w:bookmarkStart w:id="272" w:name="_Toc195428538"/>
      <w:r>
        <w:rPr>
          <w:rFonts w:hAnsi="宋体"/>
          <w:sz w:val="24"/>
        </w:rPr>
        <w:t>本区出露的地层主要为北部的太古界和南部的中元古界长城系和蓟县系。而在盆地中沉积了较厚的第四系。现由老至新简述如下：</w:t>
      </w:r>
    </w:p>
    <w:p w:rsidR="00DB7CC8" w:rsidRDefault="002B5250">
      <w:pPr>
        <w:spacing w:line="440" w:lineRule="atLeast"/>
        <w:ind w:firstLine="480"/>
        <w:rPr>
          <w:sz w:val="24"/>
        </w:rPr>
      </w:pPr>
      <w:r>
        <w:rPr>
          <w:rFonts w:hAnsi="宋体"/>
          <w:sz w:val="24"/>
        </w:rPr>
        <w:t>①</w:t>
      </w:r>
      <w:r>
        <w:rPr>
          <w:rFonts w:hAnsi="宋体"/>
          <w:sz w:val="24"/>
        </w:rPr>
        <w:t>太古界</w:t>
      </w:r>
      <w:r>
        <w:rPr>
          <w:rFonts w:hAnsi="宋体" w:hint="eastAsia"/>
          <w:sz w:val="24"/>
        </w:rPr>
        <w:t>（</w:t>
      </w:r>
      <w:r>
        <w:rPr>
          <w:rFonts w:hAnsi="宋体" w:hint="eastAsia"/>
          <w:sz w:val="24"/>
        </w:rPr>
        <w:t>Ar</w:t>
      </w:r>
      <w:r>
        <w:rPr>
          <w:rFonts w:hAnsi="宋体" w:hint="eastAsia"/>
          <w:sz w:val="24"/>
        </w:rPr>
        <w:t>）</w:t>
      </w:r>
    </w:p>
    <w:p w:rsidR="00DB7CC8" w:rsidRDefault="002B5250">
      <w:pPr>
        <w:spacing w:line="440" w:lineRule="atLeast"/>
        <w:ind w:firstLine="480"/>
        <w:rPr>
          <w:sz w:val="24"/>
        </w:rPr>
      </w:pPr>
      <w:r>
        <w:rPr>
          <w:rFonts w:hAnsi="宋体"/>
          <w:sz w:val="24"/>
        </w:rPr>
        <w:t>在本区北部有出露，主要由各种片麻岩和混合岩组成，片麻理走向近南北，倾角一般大于</w:t>
      </w:r>
      <w:r>
        <w:rPr>
          <w:sz w:val="24"/>
        </w:rPr>
        <w:t>80°</w:t>
      </w:r>
      <w:r>
        <w:rPr>
          <w:rFonts w:hAnsi="宋体"/>
          <w:sz w:val="24"/>
        </w:rPr>
        <w:t>。</w:t>
      </w:r>
    </w:p>
    <w:p w:rsidR="00DB7CC8" w:rsidRDefault="002B5250">
      <w:pPr>
        <w:spacing w:line="440" w:lineRule="atLeast"/>
        <w:ind w:firstLine="480"/>
        <w:rPr>
          <w:sz w:val="24"/>
        </w:rPr>
      </w:pPr>
      <w:r>
        <w:rPr>
          <w:rFonts w:hAnsi="宋体"/>
          <w:sz w:val="24"/>
        </w:rPr>
        <w:t>②</w:t>
      </w:r>
      <w:r>
        <w:rPr>
          <w:rFonts w:hAnsi="宋体"/>
          <w:sz w:val="24"/>
        </w:rPr>
        <w:t>中元古界</w:t>
      </w:r>
    </w:p>
    <w:p w:rsidR="00DB7CC8" w:rsidRDefault="002B5250">
      <w:pPr>
        <w:spacing w:line="440" w:lineRule="atLeast"/>
        <w:ind w:firstLine="480"/>
        <w:rPr>
          <w:sz w:val="24"/>
        </w:rPr>
      </w:pPr>
      <w:r>
        <w:rPr>
          <w:rFonts w:hAnsi="宋体"/>
          <w:sz w:val="24"/>
        </w:rPr>
        <w:t>长城系（</w:t>
      </w:r>
      <w:r>
        <w:rPr>
          <w:sz w:val="24"/>
        </w:rPr>
        <w:t>Ch</w:t>
      </w:r>
      <w:r>
        <w:rPr>
          <w:rFonts w:hAnsi="宋体"/>
          <w:sz w:val="24"/>
        </w:rPr>
        <w:t>）</w:t>
      </w:r>
      <w:r>
        <w:rPr>
          <w:rFonts w:hint="eastAsia"/>
          <w:sz w:val="24"/>
        </w:rPr>
        <w:t>：</w:t>
      </w:r>
    </w:p>
    <w:p w:rsidR="00DB7CC8" w:rsidRDefault="002B5250">
      <w:pPr>
        <w:spacing w:line="440" w:lineRule="atLeast"/>
        <w:ind w:firstLine="480"/>
        <w:rPr>
          <w:sz w:val="24"/>
        </w:rPr>
      </w:pPr>
      <w:r>
        <w:rPr>
          <w:rFonts w:hAnsi="宋体"/>
          <w:sz w:val="24"/>
        </w:rPr>
        <w:t>主要出露于笔架山－白草顶－天台山以南的广大地区，其中高于庄组伏于盆地的下部，总厚</w:t>
      </w:r>
      <w:r>
        <w:rPr>
          <w:sz w:val="24"/>
        </w:rPr>
        <w:t>3746</w:t>
      </w:r>
      <w:r>
        <w:rPr>
          <w:rFonts w:hAnsi="宋体"/>
          <w:sz w:val="24"/>
        </w:rPr>
        <w:t>-</w:t>
      </w:r>
      <w:r>
        <w:rPr>
          <w:sz w:val="24"/>
        </w:rPr>
        <w:t>4799m</w:t>
      </w:r>
      <w:r>
        <w:rPr>
          <w:rFonts w:hAnsi="宋体"/>
          <w:sz w:val="24"/>
        </w:rPr>
        <w:t>，自下而上由碎屑岩过度为碳酸盐岩，据岩石组合，可分为常州沟组（</w:t>
      </w:r>
      <w:r>
        <w:rPr>
          <w:sz w:val="24"/>
        </w:rPr>
        <w:t>Chc</w:t>
      </w:r>
      <w:r>
        <w:rPr>
          <w:rFonts w:hAnsi="宋体"/>
          <w:sz w:val="24"/>
        </w:rPr>
        <w:t>）、串岭沟组（</w:t>
      </w:r>
      <w:r>
        <w:rPr>
          <w:sz w:val="24"/>
        </w:rPr>
        <w:t>Ch</w:t>
      </w:r>
      <w:r>
        <w:rPr>
          <w:i/>
          <w:sz w:val="24"/>
        </w:rPr>
        <w:t>ch</w:t>
      </w:r>
      <w:r>
        <w:rPr>
          <w:rFonts w:hAnsi="宋体"/>
          <w:sz w:val="24"/>
        </w:rPr>
        <w:t>）、团山子组（</w:t>
      </w:r>
      <w:r>
        <w:rPr>
          <w:sz w:val="24"/>
        </w:rPr>
        <w:t>Ch</w:t>
      </w:r>
      <w:r>
        <w:rPr>
          <w:i/>
          <w:sz w:val="24"/>
        </w:rPr>
        <w:t>t</w:t>
      </w:r>
      <w:r>
        <w:rPr>
          <w:rFonts w:hAnsi="宋体"/>
          <w:sz w:val="24"/>
        </w:rPr>
        <w:t>）、大红峪组（</w:t>
      </w:r>
      <w:r>
        <w:rPr>
          <w:sz w:val="24"/>
        </w:rPr>
        <w:t>Ch</w:t>
      </w:r>
      <w:r>
        <w:rPr>
          <w:i/>
          <w:sz w:val="24"/>
        </w:rPr>
        <w:t>d</w:t>
      </w:r>
      <w:r>
        <w:rPr>
          <w:rFonts w:hAnsi="宋体"/>
          <w:sz w:val="24"/>
        </w:rPr>
        <w:t>）、高于庄组（</w:t>
      </w:r>
      <w:r>
        <w:rPr>
          <w:sz w:val="24"/>
        </w:rPr>
        <w:t>Ch</w:t>
      </w:r>
      <w:r>
        <w:rPr>
          <w:i/>
          <w:sz w:val="24"/>
        </w:rPr>
        <w:t>g</w:t>
      </w:r>
      <w:r>
        <w:rPr>
          <w:rFonts w:hAnsi="宋体"/>
          <w:sz w:val="24"/>
        </w:rPr>
        <w:t>）五个组。</w:t>
      </w:r>
    </w:p>
    <w:p w:rsidR="00DB7CC8" w:rsidRDefault="002B5250">
      <w:pPr>
        <w:spacing w:line="440" w:lineRule="atLeast"/>
        <w:ind w:firstLine="480"/>
        <w:rPr>
          <w:sz w:val="24"/>
        </w:rPr>
      </w:pPr>
      <w:r>
        <w:rPr>
          <w:rFonts w:hAnsi="宋体"/>
          <w:sz w:val="24"/>
        </w:rPr>
        <w:t>蓟县系（</w:t>
      </w:r>
      <w:r>
        <w:rPr>
          <w:sz w:val="24"/>
        </w:rPr>
        <w:t>Jx</w:t>
      </w:r>
      <w:r>
        <w:rPr>
          <w:rFonts w:hAnsi="宋体"/>
          <w:sz w:val="24"/>
        </w:rPr>
        <w:t>）</w:t>
      </w:r>
      <w:r>
        <w:rPr>
          <w:rFonts w:hint="eastAsia"/>
          <w:sz w:val="24"/>
        </w:rPr>
        <w:t>：</w:t>
      </w:r>
    </w:p>
    <w:p w:rsidR="00DB7CC8" w:rsidRDefault="002B5250">
      <w:pPr>
        <w:spacing w:line="440" w:lineRule="atLeast"/>
        <w:ind w:firstLine="480"/>
        <w:rPr>
          <w:rFonts w:hAnsi="宋体"/>
          <w:sz w:val="24"/>
        </w:rPr>
      </w:pPr>
      <w:r>
        <w:rPr>
          <w:rFonts w:hAnsi="宋体"/>
          <w:sz w:val="24"/>
        </w:rPr>
        <w:t>在本区只见有杨庄组和雾迷山组。主要岩性为白云岩及碳酸盐岩。</w:t>
      </w:r>
    </w:p>
    <w:p w:rsidR="00DB7CC8" w:rsidRDefault="002B5250">
      <w:pPr>
        <w:pStyle w:val="4"/>
        <w:keepNext w:val="0"/>
        <w:keepLines w:val="0"/>
        <w:rPr>
          <w:rFonts w:eastAsia="宋体"/>
          <w:b/>
          <w:szCs w:val="24"/>
        </w:rPr>
      </w:pPr>
      <w:r>
        <w:rPr>
          <w:rFonts w:eastAsia="宋体"/>
          <w:b/>
          <w:szCs w:val="24"/>
        </w:rPr>
        <w:t>4.1.5.2</w:t>
      </w:r>
      <w:r>
        <w:rPr>
          <w:rFonts w:eastAsia="宋体"/>
          <w:b/>
          <w:szCs w:val="24"/>
        </w:rPr>
        <w:t>第四纪地质</w:t>
      </w:r>
      <w:bookmarkEnd w:id="270"/>
      <w:bookmarkEnd w:id="271"/>
      <w:bookmarkEnd w:id="272"/>
    </w:p>
    <w:p w:rsidR="00DB7CC8" w:rsidRDefault="002B5250">
      <w:pPr>
        <w:ind w:firstLine="480"/>
        <w:rPr>
          <w:sz w:val="24"/>
        </w:rPr>
      </w:pPr>
      <w:r>
        <w:rPr>
          <w:sz w:val="24"/>
        </w:rPr>
        <w:lastRenderedPageBreak/>
        <w:t>（</w:t>
      </w:r>
      <w:r>
        <w:rPr>
          <w:sz w:val="24"/>
        </w:rPr>
        <w:t>1</w:t>
      </w:r>
      <w:r>
        <w:rPr>
          <w:sz w:val="24"/>
        </w:rPr>
        <w:t>）第四系沉积古地理特征</w:t>
      </w:r>
    </w:p>
    <w:p w:rsidR="00DB7CC8" w:rsidRDefault="002B5250">
      <w:pPr>
        <w:ind w:firstLine="480"/>
        <w:rPr>
          <w:sz w:val="24"/>
        </w:rPr>
      </w:pPr>
      <w:r>
        <w:rPr>
          <w:sz w:val="24"/>
        </w:rPr>
        <w:t>遵化盆地是一个封闭的盆地，是在以太古界、长城系为主的古老基岩夷平面上发育起来的第四纪断陷盆地。由中部弧形山分成南北两个盆地，北盆地地势较高，以冲洪积近源粗粒相为主。南盆地地势较低，受水文网的切割，是北盆地的泄水区，由于地势的封闭性，以冲积湖积相为主，沉积厚度较大，据钻孔揭露，厚度大于</w:t>
      </w:r>
      <w:r>
        <w:rPr>
          <w:sz w:val="24"/>
        </w:rPr>
        <w:t>250m</w:t>
      </w:r>
      <w:r>
        <w:rPr>
          <w:sz w:val="24"/>
        </w:rPr>
        <w:t>。受基底拗陷深度的控制，第四系厚度自西向东和由南北两侧向中心增大。同时基底表面不平，低洼处形成厚层粘土及含砾粘土堆积，而在隆起处遭受削蚀，以后堆积粗粒层，往往形成基岩</w:t>
      </w:r>
      <w:r>
        <w:rPr>
          <w:sz w:val="24"/>
        </w:rPr>
        <w:t>“</w:t>
      </w:r>
      <w:r>
        <w:rPr>
          <w:sz w:val="24"/>
        </w:rPr>
        <w:t>天窗带</w:t>
      </w:r>
      <w:r>
        <w:rPr>
          <w:sz w:val="24"/>
        </w:rPr>
        <w:t>”</w:t>
      </w:r>
      <w:r>
        <w:rPr>
          <w:sz w:val="24"/>
        </w:rPr>
        <w:t>。</w:t>
      </w:r>
    </w:p>
    <w:p w:rsidR="00DB7CC8" w:rsidRDefault="002B5250">
      <w:pPr>
        <w:ind w:firstLine="480"/>
        <w:rPr>
          <w:sz w:val="24"/>
        </w:rPr>
      </w:pPr>
      <w:r>
        <w:rPr>
          <w:sz w:val="24"/>
        </w:rPr>
        <w:t>由于受构造和</w:t>
      </w:r>
      <w:r>
        <w:rPr>
          <w:sz w:val="24"/>
        </w:rPr>
        <w:t>地形的控制，第四系沉积物主要来源于北部和东部，因此使第四系沉积物在水平方向上，由东北向南西有明显的水平分带规律，沿此方向，沉积物颗粒粒度变细，厚度变薄，粘土质层分隔层次增多变厚，沉积物中有机质、腐殖质和可溶盐含量增加，在成因上由冲积洪积相过渡到冲积湖积相和湖积相。沿上述方向，沉积岩性由厚层含卵砂砾石向西渐变为淤泥质土夹粉细砂层，北盆地的沉积中心在夏庄子－纪庄子一带，南盆地的沉积中心在西南部漳泗河以西一带。由于盆地边缘山麓冲积扇和古州河水系的摆动，形成三角洲相、泛流相和湖滨相的河湖交互相沉积。并由于北部抬升较</w:t>
      </w:r>
      <w:r>
        <w:rPr>
          <w:sz w:val="24"/>
        </w:rPr>
        <w:t>强，使河流由北向南摆动，沿盆地南侧发育，现代地貌轮廓反映这一特征。</w:t>
      </w:r>
    </w:p>
    <w:p w:rsidR="00DB7CC8" w:rsidRDefault="002B5250">
      <w:pPr>
        <w:ind w:firstLine="480"/>
        <w:rPr>
          <w:sz w:val="24"/>
        </w:rPr>
      </w:pPr>
      <w:r>
        <w:rPr>
          <w:sz w:val="24"/>
        </w:rPr>
        <w:t>由于构造条件和古气候的差异，新生代以来盆地的沉积环境的演变具有不同的特征，第三纪时本区为一隆起剥蚀区，气候炎热，风化较剧，是中元古界碳酸盐岩古岩溶形成的主要时期。第四纪以来，古气候有很大的变化，孢粉资料表明，由第三纪的干热气候向温冷转化，并出现数次冷暖交替的变化。据钻孔揭露，在深部早更新世地层中，见有棕褐及棕红色泥砾层，可能为冰水－冰湖沉积物，推测在山麓地带可能有冰川活动，中上更新世以来，孢粉资料反映出古气候有两个由冷变暖旋回，总的向偏干旱</w:t>
      </w:r>
      <w:r>
        <w:rPr>
          <w:sz w:val="24"/>
        </w:rPr>
        <w:t>转化，至更新世晚期气候变干而多洪水，湖水退缩，过度为较广的河湖交互相沉积，</w:t>
      </w:r>
      <w:r>
        <w:rPr>
          <w:sz w:val="24"/>
        </w:rPr>
        <w:t>Q</w:t>
      </w:r>
      <w:r>
        <w:rPr>
          <w:sz w:val="24"/>
          <w:vertAlign w:val="subscript"/>
        </w:rPr>
        <w:t>2</w:t>
      </w:r>
      <w:r>
        <w:rPr>
          <w:sz w:val="24"/>
        </w:rPr>
        <w:t>冲洪积物在沉积厚度，分布范围和颗粒粒度上，较其以前有一定的扩展，以沙河、淋河尤为明显，形成冲积扇的前缘迭加分布。</w:t>
      </w:r>
    </w:p>
    <w:p w:rsidR="00DB7CC8" w:rsidRDefault="002B5250">
      <w:pPr>
        <w:ind w:firstLine="480"/>
        <w:rPr>
          <w:sz w:val="24"/>
        </w:rPr>
      </w:pPr>
      <w:r>
        <w:rPr>
          <w:sz w:val="24"/>
        </w:rPr>
        <w:t>古气候的演变直接影响沉积环境的变化。第四纪以来，盆地周边断裂的活动，便盆地下陷，成为区域水源的汇聚中心，形成整个下更新世的以湖相为主的河湖相沉积，在垂直方向上岩性有由粗到细两个沉积旋回；中更新世湖水波及范围最</w:t>
      </w:r>
      <w:r>
        <w:rPr>
          <w:sz w:val="24"/>
        </w:rPr>
        <w:lastRenderedPageBreak/>
        <w:t>广，沉积厚度最大，湖盆中心在漳四河以西一带，中更新世早期，由于北盆地的抬升，在本区东部形成范围较广厚度较大的古州</w:t>
      </w:r>
      <w:r>
        <w:rPr>
          <w:sz w:val="24"/>
        </w:rPr>
        <w:t>河水下三角洲沉积，有些地区厚达百米以上，其中颗粒较粗的砾砂层占</w:t>
      </w:r>
      <w:r>
        <w:rPr>
          <w:sz w:val="24"/>
        </w:rPr>
        <w:t>80%</w:t>
      </w:r>
      <w:r>
        <w:rPr>
          <w:sz w:val="24"/>
        </w:rPr>
        <w:t>以上。中更新世晚期有范围较广，含淤泥质的静水湖积层，富含有机层、石灰质和腐殖质，且盐分含量相对较高，并具明显薄页状水平层理。中更新世以后，湖水范围逐渐退缩，湖盆较局限，而代之以范围较广，厚度较大的冲洪积层，但至少有三次较大范围的湖水超覆沉积，形成细粒的淤泥质土沉积层。更新世晚期，由于洪水的冲切，沙河、淋河、黎河泛流相几乎遍及全区，并于燕山口切穿外泄，成为彩亭桥冲洪积扇的物源。全新世以来，以河流冲洪积物为主，在本区西部低洼地带有范围不大的湖沼</w:t>
      </w:r>
      <w:r>
        <w:rPr>
          <w:sz w:val="24"/>
        </w:rPr>
        <w:t>沉积。</w:t>
      </w:r>
    </w:p>
    <w:p w:rsidR="00DB7CC8" w:rsidRDefault="002B5250">
      <w:pPr>
        <w:ind w:firstLine="480"/>
        <w:rPr>
          <w:sz w:val="24"/>
        </w:rPr>
      </w:pPr>
      <w:r>
        <w:rPr>
          <w:sz w:val="24"/>
        </w:rPr>
        <w:t>（</w:t>
      </w:r>
      <w:r>
        <w:rPr>
          <w:sz w:val="24"/>
        </w:rPr>
        <w:t>2</w:t>
      </w:r>
      <w:r>
        <w:rPr>
          <w:sz w:val="24"/>
        </w:rPr>
        <w:t>）第四纪地层</w:t>
      </w:r>
    </w:p>
    <w:p w:rsidR="00DB7CC8" w:rsidRDefault="002B5250">
      <w:pPr>
        <w:ind w:firstLine="480"/>
        <w:rPr>
          <w:sz w:val="24"/>
        </w:rPr>
      </w:pPr>
      <w:r>
        <w:rPr>
          <w:sz w:val="24"/>
        </w:rPr>
        <w:t>盆地内第四纪地层分布较广，北盆地内最厚度达</w:t>
      </w:r>
      <w:r>
        <w:rPr>
          <w:sz w:val="24"/>
        </w:rPr>
        <w:t>270m</w:t>
      </w:r>
      <w:r>
        <w:rPr>
          <w:sz w:val="24"/>
        </w:rPr>
        <w:t>，南盆地内厚度最厚超过</w:t>
      </w:r>
      <w:r>
        <w:rPr>
          <w:sz w:val="24"/>
        </w:rPr>
        <w:t>250m</w:t>
      </w:r>
      <w:r>
        <w:rPr>
          <w:sz w:val="24"/>
        </w:rPr>
        <w:t>，由于地质构造、古地理条件的控制，使第四系沉积物在不同地貌单元和不同地质时期，其成因、岩相和岩性具有不同特征。工作区揭露的第四纪地层，由老至新划分为四个地层组。</w:t>
      </w:r>
    </w:p>
    <w:p w:rsidR="00DB7CC8" w:rsidRDefault="002B5250">
      <w:pPr>
        <w:ind w:firstLine="480"/>
        <w:rPr>
          <w:sz w:val="24"/>
        </w:rPr>
      </w:pPr>
      <w:r>
        <w:rPr>
          <w:rFonts w:ascii="宋体" w:hAnsi="宋体" w:cs="宋体" w:hint="eastAsia"/>
          <w:sz w:val="24"/>
        </w:rPr>
        <w:t>①</w:t>
      </w:r>
      <w:r>
        <w:rPr>
          <w:sz w:val="24"/>
        </w:rPr>
        <w:t>下更新统（</w:t>
      </w:r>
      <w:r>
        <w:rPr>
          <w:sz w:val="24"/>
        </w:rPr>
        <w:t>Q</w:t>
      </w:r>
      <w:r>
        <w:rPr>
          <w:sz w:val="24"/>
          <w:vertAlign w:val="subscript"/>
        </w:rPr>
        <w:t>P</w:t>
      </w:r>
      <w:r>
        <w:rPr>
          <w:sz w:val="24"/>
          <w:vertAlign w:val="superscript"/>
        </w:rPr>
        <w:t>1</w:t>
      </w:r>
      <w:r>
        <w:rPr>
          <w:sz w:val="24"/>
        </w:rPr>
        <w:t>）：</w:t>
      </w:r>
    </w:p>
    <w:p w:rsidR="00DB7CC8" w:rsidRDefault="002B5250">
      <w:pPr>
        <w:ind w:firstLine="480"/>
        <w:rPr>
          <w:sz w:val="24"/>
        </w:rPr>
      </w:pPr>
      <w:r>
        <w:rPr>
          <w:sz w:val="24"/>
        </w:rPr>
        <w:t>为一套以湖积为主，边缘可能为冰水沉积层，地表无出露，根据岩性特点，可分为上下两段：上段为灰黄、灰褐色含淤泥质粘土及砂粘土，层理不明显，夹砂层，厚度</w:t>
      </w:r>
      <w:r>
        <w:rPr>
          <w:sz w:val="24"/>
        </w:rPr>
        <w:t>10-20m</w:t>
      </w:r>
      <w:r>
        <w:rPr>
          <w:sz w:val="24"/>
        </w:rPr>
        <w:t>。下段为棕红色、紫红色含砾粘土夹泥质砂卵石，含铁锰质结核，砾卵</w:t>
      </w:r>
      <w:r>
        <w:rPr>
          <w:sz w:val="24"/>
        </w:rPr>
        <w:t>石磨圆度较差，厚度</w:t>
      </w:r>
      <w:r>
        <w:rPr>
          <w:sz w:val="24"/>
        </w:rPr>
        <w:t>10-25m</w:t>
      </w:r>
      <w:r>
        <w:rPr>
          <w:sz w:val="24"/>
        </w:rPr>
        <w:t>。不整合覆于基岩风化带之上。</w:t>
      </w:r>
    </w:p>
    <w:p w:rsidR="00DB7CC8" w:rsidRDefault="002B5250">
      <w:pPr>
        <w:ind w:firstLine="480"/>
        <w:rPr>
          <w:sz w:val="24"/>
        </w:rPr>
      </w:pPr>
      <w:r>
        <w:rPr>
          <w:rFonts w:ascii="宋体" w:hAnsi="宋体" w:cs="宋体" w:hint="eastAsia"/>
          <w:sz w:val="24"/>
        </w:rPr>
        <w:t>②</w:t>
      </w:r>
      <w:r>
        <w:rPr>
          <w:sz w:val="24"/>
        </w:rPr>
        <w:t>中更新统（</w:t>
      </w:r>
      <w:r>
        <w:rPr>
          <w:sz w:val="24"/>
        </w:rPr>
        <w:t>Q</w:t>
      </w:r>
      <w:r>
        <w:rPr>
          <w:sz w:val="24"/>
          <w:vertAlign w:val="subscript"/>
        </w:rPr>
        <w:t>P</w:t>
      </w:r>
      <w:r>
        <w:rPr>
          <w:sz w:val="24"/>
          <w:vertAlign w:val="superscript"/>
        </w:rPr>
        <w:t>2</w:t>
      </w:r>
      <w:r>
        <w:rPr>
          <w:sz w:val="24"/>
        </w:rPr>
        <w:t>）：</w:t>
      </w:r>
    </w:p>
    <w:p w:rsidR="00DB7CC8" w:rsidRDefault="002B5250">
      <w:pPr>
        <w:ind w:firstLine="480"/>
        <w:rPr>
          <w:sz w:val="24"/>
        </w:rPr>
      </w:pPr>
      <w:r>
        <w:rPr>
          <w:sz w:val="24"/>
        </w:rPr>
        <w:t>为一还原环境下的灰色湖相沉积层，几乎遍布全区。在东部，沙河及淋河流域为冲洪积－湖积交互沉积的湖滨三角洲相堆积物。其厚度和底板埋深受基底拗陷深度的控制，自东向西渐浅变薄，以东部南北山前断裂之间深拗陷带厚度最大，底板深度大于</w:t>
      </w:r>
      <w:r>
        <w:rPr>
          <w:sz w:val="24"/>
        </w:rPr>
        <w:t>200m</w:t>
      </w:r>
      <w:r>
        <w:rPr>
          <w:sz w:val="24"/>
        </w:rPr>
        <w:t>，向西和盆地边缘地带变薄，一般</w:t>
      </w:r>
      <w:r>
        <w:rPr>
          <w:sz w:val="24"/>
        </w:rPr>
        <w:t>60-80m</w:t>
      </w:r>
      <w:r>
        <w:rPr>
          <w:sz w:val="24"/>
        </w:rPr>
        <w:t>，由于沉积物源来自北部和东部，沉积颗粒由东向西和自北向南变细，沉积中心在漳泗河一线。在垂向上，有自下而上由粗变细的沉积旋回。可分为上下两组。一般下组较粗，厚度</w:t>
      </w:r>
      <w:r>
        <w:rPr>
          <w:sz w:val="24"/>
        </w:rPr>
        <w:t>较大，主要岩性为灰黄色棕黄色砂砾石含砾中组砂夹薄层灰黄色砂粘土，颗粒较粗，砂层厚度大，东部上游地区砂砾层厚达</w:t>
      </w:r>
      <w:r>
        <w:rPr>
          <w:sz w:val="24"/>
        </w:rPr>
        <w:t>80</w:t>
      </w:r>
      <w:r>
        <w:rPr>
          <w:sz w:val="24"/>
        </w:rPr>
        <w:t>余米，向西和盆地内部颗粒变细，厚</w:t>
      </w:r>
      <w:r>
        <w:rPr>
          <w:sz w:val="24"/>
        </w:rPr>
        <w:t>40-70m</w:t>
      </w:r>
      <w:r>
        <w:rPr>
          <w:sz w:val="24"/>
        </w:rPr>
        <w:t>；上组岩性较细，为蓝灰色、灰绿色、青灰色淤泥质土夹薄层粉细纱，含大量有机质、腐殖质及石灰质，含盐量相对较高，薄层状水平层理明显，</w:t>
      </w:r>
      <w:r>
        <w:rPr>
          <w:sz w:val="24"/>
        </w:rPr>
        <w:lastRenderedPageBreak/>
        <w:t>为一静水湖积层，厚</w:t>
      </w:r>
      <w:r>
        <w:rPr>
          <w:sz w:val="24"/>
        </w:rPr>
        <w:t>30-45m</w:t>
      </w:r>
      <w:r>
        <w:rPr>
          <w:sz w:val="24"/>
        </w:rPr>
        <w:t>。在沉积中心为厚层淤泥质粘土夹薄层粉细砂，与下伏下更新统呈整合接触。</w:t>
      </w:r>
    </w:p>
    <w:p w:rsidR="00DB7CC8" w:rsidRDefault="002B5250">
      <w:pPr>
        <w:ind w:firstLine="480"/>
        <w:rPr>
          <w:sz w:val="24"/>
        </w:rPr>
      </w:pPr>
      <w:r>
        <w:rPr>
          <w:rFonts w:ascii="宋体" w:hAnsi="宋体" w:cs="宋体" w:hint="eastAsia"/>
          <w:sz w:val="24"/>
        </w:rPr>
        <w:t>③</w:t>
      </w:r>
      <w:r>
        <w:rPr>
          <w:sz w:val="24"/>
        </w:rPr>
        <w:t>上更新统（</w:t>
      </w:r>
      <w:r>
        <w:rPr>
          <w:sz w:val="24"/>
        </w:rPr>
        <w:t>Q</w:t>
      </w:r>
      <w:r>
        <w:rPr>
          <w:sz w:val="24"/>
          <w:vertAlign w:val="subscript"/>
        </w:rPr>
        <w:t>P</w:t>
      </w:r>
      <w:r>
        <w:rPr>
          <w:sz w:val="24"/>
          <w:vertAlign w:val="superscript"/>
        </w:rPr>
        <w:t>3</w:t>
      </w:r>
      <w:r>
        <w:rPr>
          <w:sz w:val="24"/>
        </w:rPr>
        <w:t>）：</w:t>
      </w:r>
    </w:p>
    <w:p w:rsidR="00DB7CC8" w:rsidRDefault="002B5250">
      <w:pPr>
        <w:ind w:firstLine="480"/>
        <w:rPr>
          <w:sz w:val="24"/>
        </w:rPr>
      </w:pPr>
      <w:r>
        <w:rPr>
          <w:sz w:val="24"/>
        </w:rPr>
        <w:t>盆地边缘和上部地层为冲洪积相，盆地内部和下部地层为冲积湖积的河湖交互相沉积物。由于沉积物来源于北部和东部</w:t>
      </w:r>
      <w:r>
        <w:rPr>
          <w:sz w:val="24"/>
        </w:rPr>
        <w:t>，沉积颗粒也有自东向西和由边缘向盆地内部变细的规律，沉积厚度和底板埋深受古地形的影响，由盆地边缘向内部增厚变深，一般厚度</w:t>
      </w:r>
      <w:r>
        <w:rPr>
          <w:sz w:val="24"/>
        </w:rPr>
        <w:t>40-60m</w:t>
      </w:r>
      <w:r>
        <w:rPr>
          <w:sz w:val="24"/>
        </w:rPr>
        <w:t>，在盆地边缘地带厚度变薄，变为</w:t>
      </w:r>
      <w:r>
        <w:rPr>
          <w:sz w:val="24"/>
        </w:rPr>
        <w:t>20-30m</w:t>
      </w:r>
      <w:r>
        <w:rPr>
          <w:sz w:val="24"/>
        </w:rPr>
        <w:t>。主要岩性在边缘地带为含卵砂砾石、中粗砂及黄色砂粘土，夹三层薄层灰色淤泥质土，在垂向上以早期和晚期冲积砂砾石层分布较广；在盆地内部为灰黄色、浅灰色冲湖积含淤泥质砂粘土与中细纱，细纱互层。上更新统是在湖水逐渐退缩，过渡为河湖相的过程中形成的。</w:t>
      </w:r>
    </w:p>
    <w:p w:rsidR="00DB7CC8" w:rsidRDefault="002B5250">
      <w:pPr>
        <w:ind w:firstLine="480"/>
        <w:rPr>
          <w:sz w:val="24"/>
        </w:rPr>
      </w:pPr>
      <w:r>
        <w:rPr>
          <w:sz w:val="24"/>
        </w:rPr>
        <w:t>山麓地带有分布较广的冲积洪积砂卵石及黄土状土坡积碎石粘土层，覆于盆地周边山麓阶地之上，一般</w:t>
      </w:r>
      <w:r>
        <w:rPr>
          <w:sz w:val="24"/>
        </w:rPr>
        <w:t>5-2</w:t>
      </w:r>
      <w:r>
        <w:rPr>
          <w:sz w:val="24"/>
        </w:rPr>
        <w:t>0m</w:t>
      </w:r>
      <w:r>
        <w:rPr>
          <w:sz w:val="24"/>
        </w:rPr>
        <w:t>。</w:t>
      </w:r>
    </w:p>
    <w:p w:rsidR="00DB7CC8" w:rsidRDefault="002B5250">
      <w:pPr>
        <w:ind w:firstLine="480"/>
        <w:rPr>
          <w:sz w:val="24"/>
        </w:rPr>
      </w:pPr>
      <w:r>
        <w:rPr>
          <w:rFonts w:ascii="宋体" w:hAnsi="宋体" w:cs="宋体" w:hint="eastAsia"/>
          <w:sz w:val="24"/>
        </w:rPr>
        <w:t>④</w:t>
      </w:r>
      <w:r>
        <w:rPr>
          <w:sz w:val="24"/>
        </w:rPr>
        <w:t>全新统（</w:t>
      </w:r>
      <w:r>
        <w:rPr>
          <w:sz w:val="24"/>
        </w:rPr>
        <w:t>Q</w:t>
      </w:r>
      <w:r>
        <w:rPr>
          <w:sz w:val="24"/>
          <w:vertAlign w:val="subscript"/>
        </w:rPr>
        <w:t>h</w:t>
      </w:r>
      <w:r>
        <w:rPr>
          <w:sz w:val="24"/>
        </w:rPr>
        <w:t>）：</w:t>
      </w:r>
    </w:p>
    <w:p w:rsidR="00DB7CC8" w:rsidRDefault="002B5250">
      <w:pPr>
        <w:spacing w:line="440" w:lineRule="atLeast"/>
        <w:ind w:firstLine="480"/>
        <w:rPr>
          <w:rFonts w:hAnsi="宋体"/>
          <w:sz w:val="24"/>
        </w:rPr>
      </w:pPr>
      <w:r>
        <w:rPr>
          <w:rFonts w:hAnsi="宋体"/>
          <w:sz w:val="24"/>
        </w:rPr>
        <w:t>广覆于盆地表层，以冲洪积、冲积物为主，局部有冲湖积物。主要为黎河、沙河、淋河近代洪泛沉积物。主要岩性为黄色、棕黄色、黄褐色砂粘土、粘砂土夹薄层砂，下部往往有砂砾石或中粗细砂层，厚度</w:t>
      </w:r>
      <w:r>
        <w:rPr>
          <w:sz w:val="24"/>
        </w:rPr>
        <w:t>10</w:t>
      </w:r>
      <w:r>
        <w:rPr>
          <w:rFonts w:hAnsi="宋体"/>
          <w:sz w:val="24"/>
        </w:rPr>
        <w:t>-</w:t>
      </w:r>
      <w:r>
        <w:rPr>
          <w:sz w:val="24"/>
        </w:rPr>
        <w:t>20m</w:t>
      </w:r>
      <w:r>
        <w:rPr>
          <w:rFonts w:hAnsi="宋体"/>
          <w:sz w:val="24"/>
        </w:rPr>
        <w:t>，沉积物颗粒粒度由北向南和自盆地边缘向内部变细的趋势。</w:t>
      </w:r>
    </w:p>
    <w:p w:rsidR="00DB7CC8" w:rsidRDefault="00DB7CC8">
      <w:pPr>
        <w:spacing w:line="440" w:lineRule="atLeast"/>
        <w:ind w:firstLine="480"/>
        <w:rPr>
          <w:rFonts w:hAnsi="宋体"/>
          <w:sz w:val="24"/>
        </w:rPr>
        <w:sectPr w:rsidR="00DB7CC8">
          <w:footerReference w:type="default" r:id="rId49"/>
          <w:pgSz w:w="11905" w:h="16838"/>
          <w:pgMar w:top="1440" w:right="1803" w:bottom="1134" w:left="1803" w:header="850" w:footer="992" w:gutter="0"/>
          <w:cols w:space="0"/>
          <w:docGrid w:linePitch="312"/>
        </w:sectPr>
      </w:pPr>
    </w:p>
    <w:p w:rsidR="00DB7CC8" w:rsidRDefault="002B5250">
      <w:pPr>
        <w:ind w:firstLineChars="0" w:firstLine="0"/>
        <w:jc w:val="center"/>
        <w:rPr>
          <w:rFonts w:hAnsi="宋体"/>
          <w:sz w:val="24"/>
        </w:rPr>
      </w:pPr>
      <w:r>
        <w:rPr>
          <w:rFonts w:hAnsi="宋体"/>
          <w:noProof/>
          <w:sz w:val="24"/>
        </w:rPr>
        <w:lastRenderedPageBreak/>
        <mc:AlternateContent>
          <mc:Choice Requires="wps">
            <w:drawing>
              <wp:anchor distT="0" distB="0" distL="114300" distR="114300" simplePos="0" relativeHeight="251668480" behindDoc="0" locked="0" layoutInCell="1" allowOverlap="1">
                <wp:simplePos x="0" y="0"/>
                <wp:positionH relativeFrom="column">
                  <wp:posOffset>6213475</wp:posOffset>
                </wp:positionH>
                <wp:positionV relativeFrom="paragraph">
                  <wp:posOffset>2160270</wp:posOffset>
                </wp:positionV>
                <wp:extent cx="534035" cy="219075"/>
                <wp:effectExtent l="133350" t="0" r="18415" b="85725"/>
                <wp:wrapNone/>
                <wp:docPr id="111" name="自选图形 30"/>
                <wp:cNvGraphicFramePr/>
                <a:graphic xmlns:a="http://schemas.openxmlformats.org/drawingml/2006/main">
                  <a:graphicData uri="http://schemas.microsoft.com/office/word/2010/wordprocessingShape">
                    <wps:wsp>
                      <wps:cNvSpPr/>
                      <wps:spPr>
                        <a:xfrm>
                          <a:off x="0" y="0"/>
                          <a:ext cx="534035" cy="219075"/>
                        </a:xfrm>
                        <a:prstGeom prst="wedgeRoundRectCallout">
                          <a:avLst>
                            <a:gd name="adj1" fmla="val -67838"/>
                            <a:gd name="adj2" fmla="val 56958"/>
                            <a:gd name="adj3" fmla="val 16667"/>
                          </a:avLst>
                        </a:prstGeom>
                        <a:noFill/>
                        <a:ln w="9525" cap="flat" cmpd="sng">
                          <a:solidFill>
                            <a:srgbClr val="FF0000"/>
                          </a:solidFill>
                          <a:prstDash val="solid"/>
                          <a:miter/>
                          <a:headEnd type="none" w="med" len="med"/>
                          <a:tailEnd type="none" w="med" len="med"/>
                        </a:ln>
                      </wps:spPr>
                      <wps:txbx>
                        <w:txbxContent>
                          <w:p w:rsidR="00DB7CC8" w:rsidRDefault="002B5250">
                            <w:pPr>
                              <w:spacing w:line="240" w:lineRule="auto"/>
                              <w:ind w:firstLineChars="0" w:firstLine="0"/>
                              <w:rPr>
                                <w:b/>
                                <w:color w:val="0000FF"/>
                                <w:sz w:val="16"/>
                              </w:rPr>
                            </w:pPr>
                            <w:r>
                              <w:rPr>
                                <w:rFonts w:hint="eastAsia"/>
                                <w:b/>
                                <w:color w:val="0000FF"/>
                                <w:sz w:val="16"/>
                              </w:rPr>
                              <w:t>厂位置</w:t>
                            </w:r>
                          </w:p>
                        </w:txbxContent>
                      </wps:txbx>
                      <wps:bodyPr lIns="91440" tIns="45720" rIns="91440" bIns="0" upright="1"/>
                    </wps:wsp>
                  </a:graphicData>
                </a:graphic>
              </wp:anchor>
            </w:drawing>
          </mc:Choice>
          <mc:Fallback>
            <w:pict>
              <v:shape id="自选图形 30" o:spid="_x0000_s1085" type="#_x0000_t62" style="position:absolute;left:0;text-align:left;margin-left:489.25pt;margin-top:170.1pt;width:42.05pt;height:17.2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" adj="-3853,23103" filled="f" strokecolor="red">
                <v:textbox inset=",,,0">
                  <w:txbxContent>
                    <w:p w:rsidR="00DB7CC8" w:rsidRDefault="002B5250">
                      <w:pPr>
                        <w:spacing w:line="240" w:lineRule="auto"/>
                        <w:ind w:firstLineChars="0" w:firstLine="0"/>
                        <w:rPr>
                          <w:b/>
                          <w:color w:val="0000FF"/>
                          <w:sz w:val="16"/>
                        </w:rPr>
                      </w:pPr>
                      <w:r>
                        <w:rPr>
                          <w:rFonts w:hint="eastAsia"/>
                          <w:b/>
                          <w:color w:val="0000FF"/>
                          <w:sz w:val="16"/>
                        </w:rPr>
                        <w:t>厂位置</w:t>
                      </w:r>
                    </w:p>
                  </w:txbxContent>
                </v:textbox>
              </v:shape>
            </w:pict>
          </mc:Fallback>
        </mc:AlternateContent>
      </w:r>
      <w:r>
        <w:rPr>
          <w:rFonts w:hAnsi="宋体"/>
          <w:noProof/>
          <w:sz w:val="24"/>
        </w:rPr>
        <w:drawing>
          <wp:inline distT="0" distB="0" distL="0" distR="0">
            <wp:extent cx="7981950" cy="5156200"/>
            <wp:effectExtent l="0" t="0" r="0" b="0"/>
            <wp:docPr id="61" name="图片 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
                    <pic:cNvPicPr>
                      <a:picLocks noChangeAspect="1" noChangeArrowheads="1"/>
                    </pic:cNvPicPr>
                  </pic:nvPicPr>
                  <pic:blipFill>
                    <a:blip r:embed="rId50" cstate="print">
                      <a:extLst>
                        <a:ext uri="{28A0092B-C50C-407E-A947-70E740481C1C}">
                          <a14:useLocalDpi xmlns:a14="http://schemas.microsoft.com/office/drawing/2010/main" val="0"/>
                        </a:ext>
                      </a:extLst>
                    </a:blip>
                    <a:srcRect t="2054" r="28046" b="30597"/>
                    <a:stretch>
                      <a:fillRect/>
                    </a:stretch>
                  </pic:blipFill>
                  <pic:spPr>
                    <a:xfrm>
                      <a:off x="0" y="0"/>
                      <a:ext cx="8006438" cy="5172438"/>
                    </a:xfrm>
                    <a:prstGeom prst="rect">
                      <a:avLst/>
                    </a:prstGeom>
                    <a:noFill/>
                    <a:ln>
                      <a:noFill/>
                    </a:ln>
                  </pic:spPr>
                </pic:pic>
              </a:graphicData>
            </a:graphic>
          </wp:inline>
        </w:drawing>
      </w:r>
    </w:p>
    <w:p w:rsidR="00DB7CC8" w:rsidRDefault="002B5250">
      <w:pPr>
        <w:ind w:firstLine="420"/>
        <w:jc w:val="center"/>
        <w:rPr>
          <w:rFonts w:eastAsia="黑体"/>
          <w:kern w:val="2"/>
          <w:sz w:val="21"/>
          <w:szCs w:val="21"/>
        </w:rPr>
        <w:sectPr w:rsidR="00DB7CC8">
          <w:footerReference w:type="default" r:id="rId51"/>
          <w:pgSz w:w="16838" w:h="11905" w:orient="landscape"/>
          <w:pgMar w:top="1418" w:right="1440" w:bottom="1803" w:left="1134" w:header="850" w:footer="992" w:gutter="0"/>
          <w:cols w:space="0"/>
          <w:docGrid w:linePitch="381"/>
        </w:sectPr>
      </w:pPr>
      <w:r>
        <w:rPr>
          <w:rFonts w:eastAsia="黑体" w:hint="eastAsia"/>
          <w:kern w:val="2"/>
          <w:sz w:val="21"/>
          <w:szCs w:val="21"/>
        </w:rPr>
        <w:t>图</w:t>
      </w:r>
      <w:r>
        <w:rPr>
          <w:rFonts w:eastAsia="黑体" w:hint="eastAsia"/>
          <w:kern w:val="2"/>
          <w:sz w:val="21"/>
          <w:szCs w:val="21"/>
        </w:rPr>
        <w:t xml:space="preserve">4.1-5   </w:t>
      </w:r>
      <w:r>
        <w:rPr>
          <w:rFonts w:eastAsia="黑体" w:hint="eastAsia"/>
          <w:kern w:val="2"/>
          <w:sz w:val="21"/>
          <w:szCs w:val="21"/>
        </w:rPr>
        <w:t>区域地质图</w:t>
      </w:r>
    </w:p>
    <w:p w:rsidR="00DB7CC8" w:rsidRDefault="002B5250">
      <w:pPr>
        <w:pStyle w:val="4"/>
        <w:rPr>
          <w:rFonts w:eastAsia="宋体"/>
          <w:b/>
          <w:szCs w:val="24"/>
        </w:rPr>
      </w:pPr>
      <w:r>
        <w:rPr>
          <w:rFonts w:eastAsia="宋体"/>
          <w:b/>
          <w:szCs w:val="24"/>
        </w:rPr>
        <w:lastRenderedPageBreak/>
        <w:t>4.1.5.3</w:t>
      </w:r>
      <w:r>
        <w:rPr>
          <w:rFonts w:eastAsia="宋体"/>
          <w:b/>
          <w:szCs w:val="24"/>
        </w:rPr>
        <w:t>地质</w:t>
      </w:r>
      <w:r>
        <w:rPr>
          <w:rFonts w:eastAsia="宋体" w:hint="eastAsia"/>
          <w:b/>
          <w:szCs w:val="24"/>
        </w:rPr>
        <w:t>构造特征</w:t>
      </w:r>
    </w:p>
    <w:p w:rsidR="00DB7CC8" w:rsidRDefault="002B5250">
      <w:pPr>
        <w:spacing w:line="440" w:lineRule="atLeast"/>
        <w:ind w:firstLine="480"/>
        <w:rPr>
          <w:sz w:val="24"/>
        </w:rPr>
      </w:pPr>
      <w:r>
        <w:rPr>
          <w:rFonts w:hAnsi="宋体"/>
          <w:sz w:val="24"/>
        </w:rPr>
        <w:t>本区太古界变质岩构成的基底构造近南北向，由中元古界长城系构成近东西向的褶皱群是区内的主体构造；自北向南的应力场形成一系列中晚期近南北向的张性断裂和平推断裂；古生带以来的历次构造运动使盖层构造复杂化，并有两次岩浆活动，北东和东西的菱形断裂控制断陷盆地的形成，</w:t>
      </w:r>
      <w:r>
        <w:rPr>
          <w:rFonts w:hAnsi="宋体"/>
          <w:sz w:val="24"/>
        </w:rPr>
        <w:t>断块构造构成本区的宏观构造格局。</w:t>
      </w:r>
    </w:p>
    <w:p w:rsidR="00DB7CC8" w:rsidRDefault="002B5250">
      <w:pPr>
        <w:spacing w:line="440" w:lineRule="atLeast"/>
        <w:ind w:firstLine="480"/>
        <w:rPr>
          <w:sz w:val="24"/>
        </w:rPr>
      </w:pPr>
      <w:r>
        <w:rPr>
          <w:rFonts w:hAnsi="宋体"/>
          <w:sz w:val="24"/>
        </w:rPr>
        <w:t>新构造运动活跃，在老构造的基础上有继承性的发展，在区域上受北东和东西向菱形断裂的控制，形成本区第四纪断陷盆地，周边断裂控制着盆地的发育。盆地的主体延展方向近东西向，与区域构造一致。山区和平原的差异运动，不仅在山前形成广部的山麓基座阶地，也使盆地进一步下沉，盆地内呈东西向展布的阶梯断裂，使盆地中部深陷，在南北山前断裂之间，相成本区最深的幼陷带，据物探资料，最深达</w:t>
      </w:r>
      <w:r>
        <w:rPr>
          <w:sz w:val="24"/>
        </w:rPr>
        <w:t>300</w:t>
      </w:r>
      <w:r>
        <w:rPr>
          <w:rFonts w:hAnsi="宋体"/>
          <w:sz w:val="24"/>
        </w:rPr>
        <w:t>余</w:t>
      </w:r>
      <w:r>
        <w:rPr>
          <w:sz w:val="24"/>
        </w:rPr>
        <w:t>m</w:t>
      </w:r>
      <w:r>
        <w:rPr>
          <w:rFonts w:hAnsi="宋体"/>
          <w:sz w:val="24"/>
        </w:rPr>
        <w:t>。根据</w:t>
      </w:r>
      <w:r>
        <w:rPr>
          <w:sz w:val="24"/>
          <w:vertAlign w:val="superscript"/>
        </w:rPr>
        <w:t>14</w:t>
      </w:r>
      <w:r>
        <w:rPr>
          <w:rFonts w:hAnsi="宋体" w:hint="eastAsia"/>
          <w:sz w:val="24"/>
        </w:rPr>
        <w:t>C</w:t>
      </w:r>
      <w:r>
        <w:rPr>
          <w:rFonts w:hAnsi="宋体"/>
          <w:sz w:val="24"/>
        </w:rPr>
        <w:t>侧年资料，上更新世沉降速度</w:t>
      </w:r>
      <w:r>
        <w:rPr>
          <w:sz w:val="24"/>
        </w:rPr>
        <w:t>4</w:t>
      </w:r>
      <w:r>
        <w:rPr>
          <w:rFonts w:hAnsi="宋体"/>
          <w:sz w:val="24"/>
        </w:rPr>
        <w:t>-</w:t>
      </w:r>
      <w:r>
        <w:rPr>
          <w:sz w:val="24"/>
        </w:rPr>
        <w:t>7mm/a</w:t>
      </w:r>
      <w:r>
        <w:rPr>
          <w:rFonts w:hAnsi="宋体"/>
          <w:sz w:val="24"/>
        </w:rPr>
        <w:t>。</w:t>
      </w:r>
    </w:p>
    <w:p w:rsidR="00DB7CC8" w:rsidRDefault="002B5250">
      <w:pPr>
        <w:spacing w:line="440" w:lineRule="atLeast"/>
        <w:ind w:firstLine="480"/>
        <w:rPr>
          <w:sz w:val="24"/>
        </w:rPr>
      </w:pPr>
      <w:r>
        <w:rPr>
          <w:rFonts w:hAnsi="宋体"/>
          <w:sz w:val="24"/>
        </w:rPr>
        <w:t>在北部变质岩地区，一般呈单斜构造，片麻理走向近于南</w:t>
      </w:r>
      <w:r>
        <w:rPr>
          <w:rFonts w:hAnsi="宋体"/>
          <w:sz w:val="24"/>
        </w:rPr>
        <w:t>北或东北，向西或北西方向倾斜，倾角一般</w:t>
      </w:r>
      <w:r>
        <w:rPr>
          <w:sz w:val="24"/>
        </w:rPr>
        <w:t>30</w:t>
      </w:r>
      <w:r>
        <w:rPr>
          <w:rFonts w:hAnsi="宋体"/>
          <w:sz w:val="24"/>
        </w:rPr>
        <w:t>-</w:t>
      </w:r>
      <w:r>
        <w:rPr>
          <w:sz w:val="24"/>
        </w:rPr>
        <w:t>70°</w:t>
      </w:r>
      <w:r>
        <w:rPr>
          <w:rFonts w:hAnsi="宋体"/>
          <w:sz w:val="24"/>
        </w:rPr>
        <w:t>不等。局部地区出现直立和倒转现象。较大的断裂以北东、北西或近南北向为主。其它方向规模较小。</w:t>
      </w:r>
    </w:p>
    <w:p w:rsidR="00DB7CC8" w:rsidRDefault="002B5250">
      <w:pPr>
        <w:spacing w:line="440" w:lineRule="atLeast"/>
        <w:ind w:firstLine="480"/>
        <w:rPr>
          <w:sz w:val="24"/>
        </w:rPr>
      </w:pPr>
      <w:r>
        <w:rPr>
          <w:rFonts w:hAnsi="宋体"/>
          <w:sz w:val="24"/>
        </w:rPr>
        <w:t>在南部沉积岩地区，基岩总体走向近东西方向，向南倾斜。在莫台寺</w:t>
      </w:r>
      <w:r>
        <w:rPr>
          <w:rFonts w:hAnsi="宋体"/>
          <w:sz w:val="24"/>
        </w:rPr>
        <w:t>-</w:t>
      </w:r>
      <w:r>
        <w:rPr>
          <w:rFonts w:hAnsi="宋体"/>
          <w:sz w:val="24"/>
        </w:rPr>
        <w:t>大虫峪</w:t>
      </w:r>
      <w:r>
        <w:rPr>
          <w:rFonts w:hAnsi="宋体"/>
          <w:sz w:val="24"/>
        </w:rPr>
        <w:t>-</w:t>
      </w:r>
      <w:r>
        <w:rPr>
          <w:rFonts w:hAnsi="宋体"/>
          <w:sz w:val="24"/>
        </w:rPr>
        <w:t>吊虎崖形成向斜构造；而在党峪</w:t>
      </w:r>
      <w:r>
        <w:rPr>
          <w:rFonts w:hAnsi="宋体"/>
          <w:sz w:val="24"/>
        </w:rPr>
        <w:t>-</w:t>
      </w:r>
      <w:r>
        <w:rPr>
          <w:rFonts w:hAnsi="宋体"/>
          <w:sz w:val="24"/>
        </w:rPr>
        <w:t>大官屯</w:t>
      </w:r>
      <w:r>
        <w:rPr>
          <w:rFonts w:hAnsi="宋体"/>
          <w:sz w:val="24"/>
        </w:rPr>
        <w:t>-</w:t>
      </w:r>
      <w:r>
        <w:rPr>
          <w:rFonts w:hAnsi="宋体"/>
          <w:sz w:val="24"/>
        </w:rPr>
        <w:t>刘庄形成背斜构造。断裂也很发育，主要是北西向和东西向的断裂规模比较大，而北西方向的断裂大部分被后期煌斑岩脉充填</w:t>
      </w:r>
      <w:r>
        <w:rPr>
          <w:rFonts w:ascii="宋体" w:hAnsi="宋体"/>
          <w:sz w:val="24"/>
        </w:rPr>
        <w:t>。</w:t>
      </w:r>
    </w:p>
    <w:p w:rsidR="00DB7CC8" w:rsidRDefault="002B5250">
      <w:pPr>
        <w:pStyle w:val="3"/>
        <w:numPr>
          <w:ilvl w:val="2"/>
          <w:numId w:val="1"/>
        </w:numPr>
        <w:spacing w:beforeLines="100" w:before="240"/>
      </w:pPr>
      <w:bookmarkStart w:id="273" w:name="_Toc5005"/>
      <w:bookmarkStart w:id="274" w:name="_Toc521591779"/>
      <w:r>
        <w:rPr>
          <w:rFonts w:hint="eastAsia"/>
        </w:rPr>
        <w:t>区域水文地质条件</w:t>
      </w:r>
      <w:bookmarkEnd w:id="273"/>
      <w:bookmarkEnd w:id="274"/>
    </w:p>
    <w:p w:rsidR="00DB7CC8" w:rsidRDefault="002B5250">
      <w:pPr>
        <w:pStyle w:val="4"/>
      </w:pPr>
      <w:r>
        <w:t>4.1.6.1</w:t>
      </w:r>
      <w:r>
        <w:t>含水层组划分</w:t>
      </w:r>
    </w:p>
    <w:p w:rsidR="00DB7CC8" w:rsidRDefault="002B5250">
      <w:pPr>
        <w:spacing w:line="440" w:lineRule="atLeast"/>
        <w:ind w:firstLine="480"/>
        <w:rPr>
          <w:sz w:val="24"/>
        </w:rPr>
      </w:pPr>
      <w:r>
        <w:rPr>
          <w:sz w:val="24"/>
        </w:rPr>
        <w:t>根据研究区的含水层介质条件，可以分为第四系孔隙水含水岩组、碳酸岩类岩溶裂隙水含水岩组、碎屑岩、变质岩岩浆岩裂隙水含水岩组。</w:t>
      </w:r>
    </w:p>
    <w:p w:rsidR="00DB7CC8" w:rsidRDefault="002B5250">
      <w:pPr>
        <w:spacing w:line="440" w:lineRule="atLeast"/>
        <w:ind w:firstLine="480"/>
        <w:rPr>
          <w:sz w:val="24"/>
        </w:rPr>
      </w:pPr>
      <w:r>
        <w:rPr>
          <w:sz w:val="24"/>
        </w:rPr>
        <w:t>（</w:t>
      </w:r>
      <w:r>
        <w:rPr>
          <w:sz w:val="24"/>
        </w:rPr>
        <w:t>1</w:t>
      </w:r>
      <w:r>
        <w:rPr>
          <w:sz w:val="24"/>
        </w:rPr>
        <w:t>）碳酸岩类岩溶裂隙含水岩组</w:t>
      </w:r>
    </w:p>
    <w:p w:rsidR="00DB7CC8" w:rsidRDefault="002B5250">
      <w:pPr>
        <w:spacing w:line="440" w:lineRule="atLeast"/>
        <w:ind w:firstLine="480"/>
        <w:rPr>
          <w:sz w:val="24"/>
        </w:rPr>
      </w:pPr>
      <w:r>
        <w:rPr>
          <w:sz w:val="24"/>
        </w:rPr>
        <w:t>该含水岩组主要为长城系大红峪组、团山子组碳酸盐岩夹碎屑岩岩溶裂隙含水岩组，呈东西向条带状分布于南北盆地之间的弧形山南缘，部分裸露，大部分为半裸露浅埋区。岩溶裂隙不发育，富水性较差，单井涌水量一般小于</w:t>
      </w:r>
      <w:r>
        <w:rPr>
          <w:sz w:val="24"/>
        </w:rPr>
        <w:t>500m</w:t>
      </w:r>
      <w:r>
        <w:rPr>
          <w:sz w:val="24"/>
          <w:vertAlign w:val="superscript"/>
        </w:rPr>
        <w:t>3</w:t>
      </w:r>
      <w:r>
        <w:rPr>
          <w:sz w:val="24"/>
        </w:rPr>
        <w:t>/d</w:t>
      </w:r>
      <w:r>
        <w:rPr>
          <w:sz w:val="24"/>
        </w:rPr>
        <w:t>。局部团山子组中白云岩岩溶裂隙较为发育，水量较大，可达</w:t>
      </w:r>
      <w:r>
        <w:rPr>
          <w:sz w:val="24"/>
        </w:rPr>
        <w:t>1000-2000m</w:t>
      </w:r>
      <w:r>
        <w:rPr>
          <w:sz w:val="24"/>
          <w:vertAlign w:val="superscript"/>
        </w:rPr>
        <w:t>3</w:t>
      </w:r>
      <w:r>
        <w:rPr>
          <w:sz w:val="24"/>
        </w:rPr>
        <w:t>/d</w:t>
      </w:r>
      <w:r>
        <w:rPr>
          <w:sz w:val="24"/>
        </w:rPr>
        <w:t>。</w:t>
      </w:r>
    </w:p>
    <w:p w:rsidR="00DB7CC8" w:rsidRDefault="002B5250">
      <w:pPr>
        <w:spacing w:line="440" w:lineRule="atLeast"/>
        <w:ind w:firstLine="480"/>
        <w:rPr>
          <w:sz w:val="24"/>
        </w:rPr>
      </w:pPr>
      <w:r>
        <w:rPr>
          <w:sz w:val="24"/>
        </w:rPr>
        <w:t>（</w:t>
      </w:r>
      <w:r>
        <w:rPr>
          <w:sz w:val="24"/>
        </w:rPr>
        <w:t>2</w:t>
      </w:r>
      <w:r>
        <w:rPr>
          <w:sz w:val="24"/>
        </w:rPr>
        <w:t>）碎屑岩、变质岩岩浆岩裂隙水含水岩组</w:t>
      </w:r>
    </w:p>
    <w:p w:rsidR="00DB7CC8" w:rsidRDefault="002B5250">
      <w:pPr>
        <w:spacing w:line="440" w:lineRule="atLeast"/>
        <w:ind w:firstLine="480"/>
        <w:rPr>
          <w:sz w:val="24"/>
        </w:rPr>
      </w:pPr>
      <w:r>
        <w:rPr>
          <w:sz w:val="24"/>
        </w:rPr>
        <w:t>碎屑岩裂隙含水岩组</w:t>
      </w:r>
      <w:r>
        <w:rPr>
          <w:sz w:val="24"/>
        </w:rPr>
        <w:t>主要为长城系的串岭沟组、常州沟组，呈东西向条带状分布于南北盆地之间的弧形山，是南北盆地的分界体。裂隙不发育，富水性差，</w:t>
      </w:r>
      <w:r>
        <w:rPr>
          <w:sz w:val="24"/>
        </w:rPr>
        <w:lastRenderedPageBreak/>
        <w:t>单井涌水量一般小于</w:t>
      </w:r>
      <w:r>
        <w:rPr>
          <w:sz w:val="24"/>
        </w:rPr>
        <w:t>500m</w:t>
      </w:r>
      <w:r>
        <w:rPr>
          <w:sz w:val="24"/>
          <w:vertAlign w:val="superscript"/>
        </w:rPr>
        <w:t>3</w:t>
      </w:r>
      <w:r>
        <w:rPr>
          <w:sz w:val="24"/>
        </w:rPr>
        <w:t>/d</w:t>
      </w:r>
      <w:r>
        <w:rPr>
          <w:sz w:val="24"/>
        </w:rPr>
        <w:t>。由于弧形山为张性断裂群穿切，局部地段裂隙发育，岩层含水量较大，涌水量可达</w:t>
      </w:r>
      <w:r>
        <w:rPr>
          <w:sz w:val="24"/>
        </w:rPr>
        <w:t>500-1000 m</w:t>
      </w:r>
      <w:r>
        <w:rPr>
          <w:sz w:val="24"/>
          <w:vertAlign w:val="superscript"/>
        </w:rPr>
        <w:t>3</w:t>
      </w:r>
      <w:r>
        <w:rPr>
          <w:sz w:val="24"/>
        </w:rPr>
        <w:t>/d</w:t>
      </w:r>
      <w:r>
        <w:rPr>
          <w:sz w:val="24"/>
        </w:rPr>
        <w:t>。水位埋深受地形影响，变化较大多在</w:t>
      </w:r>
      <w:r>
        <w:rPr>
          <w:sz w:val="24"/>
        </w:rPr>
        <w:t>10-50m</w:t>
      </w:r>
      <w:r>
        <w:rPr>
          <w:sz w:val="24"/>
        </w:rPr>
        <w:t>。该岩组含水微弱，可视为相对隔水层。</w:t>
      </w:r>
    </w:p>
    <w:p w:rsidR="00DB7CC8" w:rsidRDefault="002B5250">
      <w:pPr>
        <w:spacing w:line="440" w:lineRule="atLeast"/>
        <w:ind w:firstLine="480"/>
        <w:rPr>
          <w:sz w:val="24"/>
        </w:rPr>
      </w:pPr>
      <w:r>
        <w:rPr>
          <w:sz w:val="24"/>
        </w:rPr>
        <w:t>变质岩、火成岩裂隙含水组，主要分布于北盆地。盆地北部周边山区为裸露区，盆地内被第四系覆盖。片麻岩主要为风化裂隙水和局部构造裂隙脉状水，含水性差，一般水量甚小，多小于</w:t>
      </w:r>
      <w:r>
        <w:rPr>
          <w:sz w:val="24"/>
        </w:rPr>
        <w:t>200 m</w:t>
      </w:r>
      <w:r>
        <w:rPr>
          <w:sz w:val="24"/>
          <w:vertAlign w:val="superscript"/>
        </w:rPr>
        <w:t>3</w:t>
      </w:r>
      <w:r>
        <w:rPr>
          <w:sz w:val="24"/>
        </w:rPr>
        <w:t>/</w:t>
      </w:r>
      <w:r>
        <w:rPr>
          <w:sz w:val="24"/>
        </w:rPr>
        <w:t>d</w:t>
      </w:r>
      <w:r>
        <w:rPr>
          <w:sz w:val="24"/>
        </w:rPr>
        <w:t>，破碎地段可达</w:t>
      </w:r>
      <w:r>
        <w:rPr>
          <w:sz w:val="24"/>
        </w:rPr>
        <w:t>500-1000 m</w:t>
      </w:r>
      <w:r>
        <w:rPr>
          <w:sz w:val="24"/>
          <w:vertAlign w:val="superscript"/>
        </w:rPr>
        <w:t>3</w:t>
      </w:r>
      <w:r>
        <w:rPr>
          <w:sz w:val="24"/>
        </w:rPr>
        <w:t>/d</w:t>
      </w:r>
      <w:r>
        <w:rPr>
          <w:sz w:val="24"/>
        </w:rPr>
        <w:t>，泉水较发育，但流量不大，一般</w:t>
      </w:r>
      <w:r>
        <w:rPr>
          <w:sz w:val="24"/>
        </w:rPr>
        <w:t>200 m</w:t>
      </w:r>
      <w:r>
        <w:rPr>
          <w:sz w:val="24"/>
          <w:vertAlign w:val="superscript"/>
        </w:rPr>
        <w:t>3</w:t>
      </w:r>
      <w:r>
        <w:rPr>
          <w:sz w:val="24"/>
        </w:rPr>
        <w:t>/d</w:t>
      </w:r>
      <w:r>
        <w:rPr>
          <w:sz w:val="24"/>
        </w:rPr>
        <w:t>小于，泉群流量往往较大，可达</w:t>
      </w:r>
      <w:r>
        <w:rPr>
          <w:sz w:val="24"/>
        </w:rPr>
        <w:t>300-800 m</w:t>
      </w:r>
      <w:r>
        <w:rPr>
          <w:sz w:val="24"/>
          <w:vertAlign w:val="superscript"/>
        </w:rPr>
        <w:t>3</w:t>
      </w:r>
      <w:r>
        <w:rPr>
          <w:sz w:val="24"/>
        </w:rPr>
        <w:t>/d</w:t>
      </w:r>
      <w:r>
        <w:rPr>
          <w:sz w:val="24"/>
        </w:rPr>
        <w:t>。裸露的片麻岩片麻理近南北向，且与地形坡向一致，有利于降水的入渗补给。水位埋深变化较大，一般在</w:t>
      </w:r>
      <w:r>
        <w:rPr>
          <w:sz w:val="24"/>
        </w:rPr>
        <w:t>0-20m</w:t>
      </w:r>
      <w:r>
        <w:rPr>
          <w:sz w:val="24"/>
        </w:rPr>
        <w:t>。</w:t>
      </w:r>
    </w:p>
    <w:p w:rsidR="00DB7CC8" w:rsidRDefault="002B5250">
      <w:pPr>
        <w:spacing w:line="440" w:lineRule="atLeast"/>
        <w:ind w:firstLine="480"/>
        <w:rPr>
          <w:sz w:val="24"/>
        </w:rPr>
      </w:pPr>
      <w:r>
        <w:rPr>
          <w:sz w:val="24"/>
        </w:rPr>
        <w:t>（</w:t>
      </w:r>
      <w:r>
        <w:rPr>
          <w:sz w:val="24"/>
        </w:rPr>
        <w:t>3</w:t>
      </w:r>
      <w:r>
        <w:rPr>
          <w:sz w:val="24"/>
        </w:rPr>
        <w:t>）第四系孔隙水含水岩组</w:t>
      </w:r>
    </w:p>
    <w:p w:rsidR="00DB7CC8" w:rsidRDefault="002B5250">
      <w:pPr>
        <w:spacing w:line="440" w:lineRule="atLeast"/>
        <w:ind w:firstLine="480"/>
        <w:rPr>
          <w:sz w:val="24"/>
        </w:rPr>
      </w:pPr>
      <w:r>
        <w:rPr>
          <w:sz w:val="24"/>
        </w:rPr>
        <w:t>受古沉积环境的影响，论证区第四系含水层厚度变化较大，在山前地带，第四系厚度仅为几米到十余米，有山前到沉积盆地中心，第四系厚度达到</w:t>
      </w:r>
      <w:r>
        <w:rPr>
          <w:sz w:val="24"/>
        </w:rPr>
        <w:t>280</w:t>
      </w:r>
      <w:r>
        <w:rPr>
          <w:sz w:val="24"/>
        </w:rPr>
        <w:t>余米，由于第四系地层的沉积特点，决定了该区地层的含水条件变化较大。第四系含水层是本区的主要含水层，也是本次水源地的开采层。</w:t>
      </w:r>
    </w:p>
    <w:p w:rsidR="00DB7CC8" w:rsidRDefault="002B5250">
      <w:pPr>
        <w:spacing w:line="440" w:lineRule="atLeast"/>
        <w:ind w:firstLine="480"/>
        <w:rPr>
          <w:sz w:val="24"/>
        </w:rPr>
      </w:pPr>
      <w:r>
        <w:rPr>
          <w:sz w:val="24"/>
        </w:rPr>
        <w:t>遵化北盆地，上部含水层为冲洪积层，主要为全新统和上更新统及中更新统的上段地层，底界埋深一般在</w:t>
      </w:r>
      <w:r>
        <w:rPr>
          <w:sz w:val="24"/>
        </w:rPr>
        <w:t>40-110m</w:t>
      </w:r>
      <w:r>
        <w:rPr>
          <w:sz w:val="24"/>
        </w:rPr>
        <w:t>，水力学性质为潜水－微承压水，含水层岩性有从东向西、由北至南逐渐变粗、变厚的特征，在西留村－蒲池河地区以细砂为主，砂层厚</w:t>
      </w:r>
      <w:r>
        <w:rPr>
          <w:sz w:val="24"/>
        </w:rPr>
        <w:t>19.0-25.2m</w:t>
      </w:r>
      <w:r>
        <w:rPr>
          <w:sz w:val="24"/>
        </w:rPr>
        <w:t>，在夏庄</w:t>
      </w:r>
      <w:r>
        <w:rPr>
          <w:sz w:val="24"/>
        </w:rPr>
        <w:t>子地区最薄仅</w:t>
      </w:r>
      <w:r>
        <w:rPr>
          <w:sz w:val="24"/>
        </w:rPr>
        <w:t>8.08m</w:t>
      </w:r>
      <w:r>
        <w:rPr>
          <w:sz w:val="24"/>
        </w:rPr>
        <w:t>，到纪各庄－小渤海寨一带以砾卵石、砂卵砾石为主，砂层最厚可达</w:t>
      </w:r>
      <w:r>
        <w:rPr>
          <w:sz w:val="24"/>
        </w:rPr>
        <w:t>50m</w:t>
      </w:r>
      <w:r>
        <w:rPr>
          <w:sz w:val="24"/>
        </w:rPr>
        <w:t>。浅层潜水－微承压水的含水层颗粒粗，水量丰富，单井涌水量（按井深</w:t>
      </w:r>
      <w:r>
        <w:rPr>
          <w:sz w:val="24"/>
        </w:rPr>
        <w:t>40m</w:t>
      </w:r>
      <w:r>
        <w:rPr>
          <w:sz w:val="24"/>
        </w:rPr>
        <w:t>、井径</w:t>
      </w:r>
      <w:r>
        <w:rPr>
          <w:sz w:val="24"/>
        </w:rPr>
        <w:t>0.25m</w:t>
      </w:r>
      <w:r>
        <w:rPr>
          <w:sz w:val="24"/>
        </w:rPr>
        <w:t>、降深</w:t>
      </w:r>
      <w:r>
        <w:rPr>
          <w:sz w:val="24"/>
        </w:rPr>
        <w:t>2m</w:t>
      </w:r>
      <w:r>
        <w:rPr>
          <w:sz w:val="24"/>
        </w:rPr>
        <w:t>的出水量）最大可达</w:t>
      </w:r>
      <w:r>
        <w:rPr>
          <w:sz w:val="24"/>
        </w:rPr>
        <w:t>3102.77m</w:t>
      </w:r>
      <w:r>
        <w:rPr>
          <w:sz w:val="24"/>
          <w:vertAlign w:val="superscript"/>
        </w:rPr>
        <w:t>3</w:t>
      </w:r>
      <w:r>
        <w:rPr>
          <w:sz w:val="24"/>
        </w:rPr>
        <w:t>/h</w:t>
      </w:r>
      <w:r>
        <w:rPr>
          <w:sz w:val="24"/>
        </w:rPr>
        <w:t>，主要分布在提举坞至小渤海寨一带，其它地区一般在</w:t>
      </w:r>
      <w:r>
        <w:rPr>
          <w:sz w:val="24"/>
        </w:rPr>
        <w:t>200-500 m</w:t>
      </w:r>
      <w:r>
        <w:rPr>
          <w:sz w:val="24"/>
          <w:vertAlign w:val="superscript"/>
        </w:rPr>
        <w:t>3</w:t>
      </w:r>
      <w:r>
        <w:rPr>
          <w:sz w:val="24"/>
        </w:rPr>
        <w:t>/h</w:t>
      </w:r>
      <w:r>
        <w:rPr>
          <w:sz w:val="24"/>
        </w:rPr>
        <w:t>。该含水组水量丰富，补给量充沛，含水层埋藏浅，成井容易，开采方便，是生活用水和农业用水的主要水源。但是由于该含水组的上覆地层以亚砂土为主，且厚度较薄，防护能力差，受当地人类活动的影响较大，个别地区近年来污染较为严重，</w:t>
      </w:r>
      <w:r>
        <w:rPr>
          <w:sz w:val="24"/>
        </w:rPr>
        <w:t>主要表现在水中</w:t>
      </w:r>
      <w:r>
        <w:rPr>
          <w:sz w:val="24"/>
        </w:rPr>
        <w:t>NO</w:t>
      </w:r>
      <w:r>
        <w:rPr>
          <w:sz w:val="24"/>
          <w:vertAlign w:val="subscript"/>
        </w:rPr>
        <w:t>3</w:t>
      </w:r>
      <w:r>
        <w:rPr>
          <w:sz w:val="24"/>
          <w:vertAlign w:val="superscript"/>
        </w:rPr>
        <w:t>－</w:t>
      </w:r>
      <w:r>
        <w:rPr>
          <w:sz w:val="24"/>
        </w:rPr>
        <w:t>和</w:t>
      </w:r>
      <w:r>
        <w:rPr>
          <w:sz w:val="24"/>
        </w:rPr>
        <w:t>NH</w:t>
      </w:r>
      <w:r>
        <w:rPr>
          <w:sz w:val="24"/>
          <w:vertAlign w:val="subscript"/>
        </w:rPr>
        <w:t>4</w:t>
      </w:r>
      <w:r>
        <w:rPr>
          <w:sz w:val="24"/>
          <w:vertAlign w:val="superscript"/>
        </w:rPr>
        <w:t>+</w:t>
      </w:r>
      <w:r>
        <w:rPr>
          <w:sz w:val="24"/>
        </w:rPr>
        <w:t>含量较高。</w:t>
      </w:r>
    </w:p>
    <w:p w:rsidR="00DB7CC8" w:rsidRDefault="002B5250">
      <w:pPr>
        <w:spacing w:line="440" w:lineRule="atLeast"/>
        <w:ind w:firstLine="480"/>
        <w:rPr>
          <w:sz w:val="24"/>
        </w:rPr>
      </w:pPr>
      <w:r>
        <w:rPr>
          <w:sz w:val="24"/>
        </w:rPr>
        <w:t>下部含水层主要是中更新统下段和早更新统地层，该段地层厚度变化较大，主要分布在盆地的低洼地段，含水组底界最大埋深一般在</w:t>
      </w:r>
      <w:r>
        <w:rPr>
          <w:sz w:val="24"/>
        </w:rPr>
        <w:t>150-240m</w:t>
      </w:r>
      <w:r>
        <w:rPr>
          <w:sz w:val="24"/>
        </w:rPr>
        <w:t>，局部地区大于</w:t>
      </w:r>
      <w:r>
        <w:rPr>
          <w:sz w:val="24"/>
        </w:rPr>
        <w:t>270m</w:t>
      </w:r>
      <w:r>
        <w:rPr>
          <w:sz w:val="24"/>
        </w:rPr>
        <w:t>，在小埝庄－纪各庄一带最深大于</w:t>
      </w:r>
      <w:r>
        <w:rPr>
          <w:sz w:val="24"/>
        </w:rPr>
        <w:t>250m</w:t>
      </w:r>
      <w:r>
        <w:rPr>
          <w:sz w:val="24"/>
        </w:rPr>
        <w:t>。含水层岩性沿北阁老湾－南岭－北岭一线可分为东西两部分，在东部地区含水层岩性以粉细砂、中砂为主，而在西部地区以卵石、卵砾石为主。该段含水层由于风化较强烈，含水层颗粒多被风化为粘性土和粉细砂，富水性较差。</w:t>
      </w:r>
    </w:p>
    <w:p w:rsidR="00DB7CC8" w:rsidRDefault="002B5250">
      <w:pPr>
        <w:spacing w:line="440" w:lineRule="atLeast"/>
        <w:ind w:firstLine="480"/>
        <w:rPr>
          <w:sz w:val="24"/>
        </w:rPr>
      </w:pPr>
      <w:r>
        <w:rPr>
          <w:sz w:val="24"/>
        </w:rPr>
        <w:t>根据钻孔资料和钻孔物探资料分析、以及水源地的勘探钻孔资料，我们可以</w:t>
      </w:r>
      <w:r>
        <w:rPr>
          <w:sz w:val="24"/>
        </w:rPr>
        <w:lastRenderedPageBreak/>
        <w:t>看出，</w:t>
      </w:r>
      <w:r>
        <w:rPr>
          <w:sz w:val="24"/>
        </w:rPr>
        <w:t>勘探孔的出水量与含水层的利用厚度不成正相关，而出水量却与利用上部含水层利用情况成正相关，如</w:t>
      </w:r>
      <w:r>
        <w:rPr>
          <w:sz w:val="24"/>
        </w:rPr>
        <w:t>ZS04</w:t>
      </w:r>
      <w:r>
        <w:rPr>
          <w:sz w:val="24"/>
        </w:rPr>
        <w:t>、</w:t>
      </w:r>
      <w:r>
        <w:rPr>
          <w:sz w:val="24"/>
        </w:rPr>
        <w:t>ZS06</w:t>
      </w:r>
      <w:r>
        <w:rPr>
          <w:sz w:val="24"/>
        </w:rPr>
        <w:t>、</w:t>
      </w:r>
      <w:r>
        <w:rPr>
          <w:sz w:val="24"/>
        </w:rPr>
        <w:t>ZS07</w:t>
      </w:r>
      <w:r>
        <w:rPr>
          <w:sz w:val="24"/>
        </w:rPr>
        <w:t>号孔，利用段是从</w:t>
      </w:r>
      <w:r>
        <w:rPr>
          <w:sz w:val="24"/>
        </w:rPr>
        <w:t>60</w:t>
      </w:r>
      <w:r>
        <w:rPr>
          <w:rFonts w:hint="eastAsia"/>
          <w:sz w:val="24"/>
        </w:rPr>
        <w:t>m</w:t>
      </w:r>
      <w:r>
        <w:rPr>
          <w:sz w:val="24"/>
        </w:rPr>
        <w:t>左右开始利用，单位出水量</w:t>
      </w:r>
      <w:r>
        <w:rPr>
          <w:sz w:val="24"/>
        </w:rPr>
        <w:t>18.65-48.68m</w:t>
      </w:r>
      <w:r>
        <w:rPr>
          <w:sz w:val="24"/>
          <w:vertAlign w:val="superscript"/>
        </w:rPr>
        <w:t>3</w:t>
      </w:r>
      <w:r>
        <w:rPr>
          <w:sz w:val="24"/>
        </w:rPr>
        <w:t>/h·m</w:t>
      </w:r>
      <w:r>
        <w:rPr>
          <w:sz w:val="24"/>
        </w:rPr>
        <w:t>，而其它钻孔利用段大多在</w:t>
      </w:r>
      <w:r>
        <w:rPr>
          <w:sz w:val="24"/>
        </w:rPr>
        <w:t>80</w:t>
      </w:r>
      <w:r>
        <w:rPr>
          <w:rFonts w:hint="eastAsia"/>
          <w:sz w:val="24"/>
        </w:rPr>
        <w:t>m</w:t>
      </w:r>
      <w:r>
        <w:rPr>
          <w:sz w:val="24"/>
        </w:rPr>
        <w:t>以下，单位出水量却比较小，因此可以看出，深部含水层富水性较差，含水层风化或含泥质成分较高。</w:t>
      </w:r>
    </w:p>
    <w:p w:rsidR="00DB7CC8" w:rsidRDefault="002B5250">
      <w:pPr>
        <w:spacing w:line="440" w:lineRule="atLeast"/>
        <w:ind w:firstLine="480"/>
        <w:rPr>
          <w:sz w:val="24"/>
        </w:rPr>
      </w:pPr>
      <w:r>
        <w:rPr>
          <w:sz w:val="24"/>
        </w:rPr>
        <w:t>从总体上分析，该盆地的主要富水地段为上部含水层。根据地层结构分析，该区含水层为一个统一的第四系含水层，各含水层之间没有稳定的隔水层，因此该区的地下水含水层为一潜水微承压水含水系统。</w:t>
      </w:r>
    </w:p>
    <w:p w:rsidR="00DB7CC8" w:rsidRDefault="002B5250">
      <w:pPr>
        <w:pStyle w:val="4"/>
        <w:spacing w:beforeLines="100" w:before="240"/>
      </w:pPr>
      <w:r>
        <w:t>4.1.6</w:t>
      </w:r>
      <w:r>
        <w:rPr>
          <w:rFonts w:hint="eastAsia"/>
        </w:rPr>
        <w:t xml:space="preserve">.2 </w:t>
      </w:r>
      <w:r>
        <w:rPr>
          <w:rFonts w:hint="eastAsia"/>
        </w:rPr>
        <w:t>水文地质分区</w:t>
      </w:r>
    </w:p>
    <w:p w:rsidR="00DB7CC8" w:rsidRDefault="002B5250">
      <w:pPr>
        <w:widowControl/>
        <w:spacing w:line="440" w:lineRule="atLeast"/>
        <w:ind w:firstLine="480"/>
        <w:rPr>
          <w:sz w:val="24"/>
          <w:szCs w:val="24"/>
        </w:rPr>
      </w:pPr>
      <w:r>
        <w:rPr>
          <w:sz w:val="24"/>
          <w:szCs w:val="24"/>
        </w:rPr>
        <w:t>遵化市城区饮用水地下水水源分布于遵化市北川平原境内，根据地下水水源地附近区域地下水赋存条件及富水程度、岩性、地貌以及地下水补给条件，依据不同岩类地下水赋存特征，将遵化市北川平原划分为二个水文地质区，并根据各含水组的富水强弱，划分为四个含水亚区</w:t>
      </w:r>
      <w:r>
        <w:rPr>
          <w:rFonts w:hint="eastAsia"/>
          <w:sz w:val="24"/>
          <w:szCs w:val="24"/>
        </w:rPr>
        <w:t>（见图</w:t>
      </w:r>
      <w:r>
        <w:rPr>
          <w:rFonts w:hint="eastAsia"/>
          <w:sz w:val="24"/>
          <w:szCs w:val="24"/>
        </w:rPr>
        <w:t>4.1-6</w:t>
      </w:r>
      <w:r>
        <w:rPr>
          <w:rFonts w:hint="eastAsia"/>
          <w:sz w:val="24"/>
          <w:szCs w:val="24"/>
        </w:rPr>
        <w:t>）</w:t>
      </w:r>
      <w:r>
        <w:rPr>
          <w:sz w:val="24"/>
          <w:szCs w:val="24"/>
        </w:rPr>
        <w:t>，如下：</w:t>
      </w:r>
    </w:p>
    <w:p w:rsidR="00DB7CC8" w:rsidRDefault="002B5250">
      <w:pPr>
        <w:widowControl/>
        <w:spacing w:line="440" w:lineRule="atLeast"/>
        <w:ind w:firstLine="480"/>
        <w:rPr>
          <w:sz w:val="24"/>
          <w:szCs w:val="24"/>
        </w:rPr>
      </w:pPr>
      <w:r>
        <w:rPr>
          <w:sz w:val="24"/>
          <w:szCs w:val="24"/>
        </w:rPr>
        <w:t>（</w:t>
      </w:r>
      <w:r>
        <w:rPr>
          <w:sz w:val="24"/>
          <w:szCs w:val="24"/>
        </w:rPr>
        <w:t>1</w:t>
      </w:r>
      <w:r>
        <w:rPr>
          <w:sz w:val="24"/>
          <w:szCs w:val="24"/>
        </w:rPr>
        <w:t>）松散岩类孔隙潜水含水区（</w:t>
      </w:r>
      <w:r>
        <w:rPr>
          <w:rFonts w:hAnsi="宋体" w:hint="eastAsia"/>
          <w:sz w:val="24"/>
          <w:szCs w:val="24"/>
        </w:rPr>
        <w:t>I</w:t>
      </w:r>
      <w:r>
        <w:rPr>
          <w:sz w:val="24"/>
          <w:szCs w:val="24"/>
        </w:rPr>
        <w:t>）</w:t>
      </w:r>
    </w:p>
    <w:p w:rsidR="00DB7CC8" w:rsidRDefault="002B5250">
      <w:pPr>
        <w:widowControl/>
        <w:spacing w:line="440" w:lineRule="atLeast"/>
        <w:ind w:firstLine="480"/>
        <w:rPr>
          <w:sz w:val="24"/>
          <w:szCs w:val="24"/>
        </w:rPr>
      </w:pPr>
      <w:r>
        <w:rPr>
          <w:rFonts w:hAnsi="宋体"/>
          <w:sz w:val="24"/>
          <w:szCs w:val="24"/>
        </w:rPr>
        <w:t>①</w:t>
      </w:r>
      <w:r>
        <w:rPr>
          <w:sz w:val="24"/>
          <w:szCs w:val="24"/>
        </w:rPr>
        <w:t>极富水亚区（</w:t>
      </w:r>
      <w:r>
        <w:rPr>
          <w:rFonts w:hAnsi="宋体" w:hint="eastAsia"/>
          <w:sz w:val="24"/>
          <w:szCs w:val="24"/>
        </w:rPr>
        <w:t>I</w:t>
      </w:r>
      <w:r>
        <w:rPr>
          <w:sz w:val="24"/>
          <w:szCs w:val="24"/>
          <w:vertAlign w:val="subscript"/>
        </w:rPr>
        <w:t>1</w:t>
      </w:r>
      <w:r>
        <w:rPr>
          <w:sz w:val="24"/>
          <w:szCs w:val="24"/>
        </w:rPr>
        <w:t>）：为</w:t>
      </w:r>
      <w:r>
        <w:rPr>
          <w:sz w:val="24"/>
          <w:szCs w:val="24"/>
        </w:rPr>
        <w:t>Q</w:t>
      </w:r>
      <w:r>
        <w:rPr>
          <w:sz w:val="24"/>
          <w:szCs w:val="24"/>
          <w:vertAlign w:val="subscript"/>
        </w:rPr>
        <w:t>4</w:t>
      </w:r>
      <w:r>
        <w:rPr>
          <w:sz w:val="24"/>
          <w:szCs w:val="24"/>
        </w:rPr>
        <w:t>及</w:t>
      </w:r>
      <w:r>
        <w:rPr>
          <w:sz w:val="24"/>
          <w:szCs w:val="24"/>
        </w:rPr>
        <w:t>Q</w:t>
      </w:r>
      <w:r>
        <w:rPr>
          <w:sz w:val="24"/>
          <w:szCs w:val="24"/>
          <w:vertAlign w:val="subscript"/>
        </w:rPr>
        <w:t>3</w:t>
      </w:r>
      <w:r>
        <w:rPr>
          <w:sz w:val="24"/>
          <w:szCs w:val="24"/>
        </w:rPr>
        <w:t>冲洪积卵砾石层，及</w:t>
      </w:r>
      <w:r>
        <w:rPr>
          <w:sz w:val="24"/>
          <w:szCs w:val="24"/>
        </w:rPr>
        <w:t>Q</w:t>
      </w:r>
      <w:r>
        <w:rPr>
          <w:sz w:val="24"/>
          <w:szCs w:val="24"/>
          <w:vertAlign w:val="subscript"/>
        </w:rPr>
        <w:t>2</w:t>
      </w:r>
      <w:r>
        <w:rPr>
          <w:sz w:val="24"/>
          <w:szCs w:val="24"/>
        </w:rPr>
        <w:t>的砾石层。卵砾石层占开采深度的</w:t>
      </w:r>
      <w:r>
        <w:rPr>
          <w:sz w:val="24"/>
          <w:szCs w:val="24"/>
        </w:rPr>
        <w:t>70-80</w:t>
      </w:r>
      <w:r>
        <w:rPr>
          <w:sz w:val="24"/>
          <w:szCs w:val="24"/>
        </w:rPr>
        <w:t>％，单井单位涌水量</w:t>
      </w:r>
      <w:r>
        <w:rPr>
          <w:sz w:val="24"/>
          <w:szCs w:val="24"/>
        </w:rPr>
        <w:t>100m</w:t>
      </w:r>
      <w:r>
        <w:rPr>
          <w:sz w:val="24"/>
          <w:szCs w:val="24"/>
          <w:vertAlign w:val="superscript"/>
        </w:rPr>
        <w:t>3</w:t>
      </w:r>
      <w:r>
        <w:rPr>
          <w:sz w:val="24"/>
          <w:szCs w:val="24"/>
        </w:rPr>
        <w:t>/h·m</w:t>
      </w:r>
      <w:r>
        <w:rPr>
          <w:sz w:val="24"/>
          <w:szCs w:val="24"/>
        </w:rPr>
        <w:t>。分布在北川平原，其东部位于冲洪积扇上部，西部位于冲洪积扇下部。此含水组为遵化市地下水水源地开采的主要组段。</w:t>
      </w:r>
    </w:p>
    <w:p w:rsidR="00DB7CC8" w:rsidRDefault="002B5250">
      <w:pPr>
        <w:widowControl/>
        <w:spacing w:line="440" w:lineRule="atLeast"/>
        <w:ind w:firstLine="480"/>
        <w:rPr>
          <w:sz w:val="24"/>
          <w:szCs w:val="24"/>
        </w:rPr>
      </w:pPr>
      <w:r>
        <w:rPr>
          <w:rFonts w:hAnsi="宋体"/>
          <w:sz w:val="24"/>
          <w:szCs w:val="24"/>
        </w:rPr>
        <w:t>②</w:t>
      </w:r>
      <w:r>
        <w:rPr>
          <w:sz w:val="24"/>
          <w:szCs w:val="24"/>
        </w:rPr>
        <w:t>富水亚区（</w:t>
      </w:r>
      <w:r>
        <w:rPr>
          <w:rFonts w:hAnsi="宋体" w:hint="eastAsia"/>
          <w:sz w:val="24"/>
          <w:szCs w:val="24"/>
        </w:rPr>
        <w:t>I</w:t>
      </w:r>
      <w:r>
        <w:rPr>
          <w:sz w:val="24"/>
          <w:szCs w:val="24"/>
          <w:vertAlign w:val="subscript"/>
        </w:rPr>
        <w:t>2</w:t>
      </w:r>
      <w:r>
        <w:rPr>
          <w:sz w:val="24"/>
          <w:szCs w:val="24"/>
        </w:rPr>
        <w:t>）：为</w:t>
      </w:r>
      <w:r>
        <w:rPr>
          <w:sz w:val="24"/>
          <w:szCs w:val="24"/>
        </w:rPr>
        <w:t>Q</w:t>
      </w:r>
      <w:r>
        <w:rPr>
          <w:sz w:val="24"/>
          <w:szCs w:val="24"/>
          <w:vertAlign w:val="subscript"/>
        </w:rPr>
        <w:t>3</w:t>
      </w:r>
      <w:r>
        <w:rPr>
          <w:sz w:val="24"/>
          <w:szCs w:val="24"/>
        </w:rPr>
        <w:t>及</w:t>
      </w:r>
      <w:r>
        <w:rPr>
          <w:sz w:val="24"/>
          <w:szCs w:val="24"/>
        </w:rPr>
        <w:t>Q</w:t>
      </w:r>
      <w:r>
        <w:rPr>
          <w:sz w:val="24"/>
          <w:szCs w:val="24"/>
          <w:vertAlign w:val="subscript"/>
        </w:rPr>
        <w:t>4</w:t>
      </w:r>
      <w:r>
        <w:rPr>
          <w:sz w:val="24"/>
          <w:szCs w:val="24"/>
        </w:rPr>
        <w:t>冲洪积及洪积砂砾石和卵砾石层。砂砾石层厚一般</w:t>
      </w:r>
      <w:r>
        <w:rPr>
          <w:sz w:val="24"/>
          <w:szCs w:val="24"/>
        </w:rPr>
        <w:t>5-15m</w:t>
      </w:r>
      <w:r>
        <w:rPr>
          <w:sz w:val="24"/>
          <w:szCs w:val="24"/>
        </w:rPr>
        <w:t>，单井单位涌水量</w:t>
      </w:r>
      <w:r>
        <w:rPr>
          <w:sz w:val="24"/>
          <w:szCs w:val="24"/>
        </w:rPr>
        <w:t>50-100m</w:t>
      </w:r>
      <w:r>
        <w:rPr>
          <w:sz w:val="24"/>
          <w:szCs w:val="24"/>
          <w:vertAlign w:val="superscript"/>
        </w:rPr>
        <w:t>3</w:t>
      </w:r>
      <w:r>
        <w:rPr>
          <w:sz w:val="24"/>
          <w:szCs w:val="24"/>
        </w:rPr>
        <w:t>/h·m</w:t>
      </w:r>
      <w:r>
        <w:rPr>
          <w:sz w:val="24"/>
          <w:szCs w:val="24"/>
        </w:rPr>
        <w:t>。分布于冲洪积扇前缘及近洪积扇地带。</w:t>
      </w:r>
    </w:p>
    <w:p w:rsidR="00DB7CC8" w:rsidRDefault="002B5250">
      <w:pPr>
        <w:widowControl/>
        <w:spacing w:line="440" w:lineRule="atLeast"/>
        <w:ind w:firstLine="480"/>
        <w:rPr>
          <w:sz w:val="24"/>
          <w:szCs w:val="24"/>
        </w:rPr>
      </w:pPr>
      <w:r>
        <w:rPr>
          <w:rFonts w:hAnsi="宋体"/>
          <w:sz w:val="24"/>
          <w:szCs w:val="24"/>
        </w:rPr>
        <w:t>③</w:t>
      </w:r>
      <w:r>
        <w:rPr>
          <w:sz w:val="24"/>
          <w:szCs w:val="24"/>
        </w:rPr>
        <w:t>中等富水亚区（</w:t>
      </w:r>
      <w:r>
        <w:rPr>
          <w:sz w:val="24"/>
          <w:szCs w:val="24"/>
        </w:rPr>
        <w:t>I</w:t>
      </w:r>
      <w:r>
        <w:rPr>
          <w:sz w:val="24"/>
          <w:szCs w:val="24"/>
          <w:vertAlign w:val="subscript"/>
        </w:rPr>
        <w:t>3</w:t>
      </w:r>
      <w:r>
        <w:rPr>
          <w:sz w:val="24"/>
          <w:szCs w:val="24"/>
        </w:rPr>
        <w:t>）：为</w:t>
      </w:r>
      <w:r>
        <w:rPr>
          <w:sz w:val="24"/>
          <w:szCs w:val="24"/>
        </w:rPr>
        <w:t>Q</w:t>
      </w:r>
      <w:r>
        <w:rPr>
          <w:sz w:val="24"/>
          <w:szCs w:val="24"/>
          <w:vertAlign w:val="subscript"/>
        </w:rPr>
        <w:t>3</w:t>
      </w:r>
      <w:r>
        <w:rPr>
          <w:sz w:val="24"/>
          <w:szCs w:val="24"/>
        </w:rPr>
        <w:t>冲洪积砂砾石及砂含砾石层。砂砾石层厚一般</w:t>
      </w:r>
      <w:r>
        <w:rPr>
          <w:sz w:val="24"/>
          <w:szCs w:val="24"/>
        </w:rPr>
        <w:t>10m</w:t>
      </w:r>
      <w:r>
        <w:rPr>
          <w:sz w:val="24"/>
          <w:szCs w:val="24"/>
        </w:rPr>
        <w:t>左右，该组下部个别地段夹有薄层淤泥质砂粘土。单井单位涌水量</w:t>
      </w:r>
      <w:r>
        <w:rPr>
          <w:sz w:val="24"/>
          <w:szCs w:val="24"/>
        </w:rPr>
        <w:t>25-50m</w:t>
      </w:r>
      <w:r>
        <w:rPr>
          <w:sz w:val="24"/>
          <w:szCs w:val="24"/>
          <w:vertAlign w:val="superscript"/>
        </w:rPr>
        <w:t>3</w:t>
      </w:r>
      <w:r>
        <w:rPr>
          <w:sz w:val="24"/>
          <w:szCs w:val="24"/>
        </w:rPr>
        <w:t>/h·m</w:t>
      </w:r>
      <w:r>
        <w:rPr>
          <w:sz w:val="24"/>
          <w:szCs w:val="24"/>
        </w:rPr>
        <w:t>。分布于北川平原的扇间地带。</w:t>
      </w:r>
    </w:p>
    <w:p w:rsidR="00DB7CC8" w:rsidRDefault="002B5250">
      <w:pPr>
        <w:spacing w:line="440" w:lineRule="atLeast"/>
        <w:ind w:firstLine="480"/>
        <w:rPr>
          <w:sz w:val="24"/>
        </w:rPr>
      </w:pPr>
      <w:r>
        <w:rPr>
          <w:sz w:val="24"/>
        </w:rPr>
        <w:t>④</w:t>
      </w:r>
      <w:r>
        <w:rPr>
          <w:sz w:val="24"/>
        </w:rPr>
        <w:t>弱富水亚组</w:t>
      </w:r>
      <w:r>
        <w:rPr>
          <w:sz w:val="24"/>
        </w:rPr>
        <w:t>(I</w:t>
      </w:r>
      <w:r>
        <w:rPr>
          <w:sz w:val="24"/>
          <w:vertAlign w:val="subscript"/>
        </w:rPr>
        <w:t>4</w:t>
      </w:r>
      <w:r>
        <w:rPr>
          <w:sz w:val="24"/>
        </w:rPr>
        <w:t>)</w:t>
      </w:r>
      <w:r>
        <w:rPr>
          <w:sz w:val="24"/>
        </w:rPr>
        <w:t>：为</w:t>
      </w:r>
      <w:r>
        <w:rPr>
          <w:sz w:val="24"/>
        </w:rPr>
        <w:t>Q</w:t>
      </w:r>
      <w:r>
        <w:rPr>
          <w:sz w:val="24"/>
          <w:vertAlign w:val="subscript"/>
        </w:rPr>
        <w:t>3</w:t>
      </w:r>
      <w:r>
        <w:rPr>
          <w:sz w:val="24"/>
        </w:rPr>
        <w:t>及</w:t>
      </w:r>
      <w:r>
        <w:rPr>
          <w:sz w:val="24"/>
        </w:rPr>
        <w:t>Q</w:t>
      </w:r>
      <w:r>
        <w:rPr>
          <w:sz w:val="24"/>
          <w:vertAlign w:val="subscript"/>
        </w:rPr>
        <w:t>4</w:t>
      </w:r>
      <w:r>
        <w:rPr>
          <w:sz w:val="24"/>
        </w:rPr>
        <w:t>冲洪积砂砾</w:t>
      </w:r>
      <w:r>
        <w:rPr>
          <w:sz w:val="24"/>
        </w:rPr>
        <w:t>石层，单井涌水量小于</w:t>
      </w:r>
      <w:r>
        <w:rPr>
          <w:sz w:val="24"/>
        </w:rPr>
        <w:t>50t</w:t>
      </w:r>
      <w:r>
        <w:rPr>
          <w:rFonts w:hint="eastAsia"/>
          <w:sz w:val="24"/>
        </w:rPr>
        <w:t>/</w:t>
      </w:r>
      <w:r>
        <w:rPr>
          <w:sz w:val="24"/>
        </w:rPr>
        <w:t>h</w:t>
      </w:r>
      <w:r>
        <w:rPr>
          <w:sz w:val="24"/>
        </w:rPr>
        <w:t>。水位埋深一般</w:t>
      </w:r>
      <w:r>
        <w:rPr>
          <w:sz w:val="24"/>
        </w:rPr>
        <w:t>2-5m</w:t>
      </w:r>
      <w:r>
        <w:rPr>
          <w:sz w:val="24"/>
        </w:rPr>
        <w:t>，个别地段</w:t>
      </w:r>
      <w:r>
        <w:rPr>
          <w:sz w:val="24"/>
        </w:rPr>
        <w:t>15-25m</w:t>
      </w:r>
      <w:r>
        <w:rPr>
          <w:sz w:val="24"/>
        </w:rPr>
        <w:t>。分布于沟谷地带，以及地北头、枣林一带。</w:t>
      </w:r>
    </w:p>
    <w:p w:rsidR="00DB7CC8" w:rsidRDefault="002B5250">
      <w:pPr>
        <w:spacing w:line="440" w:lineRule="atLeast"/>
        <w:ind w:firstLine="480"/>
        <w:rPr>
          <w:sz w:val="24"/>
        </w:rPr>
      </w:pPr>
      <w:r>
        <w:rPr>
          <w:rFonts w:hAnsi="宋体"/>
          <w:sz w:val="24"/>
        </w:rPr>
        <w:t>⑤</w:t>
      </w:r>
      <w:r>
        <w:rPr>
          <w:sz w:val="24"/>
        </w:rPr>
        <w:t>贫水亚组</w:t>
      </w:r>
      <w:r>
        <w:rPr>
          <w:sz w:val="24"/>
        </w:rPr>
        <w:t>(I</w:t>
      </w:r>
      <w:r>
        <w:rPr>
          <w:rFonts w:hint="eastAsia"/>
          <w:sz w:val="24"/>
          <w:vertAlign w:val="subscript"/>
        </w:rPr>
        <w:t>5</w:t>
      </w:r>
      <w:r>
        <w:rPr>
          <w:sz w:val="24"/>
        </w:rPr>
        <w:t>)</w:t>
      </w:r>
      <w:r>
        <w:rPr>
          <w:sz w:val="24"/>
        </w:rPr>
        <w:t>：为</w:t>
      </w:r>
      <w:r>
        <w:rPr>
          <w:sz w:val="24"/>
        </w:rPr>
        <w:t>Q</w:t>
      </w:r>
      <w:r>
        <w:rPr>
          <w:sz w:val="24"/>
          <w:vertAlign w:val="subscript"/>
        </w:rPr>
        <w:t>3</w:t>
      </w:r>
      <w:r>
        <w:rPr>
          <w:sz w:val="24"/>
        </w:rPr>
        <w:t>及</w:t>
      </w:r>
      <w:r>
        <w:rPr>
          <w:sz w:val="24"/>
        </w:rPr>
        <w:t>Q</w:t>
      </w:r>
      <w:r>
        <w:rPr>
          <w:sz w:val="24"/>
          <w:vertAlign w:val="subscript"/>
        </w:rPr>
        <w:t>4</w:t>
      </w:r>
      <w:r>
        <w:rPr>
          <w:sz w:val="24"/>
        </w:rPr>
        <w:t>冲洪积砂砾卵石层，单井涌水量小于</w:t>
      </w:r>
      <w:r>
        <w:rPr>
          <w:sz w:val="24"/>
        </w:rPr>
        <w:t>30t</w:t>
      </w:r>
      <w:r>
        <w:rPr>
          <w:rFonts w:hint="eastAsia"/>
          <w:sz w:val="24"/>
        </w:rPr>
        <w:t>/</w:t>
      </w:r>
      <w:r>
        <w:rPr>
          <w:sz w:val="24"/>
        </w:rPr>
        <w:t>h</w:t>
      </w:r>
      <w:r>
        <w:rPr>
          <w:sz w:val="24"/>
        </w:rPr>
        <w:t>。水位埋深</w:t>
      </w:r>
      <w:r>
        <w:rPr>
          <w:sz w:val="24"/>
        </w:rPr>
        <w:t>3-5m</w:t>
      </w:r>
      <w:r>
        <w:rPr>
          <w:sz w:val="24"/>
        </w:rPr>
        <w:t>。分布于山间沟谷地带。</w:t>
      </w:r>
    </w:p>
    <w:p w:rsidR="00DB7CC8" w:rsidRDefault="002B5250">
      <w:pPr>
        <w:spacing w:line="440" w:lineRule="atLeast"/>
        <w:ind w:firstLine="480"/>
        <w:rPr>
          <w:sz w:val="24"/>
        </w:rPr>
      </w:pPr>
      <w:r>
        <w:rPr>
          <w:rFonts w:hAnsi="宋体"/>
          <w:sz w:val="24"/>
        </w:rPr>
        <w:t>⑥</w:t>
      </w:r>
      <w:r>
        <w:rPr>
          <w:sz w:val="24"/>
        </w:rPr>
        <w:t>微含水或不含水亚组</w:t>
      </w:r>
      <w:r>
        <w:rPr>
          <w:sz w:val="24"/>
        </w:rPr>
        <w:t>(I</w:t>
      </w:r>
      <w:r>
        <w:rPr>
          <w:sz w:val="24"/>
          <w:vertAlign w:val="subscript"/>
        </w:rPr>
        <w:t>6</w:t>
      </w:r>
      <w:r>
        <w:rPr>
          <w:sz w:val="24"/>
        </w:rPr>
        <w:t>)</w:t>
      </w:r>
      <w:r>
        <w:rPr>
          <w:sz w:val="24"/>
        </w:rPr>
        <w:t>：为</w:t>
      </w:r>
      <w:r>
        <w:rPr>
          <w:sz w:val="24"/>
        </w:rPr>
        <w:t>Q</w:t>
      </w:r>
      <w:r>
        <w:rPr>
          <w:sz w:val="24"/>
          <w:vertAlign w:val="subscript"/>
        </w:rPr>
        <w:t>2</w:t>
      </w:r>
      <w:r>
        <w:rPr>
          <w:sz w:val="24"/>
        </w:rPr>
        <w:t>及</w:t>
      </w:r>
      <w:r>
        <w:rPr>
          <w:sz w:val="24"/>
        </w:rPr>
        <w:t>Q</w:t>
      </w:r>
      <w:r>
        <w:rPr>
          <w:sz w:val="24"/>
          <w:vertAlign w:val="subscript"/>
        </w:rPr>
        <w:t>3</w:t>
      </w:r>
      <w:r>
        <w:rPr>
          <w:sz w:val="24"/>
        </w:rPr>
        <w:t>坡洪积层，主要岩性为粘砂土，或砂粘土含碎石，不含水或微含水。分布于山丘边缘。</w:t>
      </w:r>
    </w:p>
    <w:p w:rsidR="00DB7CC8" w:rsidRDefault="002B5250">
      <w:pPr>
        <w:spacing w:line="440" w:lineRule="atLeast"/>
        <w:ind w:firstLine="480"/>
        <w:rPr>
          <w:sz w:val="24"/>
          <w:szCs w:val="24"/>
        </w:rPr>
      </w:pPr>
      <w:r>
        <w:rPr>
          <w:rFonts w:hint="eastAsia"/>
          <w:sz w:val="24"/>
          <w:szCs w:val="24"/>
        </w:rPr>
        <w:t>（</w:t>
      </w:r>
      <w:r>
        <w:rPr>
          <w:rFonts w:hint="eastAsia"/>
          <w:sz w:val="24"/>
          <w:szCs w:val="24"/>
        </w:rPr>
        <w:t>2</w:t>
      </w:r>
      <w:r>
        <w:rPr>
          <w:rFonts w:hint="eastAsia"/>
          <w:sz w:val="24"/>
          <w:szCs w:val="24"/>
        </w:rPr>
        <w:t>）碳酸盐岩类裂隙、岩溶裂隙含水区</w:t>
      </w:r>
      <w:r>
        <w:rPr>
          <w:sz w:val="24"/>
          <w:szCs w:val="24"/>
        </w:rPr>
        <w:t>（</w:t>
      </w:r>
      <w:r>
        <w:rPr>
          <w:rFonts w:hAnsi="宋体" w:hint="eastAsia"/>
          <w:sz w:val="24"/>
          <w:szCs w:val="24"/>
        </w:rPr>
        <w:t>II</w:t>
      </w:r>
      <w:r>
        <w:rPr>
          <w:sz w:val="24"/>
          <w:szCs w:val="24"/>
        </w:rPr>
        <w:t>）</w:t>
      </w:r>
    </w:p>
    <w:p w:rsidR="00DB7CC8" w:rsidRDefault="002B5250">
      <w:pPr>
        <w:spacing w:line="440" w:lineRule="atLeast"/>
        <w:ind w:firstLine="480"/>
        <w:rPr>
          <w:sz w:val="24"/>
          <w:szCs w:val="24"/>
        </w:rPr>
      </w:pPr>
      <w:r>
        <w:rPr>
          <w:rFonts w:hint="eastAsia"/>
          <w:sz w:val="24"/>
          <w:szCs w:val="24"/>
        </w:rPr>
        <w:lastRenderedPageBreak/>
        <w:t>①富水亚组</w:t>
      </w:r>
      <w:r>
        <w:rPr>
          <w:sz w:val="24"/>
          <w:szCs w:val="24"/>
        </w:rPr>
        <w:t>（</w:t>
      </w:r>
      <w:r>
        <w:rPr>
          <w:rFonts w:hint="eastAsia"/>
          <w:sz w:val="24"/>
          <w:szCs w:val="24"/>
        </w:rPr>
        <w:t>I</w:t>
      </w:r>
      <w:r>
        <w:rPr>
          <w:rFonts w:hAnsi="宋体" w:hint="eastAsia"/>
          <w:sz w:val="24"/>
          <w:szCs w:val="24"/>
        </w:rPr>
        <w:t>I</w:t>
      </w:r>
      <w:r>
        <w:rPr>
          <w:sz w:val="24"/>
          <w:szCs w:val="24"/>
          <w:vertAlign w:val="subscript"/>
        </w:rPr>
        <w:t>1</w:t>
      </w:r>
      <w:r>
        <w:rPr>
          <w:sz w:val="24"/>
          <w:szCs w:val="24"/>
        </w:rPr>
        <w:t>）</w:t>
      </w:r>
      <w:r>
        <w:rPr>
          <w:rFonts w:hint="eastAsia"/>
          <w:sz w:val="24"/>
          <w:szCs w:val="24"/>
        </w:rPr>
        <w:t>：由于高于庄组和雾迷山两组构成，分布广泛。裂隙、岩溶裂隙发育，局部见有小溶洞，富水性强，但不均一，单井涌水量一般</w:t>
      </w:r>
      <w:r>
        <w:rPr>
          <w:sz w:val="24"/>
          <w:szCs w:val="24"/>
        </w:rPr>
        <w:t>30</w:t>
      </w:r>
      <w:r>
        <w:rPr>
          <w:rFonts w:hint="eastAsia"/>
          <w:sz w:val="24"/>
          <w:szCs w:val="24"/>
        </w:rPr>
        <w:t>-</w:t>
      </w:r>
      <w:r>
        <w:rPr>
          <w:sz w:val="24"/>
          <w:szCs w:val="24"/>
        </w:rPr>
        <w:t>50m</w:t>
      </w:r>
      <w:r>
        <w:rPr>
          <w:sz w:val="24"/>
          <w:szCs w:val="24"/>
          <w:vertAlign w:val="superscript"/>
        </w:rPr>
        <w:t>3</w:t>
      </w:r>
      <w:r>
        <w:rPr>
          <w:sz w:val="24"/>
          <w:szCs w:val="24"/>
        </w:rPr>
        <w:t>/h</w:t>
      </w:r>
      <w:r>
        <w:rPr>
          <w:rFonts w:hint="eastAsia"/>
          <w:sz w:val="24"/>
          <w:szCs w:val="24"/>
        </w:rPr>
        <w:t>，构造破碎带地段可达</w:t>
      </w:r>
      <w:r>
        <w:rPr>
          <w:sz w:val="24"/>
          <w:szCs w:val="24"/>
        </w:rPr>
        <w:t xml:space="preserve"> 100</w:t>
      </w:r>
      <w:r>
        <w:rPr>
          <w:rFonts w:hint="eastAsia"/>
          <w:sz w:val="24"/>
          <w:szCs w:val="24"/>
        </w:rPr>
        <w:t>-</w:t>
      </w:r>
      <w:r>
        <w:rPr>
          <w:sz w:val="24"/>
          <w:szCs w:val="24"/>
        </w:rPr>
        <w:t>250m</w:t>
      </w:r>
      <w:r>
        <w:rPr>
          <w:sz w:val="24"/>
          <w:szCs w:val="24"/>
          <w:vertAlign w:val="superscript"/>
        </w:rPr>
        <w:t>3</w:t>
      </w:r>
      <w:r>
        <w:rPr>
          <w:sz w:val="24"/>
          <w:szCs w:val="24"/>
        </w:rPr>
        <w:t>/h</w:t>
      </w:r>
      <w:r>
        <w:rPr>
          <w:rFonts w:hint="eastAsia"/>
          <w:sz w:val="24"/>
          <w:szCs w:val="24"/>
        </w:rPr>
        <w:t>。</w:t>
      </w:r>
    </w:p>
    <w:p w:rsidR="00DB7CC8" w:rsidRDefault="002B5250">
      <w:pPr>
        <w:spacing w:line="440" w:lineRule="atLeast"/>
        <w:ind w:firstLine="480"/>
        <w:rPr>
          <w:sz w:val="24"/>
          <w:szCs w:val="24"/>
        </w:rPr>
      </w:pPr>
      <w:r>
        <w:rPr>
          <w:rFonts w:hint="eastAsia"/>
          <w:sz w:val="24"/>
          <w:szCs w:val="24"/>
        </w:rPr>
        <w:t>雾迷山组以白云质灰岩部位的层间裂隙水为最好，富水性强。在山区与平原交界地段高于庄组地下水年变幅一般</w:t>
      </w:r>
      <w:r>
        <w:rPr>
          <w:sz w:val="24"/>
          <w:szCs w:val="24"/>
        </w:rPr>
        <w:t>25</w:t>
      </w:r>
      <w:r>
        <w:rPr>
          <w:rFonts w:hint="eastAsia"/>
          <w:sz w:val="24"/>
          <w:szCs w:val="24"/>
        </w:rPr>
        <w:t>-</w:t>
      </w:r>
      <w:r>
        <w:rPr>
          <w:sz w:val="24"/>
          <w:szCs w:val="24"/>
        </w:rPr>
        <w:t>30m</w:t>
      </w:r>
      <w:r>
        <w:rPr>
          <w:rFonts w:hint="eastAsia"/>
          <w:sz w:val="24"/>
          <w:szCs w:val="24"/>
        </w:rPr>
        <w:t>，而雾迷山组为</w:t>
      </w:r>
      <w:r>
        <w:rPr>
          <w:sz w:val="24"/>
          <w:szCs w:val="24"/>
        </w:rPr>
        <w:t>10</w:t>
      </w:r>
      <w:r>
        <w:rPr>
          <w:rFonts w:hint="eastAsia"/>
          <w:sz w:val="24"/>
          <w:szCs w:val="24"/>
        </w:rPr>
        <w:t>-</w:t>
      </w:r>
      <w:r>
        <w:rPr>
          <w:sz w:val="24"/>
          <w:szCs w:val="24"/>
        </w:rPr>
        <w:t>20m</w:t>
      </w:r>
      <w:r>
        <w:rPr>
          <w:rFonts w:hint="eastAsia"/>
          <w:sz w:val="24"/>
          <w:szCs w:val="24"/>
        </w:rPr>
        <w:t>，但地形高处可达</w:t>
      </w:r>
      <w:r>
        <w:rPr>
          <w:sz w:val="24"/>
          <w:szCs w:val="24"/>
        </w:rPr>
        <w:t>50m</w:t>
      </w:r>
      <w:r>
        <w:rPr>
          <w:rFonts w:hint="eastAsia"/>
          <w:sz w:val="24"/>
          <w:szCs w:val="24"/>
        </w:rPr>
        <w:t>以上。</w:t>
      </w:r>
    </w:p>
    <w:p w:rsidR="00DB7CC8" w:rsidRDefault="002B5250">
      <w:pPr>
        <w:spacing w:line="440" w:lineRule="atLeast"/>
        <w:ind w:firstLine="480"/>
        <w:rPr>
          <w:sz w:val="24"/>
          <w:szCs w:val="24"/>
        </w:rPr>
      </w:pPr>
      <w:r>
        <w:rPr>
          <w:rFonts w:hint="eastAsia"/>
          <w:sz w:val="24"/>
          <w:szCs w:val="24"/>
        </w:rPr>
        <w:t>②中等富水亚组</w:t>
      </w:r>
      <w:r>
        <w:rPr>
          <w:sz w:val="24"/>
          <w:szCs w:val="24"/>
        </w:rPr>
        <w:t>（</w:t>
      </w:r>
      <w:r>
        <w:rPr>
          <w:rFonts w:hint="eastAsia"/>
          <w:sz w:val="24"/>
          <w:szCs w:val="24"/>
        </w:rPr>
        <w:t>I</w:t>
      </w:r>
      <w:r>
        <w:rPr>
          <w:rFonts w:hAnsi="宋体" w:hint="eastAsia"/>
          <w:sz w:val="24"/>
          <w:szCs w:val="24"/>
        </w:rPr>
        <w:t>I</w:t>
      </w:r>
      <w:r>
        <w:rPr>
          <w:rFonts w:hint="eastAsia"/>
          <w:sz w:val="24"/>
          <w:szCs w:val="24"/>
          <w:vertAlign w:val="subscript"/>
        </w:rPr>
        <w:t>2</w:t>
      </w:r>
      <w:r>
        <w:rPr>
          <w:sz w:val="24"/>
          <w:szCs w:val="24"/>
        </w:rPr>
        <w:t>）</w:t>
      </w:r>
      <w:r>
        <w:rPr>
          <w:rFonts w:hint="eastAsia"/>
          <w:sz w:val="24"/>
          <w:szCs w:val="24"/>
        </w:rPr>
        <w:t>：由大洪峪组和杨庄组构成，裂隙、岩溶裂隙较为发育，单井涌水量一般为</w:t>
      </w:r>
      <w:r>
        <w:rPr>
          <w:sz w:val="24"/>
          <w:szCs w:val="24"/>
        </w:rPr>
        <w:t xml:space="preserve"> 20</w:t>
      </w:r>
      <w:r>
        <w:rPr>
          <w:rFonts w:hint="eastAsia"/>
          <w:sz w:val="24"/>
          <w:szCs w:val="24"/>
        </w:rPr>
        <w:t>-</w:t>
      </w:r>
      <w:r>
        <w:rPr>
          <w:sz w:val="24"/>
          <w:szCs w:val="24"/>
        </w:rPr>
        <w:t>30m</w:t>
      </w:r>
      <w:r>
        <w:rPr>
          <w:sz w:val="24"/>
          <w:szCs w:val="24"/>
          <w:vertAlign w:val="superscript"/>
        </w:rPr>
        <w:t>3</w:t>
      </w:r>
      <w:r>
        <w:rPr>
          <w:sz w:val="24"/>
          <w:szCs w:val="24"/>
        </w:rPr>
        <w:t>/h</w:t>
      </w:r>
      <w:r>
        <w:rPr>
          <w:rFonts w:hint="eastAsia"/>
          <w:sz w:val="24"/>
          <w:szCs w:val="24"/>
        </w:rPr>
        <w:t>，构造破碎带地段可达</w:t>
      </w:r>
      <w:r>
        <w:rPr>
          <w:sz w:val="24"/>
          <w:szCs w:val="24"/>
        </w:rPr>
        <w:t>70 m</w:t>
      </w:r>
      <w:r>
        <w:rPr>
          <w:sz w:val="24"/>
          <w:szCs w:val="24"/>
          <w:vertAlign w:val="superscript"/>
        </w:rPr>
        <w:t>3</w:t>
      </w:r>
      <w:r>
        <w:rPr>
          <w:sz w:val="24"/>
          <w:szCs w:val="24"/>
        </w:rPr>
        <w:t xml:space="preserve">/h </w:t>
      </w:r>
      <w:r>
        <w:rPr>
          <w:rFonts w:hint="eastAsia"/>
          <w:sz w:val="24"/>
          <w:szCs w:val="24"/>
        </w:rPr>
        <w:t>以上。</w:t>
      </w:r>
    </w:p>
    <w:p w:rsidR="00DB7CC8" w:rsidRDefault="002B5250">
      <w:pPr>
        <w:spacing w:line="440" w:lineRule="atLeast"/>
        <w:ind w:firstLine="480"/>
        <w:rPr>
          <w:sz w:val="24"/>
          <w:szCs w:val="24"/>
        </w:rPr>
      </w:pPr>
      <w:r>
        <w:rPr>
          <w:rFonts w:hint="eastAsia"/>
          <w:sz w:val="24"/>
          <w:szCs w:val="24"/>
        </w:rPr>
        <w:t>（</w:t>
      </w:r>
      <w:r>
        <w:rPr>
          <w:sz w:val="24"/>
          <w:szCs w:val="24"/>
        </w:rPr>
        <w:t>3</w:t>
      </w:r>
      <w:r>
        <w:rPr>
          <w:rFonts w:hint="eastAsia"/>
          <w:sz w:val="24"/>
          <w:szCs w:val="24"/>
        </w:rPr>
        <w:t>）碎屑岩类</w:t>
      </w:r>
      <w:r>
        <w:rPr>
          <w:rFonts w:hint="eastAsia"/>
          <w:sz w:val="24"/>
          <w:szCs w:val="24"/>
        </w:rPr>
        <w:t>裂隙含水岩区（</w:t>
      </w:r>
      <w:r>
        <w:rPr>
          <w:rFonts w:hint="eastAsia"/>
          <w:sz w:val="24"/>
          <w:szCs w:val="24"/>
        </w:rPr>
        <w:t>III</w:t>
      </w:r>
      <w:r>
        <w:rPr>
          <w:rFonts w:hint="eastAsia"/>
          <w:sz w:val="24"/>
          <w:szCs w:val="24"/>
        </w:rPr>
        <w:t>）</w:t>
      </w:r>
    </w:p>
    <w:p w:rsidR="00DB7CC8" w:rsidRDefault="002B5250">
      <w:pPr>
        <w:spacing w:line="440" w:lineRule="atLeast"/>
        <w:ind w:firstLine="480"/>
        <w:rPr>
          <w:sz w:val="24"/>
          <w:szCs w:val="24"/>
        </w:rPr>
      </w:pPr>
      <w:r>
        <w:rPr>
          <w:rFonts w:hint="eastAsia"/>
          <w:sz w:val="24"/>
          <w:szCs w:val="24"/>
        </w:rPr>
        <w:t>①弱富水亚组</w:t>
      </w:r>
      <w:r>
        <w:rPr>
          <w:sz w:val="24"/>
          <w:szCs w:val="24"/>
        </w:rPr>
        <w:t>（</w:t>
      </w:r>
      <w:r>
        <w:rPr>
          <w:rFonts w:hint="eastAsia"/>
          <w:sz w:val="24"/>
          <w:szCs w:val="24"/>
        </w:rPr>
        <w:t>II</w:t>
      </w:r>
      <w:r>
        <w:rPr>
          <w:rFonts w:hAnsi="宋体" w:hint="eastAsia"/>
          <w:sz w:val="24"/>
          <w:szCs w:val="24"/>
        </w:rPr>
        <w:t>I</w:t>
      </w:r>
      <w:r>
        <w:rPr>
          <w:sz w:val="24"/>
          <w:szCs w:val="24"/>
          <w:vertAlign w:val="subscript"/>
        </w:rPr>
        <w:t>1</w:t>
      </w:r>
      <w:r>
        <w:rPr>
          <w:sz w:val="24"/>
          <w:szCs w:val="24"/>
        </w:rPr>
        <w:t>）</w:t>
      </w:r>
      <w:r>
        <w:rPr>
          <w:rFonts w:hint="eastAsia"/>
          <w:sz w:val="24"/>
          <w:szCs w:val="24"/>
        </w:rPr>
        <w:t>：主要为常州沟组底层，为含水弱的层间裂隙水，据成井资料统计，单井涌水量一般只有</w:t>
      </w:r>
      <w:r>
        <w:rPr>
          <w:sz w:val="24"/>
          <w:szCs w:val="24"/>
        </w:rPr>
        <w:t xml:space="preserve"> 3</w:t>
      </w:r>
      <w:r>
        <w:rPr>
          <w:rFonts w:hint="eastAsia"/>
          <w:sz w:val="24"/>
          <w:szCs w:val="24"/>
        </w:rPr>
        <w:t>-</w:t>
      </w:r>
      <w:r>
        <w:rPr>
          <w:sz w:val="24"/>
          <w:szCs w:val="24"/>
        </w:rPr>
        <w:t>20 m</w:t>
      </w:r>
      <w:r>
        <w:rPr>
          <w:sz w:val="24"/>
          <w:szCs w:val="24"/>
          <w:vertAlign w:val="superscript"/>
        </w:rPr>
        <w:t>3</w:t>
      </w:r>
      <w:r>
        <w:rPr>
          <w:sz w:val="24"/>
          <w:szCs w:val="24"/>
        </w:rPr>
        <w:t>/h</w:t>
      </w:r>
      <w:r>
        <w:rPr>
          <w:rFonts w:hint="eastAsia"/>
          <w:sz w:val="24"/>
          <w:szCs w:val="24"/>
        </w:rPr>
        <w:t>。</w:t>
      </w:r>
    </w:p>
    <w:p w:rsidR="00DB7CC8" w:rsidRDefault="002B5250">
      <w:pPr>
        <w:spacing w:line="440" w:lineRule="atLeast"/>
        <w:ind w:firstLine="480"/>
        <w:rPr>
          <w:sz w:val="24"/>
          <w:szCs w:val="24"/>
        </w:rPr>
      </w:pPr>
      <w:r>
        <w:rPr>
          <w:rFonts w:hint="eastAsia"/>
          <w:sz w:val="24"/>
          <w:szCs w:val="24"/>
        </w:rPr>
        <w:t>②贫水亚组</w:t>
      </w:r>
      <w:r>
        <w:rPr>
          <w:sz w:val="24"/>
          <w:szCs w:val="24"/>
        </w:rPr>
        <w:t>（</w:t>
      </w:r>
      <w:r>
        <w:rPr>
          <w:rFonts w:hint="eastAsia"/>
          <w:sz w:val="24"/>
          <w:szCs w:val="24"/>
        </w:rPr>
        <w:t>II</w:t>
      </w:r>
      <w:r>
        <w:rPr>
          <w:rFonts w:hAnsi="宋体" w:hint="eastAsia"/>
          <w:sz w:val="24"/>
          <w:szCs w:val="24"/>
        </w:rPr>
        <w:t>I</w:t>
      </w:r>
      <w:r>
        <w:rPr>
          <w:rFonts w:hint="eastAsia"/>
          <w:sz w:val="24"/>
          <w:szCs w:val="24"/>
          <w:vertAlign w:val="subscript"/>
        </w:rPr>
        <w:t>2</w:t>
      </w:r>
      <w:r>
        <w:rPr>
          <w:sz w:val="24"/>
          <w:szCs w:val="24"/>
        </w:rPr>
        <w:t>）</w:t>
      </w:r>
      <w:r>
        <w:rPr>
          <w:rFonts w:hint="eastAsia"/>
          <w:sz w:val="24"/>
          <w:szCs w:val="24"/>
        </w:rPr>
        <w:t>：由串岭沟、团山子两组构成，本岩组裂隙多呈闭合状态。含水微弱，但在泥质白云岩分布地段亦有少量层间裂隙水。</w:t>
      </w:r>
    </w:p>
    <w:p w:rsidR="00DB7CC8" w:rsidRDefault="002B5250">
      <w:pPr>
        <w:widowControl/>
        <w:spacing w:line="440" w:lineRule="atLeast"/>
        <w:ind w:firstLine="480"/>
        <w:rPr>
          <w:sz w:val="24"/>
          <w:szCs w:val="24"/>
        </w:rPr>
      </w:pPr>
      <w:r>
        <w:rPr>
          <w:sz w:val="24"/>
          <w:szCs w:val="24"/>
        </w:rPr>
        <w:t>（</w:t>
      </w:r>
      <w:r>
        <w:rPr>
          <w:rFonts w:hint="eastAsia"/>
          <w:sz w:val="24"/>
          <w:szCs w:val="24"/>
        </w:rPr>
        <w:t>4</w:t>
      </w:r>
      <w:r>
        <w:rPr>
          <w:sz w:val="24"/>
          <w:szCs w:val="24"/>
        </w:rPr>
        <w:t>）变质岩风化裂隙含水岩区（</w:t>
      </w:r>
      <w:r>
        <w:rPr>
          <w:rFonts w:hint="eastAsia"/>
          <w:sz w:val="24"/>
          <w:szCs w:val="24"/>
        </w:rPr>
        <w:t>IV</w:t>
      </w:r>
      <w:r>
        <w:rPr>
          <w:sz w:val="24"/>
          <w:szCs w:val="24"/>
        </w:rPr>
        <w:t>）</w:t>
      </w:r>
    </w:p>
    <w:p w:rsidR="00DB7CC8" w:rsidRDefault="002B5250">
      <w:pPr>
        <w:widowControl/>
        <w:spacing w:line="440" w:lineRule="atLeast"/>
        <w:ind w:firstLine="480"/>
        <w:rPr>
          <w:sz w:val="24"/>
          <w:szCs w:val="24"/>
        </w:rPr>
      </w:pPr>
      <w:r>
        <w:rPr>
          <w:sz w:val="24"/>
          <w:szCs w:val="24"/>
        </w:rPr>
        <w:t>为太古界片麻岩，主要为上部风化裂隙水和局部脉状构造裂隙水。单井涌水量一般</w:t>
      </w:r>
      <w:r>
        <w:rPr>
          <w:sz w:val="24"/>
          <w:szCs w:val="24"/>
        </w:rPr>
        <w:t>0.6-1.3m</w:t>
      </w:r>
      <w:r>
        <w:rPr>
          <w:sz w:val="24"/>
          <w:szCs w:val="24"/>
          <w:vertAlign w:val="superscript"/>
        </w:rPr>
        <w:t>3</w:t>
      </w:r>
      <w:r>
        <w:rPr>
          <w:sz w:val="24"/>
          <w:szCs w:val="24"/>
        </w:rPr>
        <w:t>/h</w:t>
      </w:r>
      <w:r>
        <w:rPr>
          <w:sz w:val="24"/>
          <w:szCs w:val="24"/>
        </w:rPr>
        <w:t>，构造破碎带地段可达</w:t>
      </w:r>
      <w:r>
        <w:rPr>
          <w:sz w:val="24"/>
          <w:szCs w:val="24"/>
        </w:rPr>
        <w:t>30-40m</w:t>
      </w:r>
      <w:r>
        <w:rPr>
          <w:sz w:val="24"/>
          <w:szCs w:val="24"/>
          <w:vertAlign w:val="superscript"/>
        </w:rPr>
        <w:t>3</w:t>
      </w:r>
      <w:r>
        <w:rPr>
          <w:sz w:val="24"/>
          <w:szCs w:val="24"/>
        </w:rPr>
        <w:t>/h</w:t>
      </w:r>
      <w:r>
        <w:rPr>
          <w:sz w:val="24"/>
          <w:szCs w:val="24"/>
        </w:rPr>
        <w:t>。此含水组与上部松散岩类孔隙潜水含水组水力联系密切。</w:t>
      </w:r>
    </w:p>
    <w:p w:rsidR="00DB7CC8" w:rsidRDefault="00DB7CC8">
      <w:pPr>
        <w:spacing w:line="440" w:lineRule="atLeast"/>
        <w:ind w:firstLine="480"/>
        <w:rPr>
          <w:sz w:val="24"/>
        </w:rPr>
        <w:sectPr w:rsidR="00DB7CC8">
          <w:footerReference w:type="default" r:id="rId52"/>
          <w:pgSz w:w="11905" w:h="16838"/>
          <w:pgMar w:top="1440" w:right="1803" w:bottom="1134" w:left="1803" w:header="850" w:footer="992" w:gutter="0"/>
          <w:cols w:space="0"/>
          <w:docGrid w:linePitch="312"/>
        </w:sectPr>
      </w:pPr>
    </w:p>
    <w:p w:rsidR="00DB7CC8" w:rsidRDefault="002B5250">
      <w:pPr>
        <w:spacing w:line="440" w:lineRule="atLeast"/>
        <w:ind w:firstLine="480"/>
        <w:jc w:val="center"/>
        <w:rPr>
          <w:sz w:val="24"/>
        </w:rPr>
      </w:pPr>
      <w:r>
        <w:rPr>
          <w:noProof/>
          <w:sz w:val="24"/>
        </w:rPr>
        <w:lastRenderedPageBreak/>
        <mc:AlternateContent>
          <mc:Choice Requires="wps">
            <w:drawing>
              <wp:anchor distT="0" distB="0" distL="114300" distR="114300" simplePos="0" relativeHeight="251665408" behindDoc="0" locked="0" layoutInCell="1" allowOverlap="1">
                <wp:simplePos x="0" y="0"/>
                <wp:positionH relativeFrom="column">
                  <wp:posOffset>6204585</wp:posOffset>
                </wp:positionH>
                <wp:positionV relativeFrom="paragraph">
                  <wp:posOffset>906780</wp:posOffset>
                </wp:positionV>
                <wp:extent cx="534035" cy="267970"/>
                <wp:effectExtent l="4445" t="4445" r="185420" b="280035"/>
                <wp:wrapNone/>
                <wp:docPr id="108" name="自选图形 31"/>
                <wp:cNvGraphicFramePr/>
                <a:graphic xmlns:a="http://schemas.openxmlformats.org/drawingml/2006/main">
                  <a:graphicData uri="http://schemas.microsoft.com/office/word/2010/wordprocessingShape">
                    <wps:wsp>
                      <wps:cNvSpPr/>
                      <wps:spPr>
                        <a:xfrm>
                          <a:off x="0" y="0"/>
                          <a:ext cx="534035" cy="267970"/>
                        </a:xfrm>
                        <a:prstGeom prst="wedgeRoundRectCallout">
                          <a:avLst>
                            <a:gd name="adj1" fmla="val 76755"/>
                            <a:gd name="adj2" fmla="val 138389"/>
                            <a:gd name="adj3" fmla="val 16667"/>
                          </a:avLst>
                        </a:prstGeom>
                        <a:noFill/>
                        <a:ln w="9525" cap="flat" cmpd="sng">
                          <a:solidFill>
                            <a:srgbClr val="FF0000"/>
                          </a:solidFill>
                          <a:prstDash val="solid"/>
                          <a:miter/>
                          <a:headEnd type="none" w="med" len="med"/>
                          <a:tailEnd type="none" w="med" len="med"/>
                        </a:ln>
                      </wps:spPr>
                      <wps:txbx>
                        <w:txbxContent>
                          <w:p w:rsidR="00DB7CC8" w:rsidRDefault="002B5250">
                            <w:pPr>
                              <w:spacing w:line="240" w:lineRule="auto"/>
                              <w:ind w:firstLineChars="0" w:firstLine="0"/>
                              <w:rPr>
                                <w:b/>
                                <w:color w:val="0000FF"/>
                                <w:sz w:val="16"/>
                              </w:rPr>
                            </w:pPr>
                            <w:r>
                              <w:rPr>
                                <w:rFonts w:hint="eastAsia"/>
                                <w:b/>
                                <w:color w:val="0000FF"/>
                                <w:sz w:val="16"/>
                              </w:rPr>
                              <w:t>厂位置</w:t>
                            </w:r>
                          </w:p>
                        </w:txbxContent>
                      </wps:txbx>
                      <wps:bodyPr upright="1"/>
                    </wps:wsp>
                  </a:graphicData>
                </a:graphic>
              </wp:anchor>
            </w:drawing>
          </mc:Choice>
          <mc:Fallback>
            <w:pict>
              <v:shape id="自选图形 31" o:spid="_x0000_s1086" type="#_x0000_t62" style="position:absolute;left:0;text-align:left;margin-left:488.55pt;margin-top:71.4pt;width:42.05pt;height:21.1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" adj="27379,40692" filled="f" strokecolor="red">
                <v:textbox>
                  <w:txbxContent>
                    <w:p w:rsidR="00DB7CC8" w:rsidRDefault="002B5250">
                      <w:pPr>
                        <w:spacing w:line="240" w:lineRule="auto"/>
                        <w:ind w:firstLineChars="0" w:firstLine="0"/>
                        <w:rPr>
                          <w:b/>
                          <w:color w:val="0000FF"/>
                          <w:sz w:val="16"/>
                        </w:rPr>
                      </w:pPr>
                      <w:r>
                        <w:rPr>
                          <w:rFonts w:hint="eastAsia"/>
                          <w:b/>
                          <w:color w:val="0000FF"/>
                          <w:sz w:val="16"/>
                        </w:rPr>
                        <w:t>厂位置</w:t>
                      </w:r>
                    </w:p>
                  </w:txbxContent>
                </v:textbox>
              </v:shape>
            </w:pict>
          </mc:Fallback>
        </mc:AlternateContent>
      </w:r>
      <w:r>
        <w:rPr>
          <w:noProof/>
          <w:szCs w:val="24"/>
        </w:rPr>
        <w:drawing>
          <wp:inline distT="0" distB="0" distL="0" distR="0">
            <wp:extent cx="7186295" cy="5121910"/>
            <wp:effectExtent l="0" t="0" r="0" b="0"/>
            <wp:docPr id="51" name="图片 51" descr="147[NY38)]ZEAZWBG9TGR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147[NY38)]ZEAZWBG9TGR4O"/>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7223794" cy="5148840"/>
                    </a:xfrm>
                    <a:prstGeom prst="rect">
                      <a:avLst/>
                    </a:prstGeom>
                    <a:noFill/>
                    <a:ln>
                      <a:noFill/>
                    </a:ln>
                  </pic:spPr>
                </pic:pic>
              </a:graphicData>
            </a:graphic>
          </wp:inline>
        </w:drawing>
      </w:r>
    </w:p>
    <w:p w:rsidR="00DB7CC8" w:rsidRDefault="002B5250">
      <w:pPr>
        <w:ind w:firstLine="420"/>
        <w:jc w:val="center"/>
        <w:rPr>
          <w:rFonts w:eastAsia="黑体"/>
          <w:kern w:val="2"/>
          <w:sz w:val="21"/>
          <w:szCs w:val="21"/>
        </w:rPr>
      </w:pPr>
      <w:r>
        <w:rPr>
          <w:rFonts w:eastAsia="黑体" w:hint="eastAsia"/>
          <w:kern w:val="2"/>
          <w:sz w:val="21"/>
          <w:szCs w:val="21"/>
        </w:rPr>
        <w:t>图</w:t>
      </w:r>
      <w:r>
        <w:rPr>
          <w:rFonts w:eastAsia="黑体" w:hint="eastAsia"/>
          <w:kern w:val="2"/>
          <w:sz w:val="21"/>
          <w:szCs w:val="21"/>
        </w:rPr>
        <w:t xml:space="preserve">4.1-6   </w:t>
      </w:r>
      <w:r>
        <w:rPr>
          <w:rFonts w:eastAsia="黑体" w:hint="eastAsia"/>
          <w:kern w:val="2"/>
          <w:sz w:val="21"/>
          <w:szCs w:val="21"/>
        </w:rPr>
        <w:t>遵化市区域水文地质图</w:t>
      </w:r>
    </w:p>
    <w:p w:rsidR="00DB7CC8" w:rsidRDefault="00DB7CC8">
      <w:pPr>
        <w:spacing w:line="440" w:lineRule="atLeast"/>
        <w:ind w:firstLine="560"/>
        <w:jc w:val="center"/>
        <w:rPr>
          <w:bCs/>
        </w:rPr>
        <w:sectPr w:rsidR="00DB7CC8">
          <w:footerReference w:type="default" r:id="rId54"/>
          <w:pgSz w:w="16838" w:h="11905" w:orient="landscape"/>
          <w:pgMar w:top="1418" w:right="1440" w:bottom="1803" w:left="1134" w:header="850" w:footer="992" w:gutter="0"/>
          <w:cols w:space="0"/>
          <w:docGrid w:linePitch="381"/>
        </w:sectPr>
      </w:pPr>
    </w:p>
    <w:p w:rsidR="00DB7CC8" w:rsidRDefault="002B5250">
      <w:pPr>
        <w:pStyle w:val="4"/>
        <w:spacing w:before="48" w:after="48"/>
      </w:pPr>
      <w:r>
        <w:lastRenderedPageBreak/>
        <w:t>4</w:t>
      </w:r>
      <w:r>
        <w:rPr>
          <w:rFonts w:hint="eastAsia"/>
        </w:rPr>
        <w:t>.1.</w:t>
      </w:r>
      <w:r>
        <w:t>6</w:t>
      </w:r>
      <w:r>
        <w:rPr>
          <w:rFonts w:hint="eastAsia"/>
        </w:rPr>
        <w:t xml:space="preserve">.3 </w:t>
      </w:r>
      <w:r>
        <w:rPr>
          <w:rFonts w:hint="eastAsia"/>
        </w:rPr>
        <w:t>地下水埋藏条件</w:t>
      </w:r>
    </w:p>
    <w:p w:rsidR="00DB7CC8" w:rsidRDefault="002B5250">
      <w:pPr>
        <w:ind w:firstLine="480"/>
        <w:rPr>
          <w:sz w:val="24"/>
        </w:rPr>
      </w:pPr>
      <w:r>
        <w:rPr>
          <w:rFonts w:hint="eastAsia"/>
          <w:sz w:val="24"/>
        </w:rPr>
        <w:t>根据区域水文地质剖面图（图</w:t>
      </w:r>
      <w:r>
        <w:rPr>
          <w:sz w:val="24"/>
        </w:rPr>
        <w:t>4.1-7</w:t>
      </w:r>
      <w:r>
        <w:rPr>
          <w:rFonts w:hint="eastAsia"/>
          <w:sz w:val="24"/>
        </w:rPr>
        <w:t>），按含水层岩性和地下水的埋藏条件，</w:t>
      </w:r>
      <w:r>
        <w:rPr>
          <w:sz w:val="24"/>
        </w:rPr>
        <w:t>自上而下分述如下：</w:t>
      </w:r>
    </w:p>
    <w:p w:rsidR="00DB7CC8" w:rsidRDefault="002B5250">
      <w:pPr>
        <w:ind w:firstLine="480"/>
        <w:rPr>
          <w:sz w:val="24"/>
        </w:rPr>
      </w:pPr>
      <w:r>
        <w:rPr>
          <w:rFonts w:hint="eastAsia"/>
          <w:sz w:val="24"/>
        </w:rPr>
        <w:t>（</w:t>
      </w:r>
      <w:r>
        <w:rPr>
          <w:rFonts w:hint="eastAsia"/>
          <w:sz w:val="24"/>
        </w:rPr>
        <w:t>1</w:t>
      </w:r>
      <w:r>
        <w:rPr>
          <w:rFonts w:hint="eastAsia"/>
          <w:sz w:val="24"/>
        </w:rPr>
        <w:t>）第四系含水组</w:t>
      </w:r>
    </w:p>
    <w:p w:rsidR="00DB7CC8" w:rsidRDefault="002B5250">
      <w:pPr>
        <w:ind w:firstLine="480"/>
        <w:rPr>
          <w:sz w:val="24"/>
        </w:rPr>
      </w:pPr>
      <w:r>
        <w:rPr>
          <w:rFonts w:ascii="宋体" w:hAnsi="宋体" w:cs="宋体" w:hint="eastAsia"/>
          <w:sz w:val="24"/>
        </w:rPr>
        <w:t>①</w:t>
      </w:r>
      <w:r>
        <w:rPr>
          <w:sz w:val="24"/>
        </w:rPr>
        <w:t>第一含水段（孔隙潜水</w:t>
      </w:r>
      <w:r>
        <w:rPr>
          <w:rFonts w:hint="eastAsia"/>
          <w:sz w:val="24"/>
        </w:rPr>
        <w:t>-</w:t>
      </w:r>
      <w:r>
        <w:rPr>
          <w:sz w:val="24"/>
        </w:rPr>
        <w:t>微承压水含水段）</w:t>
      </w:r>
    </w:p>
    <w:p w:rsidR="00DB7CC8" w:rsidRDefault="002B5250">
      <w:pPr>
        <w:ind w:firstLine="480"/>
        <w:rPr>
          <w:sz w:val="24"/>
        </w:rPr>
      </w:pPr>
      <w:r>
        <w:rPr>
          <w:sz w:val="24"/>
        </w:rPr>
        <w:t>主要岩性为砾卵石，中粗砂、中细砂夹少量粉土、粉质粘土。厚度</w:t>
      </w:r>
      <w:r>
        <w:rPr>
          <w:sz w:val="24"/>
        </w:rPr>
        <w:t>19.0-25.0m</w:t>
      </w:r>
      <w:r>
        <w:rPr>
          <w:sz w:val="24"/>
        </w:rPr>
        <w:t>，最厚</w:t>
      </w:r>
      <w:r>
        <w:rPr>
          <w:sz w:val="24"/>
        </w:rPr>
        <w:t>50m</w:t>
      </w:r>
      <w:r>
        <w:rPr>
          <w:sz w:val="24"/>
        </w:rPr>
        <w:t>，底板埋深</w:t>
      </w:r>
      <w:r>
        <w:rPr>
          <w:sz w:val="24"/>
        </w:rPr>
        <w:t>51.0-58.0m</w:t>
      </w:r>
      <w:r>
        <w:rPr>
          <w:sz w:val="24"/>
        </w:rPr>
        <w:t>。据本次勘察抽水资料，单位涌水量</w:t>
      </w:r>
      <w:r>
        <w:rPr>
          <w:sz w:val="24"/>
        </w:rPr>
        <w:t>q=29.08L/s·m</w:t>
      </w:r>
      <w:r>
        <w:rPr>
          <w:sz w:val="24"/>
        </w:rPr>
        <w:t>。渗透系数</w:t>
      </w:r>
      <w:r>
        <w:rPr>
          <w:sz w:val="24"/>
        </w:rPr>
        <w:t>K=88.77m/d</w:t>
      </w:r>
      <w:r>
        <w:rPr>
          <w:sz w:val="24"/>
        </w:rPr>
        <w:t>。当地农业灌溉及生活用水均取自该层。</w:t>
      </w:r>
    </w:p>
    <w:p w:rsidR="00DB7CC8" w:rsidRDefault="002B5250">
      <w:pPr>
        <w:ind w:firstLine="480"/>
        <w:rPr>
          <w:sz w:val="24"/>
        </w:rPr>
      </w:pPr>
      <w:r>
        <w:rPr>
          <w:rFonts w:ascii="宋体" w:hAnsi="宋体" w:cs="宋体" w:hint="eastAsia"/>
          <w:sz w:val="24"/>
        </w:rPr>
        <w:t>②</w:t>
      </w:r>
      <w:r>
        <w:rPr>
          <w:sz w:val="24"/>
        </w:rPr>
        <w:t>第一隔水层</w:t>
      </w:r>
    </w:p>
    <w:p w:rsidR="00DB7CC8" w:rsidRDefault="002B5250">
      <w:pPr>
        <w:ind w:firstLine="480"/>
        <w:rPr>
          <w:sz w:val="24"/>
        </w:rPr>
      </w:pPr>
      <w:r>
        <w:rPr>
          <w:sz w:val="24"/>
        </w:rPr>
        <w:t>主要岩性为粉土，厚度</w:t>
      </w:r>
      <w:r>
        <w:rPr>
          <w:sz w:val="24"/>
        </w:rPr>
        <w:t>2-4m</w:t>
      </w:r>
      <w:r>
        <w:rPr>
          <w:sz w:val="24"/>
        </w:rPr>
        <w:t>，底板埋深</w:t>
      </w:r>
      <w:r>
        <w:rPr>
          <w:sz w:val="24"/>
        </w:rPr>
        <w:t>55-60m</w:t>
      </w:r>
      <w:r>
        <w:rPr>
          <w:sz w:val="24"/>
        </w:rPr>
        <w:t>，水平延展性差，不连续。</w:t>
      </w:r>
    </w:p>
    <w:p w:rsidR="00DB7CC8" w:rsidRDefault="002B5250">
      <w:pPr>
        <w:ind w:firstLine="480"/>
        <w:rPr>
          <w:sz w:val="24"/>
        </w:rPr>
      </w:pPr>
      <w:r>
        <w:rPr>
          <w:rFonts w:ascii="宋体" w:hAnsi="宋体" w:cs="宋体" w:hint="eastAsia"/>
          <w:sz w:val="24"/>
        </w:rPr>
        <w:t>③</w:t>
      </w:r>
      <w:r>
        <w:rPr>
          <w:sz w:val="24"/>
        </w:rPr>
        <w:t>第二含水段（深层承压水含水段）</w:t>
      </w:r>
    </w:p>
    <w:p w:rsidR="00DB7CC8" w:rsidRDefault="002B5250">
      <w:pPr>
        <w:ind w:firstLine="480"/>
        <w:rPr>
          <w:sz w:val="24"/>
        </w:rPr>
      </w:pPr>
      <w:r>
        <w:rPr>
          <w:sz w:val="24"/>
        </w:rPr>
        <w:t>主要岩性为中粗砂及砾卵石。厚度</w:t>
      </w:r>
      <w:r>
        <w:rPr>
          <w:sz w:val="24"/>
        </w:rPr>
        <w:t>150m</w:t>
      </w:r>
      <w:r>
        <w:rPr>
          <w:sz w:val="24"/>
        </w:rPr>
        <w:t>左右，底板埋深一般</w:t>
      </w:r>
      <w:r>
        <w:rPr>
          <w:sz w:val="24"/>
        </w:rPr>
        <w:t>224-235m</w:t>
      </w:r>
      <w:r>
        <w:rPr>
          <w:sz w:val="24"/>
        </w:rPr>
        <w:t>，涌水量</w:t>
      </w:r>
      <w:r>
        <w:rPr>
          <w:sz w:val="24"/>
        </w:rPr>
        <w:t>140-159m³/h</w:t>
      </w:r>
      <w:r>
        <w:rPr>
          <w:sz w:val="24"/>
        </w:rPr>
        <w:t>，单位涌水量</w:t>
      </w:r>
      <w:r>
        <w:rPr>
          <w:sz w:val="24"/>
        </w:rPr>
        <w:t>q=1.84-2.93L/s·m</w:t>
      </w:r>
      <w:r>
        <w:rPr>
          <w:sz w:val="24"/>
        </w:rPr>
        <w:t>，地下水类型为：</w:t>
      </w:r>
      <w:r>
        <w:rPr>
          <w:sz w:val="24"/>
        </w:rPr>
        <w:t>HCO</w:t>
      </w:r>
      <w:r>
        <w:rPr>
          <w:sz w:val="24"/>
          <w:vertAlign w:val="subscript"/>
        </w:rPr>
        <w:t>3</w:t>
      </w:r>
      <w:r>
        <w:rPr>
          <w:sz w:val="24"/>
        </w:rPr>
        <w:t>.SO</w:t>
      </w:r>
      <w:r>
        <w:rPr>
          <w:sz w:val="24"/>
          <w:vertAlign w:val="subscript"/>
        </w:rPr>
        <w:t>4</w:t>
      </w:r>
      <w:r>
        <w:rPr>
          <w:rFonts w:hint="eastAsia"/>
          <w:sz w:val="24"/>
        </w:rPr>
        <w:t>-</w:t>
      </w:r>
      <w:r>
        <w:rPr>
          <w:sz w:val="24"/>
        </w:rPr>
        <w:t>Ca·Mg</w:t>
      </w:r>
      <w:r>
        <w:rPr>
          <w:sz w:val="24"/>
        </w:rPr>
        <w:t>、</w:t>
      </w:r>
      <w:r>
        <w:rPr>
          <w:sz w:val="24"/>
        </w:rPr>
        <w:t>HCO</w:t>
      </w:r>
      <w:r>
        <w:rPr>
          <w:sz w:val="24"/>
          <w:vertAlign w:val="subscript"/>
        </w:rPr>
        <w:t>3</w:t>
      </w:r>
      <w:r>
        <w:rPr>
          <w:sz w:val="24"/>
        </w:rPr>
        <w:t>·SO</w:t>
      </w:r>
      <w:r>
        <w:rPr>
          <w:sz w:val="24"/>
          <w:vertAlign w:val="subscript"/>
        </w:rPr>
        <w:t>4</w:t>
      </w:r>
      <w:r>
        <w:rPr>
          <w:rFonts w:hint="eastAsia"/>
          <w:sz w:val="24"/>
        </w:rPr>
        <w:t>-</w:t>
      </w:r>
      <w:r>
        <w:rPr>
          <w:sz w:val="24"/>
        </w:rPr>
        <w:t>Na·Ca</w:t>
      </w:r>
      <w:r>
        <w:rPr>
          <w:sz w:val="24"/>
        </w:rPr>
        <w:t>型，是当地工农业供水的后备水源。</w:t>
      </w:r>
    </w:p>
    <w:p w:rsidR="00DB7CC8" w:rsidRDefault="002B5250">
      <w:pPr>
        <w:ind w:firstLine="480"/>
        <w:rPr>
          <w:sz w:val="24"/>
        </w:rPr>
      </w:pPr>
      <w:r>
        <w:rPr>
          <w:rFonts w:ascii="宋体" w:hAnsi="宋体" w:cs="宋体" w:hint="eastAsia"/>
          <w:sz w:val="24"/>
        </w:rPr>
        <w:t>④</w:t>
      </w:r>
      <w:r>
        <w:rPr>
          <w:sz w:val="24"/>
        </w:rPr>
        <w:t>第二隔水层</w:t>
      </w:r>
    </w:p>
    <w:p w:rsidR="00DB7CC8" w:rsidRDefault="002B5250">
      <w:pPr>
        <w:ind w:firstLine="480"/>
        <w:rPr>
          <w:sz w:val="24"/>
        </w:rPr>
      </w:pPr>
      <w:r>
        <w:rPr>
          <w:sz w:val="24"/>
        </w:rPr>
        <w:t>根据水文地质剖面图</w:t>
      </w:r>
      <w:r>
        <w:rPr>
          <w:rFonts w:hint="eastAsia"/>
          <w:sz w:val="24"/>
        </w:rPr>
        <w:t>6-5b</w:t>
      </w:r>
      <w:r>
        <w:rPr>
          <w:sz w:val="24"/>
        </w:rPr>
        <w:t>，该剖面线</w:t>
      </w:r>
      <w:r>
        <w:rPr>
          <w:rFonts w:hint="eastAsia"/>
          <w:sz w:val="24"/>
        </w:rPr>
        <w:t>起自八户庄，终至冷咀头河</w:t>
      </w:r>
      <w:r>
        <w:rPr>
          <w:sz w:val="24"/>
        </w:rPr>
        <w:t>，</w:t>
      </w:r>
      <w:r>
        <w:rPr>
          <w:rFonts w:hint="eastAsia"/>
          <w:sz w:val="24"/>
        </w:rPr>
        <w:t>包括</w:t>
      </w:r>
      <w:r>
        <w:rPr>
          <w:sz w:val="24"/>
        </w:rPr>
        <w:t>ZS01-ZS08</w:t>
      </w:r>
      <w:r>
        <w:rPr>
          <w:rFonts w:hint="eastAsia"/>
          <w:sz w:val="24"/>
        </w:rPr>
        <w:t>8</w:t>
      </w:r>
      <w:r>
        <w:rPr>
          <w:rFonts w:hint="eastAsia"/>
          <w:sz w:val="24"/>
        </w:rPr>
        <w:t>个</w:t>
      </w:r>
      <w:r>
        <w:rPr>
          <w:sz w:val="24"/>
        </w:rPr>
        <w:t>钻孔，</w:t>
      </w:r>
      <w:r>
        <w:rPr>
          <w:sz w:val="24"/>
        </w:rPr>
        <w:t>ZS02</w:t>
      </w:r>
      <w:r>
        <w:rPr>
          <w:sz w:val="24"/>
        </w:rPr>
        <w:t>、</w:t>
      </w:r>
      <w:r>
        <w:rPr>
          <w:sz w:val="24"/>
        </w:rPr>
        <w:t>ZS01</w:t>
      </w:r>
      <w:r>
        <w:rPr>
          <w:sz w:val="24"/>
        </w:rPr>
        <w:t>、</w:t>
      </w:r>
      <w:r>
        <w:rPr>
          <w:sz w:val="24"/>
        </w:rPr>
        <w:t>ZS05</w:t>
      </w:r>
      <w:r>
        <w:rPr>
          <w:sz w:val="24"/>
        </w:rPr>
        <w:t>、</w:t>
      </w:r>
      <w:r>
        <w:rPr>
          <w:sz w:val="24"/>
        </w:rPr>
        <w:t>ZS04</w:t>
      </w:r>
      <w:r>
        <w:rPr>
          <w:sz w:val="24"/>
        </w:rPr>
        <w:t>钻孔揭露了基岩之上的隔水层，其余钻孔孔深均未达到该层深度，终孔于含水层中，根据揭露的隔水层情况，该层岩性主要为粉</w:t>
      </w:r>
      <w:r>
        <w:rPr>
          <w:sz w:val="24"/>
        </w:rPr>
        <w:t>质粘土、粉土，厚度</w:t>
      </w:r>
      <w:r>
        <w:rPr>
          <w:sz w:val="24"/>
        </w:rPr>
        <w:t>10-20m</w:t>
      </w:r>
      <w:r>
        <w:rPr>
          <w:sz w:val="24"/>
        </w:rPr>
        <w:t>，底板埋深</w:t>
      </w:r>
      <w:r>
        <w:rPr>
          <w:sz w:val="24"/>
        </w:rPr>
        <w:t>230-253m</w:t>
      </w:r>
      <w:r>
        <w:rPr>
          <w:sz w:val="24"/>
        </w:rPr>
        <w:t>，地质时代为</w:t>
      </w:r>
      <w:r>
        <w:rPr>
          <w:sz w:val="24"/>
        </w:rPr>
        <w:t>Q</w:t>
      </w:r>
      <w:r>
        <w:rPr>
          <w:sz w:val="24"/>
          <w:vertAlign w:val="subscript"/>
        </w:rPr>
        <w:t>1</w:t>
      </w:r>
      <w:r>
        <w:rPr>
          <w:sz w:val="24"/>
        </w:rPr>
        <w:t>。</w:t>
      </w:r>
    </w:p>
    <w:p w:rsidR="00DB7CC8" w:rsidRDefault="002B5250">
      <w:pPr>
        <w:ind w:firstLine="480"/>
        <w:rPr>
          <w:sz w:val="24"/>
        </w:rPr>
      </w:pPr>
      <w:r>
        <w:rPr>
          <w:sz w:val="24"/>
        </w:rPr>
        <w:t>（</w:t>
      </w:r>
      <w:r>
        <w:rPr>
          <w:sz w:val="24"/>
        </w:rPr>
        <w:t>2</w:t>
      </w:r>
      <w:r>
        <w:rPr>
          <w:sz w:val="24"/>
        </w:rPr>
        <w:t>）基岩含水组</w:t>
      </w:r>
    </w:p>
    <w:p w:rsidR="00DB7CC8" w:rsidRDefault="002B5250">
      <w:pPr>
        <w:ind w:firstLine="480"/>
        <w:rPr>
          <w:sz w:val="24"/>
        </w:rPr>
      </w:pPr>
      <w:r>
        <w:rPr>
          <w:rFonts w:ascii="宋体" w:hAnsi="宋体" w:cs="宋体" w:hint="eastAsia"/>
          <w:sz w:val="24"/>
        </w:rPr>
        <w:t>①</w:t>
      </w:r>
      <w:r>
        <w:rPr>
          <w:sz w:val="24"/>
        </w:rPr>
        <w:t>风化裂隙含水段</w:t>
      </w:r>
    </w:p>
    <w:p w:rsidR="00DB7CC8" w:rsidRDefault="002B5250">
      <w:pPr>
        <w:ind w:firstLine="480"/>
        <w:rPr>
          <w:sz w:val="24"/>
        </w:rPr>
      </w:pPr>
      <w:r>
        <w:rPr>
          <w:sz w:val="24"/>
        </w:rPr>
        <w:t>根据本次收集钻孔资料，该矿区强风化带底板埋深</w:t>
      </w:r>
      <w:r>
        <w:rPr>
          <w:sz w:val="24"/>
        </w:rPr>
        <w:t>239.06-272.72m</w:t>
      </w:r>
      <w:r>
        <w:rPr>
          <w:sz w:val="24"/>
        </w:rPr>
        <w:t>，厚度</w:t>
      </w:r>
      <w:r>
        <w:rPr>
          <w:sz w:val="24"/>
        </w:rPr>
        <w:t>0.60-4.30m</w:t>
      </w:r>
      <w:r>
        <w:rPr>
          <w:sz w:val="24"/>
        </w:rPr>
        <w:t>。弱风化带底板埋深</w:t>
      </w:r>
      <w:r>
        <w:rPr>
          <w:sz w:val="24"/>
        </w:rPr>
        <w:t>252.20-281.90m</w:t>
      </w:r>
      <w:r>
        <w:rPr>
          <w:sz w:val="24"/>
        </w:rPr>
        <w:t>，厚度</w:t>
      </w:r>
      <w:r>
        <w:rPr>
          <w:sz w:val="24"/>
        </w:rPr>
        <w:t>6.30-20.22m</w:t>
      </w:r>
      <w:r>
        <w:rPr>
          <w:sz w:val="24"/>
        </w:rPr>
        <w:t>，岩性以斜长角闪片麻岩为主，少量铁石英岩，强风化带岩心多呈砂、土状，弱风化带岩心多为块状</w:t>
      </w:r>
      <w:r>
        <w:rPr>
          <w:sz w:val="24"/>
        </w:rPr>
        <w:t>-</w:t>
      </w:r>
      <w:r>
        <w:rPr>
          <w:sz w:val="24"/>
        </w:rPr>
        <w:t>柱状，裂隙较发育。</w:t>
      </w:r>
    </w:p>
    <w:p w:rsidR="00DB7CC8" w:rsidRDefault="002B5250">
      <w:pPr>
        <w:ind w:firstLine="480"/>
        <w:rPr>
          <w:sz w:val="24"/>
        </w:rPr>
      </w:pPr>
      <w:r>
        <w:rPr>
          <w:rFonts w:ascii="宋体" w:hAnsi="宋体" w:cs="宋体" w:hint="eastAsia"/>
          <w:sz w:val="24"/>
        </w:rPr>
        <w:t>②</w:t>
      </w:r>
      <w:r>
        <w:rPr>
          <w:sz w:val="24"/>
        </w:rPr>
        <w:t>构造裂隙含水段</w:t>
      </w:r>
    </w:p>
    <w:p w:rsidR="00DB7CC8" w:rsidRDefault="002B5250">
      <w:pPr>
        <w:ind w:firstLine="480"/>
        <w:rPr>
          <w:sz w:val="24"/>
        </w:rPr>
      </w:pPr>
      <w:r>
        <w:rPr>
          <w:sz w:val="24"/>
        </w:rPr>
        <w:t>矿层顶、底板围岩主要为斜长角闪片麻岩，岩心较完整，无明显的断裂构造，只在</w:t>
      </w:r>
      <w:r>
        <w:rPr>
          <w:sz w:val="24"/>
        </w:rPr>
        <w:t>ZK17-3</w:t>
      </w:r>
      <w:r>
        <w:rPr>
          <w:sz w:val="24"/>
        </w:rPr>
        <w:t>孔见到厚</w:t>
      </w:r>
      <w:r>
        <w:rPr>
          <w:sz w:val="24"/>
        </w:rPr>
        <w:t>2.05</w:t>
      </w:r>
      <w:r>
        <w:rPr>
          <w:sz w:val="24"/>
        </w:rPr>
        <w:t>的破碎带。根据</w:t>
      </w:r>
      <w:r>
        <w:rPr>
          <w:sz w:val="24"/>
        </w:rPr>
        <w:t>DSJ-02</w:t>
      </w:r>
      <w:r>
        <w:rPr>
          <w:sz w:val="24"/>
        </w:rPr>
        <w:t>井抽水试验结果</w:t>
      </w:r>
      <w:r>
        <w:rPr>
          <w:sz w:val="24"/>
        </w:rPr>
        <w:t>Q=1.008m³/d</w:t>
      </w:r>
      <w:r>
        <w:rPr>
          <w:sz w:val="24"/>
        </w:rPr>
        <w:t>，</w:t>
      </w:r>
      <w:r>
        <w:rPr>
          <w:sz w:val="24"/>
        </w:rPr>
        <w:t>q=0.0036L/s·m</w:t>
      </w:r>
      <w:r>
        <w:rPr>
          <w:sz w:val="24"/>
        </w:rPr>
        <w:t>，</w:t>
      </w:r>
      <w:r>
        <w:rPr>
          <w:sz w:val="24"/>
        </w:rPr>
        <w:t>K=0.0276m/d</w:t>
      </w:r>
      <w:r>
        <w:rPr>
          <w:sz w:val="24"/>
        </w:rPr>
        <w:t>。</w:t>
      </w:r>
    </w:p>
    <w:p w:rsidR="00DB7CC8" w:rsidRDefault="002B5250">
      <w:pPr>
        <w:ind w:firstLine="480"/>
        <w:rPr>
          <w:sz w:val="24"/>
        </w:rPr>
      </w:pPr>
      <w:r>
        <w:rPr>
          <w:sz w:val="24"/>
        </w:rPr>
        <w:lastRenderedPageBreak/>
        <w:t>（</w:t>
      </w:r>
      <w:r>
        <w:rPr>
          <w:sz w:val="24"/>
        </w:rPr>
        <w:t>3</w:t>
      </w:r>
      <w:r>
        <w:rPr>
          <w:sz w:val="24"/>
        </w:rPr>
        <w:t>）不同含水岩组水位情况</w:t>
      </w:r>
    </w:p>
    <w:p w:rsidR="00DB7CC8" w:rsidRDefault="002B5250">
      <w:pPr>
        <w:ind w:firstLine="480"/>
        <w:rPr>
          <w:sz w:val="24"/>
        </w:rPr>
      </w:pPr>
      <w:r>
        <w:rPr>
          <w:sz w:val="24"/>
        </w:rPr>
        <w:t>本区地下水类型主要分为三类：松散岩类潜水</w:t>
      </w:r>
      <w:r>
        <w:rPr>
          <w:sz w:val="24"/>
        </w:rPr>
        <w:t>-</w:t>
      </w:r>
      <w:r>
        <w:rPr>
          <w:sz w:val="24"/>
        </w:rPr>
        <w:t>微承压水、松散岩类深层承压水、基岩水。通过水位调查，可知区内潜水水位标高大于</w:t>
      </w:r>
      <w:r>
        <w:rPr>
          <w:sz w:val="24"/>
        </w:rPr>
        <w:t>30m</w:t>
      </w:r>
      <w:r>
        <w:rPr>
          <w:sz w:val="24"/>
        </w:rPr>
        <w:t>，且由</w:t>
      </w:r>
      <w:r>
        <w:rPr>
          <w:rFonts w:hint="eastAsia"/>
          <w:sz w:val="24"/>
        </w:rPr>
        <w:t>东</w:t>
      </w:r>
      <w:r>
        <w:rPr>
          <w:sz w:val="24"/>
        </w:rPr>
        <w:t>南向</w:t>
      </w:r>
      <w:r>
        <w:rPr>
          <w:rFonts w:hint="eastAsia"/>
          <w:sz w:val="24"/>
        </w:rPr>
        <w:t>西</w:t>
      </w:r>
      <w:r>
        <w:rPr>
          <w:sz w:val="24"/>
        </w:rPr>
        <w:t>北水位标高逐步升高；根据《河北省遵化市堡子店水源地保护区调整技术报告》提供的水源地情况，堡子店水源地开采松散岩类深层承压水，水源</w:t>
      </w:r>
      <w:r>
        <w:rPr>
          <w:sz w:val="24"/>
        </w:rPr>
        <w:t>地平均水位埋深</w:t>
      </w:r>
      <w:r>
        <w:rPr>
          <w:sz w:val="24"/>
        </w:rPr>
        <w:t>14.85m</w:t>
      </w:r>
      <w:r>
        <w:rPr>
          <w:sz w:val="24"/>
        </w:rPr>
        <w:t>，平均水位标高</w:t>
      </w:r>
      <w:r>
        <w:rPr>
          <w:sz w:val="24"/>
        </w:rPr>
        <w:t>30.21m</w:t>
      </w:r>
      <w:r>
        <w:rPr>
          <w:sz w:val="24"/>
        </w:rPr>
        <w:t>，平均水位坡度</w:t>
      </w:r>
      <w:r>
        <w:rPr>
          <w:sz w:val="24"/>
        </w:rPr>
        <w:t>0.0013</w:t>
      </w:r>
      <w:r>
        <w:rPr>
          <w:sz w:val="24"/>
        </w:rPr>
        <w:t>左右。</w:t>
      </w:r>
    </w:p>
    <w:p w:rsidR="00DB7CC8" w:rsidRDefault="002B5250">
      <w:pPr>
        <w:pStyle w:val="4"/>
        <w:spacing w:before="48" w:after="48"/>
      </w:pPr>
      <w:r>
        <w:rPr>
          <w:rFonts w:hint="eastAsia"/>
        </w:rPr>
        <w:t xml:space="preserve">4.1.6.4 </w:t>
      </w:r>
      <w:r>
        <w:rPr>
          <w:rFonts w:hint="eastAsia"/>
        </w:rPr>
        <w:t>地下水补径排条件</w:t>
      </w:r>
    </w:p>
    <w:p w:rsidR="00DB7CC8" w:rsidRDefault="002B5250">
      <w:pPr>
        <w:spacing w:line="440" w:lineRule="atLeast"/>
        <w:ind w:firstLine="480"/>
        <w:rPr>
          <w:sz w:val="24"/>
        </w:rPr>
      </w:pPr>
      <w:r>
        <w:rPr>
          <w:sz w:val="24"/>
        </w:rPr>
        <w:t>遵化北盆地是一个相对独立的水文地质单元，四周地表水分水岭和地下水分水岭基本一致，北部分水岭为冀北山地与冀东丘陵区的分界线，东边界为潮白河水系与滦河水系的分水岭，西边界大致为河北省与天津市的分界线，南边界为遵化南、北盆地的分界线，盆地流域面积</w:t>
      </w:r>
      <w:r>
        <w:rPr>
          <w:sz w:val="24"/>
        </w:rPr>
        <w:t>1107</w:t>
      </w:r>
      <w:r>
        <w:rPr>
          <w:rFonts w:hint="eastAsia"/>
          <w:sz w:val="24"/>
        </w:rPr>
        <w:t>k</w:t>
      </w:r>
      <w:r>
        <w:rPr>
          <w:sz w:val="24"/>
        </w:rPr>
        <w:t>m</w:t>
      </w:r>
      <w:r>
        <w:rPr>
          <w:sz w:val="24"/>
          <w:vertAlign w:val="superscript"/>
        </w:rPr>
        <w:t>2</w:t>
      </w:r>
      <w:r>
        <w:rPr>
          <w:sz w:val="24"/>
        </w:rPr>
        <w:t>。</w:t>
      </w:r>
    </w:p>
    <w:p w:rsidR="00DB7CC8" w:rsidRDefault="002B5250">
      <w:pPr>
        <w:spacing w:line="440" w:lineRule="atLeast"/>
        <w:ind w:firstLine="480"/>
        <w:rPr>
          <w:sz w:val="24"/>
        </w:rPr>
      </w:pPr>
      <w:r>
        <w:rPr>
          <w:sz w:val="24"/>
        </w:rPr>
        <w:t>盆地区第四系地下水的补给主要有大气降水补给、河渠入渗补给、山区河谷、沟谷第四系潜流径流补给、山区基岩裂隙水的径流补给、除此之外还有灌溉</w:t>
      </w:r>
      <w:r>
        <w:rPr>
          <w:sz w:val="24"/>
        </w:rPr>
        <w:t>回归补给。</w:t>
      </w:r>
    </w:p>
    <w:p w:rsidR="00DB7CC8" w:rsidRDefault="002B5250">
      <w:pPr>
        <w:spacing w:line="440" w:lineRule="atLeast"/>
        <w:ind w:firstLine="480"/>
        <w:rPr>
          <w:sz w:val="24"/>
        </w:rPr>
      </w:pPr>
      <w:r>
        <w:rPr>
          <w:sz w:val="24"/>
        </w:rPr>
        <w:t>盆地流域的山区，降水后，一部分转换为地表径流顺沟谷汇入河流进入盆地区，一部分是大气降水后入渗补给风化裂隙带和构造裂隙带，基岩裂隙水经过径流汇入低洼的沟谷形成地下水潜流或直接以泉的形式出露于地表，地下潜流直接补给盆地区第四系地下水，出露于地表的泉水形成地表径流，一部分在有利地区补给地下水。</w:t>
      </w:r>
    </w:p>
    <w:p w:rsidR="00DB7CC8" w:rsidRDefault="002B5250">
      <w:pPr>
        <w:spacing w:line="440" w:lineRule="atLeast"/>
        <w:ind w:firstLine="480"/>
        <w:rPr>
          <w:sz w:val="24"/>
        </w:rPr>
      </w:pPr>
      <w:r>
        <w:rPr>
          <w:sz w:val="24"/>
        </w:rPr>
        <w:t>通过以上分析，盆地区的地下水补给就是来源于该区域内的降水入渗补给。</w:t>
      </w:r>
    </w:p>
    <w:p w:rsidR="00DB7CC8" w:rsidRDefault="002B5250">
      <w:pPr>
        <w:spacing w:line="440" w:lineRule="atLeast"/>
        <w:ind w:firstLine="480"/>
        <w:rPr>
          <w:sz w:val="24"/>
        </w:rPr>
      </w:pPr>
      <w:r>
        <w:rPr>
          <w:sz w:val="24"/>
        </w:rPr>
        <w:t>地下水的径流，在盆地内地下水的径流主要是受地形影响，总的方向是由北向南。最终流向最低洼地带，山区基岩裂隙地下水径流则是由高向低处径流，主要受地</w:t>
      </w:r>
      <w:r>
        <w:rPr>
          <w:sz w:val="24"/>
        </w:rPr>
        <w:t>形及裂隙发育情况控制。盆地区地下水含水层主要以卵砾石构成径流条件较好，渗透系数一般在</w:t>
      </w:r>
      <w:r>
        <w:rPr>
          <w:sz w:val="24"/>
        </w:rPr>
        <w:t>30-200m/d</w:t>
      </w:r>
      <w:r>
        <w:rPr>
          <w:sz w:val="24"/>
        </w:rPr>
        <w:t>。</w:t>
      </w:r>
    </w:p>
    <w:p w:rsidR="00DB7CC8" w:rsidRDefault="002B5250">
      <w:pPr>
        <w:spacing w:line="440" w:lineRule="atLeast"/>
        <w:ind w:firstLine="480"/>
        <w:rPr>
          <w:sz w:val="24"/>
        </w:rPr>
      </w:pPr>
      <w:r>
        <w:rPr>
          <w:sz w:val="24"/>
        </w:rPr>
        <w:t>地下水的排泄，天然条件下，地下水的径流在南北盆地连接处受到基岩的阻挡，地下水的排泄是在低洼地带转换成地表水，在基岩的低洼段，经河流流向南部盆地，主要河流有黎河和沙河，其它排泄方式还有潜水蒸发和地表水的蒸发。在目前条件下，地下水的人工开采成为了该区地下水的主要排泄方式，地下水转换为地表径流排泄和潜水蒸发，随着地下水开采量的不断增加，地下水位下降，地下水蒸发量目前很小，地下水的转换成地表径流量的水量也逐渐减</w:t>
      </w:r>
      <w:r>
        <w:rPr>
          <w:sz w:val="24"/>
        </w:rPr>
        <w:t>少。</w:t>
      </w:r>
    </w:p>
    <w:p w:rsidR="00DB7CC8" w:rsidRDefault="002B5250">
      <w:pPr>
        <w:pStyle w:val="4"/>
        <w:spacing w:beforeLines="100" w:before="240"/>
      </w:pPr>
      <w:r>
        <w:lastRenderedPageBreak/>
        <w:t>4.1.6</w:t>
      </w:r>
      <w:r>
        <w:rPr>
          <w:rFonts w:hint="eastAsia"/>
        </w:rPr>
        <w:t xml:space="preserve">.5 </w:t>
      </w:r>
      <w:r>
        <w:rPr>
          <w:rFonts w:hint="eastAsia"/>
        </w:rPr>
        <w:t>地下水动态特征</w:t>
      </w:r>
    </w:p>
    <w:p w:rsidR="00DB7CC8" w:rsidRDefault="002B5250">
      <w:pPr>
        <w:ind w:firstLine="480"/>
        <w:rPr>
          <w:sz w:val="24"/>
          <w:szCs w:val="21"/>
        </w:rPr>
      </w:pPr>
      <w:r>
        <w:rPr>
          <w:rFonts w:hint="eastAsia"/>
          <w:sz w:val="24"/>
          <w:szCs w:val="21"/>
        </w:rPr>
        <w:t>研究区</w:t>
      </w:r>
      <w:r>
        <w:rPr>
          <w:sz w:val="24"/>
          <w:szCs w:val="21"/>
        </w:rPr>
        <w:t>地下水流场受地形、地貌及水文地质条件控制，同时受人为开采的影响。遵化盆地</w:t>
      </w:r>
      <w:r>
        <w:rPr>
          <w:rFonts w:hint="eastAsia"/>
          <w:sz w:val="24"/>
          <w:szCs w:val="21"/>
        </w:rPr>
        <w:t>地</w:t>
      </w:r>
      <w:r>
        <w:rPr>
          <w:sz w:val="24"/>
          <w:szCs w:val="21"/>
        </w:rPr>
        <w:t>下水一般由外围流向盆地中心。在北川平原，地下水由西北、北、东北流向中心，盆地边缘水力坡度</w:t>
      </w:r>
      <w:r>
        <w:rPr>
          <w:sz w:val="24"/>
          <w:szCs w:val="21"/>
        </w:rPr>
        <w:t>1.3-4.4‰</w:t>
      </w:r>
      <w:r>
        <w:rPr>
          <w:sz w:val="24"/>
          <w:szCs w:val="21"/>
        </w:rPr>
        <w:t>，盆地中心水力坡度</w:t>
      </w:r>
      <w:r>
        <w:rPr>
          <w:sz w:val="24"/>
          <w:szCs w:val="21"/>
        </w:rPr>
        <w:t>0.4‰-0.8‰</w:t>
      </w:r>
      <w:r>
        <w:rPr>
          <w:sz w:val="24"/>
          <w:szCs w:val="21"/>
        </w:rPr>
        <w:t>。南川平原地下水由东北流向西南，由黎河出口流出，水力坡度比北川平原略缓，一般为</w:t>
      </w:r>
      <w:r>
        <w:rPr>
          <w:sz w:val="24"/>
          <w:szCs w:val="21"/>
        </w:rPr>
        <w:t>0.3‰-0.7‰</w:t>
      </w:r>
      <w:r>
        <w:rPr>
          <w:rFonts w:hint="eastAsia"/>
          <w:sz w:val="24"/>
          <w:szCs w:val="21"/>
        </w:rPr>
        <w:t>。</w:t>
      </w:r>
    </w:p>
    <w:p w:rsidR="00DB7CC8" w:rsidRDefault="002B5250">
      <w:pPr>
        <w:ind w:firstLineChars="250" w:firstLine="600"/>
        <w:rPr>
          <w:sz w:val="24"/>
          <w:szCs w:val="21"/>
        </w:rPr>
      </w:pPr>
      <w:r>
        <w:rPr>
          <w:rFonts w:hint="eastAsia"/>
          <w:sz w:val="24"/>
          <w:szCs w:val="21"/>
        </w:rPr>
        <w:t>2011-2015</w:t>
      </w:r>
      <w:r>
        <w:rPr>
          <w:rFonts w:hint="eastAsia"/>
          <w:sz w:val="24"/>
          <w:szCs w:val="21"/>
        </w:rPr>
        <w:t>年唐山市遵化盆地浅层地下水水位总体呈下降趋势，五年各年平均水位埋深分别为</w:t>
      </w:r>
      <w:r>
        <w:rPr>
          <w:rFonts w:hint="eastAsia"/>
          <w:sz w:val="24"/>
          <w:szCs w:val="21"/>
        </w:rPr>
        <w:t>10.52m</w:t>
      </w:r>
      <w:r>
        <w:rPr>
          <w:rFonts w:hint="eastAsia"/>
          <w:sz w:val="24"/>
          <w:szCs w:val="21"/>
        </w:rPr>
        <w:t>、</w:t>
      </w:r>
      <w:r>
        <w:rPr>
          <w:rFonts w:hint="eastAsia"/>
          <w:sz w:val="24"/>
          <w:szCs w:val="21"/>
        </w:rPr>
        <w:t>8.93m</w:t>
      </w:r>
      <w:r>
        <w:rPr>
          <w:rFonts w:hint="eastAsia"/>
          <w:sz w:val="24"/>
          <w:szCs w:val="21"/>
        </w:rPr>
        <w:t>、</w:t>
      </w:r>
      <w:r>
        <w:rPr>
          <w:rFonts w:hint="eastAsia"/>
          <w:sz w:val="24"/>
          <w:szCs w:val="21"/>
        </w:rPr>
        <w:t>8.09m</w:t>
      </w:r>
      <w:r>
        <w:rPr>
          <w:rFonts w:hint="eastAsia"/>
          <w:sz w:val="24"/>
          <w:szCs w:val="21"/>
        </w:rPr>
        <w:t>、</w:t>
      </w:r>
      <w:r>
        <w:rPr>
          <w:rFonts w:hint="eastAsia"/>
          <w:sz w:val="24"/>
          <w:szCs w:val="21"/>
        </w:rPr>
        <w:t>8.16m</w:t>
      </w:r>
      <w:r>
        <w:rPr>
          <w:rFonts w:hint="eastAsia"/>
          <w:sz w:val="24"/>
          <w:szCs w:val="21"/>
        </w:rPr>
        <w:t>、</w:t>
      </w:r>
      <w:r>
        <w:rPr>
          <w:rFonts w:hint="eastAsia"/>
          <w:sz w:val="24"/>
          <w:szCs w:val="21"/>
        </w:rPr>
        <w:t>9.08m</w:t>
      </w:r>
      <w:r>
        <w:rPr>
          <w:rFonts w:hint="eastAsia"/>
          <w:sz w:val="24"/>
          <w:szCs w:val="21"/>
        </w:rPr>
        <w:t>，五</w:t>
      </w:r>
      <w:r>
        <w:rPr>
          <w:rFonts w:hint="eastAsia"/>
          <w:sz w:val="24"/>
          <w:szCs w:val="21"/>
        </w:rPr>
        <w:t>年平均水位埋深</w:t>
      </w:r>
      <w:r>
        <w:rPr>
          <w:rFonts w:hint="eastAsia"/>
          <w:sz w:val="24"/>
          <w:szCs w:val="21"/>
        </w:rPr>
        <w:t>8.96m</w:t>
      </w:r>
      <w:r>
        <w:rPr>
          <w:rFonts w:hint="eastAsia"/>
          <w:sz w:val="24"/>
          <w:szCs w:val="21"/>
        </w:rPr>
        <w:t>；年平均最高水位埋深为</w:t>
      </w:r>
      <w:r>
        <w:rPr>
          <w:rFonts w:hint="eastAsia"/>
          <w:sz w:val="24"/>
          <w:szCs w:val="21"/>
        </w:rPr>
        <w:t>2012</w:t>
      </w:r>
      <w:r>
        <w:rPr>
          <w:rFonts w:hint="eastAsia"/>
          <w:sz w:val="24"/>
          <w:szCs w:val="21"/>
        </w:rPr>
        <w:t>年</w:t>
      </w:r>
      <w:r>
        <w:rPr>
          <w:rFonts w:hint="eastAsia"/>
          <w:sz w:val="24"/>
          <w:szCs w:val="21"/>
        </w:rPr>
        <w:t>4.57m</w:t>
      </w:r>
      <w:r>
        <w:rPr>
          <w:rFonts w:hint="eastAsia"/>
          <w:sz w:val="24"/>
          <w:szCs w:val="21"/>
        </w:rPr>
        <w:t>；年平均最低水位埋深为</w:t>
      </w:r>
      <w:r>
        <w:rPr>
          <w:rFonts w:hint="eastAsia"/>
          <w:sz w:val="24"/>
          <w:szCs w:val="21"/>
        </w:rPr>
        <w:t>2011</w:t>
      </w:r>
      <w:r>
        <w:rPr>
          <w:rFonts w:hint="eastAsia"/>
          <w:sz w:val="24"/>
          <w:szCs w:val="21"/>
        </w:rPr>
        <w:t>年</w:t>
      </w:r>
      <w:r>
        <w:rPr>
          <w:rFonts w:hint="eastAsia"/>
          <w:sz w:val="24"/>
          <w:szCs w:val="21"/>
        </w:rPr>
        <w:t>11.98m</w:t>
      </w:r>
      <w:r>
        <w:rPr>
          <w:rFonts w:hint="eastAsia"/>
          <w:sz w:val="24"/>
          <w:szCs w:val="21"/>
        </w:rPr>
        <w:t>；年平均水位变幅最大为</w:t>
      </w:r>
      <w:r>
        <w:rPr>
          <w:rFonts w:hint="eastAsia"/>
          <w:sz w:val="24"/>
          <w:szCs w:val="21"/>
        </w:rPr>
        <w:t>2012</w:t>
      </w:r>
      <w:r>
        <w:rPr>
          <w:rFonts w:hint="eastAsia"/>
          <w:sz w:val="24"/>
          <w:szCs w:val="21"/>
        </w:rPr>
        <w:t>年</w:t>
      </w:r>
      <w:r>
        <w:rPr>
          <w:rFonts w:hint="eastAsia"/>
          <w:sz w:val="24"/>
          <w:szCs w:val="21"/>
        </w:rPr>
        <w:t>7.13m</w:t>
      </w:r>
      <w:r>
        <w:rPr>
          <w:rFonts w:hint="eastAsia"/>
          <w:sz w:val="24"/>
          <w:szCs w:val="21"/>
        </w:rPr>
        <w:t>，最小为</w:t>
      </w:r>
      <w:r>
        <w:rPr>
          <w:rFonts w:hint="eastAsia"/>
          <w:sz w:val="24"/>
          <w:szCs w:val="21"/>
        </w:rPr>
        <w:t>2015</w:t>
      </w:r>
      <w:r>
        <w:rPr>
          <w:rFonts w:hint="eastAsia"/>
          <w:sz w:val="24"/>
          <w:szCs w:val="21"/>
        </w:rPr>
        <w:t>年</w:t>
      </w:r>
      <w:r>
        <w:rPr>
          <w:rFonts w:hint="eastAsia"/>
          <w:sz w:val="24"/>
          <w:szCs w:val="21"/>
        </w:rPr>
        <w:t>2.36m</w:t>
      </w:r>
      <w:r>
        <w:rPr>
          <w:rFonts w:hint="eastAsia"/>
          <w:sz w:val="24"/>
          <w:szCs w:val="21"/>
        </w:rPr>
        <w:t>：五年各年末平均水位埋深分别为</w:t>
      </w:r>
      <w:r>
        <w:rPr>
          <w:rFonts w:hint="eastAsia"/>
          <w:sz w:val="24"/>
          <w:szCs w:val="21"/>
        </w:rPr>
        <w:t>10.17m</w:t>
      </w:r>
      <w:r>
        <w:rPr>
          <w:rFonts w:hint="eastAsia"/>
          <w:sz w:val="24"/>
          <w:szCs w:val="21"/>
        </w:rPr>
        <w:t>、</w:t>
      </w:r>
      <w:r>
        <w:rPr>
          <w:rFonts w:hint="eastAsia"/>
          <w:sz w:val="24"/>
          <w:szCs w:val="21"/>
        </w:rPr>
        <w:t>8.11m</w:t>
      </w:r>
      <w:r>
        <w:rPr>
          <w:rFonts w:hint="eastAsia"/>
          <w:sz w:val="24"/>
          <w:szCs w:val="21"/>
        </w:rPr>
        <w:t>、</w:t>
      </w:r>
      <w:r>
        <w:rPr>
          <w:rFonts w:hint="eastAsia"/>
          <w:sz w:val="24"/>
          <w:szCs w:val="21"/>
        </w:rPr>
        <w:t>8.61m</w:t>
      </w:r>
      <w:r>
        <w:rPr>
          <w:rFonts w:hint="eastAsia"/>
          <w:sz w:val="24"/>
          <w:szCs w:val="21"/>
        </w:rPr>
        <w:t>、</w:t>
      </w:r>
      <w:r>
        <w:rPr>
          <w:rFonts w:hint="eastAsia"/>
          <w:sz w:val="24"/>
          <w:szCs w:val="21"/>
        </w:rPr>
        <w:t>8.95m</w:t>
      </w:r>
      <w:r>
        <w:rPr>
          <w:rFonts w:hint="eastAsia"/>
          <w:sz w:val="24"/>
          <w:szCs w:val="21"/>
        </w:rPr>
        <w:t>、</w:t>
      </w:r>
      <w:r>
        <w:rPr>
          <w:rFonts w:hint="eastAsia"/>
          <w:sz w:val="24"/>
          <w:szCs w:val="21"/>
        </w:rPr>
        <w:t>10.71m</w:t>
      </w:r>
      <w:r>
        <w:rPr>
          <w:rFonts w:hint="eastAsia"/>
          <w:sz w:val="24"/>
          <w:szCs w:val="21"/>
        </w:rPr>
        <w:t>，变差为</w:t>
      </w:r>
      <w:r>
        <w:rPr>
          <w:rFonts w:hint="eastAsia"/>
          <w:sz w:val="24"/>
          <w:szCs w:val="21"/>
        </w:rPr>
        <w:t>0.08m</w:t>
      </w:r>
      <w:r>
        <w:rPr>
          <w:rFonts w:hint="eastAsia"/>
          <w:sz w:val="24"/>
          <w:szCs w:val="21"/>
        </w:rPr>
        <w:t>、</w:t>
      </w:r>
      <w:r>
        <w:rPr>
          <w:rFonts w:hint="eastAsia"/>
          <w:sz w:val="24"/>
          <w:szCs w:val="21"/>
        </w:rPr>
        <w:t>2.06m</w:t>
      </w:r>
      <w:r>
        <w:rPr>
          <w:rFonts w:hint="eastAsia"/>
          <w:sz w:val="24"/>
          <w:szCs w:val="21"/>
        </w:rPr>
        <w:t>、</w:t>
      </w:r>
      <w:r>
        <w:rPr>
          <w:rFonts w:hint="eastAsia"/>
          <w:sz w:val="24"/>
          <w:szCs w:val="21"/>
        </w:rPr>
        <w:t>0.5m</w:t>
      </w:r>
      <w:r>
        <w:rPr>
          <w:rFonts w:hint="eastAsia"/>
          <w:sz w:val="24"/>
          <w:szCs w:val="21"/>
        </w:rPr>
        <w:t>、</w:t>
      </w:r>
      <w:r>
        <w:rPr>
          <w:rFonts w:hint="eastAsia"/>
          <w:sz w:val="24"/>
          <w:szCs w:val="21"/>
        </w:rPr>
        <w:t>0.34m</w:t>
      </w:r>
      <w:r>
        <w:rPr>
          <w:rFonts w:hint="eastAsia"/>
          <w:sz w:val="24"/>
          <w:szCs w:val="21"/>
        </w:rPr>
        <w:t>、</w:t>
      </w:r>
      <w:r>
        <w:rPr>
          <w:rFonts w:hint="eastAsia"/>
          <w:sz w:val="24"/>
          <w:szCs w:val="21"/>
        </w:rPr>
        <w:t>1.76m</w:t>
      </w:r>
      <w:r>
        <w:rPr>
          <w:rFonts w:hint="eastAsia"/>
          <w:sz w:val="24"/>
          <w:szCs w:val="21"/>
        </w:rPr>
        <w:t>，下降速率为</w:t>
      </w:r>
      <w:r>
        <w:rPr>
          <w:rFonts w:hint="eastAsia"/>
          <w:sz w:val="24"/>
          <w:szCs w:val="21"/>
        </w:rPr>
        <w:t>0.09m</w:t>
      </w:r>
      <w:r>
        <w:rPr>
          <w:rFonts w:hint="eastAsia"/>
          <w:sz w:val="24"/>
          <w:szCs w:val="21"/>
        </w:rPr>
        <w:t>；高水位期一般出现在</w:t>
      </w:r>
      <w:r>
        <w:rPr>
          <w:rFonts w:hint="eastAsia"/>
          <w:sz w:val="24"/>
          <w:szCs w:val="21"/>
        </w:rPr>
        <w:t>1</w:t>
      </w:r>
      <w:r>
        <w:rPr>
          <w:rFonts w:hint="eastAsia"/>
          <w:sz w:val="24"/>
          <w:szCs w:val="21"/>
        </w:rPr>
        <w:t>月</w:t>
      </w:r>
      <w:r>
        <w:rPr>
          <w:rFonts w:hint="eastAsia"/>
          <w:sz w:val="24"/>
          <w:szCs w:val="21"/>
        </w:rPr>
        <w:t>10</w:t>
      </w:r>
      <w:r>
        <w:rPr>
          <w:rFonts w:hint="eastAsia"/>
          <w:sz w:val="24"/>
          <w:szCs w:val="21"/>
        </w:rPr>
        <w:t>日—</w:t>
      </w:r>
      <w:r>
        <w:rPr>
          <w:rFonts w:hint="eastAsia"/>
          <w:sz w:val="24"/>
          <w:szCs w:val="21"/>
        </w:rPr>
        <w:t>3</w:t>
      </w:r>
      <w:r>
        <w:rPr>
          <w:rFonts w:hint="eastAsia"/>
          <w:sz w:val="24"/>
          <w:szCs w:val="21"/>
        </w:rPr>
        <w:t>月</w:t>
      </w:r>
      <w:r>
        <w:rPr>
          <w:rFonts w:hint="eastAsia"/>
          <w:sz w:val="24"/>
          <w:szCs w:val="21"/>
        </w:rPr>
        <w:t>30</w:t>
      </w:r>
      <w:r>
        <w:rPr>
          <w:rFonts w:hint="eastAsia"/>
          <w:sz w:val="24"/>
          <w:szCs w:val="21"/>
        </w:rPr>
        <w:t>日，低水位期一般出现在</w:t>
      </w:r>
      <w:r>
        <w:rPr>
          <w:rFonts w:hint="eastAsia"/>
          <w:sz w:val="24"/>
          <w:szCs w:val="21"/>
        </w:rPr>
        <w:t>5</w:t>
      </w:r>
      <w:r>
        <w:rPr>
          <w:rFonts w:hint="eastAsia"/>
          <w:sz w:val="24"/>
          <w:szCs w:val="21"/>
        </w:rPr>
        <w:t>月</w:t>
      </w:r>
      <w:r>
        <w:rPr>
          <w:rFonts w:hint="eastAsia"/>
          <w:sz w:val="24"/>
          <w:szCs w:val="21"/>
        </w:rPr>
        <w:t>20</w:t>
      </w:r>
      <w:r>
        <w:rPr>
          <w:rFonts w:hint="eastAsia"/>
          <w:sz w:val="24"/>
          <w:szCs w:val="21"/>
        </w:rPr>
        <w:t>日</w:t>
      </w:r>
      <w:r>
        <w:rPr>
          <w:rFonts w:hint="eastAsia"/>
          <w:sz w:val="24"/>
          <w:szCs w:val="21"/>
        </w:rPr>
        <w:t>-9</w:t>
      </w:r>
      <w:r>
        <w:rPr>
          <w:rFonts w:hint="eastAsia"/>
          <w:sz w:val="24"/>
          <w:szCs w:val="21"/>
        </w:rPr>
        <w:t>月</w:t>
      </w:r>
      <w:r>
        <w:rPr>
          <w:rFonts w:hint="eastAsia"/>
          <w:sz w:val="24"/>
          <w:szCs w:val="21"/>
        </w:rPr>
        <w:t>20</w:t>
      </w:r>
      <w:r>
        <w:rPr>
          <w:rFonts w:hint="eastAsia"/>
          <w:sz w:val="24"/>
          <w:szCs w:val="21"/>
        </w:rPr>
        <w:t>日，上升期为每年</w:t>
      </w:r>
      <w:r>
        <w:rPr>
          <w:rFonts w:hint="eastAsia"/>
          <w:sz w:val="24"/>
          <w:szCs w:val="21"/>
        </w:rPr>
        <w:t>8</w:t>
      </w:r>
      <w:r>
        <w:rPr>
          <w:rFonts w:hint="eastAsia"/>
          <w:sz w:val="24"/>
          <w:szCs w:val="21"/>
        </w:rPr>
        <w:t>月—</w:t>
      </w:r>
      <w:r>
        <w:rPr>
          <w:rFonts w:hint="eastAsia"/>
          <w:sz w:val="24"/>
          <w:szCs w:val="21"/>
        </w:rPr>
        <w:t>10</w:t>
      </w:r>
      <w:r>
        <w:rPr>
          <w:rFonts w:hint="eastAsia"/>
          <w:sz w:val="24"/>
          <w:szCs w:val="21"/>
        </w:rPr>
        <w:t>月，下降期为</w:t>
      </w:r>
      <w:r>
        <w:rPr>
          <w:rFonts w:hint="eastAsia"/>
          <w:sz w:val="24"/>
          <w:szCs w:val="21"/>
        </w:rPr>
        <w:t>4</w:t>
      </w:r>
      <w:r>
        <w:rPr>
          <w:rFonts w:hint="eastAsia"/>
          <w:sz w:val="24"/>
          <w:szCs w:val="21"/>
        </w:rPr>
        <w:t>月—</w:t>
      </w:r>
      <w:r>
        <w:rPr>
          <w:rFonts w:hint="eastAsia"/>
          <w:sz w:val="24"/>
          <w:szCs w:val="21"/>
        </w:rPr>
        <w:t>7</w:t>
      </w:r>
      <w:r>
        <w:rPr>
          <w:rFonts w:hint="eastAsia"/>
          <w:sz w:val="24"/>
          <w:szCs w:val="21"/>
        </w:rPr>
        <w:t>月，平稳期为</w:t>
      </w:r>
      <w:r>
        <w:rPr>
          <w:rFonts w:hint="eastAsia"/>
          <w:sz w:val="24"/>
          <w:szCs w:val="21"/>
        </w:rPr>
        <w:t>11</w:t>
      </w:r>
      <w:r>
        <w:rPr>
          <w:rFonts w:hint="eastAsia"/>
          <w:sz w:val="24"/>
          <w:szCs w:val="21"/>
        </w:rPr>
        <w:t>月—翌年</w:t>
      </w:r>
      <w:r>
        <w:rPr>
          <w:rFonts w:hint="eastAsia"/>
          <w:sz w:val="24"/>
          <w:szCs w:val="21"/>
        </w:rPr>
        <w:t>3</w:t>
      </w:r>
      <w:r>
        <w:rPr>
          <w:rFonts w:hint="eastAsia"/>
          <w:sz w:val="24"/>
          <w:szCs w:val="21"/>
        </w:rPr>
        <w:t>月。</w:t>
      </w:r>
      <w:r>
        <w:rPr>
          <w:rFonts w:hint="eastAsia"/>
          <w:sz w:val="24"/>
          <w:szCs w:val="21"/>
        </w:rPr>
        <w:t>2011-2015</w:t>
      </w:r>
      <w:r>
        <w:rPr>
          <w:rFonts w:hint="eastAsia"/>
          <w:sz w:val="24"/>
          <w:szCs w:val="21"/>
        </w:rPr>
        <w:t>年遵化盆地第四系地下水平均水位埋深、年最高水位埋深、年最低水位埋深、年未水位埋深四项特征值进行首尾相比：水位分别上升</w:t>
      </w:r>
      <w:r>
        <w:rPr>
          <w:rFonts w:hint="eastAsia"/>
          <w:sz w:val="24"/>
          <w:szCs w:val="21"/>
        </w:rPr>
        <w:t>1.44m</w:t>
      </w:r>
      <w:r>
        <w:rPr>
          <w:rFonts w:hint="eastAsia"/>
          <w:sz w:val="24"/>
          <w:szCs w:val="21"/>
        </w:rPr>
        <w:t>、</w:t>
      </w:r>
      <w:r>
        <w:rPr>
          <w:rFonts w:hint="eastAsia"/>
          <w:sz w:val="24"/>
          <w:szCs w:val="21"/>
        </w:rPr>
        <w:t>0.86m</w:t>
      </w:r>
      <w:r>
        <w:rPr>
          <w:rFonts w:hint="eastAsia"/>
          <w:sz w:val="24"/>
          <w:szCs w:val="21"/>
        </w:rPr>
        <w:t>、</w:t>
      </w:r>
      <w:r>
        <w:rPr>
          <w:rFonts w:hint="eastAsia"/>
          <w:sz w:val="24"/>
          <w:szCs w:val="21"/>
        </w:rPr>
        <w:t>1.53m</w:t>
      </w:r>
      <w:r>
        <w:rPr>
          <w:rFonts w:hint="eastAsia"/>
          <w:sz w:val="24"/>
          <w:szCs w:val="21"/>
        </w:rPr>
        <w:t>、</w:t>
      </w:r>
      <w:r>
        <w:rPr>
          <w:rFonts w:hint="eastAsia"/>
          <w:sz w:val="24"/>
          <w:szCs w:val="21"/>
        </w:rPr>
        <w:t>-0.54m</w:t>
      </w:r>
      <w:r>
        <w:rPr>
          <w:rFonts w:hint="eastAsia"/>
          <w:sz w:val="24"/>
          <w:szCs w:val="21"/>
        </w:rPr>
        <w:t>，平均每年上升</w:t>
      </w:r>
      <w:r>
        <w:rPr>
          <w:rFonts w:hint="eastAsia"/>
          <w:sz w:val="24"/>
          <w:szCs w:val="21"/>
        </w:rPr>
        <w:t>0.29m</w:t>
      </w:r>
      <w:r>
        <w:rPr>
          <w:rFonts w:hint="eastAsia"/>
          <w:sz w:val="24"/>
          <w:szCs w:val="21"/>
        </w:rPr>
        <w:t>、</w:t>
      </w:r>
      <w:r>
        <w:rPr>
          <w:rFonts w:hint="eastAsia"/>
          <w:sz w:val="24"/>
          <w:szCs w:val="21"/>
        </w:rPr>
        <w:t>0.17m</w:t>
      </w:r>
      <w:r>
        <w:rPr>
          <w:rFonts w:hint="eastAsia"/>
          <w:sz w:val="24"/>
          <w:szCs w:val="21"/>
        </w:rPr>
        <w:t>、</w:t>
      </w:r>
      <w:r>
        <w:rPr>
          <w:rFonts w:hint="eastAsia"/>
          <w:sz w:val="24"/>
          <w:szCs w:val="21"/>
        </w:rPr>
        <w:t>0.31m</w:t>
      </w:r>
      <w:r>
        <w:rPr>
          <w:rFonts w:hint="eastAsia"/>
          <w:sz w:val="24"/>
          <w:szCs w:val="21"/>
        </w:rPr>
        <w:t>、</w:t>
      </w:r>
      <w:r>
        <w:rPr>
          <w:rFonts w:hint="eastAsia"/>
          <w:sz w:val="24"/>
          <w:szCs w:val="21"/>
        </w:rPr>
        <w:t>-0.11m</w:t>
      </w:r>
      <w:r>
        <w:rPr>
          <w:rFonts w:hint="eastAsia"/>
          <w:sz w:val="24"/>
          <w:szCs w:val="21"/>
        </w:rPr>
        <w:t>（图</w:t>
      </w:r>
      <w:r>
        <w:rPr>
          <w:rFonts w:hint="eastAsia"/>
          <w:sz w:val="24"/>
          <w:szCs w:val="21"/>
        </w:rPr>
        <w:t>4.1-7</w:t>
      </w:r>
      <w:r>
        <w:rPr>
          <w:rFonts w:hint="eastAsia"/>
          <w:sz w:val="24"/>
          <w:szCs w:val="21"/>
        </w:rPr>
        <w:t>）。</w:t>
      </w:r>
    </w:p>
    <w:p w:rsidR="00DB7CC8" w:rsidRDefault="002B5250">
      <w:pPr>
        <w:ind w:firstLine="480"/>
        <w:rPr>
          <w:sz w:val="24"/>
          <w:szCs w:val="21"/>
        </w:rPr>
      </w:pPr>
      <w:r>
        <w:rPr>
          <w:sz w:val="24"/>
          <w:szCs w:val="21"/>
        </w:rPr>
        <w:t>20</w:t>
      </w:r>
      <w:r>
        <w:rPr>
          <w:rFonts w:hint="eastAsia"/>
          <w:sz w:val="24"/>
          <w:szCs w:val="21"/>
        </w:rPr>
        <w:t>15</w:t>
      </w:r>
      <w:r>
        <w:rPr>
          <w:sz w:val="24"/>
          <w:szCs w:val="21"/>
        </w:rPr>
        <w:t>年</w:t>
      </w:r>
      <w:r>
        <w:rPr>
          <w:rFonts w:hint="eastAsia"/>
          <w:sz w:val="24"/>
          <w:szCs w:val="21"/>
        </w:rPr>
        <w:t>低</w:t>
      </w:r>
      <w:r>
        <w:rPr>
          <w:sz w:val="24"/>
          <w:szCs w:val="21"/>
        </w:rPr>
        <w:t>水期等水位</w:t>
      </w:r>
      <w:r>
        <w:rPr>
          <w:rFonts w:hint="eastAsia"/>
          <w:sz w:val="24"/>
          <w:szCs w:val="21"/>
        </w:rPr>
        <w:t>期</w:t>
      </w:r>
      <w:r>
        <w:rPr>
          <w:sz w:val="24"/>
          <w:szCs w:val="21"/>
        </w:rPr>
        <w:t>，遵化镇以北的西三里甘泽庄及南新城、新店子及堡子店</w:t>
      </w:r>
      <w:r>
        <w:rPr>
          <w:sz w:val="24"/>
          <w:szCs w:val="21"/>
        </w:rPr>
        <w:t>-</w:t>
      </w:r>
      <w:r>
        <w:rPr>
          <w:sz w:val="24"/>
          <w:szCs w:val="21"/>
        </w:rPr>
        <w:t>大草店以北一带水位埋深大于</w:t>
      </w:r>
      <w:r>
        <w:rPr>
          <w:sz w:val="24"/>
          <w:szCs w:val="21"/>
        </w:rPr>
        <w:t>10m</w:t>
      </w:r>
      <w:r>
        <w:rPr>
          <w:rFonts w:hint="eastAsia"/>
          <w:sz w:val="24"/>
          <w:szCs w:val="21"/>
        </w:rPr>
        <w:t>，</w:t>
      </w:r>
      <w:r>
        <w:rPr>
          <w:sz w:val="24"/>
          <w:szCs w:val="21"/>
        </w:rPr>
        <w:t>约占盆地面积的</w:t>
      </w:r>
      <w:r>
        <w:rPr>
          <w:rFonts w:hint="eastAsia"/>
          <w:sz w:val="24"/>
          <w:szCs w:val="21"/>
        </w:rPr>
        <w:t>48.44</w:t>
      </w:r>
      <w:r>
        <w:rPr>
          <w:sz w:val="24"/>
          <w:szCs w:val="21"/>
        </w:rPr>
        <w:t>%</w:t>
      </w:r>
      <w:r>
        <w:rPr>
          <w:sz w:val="24"/>
          <w:szCs w:val="21"/>
        </w:rPr>
        <w:t>左右；小渤海寨、小马坊及崔家庄一带水位埋深小于</w:t>
      </w:r>
      <w:r>
        <w:rPr>
          <w:sz w:val="24"/>
          <w:szCs w:val="21"/>
        </w:rPr>
        <w:t>6m</w:t>
      </w:r>
      <w:r>
        <w:rPr>
          <w:sz w:val="24"/>
          <w:szCs w:val="21"/>
        </w:rPr>
        <w:t>，约占全区面积的</w:t>
      </w:r>
      <w:r>
        <w:rPr>
          <w:rFonts w:hint="eastAsia"/>
          <w:sz w:val="24"/>
          <w:szCs w:val="21"/>
        </w:rPr>
        <w:t>22.74</w:t>
      </w:r>
      <w:r>
        <w:rPr>
          <w:sz w:val="24"/>
          <w:szCs w:val="21"/>
        </w:rPr>
        <w:t>%</w:t>
      </w:r>
      <w:r>
        <w:rPr>
          <w:sz w:val="24"/>
          <w:szCs w:val="21"/>
        </w:rPr>
        <w:t>左右；其余广大地区水位埋深在</w:t>
      </w:r>
      <w:r>
        <w:rPr>
          <w:sz w:val="24"/>
          <w:szCs w:val="21"/>
        </w:rPr>
        <w:t>6-8m</w:t>
      </w:r>
      <w:r>
        <w:rPr>
          <w:sz w:val="24"/>
          <w:szCs w:val="21"/>
        </w:rPr>
        <w:t>、</w:t>
      </w:r>
      <w:r>
        <w:rPr>
          <w:sz w:val="24"/>
          <w:szCs w:val="21"/>
        </w:rPr>
        <w:t>8-10m</w:t>
      </w:r>
      <w:r>
        <w:rPr>
          <w:sz w:val="24"/>
          <w:szCs w:val="21"/>
        </w:rPr>
        <w:t>之间，约占全区面积的</w:t>
      </w:r>
      <w:r>
        <w:rPr>
          <w:rFonts w:hint="eastAsia"/>
          <w:sz w:val="24"/>
          <w:szCs w:val="21"/>
        </w:rPr>
        <w:t>28.82</w:t>
      </w:r>
      <w:r>
        <w:rPr>
          <w:sz w:val="24"/>
          <w:szCs w:val="21"/>
        </w:rPr>
        <w:t>%</w:t>
      </w:r>
      <w:r>
        <w:rPr>
          <w:sz w:val="24"/>
          <w:szCs w:val="21"/>
        </w:rPr>
        <w:t>左右。水位埋深以</w:t>
      </w:r>
      <w:r>
        <w:rPr>
          <w:rFonts w:hint="eastAsia"/>
          <w:sz w:val="24"/>
          <w:szCs w:val="21"/>
        </w:rPr>
        <w:t>10</w:t>
      </w:r>
      <w:r>
        <w:rPr>
          <w:sz w:val="24"/>
          <w:szCs w:val="21"/>
        </w:rPr>
        <w:t>-1</w:t>
      </w:r>
      <w:r>
        <w:rPr>
          <w:rFonts w:hint="eastAsia"/>
          <w:sz w:val="24"/>
          <w:szCs w:val="21"/>
        </w:rPr>
        <w:t>5</w:t>
      </w:r>
      <w:r>
        <w:rPr>
          <w:sz w:val="24"/>
          <w:szCs w:val="21"/>
        </w:rPr>
        <w:t>m</w:t>
      </w:r>
      <w:r>
        <w:rPr>
          <w:sz w:val="24"/>
          <w:szCs w:val="21"/>
        </w:rPr>
        <w:t>区分布最大，为</w:t>
      </w:r>
      <w:r>
        <w:rPr>
          <w:rFonts w:hint="eastAsia"/>
          <w:sz w:val="24"/>
          <w:szCs w:val="21"/>
        </w:rPr>
        <w:t>164.62</w:t>
      </w:r>
      <w:r>
        <w:rPr>
          <w:sz w:val="24"/>
          <w:szCs w:val="21"/>
        </w:rPr>
        <w:t>km</w:t>
      </w:r>
      <w:r>
        <w:rPr>
          <w:sz w:val="24"/>
          <w:szCs w:val="21"/>
          <w:vertAlign w:val="superscript"/>
        </w:rPr>
        <w:t>2</w:t>
      </w:r>
      <w:r>
        <w:rPr>
          <w:sz w:val="24"/>
          <w:szCs w:val="21"/>
        </w:rPr>
        <w:t>，约占总面积的</w:t>
      </w:r>
      <w:r>
        <w:rPr>
          <w:sz w:val="24"/>
          <w:szCs w:val="21"/>
        </w:rPr>
        <w:t>3</w:t>
      </w:r>
      <w:r>
        <w:rPr>
          <w:rFonts w:hint="eastAsia"/>
          <w:sz w:val="24"/>
          <w:szCs w:val="21"/>
        </w:rPr>
        <w:t>9.76</w:t>
      </w:r>
      <w:r>
        <w:rPr>
          <w:sz w:val="24"/>
          <w:szCs w:val="21"/>
        </w:rPr>
        <w:t>%</w:t>
      </w:r>
      <w:r>
        <w:rPr>
          <w:sz w:val="24"/>
          <w:szCs w:val="21"/>
        </w:rPr>
        <w:t>。</w:t>
      </w:r>
    </w:p>
    <w:p w:rsidR="00DB7CC8" w:rsidRDefault="002B5250">
      <w:pPr>
        <w:ind w:firstLine="480"/>
        <w:rPr>
          <w:sz w:val="24"/>
          <w:szCs w:val="21"/>
        </w:rPr>
      </w:pPr>
      <w:r>
        <w:rPr>
          <w:sz w:val="24"/>
          <w:szCs w:val="21"/>
        </w:rPr>
        <w:t>20</w:t>
      </w:r>
      <w:r>
        <w:rPr>
          <w:rFonts w:hint="eastAsia"/>
          <w:sz w:val="24"/>
          <w:szCs w:val="21"/>
        </w:rPr>
        <w:t>15</w:t>
      </w:r>
      <w:r>
        <w:rPr>
          <w:sz w:val="24"/>
          <w:szCs w:val="21"/>
        </w:rPr>
        <w:t>年</w:t>
      </w:r>
      <w:r>
        <w:rPr>
          <w:rFonts w:hint="eastAsia"/>
          <w:sz w:val="24"/>
          <w:szCs w:val="21"/>
        </w:rPr>
        <w:t>年末</w:t>
      </w:r>
      <w:r>
        <w:rPr>
          <w:sz w:val="24"/>
          <w:szCs w:val="21"/>
        </w:rPr>
        <w:t>，遵化镇以北的西三里甘泽庄及南新城、新店子及堡子店</w:t>
      </w:r>
      <w:r>
        <w:rPr>
          <w:sz w:val="24"/>
          <w:szCs w:val="21"/>
        </w:rPr>
        <w:t>-</w:t>
      </w:r>
      <w:r>
        <w:rPr>
          <w:sz w:val="24"/>
          <w:szCs w:val="21"/>
        </w:rPr>
        <w:t>大草店以北一带水位埋深大于</w:t>
      </w:r>
      <w:r>
        <w:rPr>
          <w:sz w:val="24"/>
          <w:szCs w:val="21"/>
        </w:rPr>
        <w:t>10m</w:t>
      </w:r>
      <w:r>
        <w:rPr>
          <w:sz w:val="24"/>
          <w:szCs w:val="21"/>
        </w:rPr>
        <w:t>；小渤海寨、小马坊及崔家庄一带水位埋深小于</w:t>
      </w:r>
      <w:r>
        <w:rPr>
          <w:sz w:val="24"/>
          <w:szCs w:val="21"/>
        </w:rPr>
        <w:t>6m</w:t>
      </w:r>
      <w:r>
        <w:rPr>
          <w:sz w:val="24"/>
          <w:szCs w:val="21"/>
        </w:rPr>
        <w:t>；其余广大地区水位埋深在</w:t>
      </w:r>
      <w:r>
        <w:rPr>
          <w:sz w:val="24"/>
          <w:szCs w:val="21"/>
        </w:rPr>
        <w:t>6-10m</w:t>
      </w:r>
      <w:r>
        <w:rPr>
          <w:sz w:val="24"/>
          <w:szCs w:val="21"/>
        </w:rPr>
        <w:t>之间。</w:t>
      </w:r>
    </w:p>
    <w:p w:rsidR="00DB7CC8" w:rsidRDefault="002B5250">
      <w:pPr>
        <w:ind w:firstLineChars="0" w:firstLine="0"/>
        <w:rPr>
          <w:sz w:val="24"/>
          <w:szCs w:val="21"/>
        </w:rPr>
      </w:pPr>
      <w:r>
        <w:rPr>
          <w:noProof/>
          <w:sz w:val="24"/>
        </w:rPr>
        <w:lastRenderedPageBreak/>
        <w:drawing>
          <wp:inline distT="0" distB="0" distL="0" distR="0">
            <wp:extent cx="5334000" cy="218122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334000" cy="2181225"/>
                    </a:xfrm>
                    <a:prstGeom prst="rect">
                      <a:avLst/>
                    </a:prstGeom>
                    <a:noFill/>
                    <a:ln>
                      <a:noFill/>
                    </a:ln>
                  </pic:spPr>
                </pic:pic>
              </a:graphicData>
            </a:graphic>
          </wp:inline>
        </w:drawing>
      </w:r>
    </w:p>
    <w:p w:rsidR="00DB7CC8" w:rsidRDefault="002B5250">
      <w:pPr>
        <w:ind w:firstLine="420"/>
        <w:jc w:val="center"/>
        <w:rPr>
          <w:rFonts w:eastAsia="黑体"/>
          <w:kern w:val="2"/>
          <w:sz w:val="21"/>
          <w:szCs w:val="21"/>
        </w:rPr>
      </w:pPr>
      <w:r>
        <w:rPr>
          <w:rFonts w:eastAsia="黑体"/>
          <w:kern w:val="2"/>
          <w:sz w:val="21"/>
          <w:szCs w:val="21"/>
        </w:rPr>
        <w:t>图</w:t>
      </w:r>
      <w:r>
        <w:rPr>
          <w:rFonts w:eastAsia="黑体"/>
          <w:kern w:val="2"/>
          <w:sz w:val="21"/>
          <w:szCs w:val="21"/>
        </w:rPr>
        <w:t>4.1-</w:t>
      </w:r>
      <w:r>
        <w:rPr>
          <w:rFonts w:eastAsia="黑体" w:hint="eastAsia"/>
          <w:kern w:val="2"/>
          <w:sz w:val="21"/>
          <w:szCs w:val="21"/>
        </w:rPr>
        <w:t xml:space="preserve">7  </w:t>
      </w:r>
      <w:r>
        <w:rPr>
          <w:rFonts w:eastAsia="黑体" w:hint="eastAsia"/>
          <w:kern w:val="2"/>
          <w:sz w:val="21"/>
          <w:szCs w:val="21"/>
        </w:rPr>
        <w:t>遵化盆地第四系浅层地下水水位</w:t>
      </w:r>
      <w:r>
        <w:rPr>
          <w:rFonts w:eastAsia="黑体" w:hint="eastAsia"/>
          <w:kern w:val="2"/>
          <w:sz w:val="21"/>
          <w:szCs w:val="21"/>
        </w:rPr>
        <w:t>5</w:t>
      </w:r>
      <w:r>
        <w:rPr>
          <w:rFonts w:eastAsia="黑体" w:hint="eastAsia"/>
          <w:kern w:val="2"/>
          <w:sz w:val="21"/>
          <w:szCs w:val="21"/>
        </w:rPr>
        <w:t>年变化与降水关系曲线</w:t>
      </w:r>
    </w:p>
    <w:p w:rsidR="00DB7CC8" w:rsidRDefault="002B5250">
      <w:pPr>
        <w:snapToGrid w:val="0"/>
        <w:ind w:firstLine="480"/>
        <w:rPr>
          <w:sz w:val="24"/>
          <w:szCs w:val="21"/>
        </w:rPr>
      </w:pPr>
      <w:r>
        <w:rPr>
          <w:sz w:val="24"/>
          <w:szCs w:val="21"/>
        </w:rPr>
        <w:t>遵化盆地</w:t>
      </w:r>
      <w:r>
        <w:rPr>
          <w:sz w:val="24"/>
          <w:szCs w:val="21"/>
        </w:rPr>
        <w:t>1990</w:t>
      </w:r>
      <w:r>
        <w:rPr>
          <w:sz w:val="24"/>
          <w:szCs w:val="21"/>
        </w:rPr>
        <w:t>及</w:t>
      </w:r>
      <w:r>
        <w:rPr>
          <w:sz w:val="24"/>
          <w:szCs w:val="21"/>
        </w:rPr>
        <w:t>20</w:t>
      </w:r>
      <w:r>
        <w:rPr>
          <w:rFonts w:hint="eastAsia"/>
          <w:sz w:val="24"/>
          <w:szCs w:val="21"/>
        </w:rPr>
        <w:t>15</w:t>
      </w:r>
      <w:r>
        <w:rPr>
          <w:sz w:val="24"/>
          <w:szCs w:val="21"/>
        </w:rPr>
        <w:t>年末水位平均埋深分别为</w:t>
      </w:r>
      <w:r>
        <w:rPr>
          <w:sz w:val="24"/>
          <w:szCs w:val="21"/>
        </w:rPr>
        <w:t>6.60m</w:t>
      </w:r>
      <w:r>
        <w:rPr>
          <w:sz w:val="24"/>
          <w:szCs w:val="21"/>
        </w:rPr>
        <w:t>和</w:t>
      </w:r>
      <w:r>
        <w:rPr>
          <w:rFonts w:hint="eastAsia"/>
          <w:sz w:val="24"/>
          <w:szCs w:val="21"/>
        </w:rPr>
        <w:t>10.71</w:t>
      </w:r>
      <w:r>
        <w:rPr>
          <w:sz w:val="24"/>
          <w:szCs w:val="21"/>
        </w:rPr>
        <w:t>m</w:t>
      </w:r>
      <w:r>
        <w:rPr>
          <w:sz w:val="24"/>
          <w:szCs w:val="21"/>
        </w:rPr>
        <w:t>，</w:t>
      </w:r>
      <w:r>
        <w:rPr>
          <w:rFonts w:hint="eastAsia"/>
          <w:sz w:val="24"/>
          <w:szCs w:val="21"/>
        </w:rPr>
        <w:t>25</w:t>
      </w:r>
      <w:r>
        <w:rPr>
          <w:sz w:val="24"/>
          <w:szCs w:val="21"/>
        </w:rPr>
        <w:t>年累</w:t>
      </w:r>
      <w:r>
        <w:rPr>
          <w:sz w:val="24"/>
          <w:szCs w:val="21"/>
        </w:rPr>
        <w:t>计水位下降</w:t>
      </w:r>
      <w:r>
        <w:rPr>
          <w:rFonts w:hint="eastAsia"/>
          <w:sz w:val="24"/>
          <w:szCs w:val="21"/>
        </w:rPr>
        <w:t>4.11</w:t>
      </w:r>
      <w:r>
        <w:rPr>
          <w:sz w:val="24"/>
          <w:szCs w:val="21"/>
        </w:rPr>
        <w:t>m,</w:t>
      </w:r>
      <w:r>
        <w:rPr>
          <w:sz w:val="24"/>
          <w:szCs w:val="21"/>
        </w:rPr>
        <w:t>年平均</w:t>
      </w:r>
      <w:r>
        <w:rPr>
          <w:sz w:val="24"/>
          <w:szCs w:val="21"/>
        </w:rPr>
        <w:t>0.</w:t>
      </w:r>
      <w:r>
        <w:rPr>
          <w:rFonts w:hint="eastAsia"/>
          <w:sz w:val="24"/>
          <w:szCs w:val="21"/>
        </w:rPr>
        <w:t>16</w:t>
      </w:r>
      <w:r>
        <w:rPr>
          <w:sz w:val="24"/>
          <w:szCs w:val="21"/>
        </w:rPr>
        <w:t>m</w:t>
      </w:r>
      <w:r>
        <w:rPr>
          <w:sz w:val="24"/>
          <w:szCs w:val="21"/>
        </w:rPr>
        <w:t>。</w:t>
      </w:r>
      <w:r>
        <w:rPr>
          <w:sz w:val="24"/>
          <w:szCs w:val="21"/>
        </w:rPr>
        <w:t>1990-1995</w:t>
      </w:r>
      <w:r>
        <w:rPr>
          <w:sz w:val="24"/>
          <w:szCs w:val="21"/>
        </w:rPr>
        <w:t>年末水位累计下降</w:t>
      </w:r>
      <w:r>
        <w:rPr>
          <w:sz w:val="24"/>
          <w:szCs w:val="21"/>
        </w:rPr>
        <w:t>0.13m</w:t>
      </w:r>
      <w:r>
        <w:rPr>
          <w:sz w:val="24"/>
          <w:szCs w:val="21"/>
        </w:rPr>
        <w:t>，年平均</w:t>
      </w:r>
      <w:r>
        <w:rPr>
          <w:sz w:val="24"/>
          <w:szCs w:val="21"/>
        </w:rPr>
        <w:t>0.03m</w:t>
      </w:r>
      <w:r>
        <w:rPr>
          <w:rFonts w:hint="eastAsia"/>
          <w:sz w:val="24"/>
          <w:szCs w:val="21"/>
        </w:rPr>
        <w:t>，</w:t>
      </w:r>
      <w:r>
        <w:rPr>
          <w:sz w:val="24"/>
          <w:szCs w:val="21"/>
        </w:rPr>
        <w:t>基本处于稳定状态；</w:t>
      </w:r>
      <w:r>
        <w:rPr>
          <w:sz w:val="24"/>
          <w:szCs w:val="21"/>
        </w:rPr>
        <w:t>1995</w:t>
      </w:r>
      <w:r>
        <w:rPr>
          <w:sz w:val="24"/>
          <w:szCs w:val="21"/>
        </w:rPr>
        <w:t>年末至</w:t>
      </w:r>
      <w:r>
        <w:rPr>
          <w:sz w:val="24"/>
          <w:szCs w:val="21"/>
        </w:rPr>
        <w:t>2000</w:t>
      </w:r>
      <w:r>
        <w:rPr>
          <w:sz w:val="24"/>
          <w:szCs w:val="21"/>
        </w:rPr>
        <w:t>年末水位累计下降</w:t>
      </w:r>
      <w:r>
        <w:rPr>
          <w:sz w:val="24"/>
          <w:szCs w:val="21"/>
        </w:rPr>
        <w:t>2.86m</w:t>
      </w:r>
      <w:r>
        <w:rPr>
          <w:sz w:val="24"/>
          <w:szCs w:val="21"/>
        </w:rPr>
        <w:t>，年平均</w:t>
      </w:r>
      <w:r>
        <w:rPr>
          <w:sz w:val="24"/>
          <w:szCs w:val="21"/>
        </w:rPr>
        <w:t>0.57m</w:t>
      </w:r>
      <w:r>
        <w:rPr>
          <w:sz w:val="24"/>
          <w:szCs w:val="21"/>
        </w:rPr>
        <w:t>；</w:t>
      </w:r>
      <w:r>
        <w:rPr>
          <w:sz w:val="24"/>
          <w:szCs w:val="21"/>
        </w:rPr>
        <w:t>2000</w:t>
      </w:r>
      <w:r>
        <w:rPr>
          <w:sz w:val="24"/>
          <w:szCs w:val="21"/>
        </w:rPr>
        <w:t>年末至</w:t>
      </w:r>
      <w:r>
        <w:rPr>
          <w:sz w:val="24"/>
          <w:szCs w:val="21"/>
        </w:rPr>
        <w:t>2005</w:t>
      </w:r>
      <w:r>
        <w:rPr>
          <w:sz w:val="24"/>
          <w:szCs w:val="21"/>
        </w:rPr>
        <w:t>年末水位下降</w:t>
      </w:r>
      <w:r>
        <w:rPr>
          <w:sz w:val="24"/>
          <w:szCs w:val="21"/>
        </w:rPr>
        <w:t>0.08m</w:t>
      </w:r>
      <w:r>
        <w:rPr>
          <w:sz w:val="24"/>
          <w:szCs w:val="21"/>
        </w:rPr>
        <w:t>，年均</w:t>
      </w:r>
      <w:r>
        <w:rPr>
          <w:sz w:val="24"/>
          <w:szCs w:val="21"/>
        </w:rPr>
        <w:t>0.02m</w:t>
      </w:r>
      <w:r>
        <w:rPr>
          <w:sz w:val="24"/>
          <w:szCs w:val="21"/>
        </w:rPr>
        <w:t>，</w:t>
      </w:r>
      <w:r>
        <w:rPr>
          <w:sz w:val="24"/>
          <w:szCs w:val="21"/>
        </w:rPr>
        <w:t>200</w:t>
      </w:r>
      <w:r>
        <w:rPr>
          <w:rFonts w:hint="eastAsia"/>
          <w:sz w:val="24"/>
          <w:szCs w:val="21"/>
        </w:rPr>
        <w:t>5</w:t>
      </w:r>
      <w:r>
        <w:rPr>
          <w:sz w:val="24"/>
          <w:szCs w:val="21"/>
        </w:rPr>
        <w:t>年末至</w:t>
      </w:r>
      <w:r>
        <w:rPr>
          <w:sz w:val="24"/>
          <w:szCs w:val="21"/>
        </w:rPr>
        <w:t>20</w:t>
      </w:r>
      <w:r>
        <w:rPr>
          <w:rFonts w:hint="eastAsia"/>
          <w:sz w:val="24"/>
          <w:szCs w:val="21"/>
        </w:rPr>
        <w:t>10</w:t>
      </w:r>
      <w:r>
        <w:rPr>
          <w:sz w:val="24"/>
          <w:szCs w:val="21"/>
        </w:rPr>
        <w:t>年末水位下降</w:t>
      </w:r>
      <w:r>
        <w:rPr>
          <w:rFonts w:hint="eastAsia"/>
          <w:sz w:val="24"/>
          <w:szCs w:val="21"/>
        </w:rPr>
        <w:t>0.58</w:t>
      </w:r>
      <w:r>
        <w:rPr>
          <w:sz w:val="24"/>
          <w:szCs w:val="21"/>
        </w:rPr>
        <w:t>m</w:t>
      </w:r>
      <w:r>
        <w:rPr>
          <w:sz w:val="24"/>
          <w:szCs w:val="21"/>
        </w:rPr>
        <w:t>，年均</w:t>
      </w:r>
      <w:r>
        <w:rPr>
          <w:sz w:val="24"/>
          <w:szCs w:val="21"/>
        </w:rPr>
        <w:t>0.</w:t>
      </w:r>
      <w:r>
        <w:rPr>
          <w:rFonts w:hint="eastAsia"/>
          <w:sz w:val="24"/>
          <w:szCs w:val="21"/>
        </w:rPr>
        <w:t>1</w:t>
      </w:r>
      <w:r>
        <w:rPr>
          <w:sz w:val="24"/>
          <w:szCs w:val="21"/>
        </w:rPr>
        <w:t>2m</w:t>
      </w:r>
      <w:r>
        <w:rPr>
          <w:sz w:val="24"/>
          <w:szCs w:val="21"/>
        </w:rPr>
        <w:t>，</w:t>
      </w:r>
      <w:r>
        <w:rPr>
          <w:sz w:val="24"/>
          <w:szCs w:val="21"/>
        </w:rPr>
        <w:t>20</w:t>
      </w:r>
      <w:r>
        <w:rPr>
          <w:rFonts w:hint="eastAsia"/>
          <w:sz w:val="24"/>
          <w:szCs w:val="21"/>
        </w:rPr>
        <w:t>10</w:t>
      </w:r>
      <w:r>
        <w:rPr>
          <w:sz w:val="24"/>
          <w:szCs w:val="21"/>
        </w:rPr>
        <w:t>年末至</w:t>
      </w:r>
      <w:r>
        <w:rPr>
          <w:sz w:val="24"/>
          <w:szCs w:val="21"/>
        </w:rPr>
        <w:t>20</w:t>
      </w:r>
      <w:r>
        <w:rPr>
          <w:rFonts w:hint="eastAsia"/>
          <w:sz w:val="24"/>
          <w:szCs w:val="21"/>
        </w:rPr>
        <w:t>15</w:t>
      </w:r>
      <w:r>
        <w:rPr>
          <w:sz w:val="24"/>
          <w:szCs w:val="21"/>
        </w:rPr>
        <w:t>年末水位</w:t>
      </w:r>
      <w:r>
        <w:rPr>
          <w:rFonts w:hint="eastAsia"/>
          <w:sz w:val="24"/>
          <w:szCs w:val="21"/>
        </w:rPr>
        <w:t>下降</w:t>
      </w:r>
      <w:r>
        <w:rPr>
          <w:rFonts w:hint="eastAsia"/>
          <w:sz w:val="24"/>
          <w:szCs w:val="21"/>
        </w:rPr>
        <w:t>0.46</w:t>
      </w:r>
      <w:r>
        <w:rPr>
          <w:sz w:val="24"/>
          <w:szCs w:val="21"/>
        </w:rPr>
        <w:t>m</w:t>
      </w:r>
      <w:r>
        <w:rPr>
          <w:sz w:val="24"/>
          <w:szCs w:val="21"/>
        </w:rPr>
        <w:t>，年均</w:t>
      </w:r>
      <w:r>
        <w:rPr>
          <w:sz w:val="24"/>
          <w:szCs w:val="21"/>
        </w:rPr>
        <w:t>0.</w:t>
      </w:r>
      <w:r>
        <w:rPr>
          <w:rFonts w:hint="eastAsia"/>
          <w:sz w:val="24"/>
          <w:szCs w:val="21"/>
        </w:rPr>
        <w:t>05</w:t>
      </w:r>
      <w:r>
        <w:rPr>
          <w:sz w:val="24"/>
          <w:szCs w:val="21"/>
        </w:rPr>
        <w:t>m</w:t>
      </w:r>
      <w:r>
        <w:rPr>
          <w:sz w:val="24"/>
          <w:szCs w:val="21"/>
        </w:rPr>
        <w:t>。</w:t>
      </w:r>
    </w:p>
    <w:p w:rsidR="00DB7CC8" w:rsidRDefault="002B5250">
      <w:pPr>
        <w:spacing w:line="440" w:lineRule="atLeast"/>
        <w:ind w:firstLine="480"/>
        <w:rPr>
          <w:sz w:val="24"/>
        </w:rPr>
      </w:pPr>
      <w:r>
        <w:rPr>
          <w:sz w:val="24"/>
        </w:rPr>
        <w:t>在人口较为集中，经济较发达的水源地集中开采区，由于生产生活的需要，开采量相对增大，且多年水位变化略有下降，如堡子店周围情况就是如此。见</w:t>
      </w:r>
      <w:r>
        <w:rPr>
          <w:sz w:val="24"/>
        </w:rPr>
        <w:t>图</w:t>
      </w:r>
      <w:r>
        <w:rPr>
          <w:sz w:val="24"/>
        </w:rPr>
        <w:t>4.1-</w:t>
      </w:r>
      <w:r>
        <w:rPr>
          <w:rFonts w:hint="eastAsia"/>
          <w:sz w:val="24"/>
        </w:rPr>
        <w:t>8</w:t>
      </w:r>
      <w:r>
        <w:rPr>
          <w:sz w:val="24"/>
        </w:rPr>
        <w:t>。</w:t>
      </w:r>
    </w:p>
    <w:p w:rsidR="00DB7CC8" w:rsidRDefault="002B5250">
      <w:pPr>
        <w:ind w:firstLineChars="0" w:firstLine="0"/>
      </w:pPr>
      <w:r>
        <w:rPr>
          <w:noProof/>
        </w:rPr>
        <w:drawing>
          <wp:inline distT="0" distB="0" distL="0" distR="0">
            <wp:extent cx="5419725" cy="178117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56" cstate="print">
                      <a:extLst>
                        <a:ext uri="{28A0092B-C50C-407E-A947-70E740481C1C}">
                          <a14:useLocalDpi xmlns:a14="http://schemas.microsoft.com/office/drawing/2010/main" val="0"/>
                        </a:ext>
                      </a:extLst>
                    </a:blip>
                    <a:srcRect r="2774"/>
                    <a:stretch>
                      <a:fillRect/>
                    </a:stretch>
                  </pic:blipFill>
                  <pic:spPr>
                    <a:xfrm>
                      <a:off x="0" y="0"/>
                      <a:ext cx="5419725" cy="1781175"/>
                    </a:xfrm>
                    <a:prstGeom prst="rect">
                      <a:avLst/>
                    </a:prstGeom>
                    <a:noFill/>
                    <a:ln>
                      <a:noFill/>
                    </a:ln>
                  </pic:spPr>
                </pic:pic>
              </a:graphicData>
            </a:graphic>
          </wp:inline>
        </w:drawing>
      </w:r>
    </w:p>
    <w:p w:rsidR="00DB7CC8" w:rsidRDefault="002B5250">
      <w:pPr>
        <w:ind w:firstLine="420"/>
        <w:jc w:val="center"/>
        <w:rPr>
          <w:rFonts w:eastAsia="黑体"/>
          <w:kern w:val="2"/>
          <w:sz w:val="21"/>
          <w:szCs w:val="21"/>
        </w:rPr>
      </w:pPr>
      <w:r>
        <w:rPr>
          <w:rFonts w:eastAsia="黑体"/>
          <w:kern w:val="2"/>
          <w:sz w:val="21"/>
          <w:szCs w:val="21"/>
        </w:rPr>
        <w:t>图</w:t>
      </w:r>
      <w:r>
        <w:rPr>
          <w:rFonts w:eastAsia="黑体"/>
          <w:kern w:val="2"/>
          <w:sz w:val="21"/>
          <w:szCs w:val="21"/>
        </w:rPr>
        <w:t>4.1-</w:t>
      </w:r>
      <w:r>
        <w:rPr>
          <w:rFonts w:eastAsia="黑体" w:hint="eastAsia"/>
          <w:kern w:val="2"/>
          <w:sz w:val="21"/>
          <w:szCs w:val="21"/>
        </w:rPr>
        <w:t xml:space="preserve">8   </w:t>
      </w:r>
      <w:r>
        <w:rPr>
          <w:rFonts w:eastAsia="黑体"/>
          <w:kern w:val="2"/>
          <w:sz w:val="21"/>
          <w:szCs w:val="21"/>
        </w:rPr>
        <w:t>堡子店地下水动态曲线</w:t>
      </w:r>
    </w:p>
    <w:p w:rsidR="00DB7CC8" w:rsidRDefault="002B5250">
      <w:pPr>
        <w:ind w:firstLine="480"/>
        <w:rPr>
          <w:sz w:val="24"/>
        </w:rPr>
      </w:pPr>
      <w:r>
        <w:rPr>
          <w:sz w:val="24"/>
        </w:rPr>
        <w:t>遵化市</w:t>
      </w:r>
      <w:r>
        <w:rPr>
          <w:sz w:val="24"/>
        </w:rPr>
        <w:t>20</w:t>
      </w:r>
      <w:r>
        <w:rPr>
          <w:rFonts w:hint="eastAsia"/>
          <w:sz w:val="24"/>
        </w:rPr>
        <w:t>11</w:t>
      </w:r>
      <w:r>
        <w:rPr>
          <w:sz w:val="24"/>
        </w:rPr>
        <w:t>-20</w:t>
      </w:r>
      <w:r>
        <w:rPr>
          <w:rFonts w:hint="eastAsia"/>
          <w:sz w:val="24"/>
        </w:rPr>
        <w:t>15</w:t>
      </w:r>
      <w:r>
        <w:rPr>
          <w:sz w:val="24"/>
        </w:rPr>
        <w:t>年年平均开采地下水</w:t>
      </w:r>
      <w:r>
        <w:rPr>
          <w:rFonts w:hint="eastAsia"/>
          <w:sz w:val="24"/>
        </w:rPr>
        <w:t>17729</w:t>
      </w:r>
      <w:r>
        <w:rPr>
          <w:sz w:val="24"/>
        </w:rPr>
        <w:t>×10</w:t>
      </w:r>
      <w:r>
        <w:rPr>
          <w:sz w:val="24"/>
          <w:vertAlign w:val="superscript"/>
        </w:rPr>
        <w:t>4</w:t>
      </w:r>
      <w:r>
        <w:rPr>
          <w:sz w:val="24"/>
        </w:rPr>
        <w:t>m</w:t>
      </w:r>
      <w:r>
        <w:rPr>
          <w:sz w:val="24"/>
          <w:vertAlign w:val="superscript"/>
        </w:rPr>
        <w:t>3</w:t>
      </w:r>
      <w:r>
        <w:rPr>
          <w:sz w:val="24"/>
        </w:rPr>
        <w:t>，</w:t>
      </w:r>
      <w:r>
        <w:rPr>
          <w:rFonts w:hint="eastAsia"/>
          <w:sz w:val="24"/>
        </w:rPr>
        <w:t>比</w:t>
      </w:r>
      <w:r>
        <w:rPr>
          <w:rFonts w:hint="eastAsia"/>
          <w:sz w:val="24"/>
        </w:rPr>
        <w:t>2006-2010</w:t>
      </w:r>
      <w:r>
        <w:rPr>
          <w:rFonts w:hint="eastAsia"/>
          <w:sz w:val="24"/>
        </w:rPr>
        <w:t>年均减少开采</w:t>
      </w:r>
      <w:r>
        <w:rPr>
          <w:rFonts w:hint="eastAsia"/>
          <w:sz w:val="24"/>
        </w:rPr>
        <w:t>2234</w:t>
      </w:r>
      <w:r>
        <w:rPr>
          <w:sz w:val="24"/>
        </w:rPr>
        <w:t>×10</w:t>
      </w:r>
      <w:r>
        <w:rPr>
          <w:sz w:val="24"/>
          <w:vertAlign w:val="superscript"/>
        </w:rPr>
        <w:t>4</w:t>
      </w:r>
      <w:r>
        <w:rPr>
          <w:sz w:val="24"/>
        </w:rPr>
        <w:t>m</w:t>
      </w:r>
      <w:r>
        <w:rPr>
          <w:sz w:val="24"/>
          <w:vertAlign w:val="superscript"/>
        </w:rPr>
        <w:t>3</w:t>
      </w:r>
      <w:r>
        <w:rPr>
          <w:rFonts w:hint="eastAsia"/>
          <w:sz w:val="24"/>
        </w:rPr>
        <w:t>，</w:t>
      </w:r>
      <w:r>
        <w:rPr>
          <w:sz w:val="24"/>
        </w:rPr>
        <w:t>其中盆地区</w:t>
      </w:r>
      <w:r>
        <w:rPr>
          <w:rFonts w:hint="eastAsia"/>
          <w:sz w:val="24"/>
        </w:rPr>
        <w:t>15177</w:t>
      </w:r>
      <w:r>
        <w:rPr>
          <w:sz w:val="24"/>
        </w:rPr>
        <w:t>×10</w:t>
      </w:r>
      <w:r>
        <w:rPr>
          <w:sz w:val="24"/>
          <w:vertAlign w:val="superscript"/>
        </w:rPr>
        <w:t>4</w:t>
      </w:r>
      <w:r>
        <w:rPr>
          <w:sz w:val="24"/>
        </w:rPr>
        <w:t>m</w:t>
      </w:r>
      <w:r>
        <w:rPr>
          <w:sz w:val="24"/>
          <w:vertAlign w:val="superscript"/>
        </w:rPr>
        <w:t>3</w:t>
      </w:r>
      <w:r>
        <w:rPr>
          <w:sz w:val="24"/>
        </w:rPr>
        <w:t>，占遵化市开采量的</w:t>
      </w:r>
      <w:r>
        <w:rPr>
          <w:rFonts w:hint="eastAsia"/>
          <w:sz w:val="24"/>
        </w:rPr>
        <w:t>85.61</w:t>
      </w:r>
      <w:r>
        <w:rPr>
          <w:sz w:val="24"/>
        </w:rPr>
        <w:t>%</w:t>
      </w:r>
      <w:r>
        <w:rPr>
          <w:sz w:val="24"/>
        </w:rPr>
        <w:t>。在盆地区，城镇生活及工业开采地下水量</w:t>
      </w:r>
      <w:r>
        <w:rPr>
          <w:rFonts w:hint="eastAsia"/>
          <w:sz w:val="24"/>
        </w:rPr>
        <w:t>880</w:t>
      </w:r>
      <w:r>
        <w:rPr>
          <w:sz w:val="24"/>
        </w:rPr>
        <w:t>×10</w:t>
      </w:r>
      <w:r>
        <w:rPr>
          <w:sz w:val="24"/>
          <w:vertAlign w:val="superscript"/>
        </w:rPr>
        <w:t>4</w:t>
      </w:r>
      <w:r>
        <w:rPr>
          <w:sz w:val="24"/>
        </w:rPr>
        <w:t>m</w:t>
      </w:r>
      <w:r>
        <w:rPr>
          <w:sz w:val="24"/>
          <w:vertAlign w:val="superscript"/>
        </w:rPr>
        <w:t>3</w:t>
      </w:r>
      <w:r>
        <w:rPr>
          <w:sz w:val="24"/>
        </w:rPr>
        <w:t>及</w:t>
      </w:r>
      <w:r>
        <w:rPr>
          <w:rFonts w:hint="eastAsia"/>
          <w:sz w:val="24"/>
        </w:rPr>
        <w:t>3178</w:t>
      </w:r>
      <w:r>
        <w:rPr>
          <w:sz w:val="24"/>
        </w:rPr>
        <w:t>×10</w:t>
      </w:r>
      <w:r>
        <w:rPr>
          <w:sz w:val="24"/>
          <w:vertAlign w:val="superscript"/>
        </w:rPr>
        <w:t>4</w:t>
      </w:r>
      <w:r>
        <w:rPr>
          <w:sz w:val="24"/>
        </w:rPr>
        <w:t>m</w:t>
      </w:r>
      <w:r>
        <w:rPr>
          <w:sz w:val="24"/>
          <w:vertAlign w:val="superscript"/>
        </w:rPr>
        <w:t>3</w:t>
      </w:r>
      <w:r>
        <w:rPr>
          <w:sz w:val="24"/>
        </w:rPr>
        <w:t>，分别占盆地区开采量的</w:t>
      </w:r>
      <w:r>
        <w:rPr>
          <w:rFonts w:hint="eastAsia"/>
          <w:sz w:val="24"/>
        </w:rPr>
        <w:t>5.8</w:t>
      </w:r>
      <w:r>
        <w:rPr>
          <w:sz w:val="24"/>
        </w:rPr>
        <w:t>%</w:t>
      </w:r>
      <w:r>
        <w:rPr>
          <w:sz w:val="24"/>
        </w:rPr>
        <w:t>及</w:t>
      </w:r>
      <w:r>
        <w:rPr>
          <w:rFonts w:hint="eastAsia"/>
          <w:sz w:val="24"/>
        </w:rPr>
        <w:t>20.9</w:t>
      </w:r>
      <w:r>
        <w:rPr>
          <w:sz w:val="24"/>
        </w:rPr>
        <w:t>%</w:t>
      </w:r>
      <w:r>
        <w:rPr>
          <w:sz w:val="24"/>
        </w:rPr>
        <w:t>，农田灌溉和农村生活开采地下水量分别为</w:t>
      </w:r>
      <w:r>
        <w:rPr>
          <w:rFonts w:hint="eastAsia"/>
          <w:sz w:val="24"/>
        </w:rPr>
        <w:t>10150</w:t>
      </w:r>
      <w:r>
        <w:rPr>
          <w:sz w:val="24"/>
        </w:rPr>
        <w:t>×10</w:t>
      </w:r>
      <w:r>
        <w:rPr>
          <w:sz w:val="24"/>
          <w:vertAlign w:val="superscript"/>
        </w:rPr>
        <w:t>4</w:t>
      </w:r>
      <w:r>
        <w:rPr>
          <w:sz w:val="24"/>
        </w:rPr>
        <w:t>m</w:t>
      </w:r>
      <w:r>
        <w:rPr>
          <w:sz w:val="24"/>
          <w:vertAlign w:val="superscript"/>
        </w:rPr>
        <w:t>3</w:t>
      </w:r>
      <w:r>
        <w:rPr>
          <w:sz w:val="24"/>
        </w:rPr>
        <w:t>及</w:t>
      </w:r>
      <w:r>
        <w:rPr>
          <w:rFonts w:hint="eastAsia"/>
          <w:sz w:val="24"/>
        </w:rPr>
        <w:t>969</w:t>
      </w:r>
      <w:r>
        <w:rPr>
          <w:sz w:val="24"/>
        </w:rPr>
        <w:t>×10</w:t>
      </w:r>
      <w:r>
        <w:rPr>
          <w:sz w:val="24"/>
          <w:vertAlign w:val="superscript"/>
        </w:rPr>
        <w:t>4</w:t>
      </w:r>
      <w:r>
        <w:rPr>
          <w:sz w:val="24"/>
        </w:rPr>
        <w:t>m</w:t>
      </w:r>
      <w:r>
        <w:rPr>
          <w:sz w:val="24"/>
          <w:vertAlign w:val="superscript"/>
        </w:rPr>
        <w:t>3</w:t>
      </w:r>
      <w:r>
        <w:rPr>
          <w:sz w:val="24"/>
        </w:rPr>
        <w:t>，分别占盆地区开采量的</w:t>
      </w:r>
      <w:r>
        <w:rPr>
          <w:rFonts w:hint="eastAsia"/>
          <w:sz w:val="24"/>
        </w:rPr>
        <w:t>66.9</w:t>
      </w:r>
      <w:r>
        <w:rPr>
          <w:sz w:val="24"/>
        </w:rPr>
        <w:t>%</w:t>
      </w:r>
      <w:r>
        <w:rPr>
          <w:sz w:val="24"/>
        </w:rPr>
        <w:t>及</w:t>
      </w:r>
      <w:r>
        <w:rPr>
          <w:rFonts w:hint="eastAsia"/>
          <w:sz w:val="24"/>
        </w:rPr>
        <w:t>6.4</w:t>
      </w:r>
      <w:r>
        <w:rPr>
          <w:sz w:val="24"/>
        </w:rPr>
        <w:t>%</w:t>
      </w:r>
      <w:r>
        <w:rPr>
          <w:rFonts w:hint="eastAsia"/>
          <w:sz w:val="24"/>
        </w:rPr>
        <w:t>。</w:t>
      </w:r>
    </w:p>
    <w:p w:rsidR="00DB7CC8" w:rsidRDefault="002B5250">
      <w:pPr>
        <w:ind w:firstLine="480"/>
        <w:rPr>
          <w:sz w:val="24"/>
        </w:rPr>
      </w:pPr>
      <w:r>
        <w:rPr>
          <w:sz w:val="24"/>
        </w:rPr>
        <w:t>遵化盆地区</w:t>
      </w:r>
      <w:r>
        <w:rPr>
          <w:sz w:val="24"/>
        </w:rPr>
        <w:t>20</w:t>
      </w:r>
      <w:r>
        <w:rPr>
          <w:rFonts w:hint="eastAsia"/>
          <w:sz w:val="24"/>
        </w:rPr>
        <w:t>11</w:t>
      </w:r>
      <w:r>
        <w:rPr>
          <w:sz w:val="24"/>
        </w:rPr>
        <w:t>-20</w:t>
      </w:r>
      <w:r>
        <w:rPr>
          <w:rFonts w:hint="eastAsia"/>
          <w:sz w:val="24"/>
        </w:rPr>
        <w:t>15</w:t>
      </w:r>
      <w:r>
        <w:rPr>
          <w:sz w:val="24"/>
        </w:rPr>
        <w:t>年地下水平均年开采量</w:t>
      </w:r>
      <w:r>
        <w:rPr>
          <w:rFonts w:hint="eastAsia"/>
          <w:sz w:val="24"/>
        </w:rPr>
        <w:t>15177</w:t>
      </w:r>
      <w:r>
        <w:rPr>
          <w:sz w:val="24"/>
        </w:rPr>
        <w:t>×10</w:t>
      </w:r>
      <w:r>
        <w:rPr>
          <w:sz w:val="24"/>
          <w:vertAlign w:val="superscript"/>
        </w:rPr>
        <w:t>4</w:t>
      </w:r>
      <w:r>
        <w:rPr>
          <w:sz w:val="24"/>
        </w:rPr>
        <w:t>m</w:t>
      </w:r>
      <w:r>
        <w:rPr>
          <w:sz w:val="24"/>
          <w:vertAlign w:val="superscript"/>
        </w:rPr>
        <w:t>3</w:t>
      </w:r>
      <w:r>
        <w:rPr>
          <w:sz w:val="24"/>
        </w:rPr>
        <w:t>，与《唐山市水</w:t>
      </w:r>
      <w:r>
        <w:rPr>
          <w:sz w:val="24"/>
        </w:rPr>
        <w:lastRenderedPageBreak/>
        <w:t>资源评价》确定的可采资源量</w:t>
      </w:r>
      <w:r>
        <w:rPr>
          <w:sz w:val="24"/>
        </w:rPr>
        <w:t>13661×10</w:t>
      </w:r>
      <w:r>
        <w:rPr>
          <w:sz w:val="24"/>
          <w:vertAlign w:val="superscript"/>
        </w:rPr>
        <w:t>4</w:t>
      </w:r>
      <w:r>
        <w:rPr>
          <w:sz w:val="24"/>
        </w:rPr>
        <w:t>m</w:t>
      </w:r>
      <w:r>
        <w:rPr>
          <w:sz w:val="24"/>
          <w:vertAlign w:val="superscript"/>
        </w:rPr>
        <w:t>3</w:t>
      </w:r>
      <w:r>
        <w:rPr>
          <w:sz w:val="24"/>
        </w:rPr>
        <w:t>，</w:t>
      </w:r>
      <w:r>
        <w:rPr>
          <w:rFonts w:hint="eastAsia"/>
          <w:sz w:val="24"/>
        </w:rPr>
        <w:t>地下水超采</w:t>
      </w:r>
      <w:r>
        <w:rPr>
          <w:rFonts w:hint="eastAsia"/>
          <w:sz w:val="24"/>
        </w:rPr>
        <w:t>1516</w:t>
      </w:r>
      <w:r>
        <w:rPr>
          <w:sz w:val="24"/>
        </w:rPr>
        <w:t>×10</w:t>
      </w:r>
      <w:r>
        <w:rPr>
          <w:sz w:val="24"/>
          <w:vertAlign w:val="superscript"/>
        </w:rPr>
        <w:t>4</w:t>
      </w:r>
      <w:r>
        <w:rPr>
          <w:sz w:val="24"/>
        </w:rPr>
        <w:t>m</w:t>
      </w:r>
      <w:r>
        <w:rPr>
          <w:sz w:val="24"/>
          <w:vertAlign w:val="superscript"/>
        </w:rPr>
        <w:t>3</w:t>
      </w:r>
      <w:r>
        <w:rPr>
          <w:sz w:val="24"/>
        </w:rPr>
        <w:t>，开采系数为</w:t>
      </w:r>
      <w:r>
        <w:rPr>
          <w:rFonts w:hint="eastAsia"/>
          <w:sz w:val="24"/>
        </w:rPr>
        <w:t>1.11</w:t>
      </w:r>
      <w:r>
        <w:rPr>
          <w:sz w:val="24"/>
        </w:rPr>
        <w:t>。</w:t>
      </w:r>
    </w:p>
    <w:p w:rsidR="00DB7CC8" w:rsidRDefault="002B5250">
      <w:pPr>
        <w:ind w:firstLine="480"/>
        <w:rPr>
          <w:sz w:val="24"/>
        </w:rPr>
      </w:pPr>
      <w:r>
        <w:rPr>
          <w:sz w:val="24"/>
        </w:rPr>
        <w:t>20</w:t>
      </w:r>
      <w:r>
        <w:rPr>
          <w:rFonts w:hint="eastAsia"/>
          <w:sz w:val="24"/>
        </w:rPr>
        <w:t>15</w:t>
      </w:r>
      <w:r>
        <w:rPr>
          <w:sz w:val="24"/>
        </w:rPr>
        <w:t>年遵化盆地共开采地下水</w:t>
      </w:r>
      <w:r>
        <w:rPr>
          <w:rFonts w:hint="eastAsia"/>
          <w:sz w:val="24"/>
        </w:rPr>
        <w:t>14735</w:t>
      </w:r>
      <w:r>
        <w:rPr>
          <w:sz w:val="24"/>
        </w:rPr>
        <w:t>×10</w:t>
      </w:r>
      <w:r>
        <w:rPr>
          <w:sz w:val="24"/>
          <w:vertAlign w:val="superscript"/>
        </w:rPr>
        <w:t>4</w:t>
      </w:r>
      <w:r>
        <w:rPr>
          <w:sz w:val="24"/>
        </w:rPr>
        <w:t>m</w:t>
      </w:r>
      <w:r>
        <w:rPr>
          <w:sz w:val="24"/>
          <w:vertAlign w:val="superscript"/>
        </w:rPr>
        <w:t>3</w:t>
      </w:r>
      <w:r>
        <w:rPr>
          <w:sz w:val="24"/>
        </w:rPr>
        <w:t>，其中城镇生活及工业用水分别为</w:t>
      </w:r>
      <w:r>
        <w:rPr>
          <w:rFonts w:hint="eastAsia"/>
          <w:sz w:val="24"/>
        </w:rPr>
        <w:t>1018</w:t>
      </w:r>
      <w:r>
        <w:rPr>
          <w:sz w:val="24"/>
        </w:rPr>
        <w:t>×10</w:t>
      </w:r>
      <w:r>
        <w:rPr>
          <w:sz w:val="24"/>
          <w:vertAlign w:val="superscript"/>
        </w:rPr>
        <w:t>4</w:t>
      </w:r>
      <w:r>
        <w:rPr>
          <w:sz w:val="24"/>
        </w:rPr>
        <w:t>m</w:t>
      </w:r>
      <w:r>
        <w:rPr>
          <w:sz w:val="24"/>
          <w:vertAlign w:val="superscript"/>
        </w:rPr>
        <w:t>3</w:t>
      </w:r>
      <w:r>
        <w:rPr>
          <w:sz w:val="24"/>
        </w:rPr>
        <w:t>及</w:t>
      </w:r>
      <w:r>
        <w:rPr>
          <w:rFonts w:hint="eastAsia"/>
          <w:sz w:val="24"/>
        </w:rPr>
        <w:t>2930</w:t>
      </w:r>
      <w:r>
        <w:rPr>
          <w:sz w:val="24"/>
        </w:rPr>
        <w:t>×10</w:t>
      </w:r>
      <w:r>
        <w:rPr>
          <w:sz w:val="24"/>
          <w:vertAlign w:val="superscript"/>
        </w:rPr>
        <w:t>4</w:t>
      </w:r>
      <w:r>
        <w:rPr>
          <w:sz w:val="24"/>
        </w:rPr>
        <w:t>m</w:t>
      </w:r>
      <w:r>
        <w:rPr>
          <w:sz w:val="24"/>
          <w:vertAlign w:val="superscript"/>
        </w:rPr>
        <w:t>3</w:t>
      </w:r>
      <w:r>
        <w:rPr>
          <w:sz w:val="24"/>
        </w:rPr>
        <w:t>，农田灌溉及农村生活用水分别为</w:t>
      </w:r>
      <w:r>
        <w:rPr>
          <w:rFonts w:hint="eastAsia"/>
          <w:sz w:val="24"/>
        </w:rPr>
        <w:t>9847</w:t>
      </w:r>
      <w:r>
        <w:rPr>
          <w:sz w:val="24"/>
        </w:rPr>
        <w:t>×10</w:t>
      </w:r>
      <w:r>
        <w:rPr>
          <w:sz w:val="24"/>
          <w:vertAlign w:val="superscript"/>
        </w:rPr>
        <w:t>4</w:t>
      </w:r>
      <w:r>
        <w:rPr>
          <w:sz w:val="24"/>
        </w:rPr>
        <w:t>m</w:t>
      </w:r>
      <w:r>
        <w:rPr>
          <w:sz w:val="24"/>
          <w:vertAlign w:val="superscript"/>
        </w:rPr>
        <w:t>3</w:t>
      </w:r>
      <w:r>
        <w:rPr>
          <w:sz w:val="24"/>
        </w:rPr>
        <w:t>、</w:t>
      </w:r>
      <w:r>
        <w:rPr>
          <w:rFonts w:hint="eastAsia"/>
          <w:sz w:val="24"/>
        </w:rPr>
        <w:t>940</w:t>
      </w:r>
      <w:r>
        <w:rPr>
          <w:sz w:val="24"/>
        </w:rPr>
        <w:t>×10</w:t>
      </w:r>
      <w:r>
        <w:rPr>
          <w:sz w:val="24"/>
          <w:vertAlign w:val="superscript"/>
        </w:rPr>
        <w:t>4</w:t>
      </w:r>
      <w:r>
        <w:rPr>
          <w:sz w:val="24"/>
        </w:rPr>
        <w:t>m</w:t>
      </w:r>
      <w:r>
        <w:rPr>
          <w:sz w:val="24"/>
          <w:vertAlign w:val="superscript"/>
        </w:rPr>
        <w:t>3</w:t>
      </w:r>
      <w:r>
        <w:rPr>
          <w:sz w:val="24"/>
        </w:rPr>
        <w:t>。</w:t>
      </w:r>
      <w:r>
        <w:rPr>
          <w:sz w:val="24"/>
        </w:rPr>
        <w:t>20</w:t>
      </w:r>
      <w:r>
        <w:rPr>
          <w:rFonts w:hint="eastAsia"/>
          <w:sz w:val="24"/>
        </w:rPr>
        <w:t>15</w:t>
      </w:r>
      <w:r>
        <w:rPr>
          <w:sz w:val="24"/>
        </w:rPr>
        <w:t>年与</w:t>
      </w:r>
      <w:r>
        <w:rPr>
          <w:sz w:val="24"/>
        </w:rPr>
        <w:t>20</w:t>
      </w:r>
      <w:r>
        <w:rPr>
          <w:rFonts w:hint="eastAsia"/>
          <w:sz w:val="24"/>
        </w:rPr>
        <w:t>11</w:t>
      </w:r>
      <w:r>
        <w:rPr>
          <w:sz w:val="24"/>
        </w:rPr>
        <w:t>年对比，地下水开采量</w:t>
      </w:r>
      <w:r>
        <w:rPr>
          <w:rFonts w:hint="eastAsia"/>
          <w:sz w:val="24"/>
        </w:rPr>
        <w:t>减少</w:t>
      </w:r>
      <w:r>
        <w:rPr>
          <w:rFonts w:hint="eastAsia"/>
          <w:sz w:val="24"/>
        </w:rPr>
        <w:t>1398</w:t>
      </w:r>
      <w:r>
        <w:rPr>
          <w:sz w:val="24"/>
        </w:rPr>
        <w:t>×10</w:t>
      </w:r>
      <w:r>
        <w:rPr>
          <w:sz w:val="24"/>
          <w:vertAlign w:val="superscript"/>
        </w:rPr>
        <w:t>4</w:t>
      </w:r>
      <w:r>
        <w:rPr>
          <w:sz w:val="24"/>
        </w:rPr>
        <w:t>m</w:t>
      </w:r>
      <w:r>
        <w:rPr>
          <w:sz w:val="24"/>
          <w:vertAlign w:val="superscript"/>
        </w:rPr>
        <w:t>3</w:t>
      </w:r>
      <w:r>
        <w:rPr>
          <w:sz w:val="24"/>
        </w:rPr>
        <w:t>，</w:t>
      </w:r>
      <w:r>
        <w:rPr>
          <w:rFonts w:hint="eastAsia"/>
          <w:sz w:val="24"/>
        </w:rPr>
        <w:t>减少率</w:t>
      </w:r>
      <w:r>
        <w:rPr>
          <w:rFonts w:hint="eastAsia"/>
          <w:sz w:val="24"/>
        </w:rPr>
        <w:t>9.5</w:t>
      </w:r>
      <w:r>
        <w:rPr>
          <w:sz w:val="24"/>
        </w:rPr>
        <w:t>%</w:t>
      </w:r>
      <w:r>
        <w:rPr>
          <w:sz w:val="24"/>
        </w:rPr>
        <w:t>。其中农田灌溉、工业用水</w:t>
      </w:r>
      <w:r>
        <w:rPr>
          <w:rFonts w:hint="eastAsia"/>
          <w:sz w:val="24"/>
        </w:rPr>
        <w:t>、</w:t>
      </w:r>
      <w:r>
        <w:rPr>
          <w:sz w:val="24"/>
        </w:rPr>
        <w:t>农村生活分别</w:t>
      </w:r>
      <w:r>
        <w:rPr>
          <w:rFonts w:hint="eastAsia"/>
          <w:sz w:val="24"/>
        </w:rPr>
        <w:t>减少</w:t>
      </w:r>
      <w:r>
        <w:rPr>
          <w:rFonts w:hint="eastAsia"/>
          <w:sz w:val="24"/>
        </w:rPr>
        <w:t>1238</w:t>
      </w:r>
      <w:r>
        <w:rPr>
          <w:sz w:val="24"/>
        </w:rPr>
        <w:t>×10</w:t>
      </w:r>
      <w:r>
        <w:rPr>
          <w:sz w:val="24"/>
          <w:vertAlign w:val="superscript"/>
        </w:rPr>
        <w:t>4</w:t>
      </w:r>
      <w:r>
        <w:rPr>
          <w:sz w:val="24"/>
        </w:rPr>
        <w:t>m</w:t>
      </w:r>
      <w:r>
        <w:rPr>
          <w:sz w:val="24"/>
          <w:vertAlign w:val="superscript"/>
        </w:rPr>
        <w:t>3</w:t>
      </w:r>
      <w:r>
        <w:rPr>
          <w:rFonts w:hint="eastAsia"/>
          <w:sz w:val="24"/>
        </w:rPr>
        <w:t>、</w:t>
      </w:r>
      <w:r>
        <w:rPr>
          <w:rFonts w:hint="eastAsia"/>
          <w:sz w:val="24"/>
        </w:rPr>
        <w:t>329</w:t>
      </w:r>
      <w:r>
        <w:rPr>
          <w:sz w:val="24"/>
        </w:rPr>
        <w:t>×10</w:t>
      </w:r>
      <w:r>
        <w:rPr>
          <w:sz w:val="24"/>
          <w:vertAlign w:val="superscript"/>
        </w:rPr>
        <w:t>4</w:t>
      </w:r>
      <w:r>
        <w:rPr>
          <w:sz w:val="24"/>
        </w:rPr>
        <w:t>m</w:t>
      </w:r>
      <w:r>
        <w:rPr>
          <w:sz w:val="24"/>
          <w:vertAlign w:val="superscript"/>
        </w:rPr>
        <w:t>3</w:t>
      </w:r>
      <w:r>
        <w:rPr>
          <w:sz w:val="24"/>
        </w:rPr>
        <w:t>和</w:t>
      </w:r>
      <w:r>
        <w:rPr>
          <w:rFonts w:hint="eastAsia"/>
          <w:sz w:val="24"/>
        </w:rPr>
        <w:t>61</w:t>
      </w:r>
      <w:r>
        <w:rPr>
          <w:sz w:val="24"/>
        </w:rPr>
        <w:t>×10</w:t>
      </w:r>
      <w:r>
        <w:rPr>
          <w:sz w:val="24"/>
          <w:vertAlign w:val="superscript"/>
        </w:rPr>
        <w:t>4</w:t>
      </w:r>
      <w:r>
        <w:rPr>
          <w:sz w:val="24"/>
        </w:rPr>
        <w:t>m</w:t>
      </w:r>
      <w:r>
        <w:rPr>
          <w:sz w:val="24"/>
          <w:vertAlign w:val="superscript"/>
        </w:rPr>
        <w:t>3</w:t>
      </w:r>
      <w:r>
        <w:rPr>
          <w:rFonts w:hint="eastAsia"/>
          <w:sz w:val="24"/>
        </w:rPr>
        <w:t>，城镇生活增加了</w:t>
      </w:r>
      <w:r>
        <w:rPr>
          <w:rFonts w:hint="eastAsia"/>
          <w:sz w:val="24"/>
        </w:rPr>
        <w:t>229</w:t>
      </w:r>
      <w:r>
        <w:rPr>
          <w:sz w:val="24"/>
        </w:rPr>
        <w:t>×10</w:t>
      </w:r>
      <w:r>
        <w:rPr>
          <w:sz w:val="24"/>
          <w:vertAlign w:val="superscript"/>
        </w:rPr>
        <w:t>4</w:t>
      </w:r>
      <w:r>
        <w:rPr>
          <w:sz w:val="24"/>
        </w:rPr>
        <w:t>m</w:t>
      </w:r>
      <w:r>
        <w:rPr>
          <w:sz w:val="24"/>
          <w:vertAlign w:val="superscript"/>
        </w:rPr>
        <w:t>3</w:t>
      </w:r>
      <w:r>
        <w:rPr>
          <w:rFonts w:hint="eastAsia"/>
          <w:sz w:val="24"/>
        </w:rPr>
        <w:t>（见图</w:t>
      </w:r>
      <w:r>
        <w:rPr>
          <w:rFonts w:hint="eastAsia"/>
          <w:sz w:val="24"/>
        </w:rPr>
        <w:t>4.1-9</w:t>
      </w:r>
      <w:r>
        <w:rPr>
          <w:rFonts w:hint="eastAsia"/>
          <w:sz w:val="24"/>
        </w:rPr>
        <w:t>）</w:t>
      </w:r>
      <w:r>
        <w:rPr>
          <w:sz w:val="24"/>
        </w:rPr>
        <w:t>。</w:t>
      </w:r>
    </w:p>
    <w:p w:rsidR="00DB7CC8" w:rsidRDefault="002B5250">
      <w:pPr>
        <w:pStyle w:val="110"/>
        <w:ind w:firstLine="0"/>
        <w:jc w:val="center"/>
      </w:pPr>
      <w:r>
        <w:rPr>
          <w:noProof/>
        </w:rPr>
        <w:drawing>
          <wp:inline distT="0" distB="0" distL="0" distR="0">
            <wp:extent cx="5233035" cy="2202815"/>
            <wp:effectExtent l="0" t="0" r="0" b="0"/>
            <wp:docPr id="48" name="图表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DB7CC8" w:rsidRDefault="002B5250">
      <w:pPr>
        <w:pStyle w:val="110"/>
        <w:ind w:firstLine="0"/>
        <w:jc w:val="center"/>
        <w:rPr>
          <w:rFonts w:eastAsia="黑体"/>
          <w:sz w:val="21"/>
          <w:szCs w:val="21"/>
        </w:rPr>
      </w:pPr>
      <w:r>
        <w:rPr>
          <w:rFonts w:eastAsia="黑体"/>
          <w:sz w:val="21"/>
          <w:szCs w:val="21"/>
        </w:rPr>
        <w:t>图</w:t>
      </w:r>
      <w:r>
        <w:rPr>
          <w:rFonts w:eastAsia="黑体"/>
          <w:sz w:val="21"/>
          <w:szCs w:val="21"/>
        </w:rPr>
        <w:t>4.1-</w:t>
      </w:r>
      <w:r>
        <w:rPr>
          <w:rFonts w:eastAsia="黑体" w:hint="eastAsia"/>
          <w:sz w:val="21"/>
          <w:szCs w:val="21"/>
        </w:rPr>
        <w:t xml:space="preserve">9   </w:t>
      </w:r>
      <w:r>
        <w:rPr>
          <w:rFonts w:eastAsia="黑体" w:hint="eastAsia"/>
          <w:sz w:val="21"/>
          <w:szCs w:val="21"/>
        </w:rPr>
        <w:t>遵化盆地</w:t>
      </w:r>
      <w:r>
        <w:rPr>
          <w:rFonts w:eastAsia="黑体" w:hint="eastAsia"/>
          <w:sz w:val="21"/>
          <w:szCs w:val="21"/>
        </w:rPr>
        <w:t>2006-2015</w:t>
      </w:r>
      <w:r>
        <w:rPr>
          <w:rFonts w:eastAsia="黑体" w:hint="eastAsia"/>
          <w:sz w:val="21"/>
          <w:szCs w:val="21"/>
        </w:rPr>
        <w:t>年地下水开采量动态变化曲线图</w:t>
      </w:r>
    </w:p>
    <w:p w:rsidR="00DB7CC8" w:rsidRDefault="002B5250">
      <w:pPr>
        <w:pStyle w:val="3"/>
        <w:numPr>
          <w:ilvl w:val="2"/>
          <w:numId w:val="1"/>
        </w:numPr>
        <w:rPr>
          <w:szCs w:val="28"/>
        </w:rPr>
      </w:pPr>
      <w:bookmarkStart w:id="275" w:name="_Toc18597"/>
      <w:bookmarkStart w:id="276" w:name="_Toc521591780"/>
      <w:r>
        <w:rPr>
          <w:rFonts w:hint="eastAsia"/>
          <w:szCs w:val="28"/>
        </w:rPr>
        <w:t>土壤与植被</w:t>
      </w:r>
      <w:bookmarkEnd w:id="275"/>
      <w:bookmarkEnd w:id="276"/>
    </w:p>
    <w:p w:rsidR="00DB7CC8" w:rsidRDefault="002B5250">
      <w:pPr>
        <w:ind w:firstLine="480"/>
        <w:jc w:val="both"/>
        <w:textAlignment w:val="auto"/>
        <w:rPr>
          <w:sz w:val="24"/>
          <w:szCs w:val="24"/>
        </w:rPr>
      </w:pPr>
      <w:r>
        <w:rPr>
          <w:sz w:val="24"/>
          <w:szCs w:val="24"/>
        </w:rPr>
        <w:t>遵化市土壤有</w:t>
      </w:r>
      <w:r>
        <w:rPr>
          <w:sz w:val="24"/>
          <w:szCs w:val="24"/>
        </w:rPr>
        <w:t>3</w:t>
      </w:r>
      <w:r>
        <w:rPr>
          <w:sz w:val="24"/>
          <w:szCs w:val="24"/>
        </w:rPr>
        <w:t>个土类，</w:t>
      </w:r>
      <w:r>
        <w:rPr>
          <w:sz w:val="24"/>
          <w:szCs w:val="24"/>
        </w:rPr>
        <w:t>9</w:t>
      </w:r>
      <w:r>
        <w:rPr>
          <w:sz w:val="24"/>
          <w:szCs w:val="24"/>
        </w:rPr>
        <w:t>个亚类，</w:t>
      </w:r>
      <w:r>
        <w:rPr>
          <w:sz w:val="24"/>
          <w:szCs w:val="24"/>
        </w:rPr>
        <w:t>11</w:t>
      </w:r>
      <w:r>
        <w:rPr>
          <w:sz w:val="24"/>
          <w:szCs w:val="24"/>
        </w:rPr>
        <w:t>个土属，</w:t>
      </w:r>
      <w:r>
        <w:rPr>
          <w:sz w:val="24"/>
          <w:szCs w:val="24"/>
        </w:rPr>
        <w:t>41</w:t>
      </w:r>
      <w:r>
        <w:rPr>
          <w:sz w:val="24"/>
          <w:szCs w:val="24"/>
        </w:rPr>
        <w:t>个土种。</w:t>
      </w:r>
      <w:r>
        <w:rPr>
          <w:sz w:val="24"/>
          <w:szCs w:val="24"/>
        </w:rPr>
        <w:t>3</w:t>
      </w:r>
      <w:r>
        <w:rPr>
          <w:sz w:val="24"/>
          <w:szCs w:val="24"/>
        </w:rPr>
        <w:t>大土类为棕壤、褐土和潮土。棕壤主要分布于市域北部</w:t>
      </w:r>
      <w:r>
        <w:rPr>
          <w:sz w:val="24"/>
          <w:szCs w:val="24"/>
        </w:rPr>
        <w:t>300</w:t>
      </w:r>
      <w:r>
        <w:rPr>
          <w:sz w:val="24"/>
          <w:szCs w:val="24"/>
        </w:rPr>
        <w:t>米以上的山地，占全市总面积的</w:t>
      </w:r>
      <w:r>
        <w:rPr>
          <w:sz w:val="24"/>
          <w:szCs w:val="24"/>
        </w:rPr>
        <w:t>6%</w:t>
      </w:r>
      <w:r>
        <w:rPr>
          <w:sz w:val="24"/>
          <w:szCs w:val="24"/>
        </w:rPr>
        <w:t>；褐土分布在海拔</w:t>
      </w:r>
      <w:r>
        <w:rPr>
          <w:sz w:val="24"/>
          <w:szCs w:val="24"/>
        </w:rPr>
        <w:t>20-300</w:t>
      </w:r>
      <w:r>
        <w:rPr>
          <w:sz w:val="24"/>
          <w:szCs w:val="24"/>
        </w:rPr>
        <w:t>米的地方，几乎遍及全市，占全市总面积的</w:t>
      </w:r>
      <w:r>
        <w:rPr>
          <w:sz w:val="24"/>
          <w:szCs w:val="24"/>
        </w:rPr>
        <w:t>92.63%</w:t>
      </w:r>
      <w:r>
        <w:rPr>
          <w:sz w:val="24"/>
          <w:szCs w:val="24"/>
        </w:rPr>
        <w:t>；潮土分布范围最窄，仅限于市域西南隅一小部分平原地带，占全市总面积的</w:t>
      </w:r>
      <w:r>
        <w:rPr>
          <w:sz w:val="24"/>
          <w:szCs w:val="24"/>
        </w:rPr>
        <w:t>1.18%</w:t>
      </w:r>
      <w:r>
        <w:rPr>
          <w:sz w:val="24"/>
          <w:szCs w:val="24"/>
        </w:rPr>
        <w:t>。</w:t>
      </w:r>
    </w:p>
    <w:p w:rsidR="00DB7CC8" w:rsidRDefault="002B5250">
      <w:pPr>
        <w:ind w:firstLine="480"/>
        <w:jc w:val="both"/>
        <w:textAlignment w:val="auto"/>
        <w:rPr>
          <w:sz w:val="24"/>
          <w:szCs w:val="24"/>
        </w:rPr>
      </w:pPr>
      <w:r>
        <w:rPr>
          <w:sz w:val="24"/>
          <w:szCs w:val="24"/>
        </w:rPr>
        <w:t>全市土壤养分属于中等偏下，土壤肥力较低，有机质含量平均为</w:t>
      </w:r>
      <w:r>
        <w:rPr>
          <w:sz w:val="24"/>
          <w:szCs w:val="24"/>
        </w:rPr>
        <w:t>1.18%</w:t>
      </w:r>
      <w:r>
        <w:rPr>
          <w:sz w:val="24"/>
          <w:szCs w:val="24"/>
        </w:rPr>
        <w:t>，低于国家一级地有机质含量</w:t>
      </w:r>
      <w:r>
        <w:rPr>
          <w:sz w:val="24"/>
          <w:szCs w:val="24"/>
        </w:rPr>
        <w:t>2%</w:t>
      </w:r>
      <w:r>
        <w:rPr>
          <w:sz w:val="24"/>
          <w:szCs w:val="24"/>
        </w:rPr>
        <w:t>的标准，在全市土壤中，达到国家一级地有机质含量标准的只有</w:t>
      </w:r>
      <w:r>
        <w:rPr>
          <w:sz w:val="24"/>
          <w:szCs w:val="24"/>
        </w:rPr>
        <w:t>15.93</w:t>
      </w:r>
      <w:r>
        <w:rPr>
          <w:sz w:val="24"/>
          <w:szCs w:val="24"/>
        </w:rPr>
        <w:t>平方公里，仅占全市总面积的</w:t>
      </w:r>
      <w:r>
        <w:rPr>
          <w:sz w:val="24"/>
          <w:szCs w:val="24"/>
        </w:rPr>
        <w:t>1%</w:t>
      </w:r>
      <w:r>
        <w:rPr>
          <w:sz w:val="24"/>
          <w:szCs w:val="24"/>
        </w:rPr>
        <w:t>。全氮平均含量为</w:t>
      </w:r>
      <w:r>
        <w:rPr>
          <w:sz w:val="24"/>
          <w:szCs w:val="24"/>
        </w:rPr>
        <w:t>0.074%</w:t>
      </w:r>
      <w:r>
        <w:rPr>
          <w:sz w:val="24"/>
          <w:szCs w:val="24"/>
        </w:rPr>
        <w:t>，速效氮平均含量为</w:t>
      </w:r>
      <w:r>
        <w:rPr>
          <w:sz w:val="24"/>
          <w:szCs w:val="24"/>
        </w:rPr>
        <w:t>68.74ppm</w:t>
      </w:r>
      <w:r>
        <w:rPr>
          <w:sz w:val="24"/>
          <w:szCs w:val="24"/>
        </w:rPr>
        <w:t>，速效磷平均含量为</w:t>
      </w:r>
      <w:r>
        <w:rPr>
          <w:sz w:val="24"/>
          <w:szCs w:val="24"/>
        </w:rPr>
        <w:t>21.55ppm</w:t>
      </w:r>
      <w:r>
        <w:rPr>
          <w:sz w:val="24"/>
          <w:szCs w:val="24"/>
        </w:rPr>
        <w:t>，速效钾平均含量为</w:t>
      </w:r>
      <w:r>
        <w:rPr>
          <w:sz w:val="24"/>
          <w:szCs w:val="24"/>
        </w:rPr>
        <w:t>85.8ppm</w:t>
      </w:r>
      <w:r>
        <w:rPr>
          <w:sz w:val="24"/>
          <w:szCs w:val="24"/>
        </w:rPr>
        <w:t>，都低于国家要求的标准，处于缺磷、少氮、钾不足，有机质贫乏的状态。</w:t>
      </w:r>
    </w:p>
    <w:p w:rsidR="00DB7CC8" w:rsidRDefault="002B5250">
      <w:pPr>
        <w:ind w:firstLine="480"/>
        <w:jc w:val="both"/>
        <w:textAlignment w:val="auto"/>
        <w:rPr>
          <w:sz w:val="24"/>
          <w:szCs w:val="24"/>
        </w:rPr>
      </w:pPr>
      <w:r>
        <w:rPr>
          <w:sz w:val="24"/>
          <w:szCs w:val="24"/>
        </w:rPr>
        <w:t>遵化市地带性植被为落叶阔叶林，代表树种为落叶栎类，针叶树主要是油松。由于长期垦植，海拔</w:t>
      </w:r>
      <w:r>
        <w:rPr>
          <w:sz w:val="24"/>
          <w:szCs w:val="24"/>
        </w:rPr>
        <w:t>300m</w:t>
      </w:r>
      <w:r>
        <w:rPr>
          <w:sz w:val="24"/>
          <w:szCs w:val="24"/>
        </w:rPr>
        <w:t>以下地带，野生植物已不复存在，</w:t>
      </w:r>
      <w:r>
        <w:rPr>
          <w:sz w:val="24"/>
          <w:szCs w:val="24"/>
        </w:rPr>
        <w:t>大部分为人工植被所代替，只有在海拔</w:t>
      </w:r>
      <w:r>
        <w:rPr>
          <w:sz w:val="24"/>
          <w:szCs w:val="24"/>
        </w:rPr>
        <w:t>300m</w:t>
      </w:r>
      <w:r>
        <w:rPr>
          <w:sz w:val="24"/>
          <w:szCs w:val="24"/>
        </w:rPr>
        <w:t>以上未被垦植的山地，才有野生植被的分布。据调查，乔木树种有油松、白皮松、侧柏、槲、栎、山杨、椴等</w:t>
      </w:r>
      <w:r>
        <w:rPr>
          <w:sz w:val="24"/>
          <w:szCs w:val="24"/>
        </w:rPr>
        <w:t>30</w:t>
      </w:r>
      <w:r>
        <w:rPr>
          <w:sz w:val="24"/>
          <w:szCs w:val="24"/>
        </w:rPr>
        <w:t>多种，果树约有</w:t>
      </w:r>
      <w:r>
        <w:rPr>
          <w:sz w:val="24"/>
          <w:szCs w:val="24"/>
        </w:rPr>
        <w:t>20</w:t>
      </w:r>
      <w:r>
        <w:rPr>
          <w:sz w:val="24"/>
          <w:szCs w:val="24"/>
        </w:rPr>
        <w:lastRenderedPageBreak/>
        <w:t>多种，以板栗、核桃、苹果、柿、枣、梨、桃、杏、山楂等为主，在灌木中人工培植的紫穗槐分布普遍，野生灌木约</w:t>
      </w:r>
      <w:r>
        <w:rPr>
          <w:sz w:val="24"/>
          <w:szCs w:val="24"/>
        </w:rPr>
        <w:t>30</w:t>
      </w:r>
      <w:r>
        <w:rPr>
          <w:sz w:val="24"/>
          <w:szCs w:val="24"/>
        </w:rPr>
        <w:t>多种，比较常见的有荆条、酸枣、胡枝子、鼠李、大花溲疏、三裂绣线菊、锦鸡儿、榛、苦参等。</w:t>
      </w:r>
    </w:p>
    <w:p w:rsidR="00DB7CC8" w:rsidRDefault="002B5250">
      <w:pPr>
        <w:ind w:firstLine="480"/>
        <w:jc w:val="both"/>
        <w:textAlignment w:val="auto"/>
        <w:rPr>
          <w:sz w:val="24"/>
          <w:szCs w:val="24"/>
        </w:rPr>
      </w:pPr>
      <w:r>
        <w:rPr>
          <w:sz w:val="24"/>
          <w:szCs w:val="24"/>
        </w:rPr>
        <w:t>境内草本植物在低山丘陵到处可见，盖度常达</w:t>
      </w:r>
      <w:r>
        <w:rPr>
          <w:sz w:val="24"/>
          <w:szCs w:val="24"/>
        </w:rPr>
        <w:t>60-70%</w:t>
      </w:r>
      <w:r>
        <w:rPr>
          <w:sz w:val="24"/>
          <w:szCs w:val="24"/>
        </w:rPr>
        <w:t>，北山多于南山，阴坡多于阳坡，除疏花草等少数种类北山分布普遍，东南部山地少见外，一般草本植物在全市均有广泛</w:t>
      </w:r>
      <w:r>
        <w:rPr>
          <w:sz w:val="24"/>
          <w:szCs w:val="24"/>
        </w:rPr>
        <w:t>分布，其中最多的是菊科、豆科、禾本科、蔷薇科、莎草科，占绝对优势的是黄背草、白羊草等。藤本、蕨类、攀附植物仍可见到，寄生植物则很少见到。</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277" w:name="_Toc524285150"/>
      <w:bookmarkStart w:id="278" w:name="_Toc524284670"/>
      <w:bookmarkStart w:id="279" w:name="_Toc524285151"/>
      <w:bookmarkStart w:id="280" w:name="_Toc524284671"/>
      <w:bookmarkStart w:id="281" w:name="_Toc524285679"/>
      <w:bookmarkStart w:id="282" w:name="_Toc524285630"/>
      <w:bookmarkStart w:id="283" w:name="_Toc524285680"/>
      <w:bookmarkStart w:id="284" w:name="_Toc524285631"/>
      <w:bookmarkStart w:id="285" w:name="_Toc12489"/>
      <w:bookmarkStart w:id="286" w:name="_Toc19454"/>
      <w:bookmarkStart w:id="287" w:name="_Toc521591783"/>
      <w:bookmarkStart w:id="288" w:name="_Toc16140"/>
      <w:bookmarkStart w:id="289" w:name="_Toc13104"/>
      <w:bookmarkStart w:id="290" w:name="_Toc524284672"/>
      <w:bookmarkStart w:id="291" w:name="_Toc510533943"/>
      <w:bookmarkEnd w:id="277"/>
      <w:bookmarkEnd w:id="278"/>
      <w:bookmarkEnd w:id="279"/>
      <w:bookmarkEnd w:id="280"/>
      <w:bookmarkEnd w:id="281"/>
      <w:bookmarkEnd w:id="282"/>
      <w:bookmarkEnd w:id="283"/>
      <w:bookmarkEnd w:id="284"/>
      <w:r>
        <w:rPr>
          <w:rFonts w:ascii="Times New Roman" w:eastAsia="宋体" w:hAnsi="Times New Roman"/>
          <w:bCs w:val="0"/>
          <w:snapToGrid w:val="0"/>
          <w:kern w:val="0"/>
          <w:sz w:val="28"/>
          <w:szCs w:val="28"/>
        </w:rPr>
        <w:t>环境功能规划及环境保护目标调查</w:t>
      </w:r>
      <w:bookmarkEnd w:id="285"/>
      <w:bookmarkEnd w:id="286"/>
      <w:bookmarkEnd w:id="287"/>
      <w:bookmarkEnd w:id="288"/>
      <w:bookmarkEnd w:id="289"/>
      <w:bookmarkEnd w:id="290"/>
      <w:bookmarkEnd w:id="291"/>
    </w:p>
    <w:p w:rsidR="00DB7CC8" w:rsidRDefault="002B5250">
      <w:pPr>
        <w:ind w:firstLine="480"/>
        <w:jc w:val="both"/>
        <w:textAlignment w:val="auto"/>
        <w:rPr>
          <w:sz w:val="24"/>
          <w:szCs w:val="24"/>
        </w:rPr>
      </w:pPr>
      <w:r>
        <w:rPr>
          <w:sz w:val="24"/>
          <w:szCs w:val="24"/>
        </w:rPr>
        <w:t>根据遵化市环境功能区划要求，该区域环境空气为二类区，执行《环境空气质量标准》（</w:t>
      </w:r>
      <w:r>
        <w:rPr>
          <w:sz w:val="24"/>
          <w:szCs w:val="24"/>
        </w:rPr>
        <w:t>GB3095-2012</w:t>
      </w:r>
      <w:r>
        <w:rPr>
          <w:sz w:val="24"/>
          <w:szCs w:val="24"/>
        </w:rPr>
        <w:t>）中的二级标准；地表水为</w:t>
      </w:r>
      <w:r>
        <w:rPr>
          <w:sz w:val="24"/>
          <w:szCs w:val="24"/>
        </w:rPr>
        <w:t>Ⅲ</w:t>
      </w:r>
      <w:r>
        <w:rPr>
          <w:sz w:val="24"/>
          <w:szCs w:val="24"/>
        </w:rPr>
        <w:t>类水体，执行《地表水环境质量标准》（</w:t>
      </w:r>
      <w:r>
        <w:rPr>
          <w:sz w:val="24"/>
          <w:szCs w:val="24"/>
        </w:rPr>
        <w:t>GB3838-2002</w:t>
      </w:r>
      <w:r>
        <w:rPr>
          <w:sz w:val="24"/>
          <w:szCs w:val="24"/>
        </w:rPr>
        <w:t>）中</w:t>
      </w:r>
      <w:r>
        <w:rPr>
          <w:sz w:val="24"/>
          <w:szCs w:val="24"/>
        </w:rPr>
        <w:t>Ⅲ</w:t>
      </w:r>
      <w:r>
        <w:rPr>
          <w:sz w:val="24"/>
          <w:szCs w:val="24"/>
        </w:rPr>
        <w:t>类标准；地下水为三类功能区，执行《地下水质量标准》（</w:t>
      </w:r>
      <w:r>
        <w:rPr>
          <w:sz w:val="24"/>
          <w:szCs w:val="24"/>
        </w:rPr>
        <w:t>GB/T14848-2017</w:t>
      </w:r>
      <w:r>
        <w:rPr>
          <w:sz w:val="24"/>
          <w:szCs w:val="24"/>
        </w:rPr>
        <w:t>）中</w:t>
      </w:r>
      <w:r>
        <w:rPr>
          <w:sz w:val="24"/>
          <w:szCs w:val="24"/>
        </w:rPr>
        <w:t>Ⅲ</w:t>
      </w:r>
      <w:r>
        <w:rPr>
          <w:sz w:val="24"/>
          <w:szCs w:val="24"/>
        </w:rPr>
        <w:t>类标准；噪声为</w:t>
      </w:r>
      <w:r>
        <w:rPr>
          <w:sz w:val="24"/>
          <w:szCs w:val="24"/>
        </w:rPr>
        <w:t>2</w:t>
      </w:r>
      <w:r>
        <w:rPr>
          <w:sz w:val="24"/>
          <w:szCs w:val="24"/>
        </w:rPr>
        <w:t>类功能区，执行《声环境质量标准》</w:t>
      </w:r>
      <w:r>
        <w:rPr>
          <w:sz w:val="24"/>
          <w:szCs w:val="24"/>
        </w:rPr>
        <w:t>(GB3096-2</w:t>
      </w:r>
      <w:r>
        <w:rPr>
          <w:sz w:val="24"/>
          <w:szCs w:val="24"/>
        </w:rPr>
        <w:t>008)2</w:t>
      </w:r>
      <w:r>
        <w:rPr>
          <w:sz w:val="24"/>
          <w:szCs w:val="24"/>
        </w:rPr>
        <w:t>类区标准。</w:t>
      </w:r>
    </w:p>
    <w:p w:rsidR="00DB7CC8" w:rsidRDefault="002B5250">
      <w:pPr>
        <w:ind w:firstLine="480"/>
        <w:jc w:val="both"/>
        <w:textAlignment w:val="auto"/>
        <w:rPr>
          <w:sz w:val="24"/>
          <w:szCs w:val="24"/>
        </w:rPr>
      </w:pPr>
      <w:r>
        <w:rPr>
          <w:sz w:val="24"/>
          <w:szCs w:val="24"/>
        </w:rPr>
        <w:t>项目评价区域内无自然保护区、风景名胜区、珍稀动植物资源、景观及其他环境敏感点。本项目符合遵化市环境功能规划要求，符合遵化市生态保护红线要求。根据工程特点及周围环境特征，确定项目环境保护目标为周边居民区，详见表</w:t>
      </w:r>
      <w:r>
        <w:rPr>
          <w:sz w:val="24"/>
          <w:szCs w:val="24"/>
        </w:rPr>
        <w:t>2.</w:t>
      </w:r>
      <w:r>
        <w:rPr>
          <w:rFonts w:hint="eastAsia"/>
          <w:sz w:val="24"/>
          <w:szCs w:val="24"/>
        </w:rPr>
        <w:t>7</w:t>
      </w:r>
      <w:r>
        <w:rPr>
          <w:sz w:val="24"/>
          <w:szCs w:val="24"/>
        </w:rPr>
        <w:t>-1</w:t>
      </w:r>
      <w:r>
        <w:rPr>
          <w:sz w:val="24"/>
          <w:szCs w:val="24"/>
        </w:rPr>
        <w:t>。</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292" w:name="_Toc3253"/>
      <w:bookmarkStart w:id="293" w:name="_Toc1371"/>
      <w:bookmarkStart w:id="294" w:name="_Toc476574697"/>
      <w:bookmarkStart w:id="295" w:name="_Toc524284673"/>
      <w:bookmarkStart w:id="296" w:name="_Toc19658"/>
      <w:bookmarkStart w:id="297" w:name="_Toc499651413"/>
      <w:bookmarkStart w:id="298" w:name="_Toc503218112"/>
      <w:bookmarkStart w:id="299" w:name="_Toc521591784"/>
      <w:bookmarkStart w:id="300" w:name="_Toc3225"/>
      <w:bookmarkEnd w:id="249"/>
      <w:bookmarkEnd w:id="250"/>
      <w:bookmarkEnd w:id="251"/>
      <w:bookmarkEnd w:id="252"/>
      <w:bookmarkEnd w:id="253"/>
      <w:bookmarkEnd w:id="254"/>
      <w:bookmarkEnd w:id="255"/>
      <w:bookmarkEnd w:id="256"/>
      <w:bookmarkEnd w:id="257"/>
      <w:r>
        <w:rPr>
          <w:rFonts w:ascii="Times New Roman" w:eastAsia="宋体" w:hAnsi="Times New Roman"/>
          <w:bCs w:val="0"/>
          <w:snapToGrid w:val="0"/>
          <w:kern w:val="0"/>
          <w:sz w:val="28"/>
          <w:szCs w:val="28"/>
        </w:rPr>
        <w:t>环境质量现状调查与评价</w:t>
      </w:r>
      <w:bookmarkEnd w:id="292"/>
      <w:bookmarkEnd w:id="293"/>
      <w:bookmarkEnd w:id="294"/>
      <w:bookmarkEnd w:id="295"/>
      <w:bookmarkEnd w:id="296"/>
      <w:bookmarkEnd w:id="297"/>
      <w:bookmarkEnd w:id="298"/>
      <w:bookmarkEnd w:id="299"/>
      <w:bookmarkEnd w:id="300"/>
    </w:p>
    <w:p w:rsidR="00DB7CC8" w:rsidRDefault="002B5250">
      <w:pPr>
        <w:ind w:firstLine="480"/>
        <w:rPr>
          <w:bCs/>
          <w:sz w:val="24"/>
        </w:rPr>
      </w:pPr>
      <w:r>
        <w:rPr>
          <w:bCs/>
          <w:sz w:val="24"/>
        </w:rPr>
        <w:t>为了解本项目区域环境空气质量、地表水环境质量、噪声环境质量、地下水环境质量现状，本次评价委托石家庄林壤环保科技有限公司对本项目评价区域的环境质量进行了现状监测。</w:t>
      </w:r>
    </w:p>
    <w:p w:rsidR="00DB7CC8" w:rsidRDefault="002B5250">
      <w:pPr>
        <w:pStyle w:val="3"/>
        <w:numPr>
          <w:ilvl w:val="2"/>
          <w:numId w:val="1"/>
        </w:numPr>
        <w:rPr>
          <w:szCs w:val="28"/>
        </w:rPr>
      </w:pPr>
      <w:r>
        <w:rPr>
          <w:szCs w:val="28"/>
        </w:rPr>
        <w:t>环境空气</w:t>
      </w:r>
    </w:p>
    <w:p w:rsidR="00DB7CC8" w:rsidRDefault="002B5250">
      <w:pPr>
        <w:pStyle w:val="4"/>
      </w:pPr>
      <w:r>
        <w:t>4.3.1.1</w:t>
      </w:r>
      <w:r>
        <w:rPr>
          <w:rFonts w:hint="eastAsia"/>
        </w:rPr>
        <w:t>基本污染物环境空气质量现状监测与评价</w:t>
      </w:r>
    </w:p>
    <w:p w:rsidR="00DB7CC8" w:rsidRDefault="002B5250">
      <w:pPr>
        <w:pStyle w:val="4"/>
        <w:keepLines w:val="0"/>
        <w:spacing w:line="480" w:lineRule="exact"/>
        <w:jc w:val="both"/>
        <w:rPr>
          <w:bCs w:val="0"/>
          <w:kern w:val="2"/>
          <w:szCs w:val="24"/>
          <w:lang w:val="zh-CN"/>
        </w:rPr>
      </w:pPr>
      <w:r>
        <w:rPr>
          <w:bCs w:val="0"/>
          <w:kern w:val="2"/>
          <w:szCs w:val="24"/>
          <w:lang w:val="zh-CN"/>
        </w:rPr>
        <w:t>4.3.1.1</w:t>
      </w:r>
      <w:r>
        <w:rPr>
          <w:bCs w:val="0"/>
          <w:kern w:val="2"/>
          <w:szCs w:val="24"/>
          <w:lang w:val="zh-CN"/>
        </w:rPr>
        <w:t>达标区</w:t>
      </w:r>
      <w:r>
        <w:rPr>
          <w:bCs w:val="0"/>
          <w:kern w:val="2"/>
          <w:szCs w:val="24"/>
          <w:lang w:val="zh-CN"/>
        </w:rPr>
        <w:t>判定</w:t>
      </w:r>
    </w:p>
    <w:p w:rsidR="00DB7CC8" w:rsidRDefault="002B5250">
      <w:pPr>
        <w:spacing w:line="460" w:lineRule="exact"/>
        <w:ind w:firstLine="480"/>
        <w:jc w:val="both"/>
        <w:rPr>
          <w:sz w:val="24"/>
          <w:szCs w:val="24"/>
        </w:rPr>
      </w:pPr>
      <w:r>
        <w:rPr>
          <w:sz w:val="24"/>
          <w:szCs w:val="24"/>
        </w:rPr>
        <w:t>本项目环境空气等级为</w:t>
      </w:r>
      <w:r>
        <w:rPr>
          <w:sz w:val="24"/>
          <w:szCs w:val="24"/>
        </w:rPr>
        <w:t>“</w:t>
      </w:r>
      <w:r>
        <w:rPr>
          <w:sz w:val="24"/>
          <w:szCs w:val="24"/>
        </w:rPr>
        <w:t>二级评价</w:t>
      </w:r>
      <w:r>
        <w:rPr>
          <w:sz w:val="24"/>
          <w:szCs w:val="24"/>
        </w:rPr>
        <w:t>”</w:t>
      </w:r>
      <w:r>
        <w:rPr>
          <w:sz w:val="24"/>
          <w:szCs w:val="24"/>
        </w:rPr>
        <w:t>，根据《环境影响评价技术导则</w:t>
      </w:r>
      <w:r>
        <w:rPr>
          <w:sz w:val="24"/>
          <w:szCs w:val="24"/>
        </w:rPr>
        <w:t xml:space="preserve"> </w:t>
      </w:r>
      <w:r>
        <w:rPr>
          <w:sz w:val="24"/>
          <w:szCs w:val="24"/>
        </w:rPr>
        <w:t>大气环境》（</w:t>
      </w:r>
      <w:r>
        <w:rPr>
          <w:sz w:val="24"/>
          <w:szCs w:val="24"/>
        </w:rPr>
        <w:t>HJ2.2-2018</w:t>
      </w:r>
      <w:r>
        <w:rPr>
          <w:sz w:val="24"/>
          <w:szCs w:val="24"/>
        </w:rPr>
        <w:t>），二级评价项目调查所在区域环境质量达标情况，</w:t>
      </w:r>
      <w:r>
        <w:rPr>
          <w:sz w:val="24"/>
          <w:szCs w:val="24"/>
        </w:rPr>
        <w:t>“</w:t>
      </w:r>
      <w:r>
        <w:rPr>
          <w:sz w:val="24"/>
          <w:szCs w:val="24"/>
        </w:rPr>
        <w:t>项目所在区域达标判定，优先采用国家或地方生态环境主管部门公开发布的评价基准年环境质量公告或环境质量报告中的数据或结论</w:t>
      </w:r>
      <w:r>
        <w:rPr>
          <w:sz w:val="24"/>
          <w:szCs w:val="24"/>
        </w:rPr>
        <w:t>”</w:t>
      </w:r>
      <w:r>
        <w:rPr>
          <w:sz w:val="24"/>
          <w:szCs w:val="24"/>
        </w:rPr>
        <w:t>，</w:t>
      </w:r>
      <w:r>
        <w:rPr>
          <w:sz w:val="24"/>
          <w:szCs w:val="24"/>
        </w:rPr>
        <w:t>“</w:t>
      </w:r>
      <w:r>
        <w:rPr>
          <w:sz w:val="24"/>
          <w:szCs w:val="24"/>
        </w:rPr>
        <w:t>采用评价范围内国家或地方环</w:t>
      </w:r>
      <w:r>
        <w:rPr>
          <w:sz w:val="24"/>
          <w:szCs w:val="24"/>
        </w:rPr>
        <w:lastRenderedPageBreak/>
        <w:t>境空气质量监测网中评价基准年连续</w:t>
      </w:r>
      <w:r>
        <w:rPr>
          <w:sz w:val="24"/>
          <w:szCs w:val="24"/>
        </w:rPr>
        <w:t>1</w:t>
      </w:r>
      <w:r>
        <w:rPr>
          <w:sz w:val="24"/>
          <w:szCs w:val="24"/>
        </w:rPr>
        <w:t>年的监测数据，或采用生态环境主管部门公开发布的环境空气质量现状数据</w:t>
      </w:r>
      <w:r>
        <w:rPr>
          <w:sz w:val="24"/>
          <w:szCs w:val="24"/>
        </w:rPr>
        <w:t>”</w:t>
      </w:r>
      <w:r>
        <w:rPr>
          <w:sz w:val="24"/>
          <w:szCs w:val="24"/>
        </w:rPr>
        <w:t>。</w:t>
      </w:r>
    </w:p>
    <w:p w:rsidR="00DB7CC8" w:rsidRDefault="002B5250">
      <w:pPr>
        <w:spacing w:line="460" w:lineRule="exact"/>
        <w:ind w:firstLine="480"/>
        <w:jc w:val="both"/>
        <w:rPr>
          <w:sz w:val="24"/>
          <w:szCs w:val="24"/>
        </w:rPr>
      </w:pPr>
      <w:r>
        <w:rPr>
          <w:bCs/>
          <w:sz w:val="24"/>
          <w:szCs w:val="24"/>
        </w:rPr>
        <w:t>根据唐山市生态环境局发布的《</w:t>
      </w:r>
      <w:r>
        <w:rPr>
          <w:bCs/>
          <w:sz w:val="24"/>
          <w:szCs w:val="24"/>
        </w:rPr>
        <w:t>202</w:t>
      </w:r>
      <w:r>
        <w:rPr>
          <w:rFonts w:hint="eastAsia"/>
          <w:bCs/>
          <w:sz w:val="24"/>
          <w:szCs w:val="24"/>
        </w:rPr>
        <w:t>1</w:t>
      </w:r>
      <w:r>
        <w:rPr>
          <w:bCs/>
          <w:sz w:val="24"/>
          <w:szCs w:val="24"/>
        </w:rPr>
        <w:t>年唐山</w:t>
      </w:r>
      <w:r>
        <w:rPr>
          <w:sz w:val="24"/>
          <w:szCs w:val="24"/>
        </w:rPr>
        <w:t>市环境状况公报》显示，唐山市环境空气质量综合指数</w:t>
      </w:r>
      <w:r>
        <w:rPr>
          <w:sz w:val="24"/>
          <w:szCs w:val="24"/>
        </w:rPr>
        <w:t>5.87</w:t>
      </w:r>
      <w:r>
        <w:rPr>
          <w:sz w:val="24"/>
          <w:szCs w:val="24"/>
        </w:rPr>
        <w:t>，同比下降</w:t>
      </w:r>
      <w:r>
        <w:rPr>
          <w:sz w:val="24"/>
          <w:szCs w:val="24"/>
        </w:rPr>
        <w:t>10.2%</w:t>
      </w:r>
      <w:r>
        <w:rPr>
          <w:sz w:val="24"/>
          <w:szCs w:val="24"/>
        </w:rPr>
        <w:t>；优良天数</w:t>
      </w:r>
      <w:r>
        <w:rPr>
          <w:sz w:val="24"/>
          <w:szCs w:val="24"/>
        </w:rPr>
        <w:t>249</w:t>
      </w:r>
      <w:r>
        <w:rPr>
          <w:sz w:val="24"/>
          <w:szCs w:val="24"/>
        </w:rPr>
        <w:t>天，同比增加</w:t>
      </w:r>
      <w:r>
        <w:rPr>
          <w:sz w:val="24"/>
          <w:szCs w:val="24"/>
        </w:rPr>
        <w:t>28</w:t>
      </w:r>
      <w:r>
        <w:rPr>
          <w:sz w:val="24"/>
          <w:szCs w:val="24"/>
        </w:rPr>
        <w:t>天，优良天数比例</w:t>
      </w:r>
      <w:r>
        <w:rPr>
          <w:sz w:val="24"/>
          <w:szCs w:val="24"/>
        </w:rPr>
        <w:t>68.0%</w:t>
      </w:r>
      <w:r>
        <w:rPr>
          <w:sz w:val="24"/>
          <w:szCs w:val="24"/>
        </w:rPr>
        <w:t>，创有监测记录以来最好水平。</w:t>
      </w:r>
      <w:r>
        <w:rPr>
          <w:sz w:val="24"/>
          <w:szCs w:val="24"/>
        </w:rPr>
        <w:t>2020</w:t>
      </w:r>
      <w:r>
        <w:rPr>
          <w:sz w:val="24"/>
          <w:szCs w:val="24"/>
        </w:rPr>
        <w:t>年唐山市开展环境空气质量监测</w:t>
      </w:r>
      <w:r>
        <w:rPr>
          <w:sz w:val="24"/>
          <w:szCs w:val="24"/>
        </w:rPr>
        <w:t>366</w:t>
      </w:r>
      <w:r>
        <w:rPr>
          <w:sz w:val="24"/>
          <w:szCs w:val="24"/>
        </w:rPr>
        <w:t>天，城市环境空气质量二级或优于二级的优良天数</w:t>
      </w:r>
      <w:r>
        <w:rPr>
          <w:sz w:val="24"/>
          <w:szCs w:val="24"/>
        </w:rPr>
        <w:t>249</w:t>
      </w:r>
      <w:r>
        <w:rPr>
          <w:sz w:val="24"/>
          <w:szCs w:val="24"/>
        </w:rPr>
        <w:t>天（优</w:t>
      </w:r>
      <w:r>
        <w:rPr>
          <w:sz w:val="24"/>
          <w:szCs w:val="24"/>
        </w:rPr>
        <w:t>40</w:t>
      </w:r>
      <w:r>
        <w:rPr>
          <w:sz w:val="24"/>
          <w:szCs w:val="24"/>
        </w:rPr>
        <w:t>天，良</w:t>
      </w:r>
      <w:r>
        <w:rPr>
          <w:sz w:val="24"/>
          <w:szCs w:val="24"/>
        </w:rPr>
        <w:t>209</w:t>
      </w:r>
      <w:r>
        <w:rPr>
          <w:sz w:val="24"/>
          <w:szCs w:val="24"/>
        </w:rPr>
        <w:t>天），优良天数比例为</w:t>
      </w:r>
      <w:r>
        <w:rPr>
          <w:sz w:val="24"/>
          <w:szCs w:val="24"/>
        </w:rPr>
        <w:t>68.0%</w:t>
      </w:r>
      <w:r>
        <w:rPr>
          <w:sz w:val="24"/>
          <w:szCs w:val="24"/>
        </w:rPr>
        <w:t>。全年优良天数较上年增加</w:t>
      </w:r>
      <w:r>
        <w:rPr>
          <w:sz w:val="24"/>
          <w:szCs w:val="24"/>
        </w:rPr>
        <w:t>28</w:t>
      </w:r>
      <w:r>
        <w:rPr>
          <w:sz w:val="24"/>
          <w:szCs w:val="24"/>
        </w:rPr>
        <w:t>天，优天数增加</w:t>
      </w:r>
      <w:r>
        <w:rPr>
          <w:sz w:val="24"/>
          <w:szCs w:val="24"/>
        </w:rPr>
        <w:t>12</w:t>
      </w:r>
      <w:r>
        <w:rPr>
          <w:sz w:val="24"/>
          <w:szCs w:val="24"/>
        </w:rPr>
        <w:t>天，良天数增加</w:t>
      </w:r>
      <w:r>
        <w:rPr>
          <w:sz w:val="24"/>
          <w:szCs w:val="24"/>
        </w:rPr>
        <w:t>16</w:t>
      </w:r>
      <w:r>
        <w:rPr>
          <w:sz w:val="24"/>
          <w:szCs w:val="24"/>
        </w:rPr>
        <w:t>天。全年重度污染天数</w:t>
      </w:r>
      <w:r>
        <w:rPr>
          <w:sz w:val="24"/>
          <w:szCs w:val="24"/>
        </w:rPr>
        <w:t>9</w:t>
      </w:r>
      <w:r>
        <w:rPr>
          <w:sz w:val="24"/>
          <w:szCs w:val="24"/>
        </w:rPr>
        <w:t>天，严重污染天数</w:t>
      </w:r>
      <w:r>
        <w:rPr>
          <w:sz w:val="24"/>
          <w:szCs w:val="24"/>
        </w:rPr>
        <w:t>0</w:t>
      </w:r>
      <w:r>
        <w:rPr>
          <w:sz w:val="24"/>
          <w:szCs w:val="24"/>
        </w:rPr>
        <w:t>天。较上年污染天数减少</w:t>
      </w:r>
      <w:r>
        <w:rPr>
          <w:sz w:val="24"/>
          <w:szCs w:val="24"/>
        </w:rPr>
        <w:t>27</w:t>
      </w:r>
      <w:r>
        <w:rPr>
          <w:sz w:val="24"/>
          <w:szCs w:val="24"/>
        </w:rPr>
        <w:t>天，其中轻度污染、中度污染、重度污染及严重污染天数分别减少</w:t>
      </w:r>
      <w:r>
        <w:rPr>
          <w:sz w:val="24"/>
          <w:szCs w:val="24"/>
        </w:rPr>
        <w:t>16</w:t>
      </w:r>
      <w:r>
        <w:rPr>
          <w:sz w:val="24"/>
          <w:szCs w:val="24"/>
        </w:rPr>
        <w:t>天、</w:t>
      </w:r>
      <w:r>
        <w:rPr>
          <w:sz w:val="24"/>
          <w:szCs w:val="24"/>
        </w:rPr>
        <w:t>9</w:t>
      </w:r>
      <w:r>
        <w:rPr>
          <w:sz w:val="24"/>
          <w:szCs w:val="24"/>
        </w:rPr>
        <w:t>天、</w:t>
      </w:r>
      <w:r>
        <w:rPr>
          <w:sz w:val="24"/>
          <w:szCs w:val="24"/>
        </w:rPr>
        <w:t>1</w:t>
      </w:r>
      <w:r>
        <w:rPr>
          <w:sz w:val="24"/>
          <w:szCs w:val="24"/>
        </w:rPr>
        <w:t>天</w:t>
      </w:r>
      <w:r>
        <w:rPr>
          <w:sz w:val="24"/>
          <w:szCs w:val="24"/>
        </w:rPr>
        <w:t>、</w:t>
      </w:r>
      <w:r>
        <w:rPr>
          <w:sz w:val="24"/>
          <w:szCs w:val="24"/>
        </w:rPr>
        <w:t>1</w:t>
      </w:r>
      <w:r>
        <w:rPr>
          <w:sz w:val="24"/>
          <w:szCs w:val="24"/>
        </w:rPr>
        <w:t>天。具体情况见表</w:t>
      </w:r>
      <w:r>
        <w:rPr>
          <w:sz w:val="24"/>
          <w:szCs w:val="24"/>
        </w:rPr>
        <w:t>4.3-1</w:t>
      </w:r>
      <w:r>
        <w:rPr>
          <w:sz w:val="24"/>
          <w:szCs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4.3-1  202</w:t>
      </w:r>
      <w:r>
        <w:rPr>
          <w:rFonts w:eastAsia="黑体" w:hint="eastAsia"/>
          <w:kern w:val="2"/>
          <w:sz w:val="21"/>
          <w:szCs w:val="21"/>
        </w:rPr>
        <w:t>1</w:t>
      </w:r>
      <w:r>
        <w:rPr>
          <w:rFonts w:eastAsia="黑体"/>
          <w:kern w:val="2"/>
          <w:sz w:val="21"/>
          <w:szCs w:val="21"/>
        </w:rPr>
        <w:t>年唐山市环境空气质量年均浓度值情况表单位（</w:t>
      </w:r>
      <w:r>
        <w:rPr>
          <w:rFonts w:eastAsia="黑体"/>
          <w:kern w:val="2"/>
          <w:sz w:val="21"/>
          <w:szCs w:val="21"/>
        </w:rPr>
        <w:t>μg/m</w:t>
      </w:r>
      <w:r>
        <w:rPr>
          <w:rFonts w:eastAsia="黑体"/>
          <w:kern w:val="2"/>
          <w:sz w:val="21"/>
          <w:szCs w:val="21"/>
          <w:vertAlign w:val="superscript"/>
        </w:rPr>
        <w:t>3</w:t>
      </w:r>
      <w:r>
        <w:rPr>
          <w:rFonts w:eastAsia="黑体"/>
          <w:kern w:val="2"/>
          <w:sz w:val="21"/>
          <w:szCs w:val="21"/>
        </w:rPr>
        <w:t>，</w:t>
      </w:r>
      <w:r>
        <w:rPr>
          <w:rFonts w:eastAsia="黑体"/>
          <w:kern w:val="2"/>
          <w:sz w:val="21"/>
          <w:szCs w:val="21"/>
        </w:rPr>
        <w:t>CO</w:t>
      </w:r>
      <w:r>
        <w:rPr>
          <w:rFonts w:eastAsia="黑体"/>
          <w:kern w:val="2"/>
          <w:sz w:val="21"/>
          <w:szCs w:val="21"/>
        </w:rPr>
        <w:t>为</w:t>
      </w:r>
      <w:r>
        <w:rPr>
          <w:rFonts w:eastAsia="黑体"/>
          <w:kern w:val="2"/>
          <w:sz w:val="21"/>
          <w:szCs w:val="21"/>
        </w:rPr>
        <w:t>mg/m</w:t>
      </w:r>
      <w:r>
        <w:rPr>
          <w:rFonts w:eastAsia="黑体"/>
          <w:kern w:val="2"/>
          <w:sz w:val="21"/>
          <w:szCs w:val="21"/>
          <w:vertAlign w:val="superscript"/>
        </w:rPr>
        <w:t>3</w:t>
      </w:r>
      <w:r>
        <w:rPr>
          <w:rFonts w:eastAsia="黑体"/>
          <w:kern w:val="2"/>
          <w:sz w:val="21"/>
          <w:szCs w:val="21"/>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CellMar>
          <w:left w:w="30" w:type="dxa"/>
          <w:right w:w="30" w:type="dxa"/>
        </w:tblCellMar>
        <w:tblLook w:val="04A0" w:firstRow="1" w:lastRow="0" w:firstColumn="1" w:lastColumn="0" w:noHBand="0" w:noVBand="1"/>
      </w:tblPr>
      <w:tblGrid>
        <w:gridCol w:w="1328"/>
        <w:gridCol w:w="1134"/>
        <w:gridCol w:w="1066"/>
        <w:gridCol w:w="1054"/>
        <w:gridCol w:w="1080"/>
        <w:gridCol w:w="1110"/>
        <w:gridCol w:w="2209"/>
      </w:tblGrid>
      <w:tr w:rsidR="00DB7CC8">
        <w:trPr>
          <w:trHeight w:val="454"/>
          <w:jc w:val="center"/>
        </w:trPr>
        <w:tc>
          <w:tcPr>
            <w:tcW w:w="1328" w:type="dxa"/>
            <w:shd w:val="clear" w:color="auto" w:fill="auto"/>
            <w:vAlign w:val="center"/>
          </w:tcPr>
          <w:p w:rsidR="00DB7CC8" w:rsidRDefault="002B5250">
            <w:pPr>
              <w:spacing w:line="400" w:lineRule="exact"/>
              <w:ind w:firstLine="380"/>
              <w:jc w:val="center"/>
              <w:rPr>
                <w:spacing w:val="-10"/>
                <w:sz w:val="21"/>
                <w:szCs w:val="21"/>
              </w:rPr>
            </w:pPr>
            <w:r>
              <w:rPr>
                <w:spacing w:val="-10"/>
                <w:sz w:val="21"/>
                <w:szCs w:val="21"/>
              </w:rPr>
              <w:t>指标</w:t>
            </w:r>
          </w:p>
        </w:tc>
        <w:tc>
          <w:tcPr>
            <w:tcW w:w="1134"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SO</w:t>
            </w:r>
            <w:r>
              <w:rPr>
                <w:rFonts w:ascii="Times New Roman" w:hAnsi="Times New Roman" w:cs="Times New Roman"/>
                <w:sz w:val="21"/>
                <w:szCs w:val="21"/>
                <w:vertAlign w:val="subscript"/>
              </w:rPr>
              <w:t>2</w:t>
            </w:r>
          </w:p>
        </w:tc>
        <w:tc>
          <w:tcPr>
            <w:tcW w:w="1066"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NO</w:t>
            </w:r>
            <w:r>
              <w:rPr>
                <w:rFonts w:ascii="Times New Roman" w:hAnsi="Times New Roman" w:cs="Times New Roman"/>
                <w:sz w:val="21"/>
                <w:szCs w:val="21"/>
                <w:vertAlign w:val="subscript"/>
              </w:rPr>
              <w:t>2</w:t>
            </w:r>
          </w:p>
        </w:tc>
        <w:tc>
          <w:tcPr>
            <w:tcW w:w="1054"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PM</w:t>
            </w:r>
            <w:r>
              <w:rPr>
                <w:rFonts w:ascii="Times New Roman" w:hAnsi="Times New Roman" w:cs="Times New Roman"/>
                <w:sz w:val="21"/>
                <w:szCs w:val="21"/>
                <w:vertAlign w:val="subscript"/>
              </w:rPr>
              <w:t>10</w:t>
            </w:r>
          </w:p>
        </w:tc>
        <w:tc>
          <w:tcPr>
            <w:tcW w:w="1080"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PM</w:t>
            </w:r>
            <w:r>
              <w:rPr>
                <w:rFonts w:ascii="Times New Roman" w:hAnsi="Times New Roman" w:cs="Times New Roman"/>
                <w:sz w:val="21"/>
                <w:szCs w:val="21"/>
                <w:vertAlign w:val="subscript"/>
              </w:rPr>
              <w:t>2.5</w:t>
            </w:r>
          </w:p>
        </w:tc>
        <w:tc>
          <w:tcPr>
            <w:tcW w:w="1110"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CO</w:t>
            </w:r>
          </w:p>
        </w:tc>
        <w:tc>
          <w:tcPr>
            <w:tcW w:w="2209"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O</w:t>
            </w:r>
            <w:r>
              <w:rPr>
                <w:rFonts w:ascii="Times New Roman" w:hAnsi="Times New Roman" w:cs="Times New Roman"/>
                <w:sz w:val="21"/>
                <w:szCs w:val="21"/>
                <w:vertAlign w:val="subscript"/>
              </w:rPr>
              <w:t>3</w:t>
            </w:r>
            <w:r>
              <w:rPr>
                <w:rFonts w:ascii="Times New Roman" w:hAnsi="Times New Roman" w:cs="Times New Roman"/>
                <w:sz w:val="21"/>
                <w:szCs w:val="21"/>
              </w:rPr>
              <w:t>（日最大</w:t>
            </w:r>
            <w:r>
              <w:rPr>
                <w:rFonts w:ascii="Times New Roman" w:hAnsi="Times New Roman" w:cs="Times New Roman"/>
                <w:sz w:val="21"/>
                <w:szCs w:val="21"/>
              </w:rPr>
              <w:t>8</w:t>
            </w:r>
            <w:r>
              <w:rPr>
                <w:rFonts w:ascii="Times New Roman" w:hAnsi="Times New Roman" w:cs="Times New Roman"/>
                <w:sz w:val="21"/>
                <w:szCs w:val="21"/>
              </w:rPr>
              <w:t>小时平均）</w:t>
            </w:r>
          </w:p>
        </w:tc>
      </w:tr>
      <w:tr w:rsidR="00DB7CC8">
        <w:trPr>
          <w:trHeight w:val="454"/>
          <w:jc w:val="center"/>
        </w:trPr>
        <w:tc>
          <w:tcPr>
            <w:tcW w:w="1328"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pacing w:val="-10"/>
                <w:sz w:val="21"/>
                <w:szCs w:val="21"/>
              </w:rPr>
            </w:pPr>
            <w:r>
              <w:rPr>
                <w:rFonts w:ascii="Times New Roman" w:hAnsi="Times New Roman" w:cs="Times New Roman"/>
                <w:sz w:val="21"/>
                <w:szCs w:val="21"/>
              </w:rPr>
              <w:t>202</w:t>
            </w:r>
            <w:r>
              <w:rPr>
                <w:rFonts w:ascii="Times New Roman" w:hAnsi="Times New Roman" w:cs="Times New Roman" w:hint="eastAsia"/>
                <w:sz w:val="21"/>
                <w:szCs w:val="21"/>
              </w:rPr>
              <w:t>1</w:t>
            </w:r>
            <w:r>
              <w:rPr>
                <w:rFonts w:ascii="Times New Roman" w:hAnsi="Times New Roman" w:cs="Times New Roman"/>
                <w:sz w:val="21"/>
                <w:szCs w:val="21"/>
              </w:rPr>
              <w:t>年均值</w:t>
            </w:r>
          </w:p>
        </w:tc>
        <w:tc>
          <w:tcPr>
            <w:tcW w:w="1134"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18</w:t>
            </w:r>
          </w:p>
        </w:tc>
        <w:tc>
          <w:tcPr>
            <w:tcW w:w="1066"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46</w:t>
            </w:r>
          </w:p>
        </w:tc>
        <w:tc>
          <w:tcPr>
            <w:tcW w:w="1054"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88</w:t>
            </w:r>
          </w:p>
        </w:tc>
        <w:tc>
          <w:tcPr>
            <w:tcW w:w="1080"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49</w:t>
            </w:r>
          </w:p>
        </w:tc>
        <w:tc>
          <w:tcPr>
            <w:tcW w:w="1110"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2.5</w:t>
            </w:r>
          </w:p>
        </w:tc>
        <w:tc>
          <w:tcPr>
            <w:tcW w:w="2209"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182</w:t>
            </w:r>
          </w:p>
        </w:tc>
      </w:tr>
      <w:tr w:rsidR="00DB7CC8">
        <w:trPr>
          <w:trHeight w:val="454"/>
          <w:jc w:val="center"/>
        </w:trPr>
        <w:tc>
          <w:tcPr>
            <w:tcW w:w="1328"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年均值标准</w:t>
            </w:r>
          </w:p>
        </w:tc>
        <w:tc>
          <w:tcPr>
            <w:tcW w:w="1134"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60</w:t>
            </w:r>
          </w:p>
        </w:tc>
        <w:tc>
          <w:tcPr>
            <w:tcW w:w="1066"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40</w:t>
            </w:r>
          </w:p>
        </w:tc>
        <w:tc>
          <w:tcPr>
            <w:tcW w:w="1054"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70</w:t>
            </w:r>
          </w:p>
        </w:tc>
        <w:tc>
          <w:tcPr>
            <w:tcW w:w="1080"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35</w:t>
            </w:r>
          </w:p>
        </w:tc>
        <w:tc>
          <w:tcPr>
            <w:tcW w:w="1110"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2209"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w:t>
            </w:r>
          </w:p>
        </w:tc>
      </w:tr>
      <w:tr w:rsidR="00DB7CC8">
        <w:trPr>
          <w:trHeight w:val="454"/>
          <w:jc w:val="center"/>
        </w:trPr>
        <w:tc>
          <w:tcPr>
            <w:tcW w:w="1328"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日均值标准</w:t>
            </w:r>
          </w:p>
        </w:tc>
        <w:tc>
          <w:tcPr>
            <w:tcW w:w="1134"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150</w:t>
            </w:r>
          </w:p>
        </w:tc>
        <w:tc>
          <w:tcPr>
            <w:tcW w:w="1066"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80</w:t>
            </w:r>
          </w:p>
        </w:tc>
        <w:tc>
          <w:tcPr>
            <w:tcW w:w="1054"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150</w:t>
            </w:r>
          </w:p>
        </w:tc>
        <w:tc>
          <w:tcPr>
            <w:tcW w:w="1080"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75</w:t>
            </w:r>
          </w:p>
        </w:tc>
        <w:tc>
          <w:tcPr>
            <w:tcW w:w="1110"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4</w:t>
            </w:r>
          </w:p>
        </w:tc>
        <w:tc>
          <w:tcPr>
            <w:tcW w:w="2209"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160</w:t>
            </w:r>
          </w:p>
        </w:tc>
      </w:tr>
      <w:tr w:rsidR="00DB7CC8">
        <w:trPr>
          <w:trHeight w:val="454"/>
          <w:jc w:val="center"/>
        </w:trPr>
        <w:tc>
          <w:tcPr>
            <w:tcW w:w="1328"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达标情况</w:t>
            </w:r>
          </w:p>
        </w:tc>
        <w:tc>
          <w:tcPr>
            <w:tcW w:w="1134"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达标</w:t>
            </w:r>
          </w:p>
        </w:tc>
        <w:tc>
          <w:tcPr>
            <w:tcW w:w="1066"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超标</w:t>
            </w:r>
          </w:p>
        </w:tc>
        <w:tc>
          <w:tcPr>
            <w:tcW w:w="1054"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超标</w:t>
            </w:r>
          </w:p>
        </w:tc>
        <w:tc>
          <w:tcPr>
            <w:tcW w:w="1080"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超标</w:t>
            </w:r>
          </w:p>
        </w:tc>
        <w:tc>
          <w:tcPr>
            <w:tcW w:w="1110"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达标</w:t>
            </w:r>
          </w:p>
        </w:tc>
        <w:tc>
          <w:tcPr>
            <w:tcW w:w="2209"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超标</w:t>
            </w:r>
          </w:p>
        </w:tc>
      </w:tr>
      <w:tr w:rsidR="00DB7CC8">
        <w:trPr>
          <w:trHeight w:val="454"/>
          <w:jc w:val="center"/>
        </w:trPr>
        <w:tc>
          <w:tcPr>
            <w:tcW w:w="1328"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超标百分数</w:t>
            </w:r>
          </w:p>
        </w:tc>
        <w:tc>
          <w:tcPr>
            <w:tcW w:w="1134"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1066"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15%</w:t>
            </w:r>
          </w:p>
        </w:tc>
        <w:tc>
          <w:tcPr>
            <w:tcW w:w="1054"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25.7%</w:t>
            </w:r>
          </w:p>
        </w:tc>
        <w:tc>
          <w:tcPr>
            <w:tcW w:w="1080"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40%</w:t>
            </w:r>
          </w:p>
        </w:tc>
        <w:tc>
          <w:tcPr>
            <w:tcW w:w="1110"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w:t>
            </w:r>
          </w:p>
        </w:tc>
        <w:tc>
          <w:tcPr>
            <w:tcW w:w="2209"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13.75%</w:t>
            </w:r>
          </w:p>
        </w:tc>
      </w:tr>
      <w:tr w:rsidR="00DB7CC8">
        <w:trPr>
          <w:trHeight w:val="454"/>
          <w:jc w:val="center"/>
        </w:trPr>
        <w:tc>
          <w:tcPr>
            <w:tcW w:w="1328"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20</w:t>
            </w:r>
            <w:r>
              <w:rPr>
                <w:rFonts w:ascii="Times New Roman" w:hAnsi="Times New Roman" w:cs="Times New Roman" w:hint="eastAsia"/>
                <w:sz w:val="21"/>
                <w:szCs w:val="21"/>
              </w:rPr>
              <w:t>20</w:t>
            </w:r>
            <w:r>
              <w:rPr>
                <w:rFonts w:ascii="Times New Roman" w:hAnsi="Times New Roman" w:cs="Times New Roman"/>
                <w:sz w:val="21"/>
                <w:szCs w:val="21"/>
              </w:rPr>
              <w:t>年与上年相比</w:t>
            </w:r>
          </w:p>
        </w:tc>
        <w:tc>
          <w:tcPr>
            <w:tcW w:w="1134"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下降</w:t>
            </w:r>
            <w:r>
              <w:rPr>
                <w:rFonts w:ascii="Times New Roman" w:hAnsi="Times New Roman" w:cs="Times New Roman"/>
                <w:sz w:val="21"/>
                <w:szCs w:val="21"/>
              </w:rPr>
              <w:t>18.2%</w:t>
            </w:r>
          </w:p>
        </w:tc>
        <w:tc>
          <w:tcPr>
            <w:tcW w:w="1066"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下降</w:t>
            </w:r>
            <w:r>
              <w:rPr>
                <w:rFonts w:ascii="Times New Roman" w:hAnsi="Times New Roman" w:cs="Times New Roman"/>
                <w:sz w:val="21"/>
                <w:szCs w:val="21"/>
              </w:rPr>
              <w:t>9.8%</w:t>
            </w:r>
          </w:p>
        </w:tc>
        <w:tc>
          <w:tcPr>
            <w:tcW w:w="1054"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下降</w:t>
            </w:r>
            <w:r>
              <w:rPr>
                <w:rFonts w:ascii="Times New Roman" w:hAnsi="Times New Roman" w:cs="Times New Roman"/>
                <w:sz w:val="21"/>
                <w:szCs w:val="21"/>
              </w:rPr>
              <w:t>12.9%</w:t>
            </w:r>
          </w:p>
        </w:tc>
        <w:tc>
          <w:tcPr>
            <w:tcW w:w="1080"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下降</w:t>
            </w:r>
            <w:r>
              <w:rPr>
                <w:rFonts w:ascii="Times New Roman" w:hAnsi="Times New Roman" w:cs="Times New Roman"/>
                <w:sz w:val="21"/>
                <w:szCs w:val="21"/>
              </w:rPr>
              <w:t>9.3%</w:t>
            </w:r>
          </w:p>
        </w:tc>
        <w:tc>
          <w:tcPr>
            <w:tcW w:w="1110"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下降</w:t>
            </w:r>
            <w:r>
              <w:rPr>
                <w:rFonts w:ascii="Times New Roman" w:hAnsi="Times New Roman" w:cs="Times New Roman"/>
                <w:sz w:val="21"/>
                <w:szCs w:val="21"/>
              </w:rPr>
              <w:t>13.8%</w:t>
            </w:r>
          </w:p>
        </w:tc>
        <w:tc>
          <w:tcPr>
            <w:tcW w:w="2209" w:type="dxa"/>
            <w:shd w:val="clear" w:color="auto" w:fill="auto"/>
            <w:vAlign w:val="center"/>
          </w:tcPr>
          <w:p w:rsidR="00DB7CC8" w:rsidRDefault="002B5250">
            <w:pPr>
              <w:pStyle w:val="aff9"/>
              <w:spacing w:before="0" w:beforeAutospacing="0" w:after="0" w:afterAutospacing="0" w:line="400" w:lineRule="exact"/>
              <w:jc w:val="center"/>
              <w:rPr>
                <w:rFonts w:ascii="Times New Roman" w:hAnsi="Times New Roman" w:cs="Times New Roman"/>
                <w:sz w:val="21"/>
                <w:szCs w:val="21"/>
              </w:rPr>
            </w:pPr>
            <w:r>
              <w:rPr>
                <w:rFonts w:ascii="Times New Roman" w:hAnsi="Times New Roman" w:cs="Times New Roman"/>
                <w:sz w:val="21"/>
                <w:szCs w:val="21"/>
              </w:rPr>
              <w:t>下降</w:t>
            </w:r>
            <w:r>
              <w:rPr>
                <w:rFonts w:ascii="Times New Roman" w:hAnsi="Times New Roman" w:cs="Times New Roman"/>
                <w:sz w:val="21"/>
                <w:szCs w:val="21"/>
              </w:rPr>
              <w:t>4.2%</w:t>
            </w:r>
          </w:p>
        </w:tc>
      </w:tr>
    </w:tbl>
    <w:p w:rsidR="00DB7CC8" w:rsidRDefault="002B5250">
      <w:pPr>
        <w:spacing w:line="480" w:lineRule="exact"/>
        <w:ind w:firstLine="480"/>
        <w:jc w:val="both"/>
        <w:rPr>
          <w:sz w:val="24"/>
          <w:szCs w:val="24"/>
        </w:rPr>
      </w:pPr>
      <w:r>
        <w:rPr>
          <w:sz w:val="24"/>
          <w:szCs w:val="24"/>
        </w:rPr>
        <w:t>由表</w:t>
      </w:r>
      <w:r>
        <w:rPr>
          <w:sz w:val="24"/>
          <w:szCs w:val="24"/>
        </w:rPr>
        <w:t>4.3-1</w:t>
      </w:r>
      <w:r>
        <w:rPr>
          <w:sz w:val="24"/>
          <w:szCs w:val="24"/>
        </w:rPr>
        <w:t>可知，本项目所在区域</w:t>
      </w:r>
      <w:r>
        <w:rPr>
          <w:sz w:val="24"/>
          <w:szCs w:val="24"/>
        </w:rPr>
        <w:t>CO</w:t>
      </w:r>
      <w:r>
        <w:rPr>
          <w:sz w:val="24"/>
          <w:szCs w:val="24"/>
        </w:rPr>
        <w:t>日均浓度值、</w:t>
      </w:r>
      <w:r>
        <w:rPr>
          <w:sz w:val="24"/>
          <w:szCs w:val="24"/>
        </w:rPr>
        <w:t>SO</w:t>
      </w:r>
      <w:r>
        <w:rPr>
          <w:sz w:val="24"/>
          <w:szCs w:val="24"/>
          <w:vertAlign w:val="subscript"/>
        </w:rPr>
        <w:t>2</w:t>
      </w:r>
      <w:r>
        <w:rPr>
          <w:sz w:val="24"/>
          <w:szCs w:val="24"/>
        </w:rPr>
        <w:t>年均浓度值满足环境空气质量标准要求；</w:t>
      </w:r>
      <w:r>
        <w:rPr>
          <w:sz w:val="24"/>
          <w:szCs w:val="24"/>
        </w:rPr>
        <w:t>NO</w:t>
      </w:r>
      <w:r>
        <w:rPr>
          <w:sz w:val="24"/>
          <w:szCs w:val="24"/>
          <w:vertAlign w:val="subscript"/>
        </w:rPr>
        <w:t>2</w:t>
      </w:r>
      <w:r>
        <w:rPr>
          <w:sz w:val="24"/>
          <w:szCs w:val="24"/>
        </w:rPr>
        <w:t>、</w:t>
      </w:r>
      <w:r>
        <w:rPr>
          <w:sz w:val="24"/>
          <w:szCs w:val="24"/>
        </w:rPr>
        <w:t>PM</w:t>
      </w:r>
      <w:r>
        <w:rPr>
          <w:sz w:val="24"/>
          <w:szCs w:val="24"/>
          <w:vertAlign w:val="subscript"/>
        </w:rPr>
        <w:t>10</w:t>
      </w:r>
      <w:r>
        <w:rPr>
          <w:sz w:val="24"/>
          <w:szCs w:val="24"/>
        </w:rPr>
        <w:t>、</w:t>
      </w:r>
      <w:r>
        <w:rPr>
          <w:sz w:val="24"/>
          <w:szCs w:val="24"/>
        </w:rPr>
        <w:t>PM</w:t>
      </w:r>
      <w:r>
        <w:rPr>
          <w:sz w:val="24"/>
          <w:szCs w:val="24"/>
          <w:vertAlign w:val="subscript"/>
        </w:rPr>
        <w:t>2.5</w:t>
      </w:r>
      <w:r>
        <w:rPr>
          <w:sz w:val="24"/>
          <w:szCs w:val="24"/>
        </w:rPr>
        <w:t>、</w:t>
      </w:r>
      <w:r>
        <w:rPr>
          <w:sz w:val="24"/>
          <w:szCs w:val="24"/>
        </w:rPr>
        <w:t>O</w:t>
      </w:r>
      <w:r>
        <w:rPr>
          <w:sz w:val="24"/>
          <w:szCs w:val="24"/>
          <w:vertAlign w:val="subscript"/>
        </w:rPr>
        <w:t>3</w:t>
      </w:r>
      <w:r>
        <w:rPr>
          <w:sz w:val="24"/>
          <w:szCs w:val="24"/>
        </w:rPr>
        <w:t>浓度值超过环境空气质量标准要求。因此，项目所在区域属于不达标区。</w:t>
      </w:r>
    </w:p>
    <w:p w:rsidR="00DB7CC8" w:rsidRDefault="002B5250">
      <w:pPr>
        <w:pStyle w:val="4"/>
      </w:pPr>
      <w:r>
        <w:t>4.3.1.2</w:t>
      </w:r>
      <w:r>
        <w:t>大气环境质量现状补充监测</w:t>
      </w:r>
    </w:p>
    <w:p w:rsidR="00DB7CC8" w:rsidRDefault="002B5250">
      <w:pPr>
        <w:spacing w:line="480" w:lineRule="exact"/>
        <w:ind w:firstLine="480"/>
        <w:rPr>
          <w:sz w:val="24"/>
          <w:szCs w:val="24"/>
        </w:rPr>
      </w:pPr>
      <w:r>
        <w:rPr>
          <w:sz w:val="24"/>
          <w:szCs w:val="24"/>
        </w:rPr>
        <w:t>本项目对</w:t>
      </w:r>
      <w:r>
        <w:rPr>
          <w:sz w:val="24"/>
          <w:szCs w:val="24"/>
        </w:rPr>
        <w:t>TSP</w:t>
      </w:r>
      <w:r>
        <w:rPr>
          <w:sz w:val="24"/>
          <w:szCs w:val="24"/>
        </w:rPr>
        <w:t>现状补充预测得到以下监测数据：</w:t>
      </w:r>
    </w:p>
    <w:p w:rsidR="00DB7CC8" w:rsidRDefault="002B5250">
      <w:pPr>
        <w:spacing w:line="480" w:lineRule="exact"/>
        <w:ind w:firstLine="480"/>
        <w:rPr>
          <w:sz w:val="24"/>
          <w:szCs w:val="24"/>
        </w:rPr>
      </w:pPr>
      <w:r>
        <w:rPr>
          <w:sz w:val="24"/>
          <w:szCs w:val="24"/>
        </w:rPr>
        <w:t>1</w:t>
      </w:r>
      <w:r>
        <w:rPr>
          <w:sz w:val="24"/>
          <w:szCs w:val="24"/>
        </w:rPr>
        <w:t>、监测点位置及监测因子</w:t>
      </w:r>
    </w:p>
    <w:p w:rsidR="00DB7CC8" w:rsidRDefault="002B5250">
      <w:pPr>
        <w:spacing w:line="480" w:lineRule="exact"/>
        <w:ind w:firstLine="480"/>
        <w:rPr>
          <w:b/>
          <w:bCs/>
          <w:sz w:val="24"/>
          <w:szCs w:val="24"/>
        </w:rPr>
      </w:pPr>
      <w:r>
        <w:rPr>
          <w:sz w:val="24"/>
          <w:szCs w:val="24"/>
        </w:rPr>
        <w:t>根据项目污染源排放特征和所确定的大气环境评价等级，结合项目厂址所在区域的地形特点及当地的气象特征，本次评价选取项目厂区作为监测点，项目采样日期为</w:t>
      </w:r>
      <w:r>
        <w:rPr>
          <w:kern w:val="2"/>
          <w:sz w:val="24"/>
          <w:szCs w:val="24"/>
        </w:rPr>
        <w:t>202</w:t>
      </w:r>
      <w:r>
        <w:rPr>
          <w:rFonts w:hint="eastAsia"/>
          <w:kern w:val="2"/>
          <w:sz w:val="24"/>
          <w:szCs w:val="24"/>
        </w:rPr>
        <w:t>3</w:t>
      </w:r>
      <w:r>
        <w:rPr>
          <w:kern w:val="2"/>
          <w:sz w:val="24"/>
          <w:szCs w:val="24"/>
        </w:rPr>
        <w:t>年</w:t>
      </w:r>
      <w:r>
        <w:rPr>
          <w:rFonts w:hint="eastAsia"/>
          <w:kern w:val="2"/>
          <w:sz w:val="24"/>
          <w:szCs w:val="24"/>
        </w:rPr>
        <w:t>04</w:t>
      </w:r>
      <w:r>
        <w:rPr>
          <w:kern w:val="2"/>
          <w:sz w:val="24"/>
          <w:szCs w:val="24"/>
        </w:rPr>
        <w:t>月</w:t>
      </w:r>
      <w:r>
        <w:rPr>
          <w:rFonts w:hint="eastAsia"/>
          <w:kern w:val="2"/>
          <w:sz w:val="24"/>
          <w:szCs w:val="24"/>
        </w:rPr>
        <w:t>2</w:t>
      </w:r>
      <w:r>
        <w:rPr>
          <w:rFonts w:hint="eastAsia"/>
          <w:kern w:val="2"/>
          <w:sz w:val="24"/>
          <w:szCs w:val="24"/>
        </w:rPr>
        <w:t>6</w:t>
      </w:r>
      <w:r>
        <w:rPr>
          <w:kern w:val="2"/>
          <w:sz w:val="24"/>
          <w:szCs w:val="24"/>
        </w:rPr>
        <w:t>日</w:t>
      </w:r>
      <w:r>
        <w:rPr>
          <w:kern w:val="2"/>
          <w:sz w:val="24"/>
          <w:szCs w:val="24"/>
        </w:rPr>
        <w:t>~0</w:t>
      </w:r>
      <w:r>
        <w:rPr>
          <w:rFonts w:hint="eastAsia"/>
          <w:kern w:val="2"/>
          <w:sz w:val="24"/>
          <w:szCs w:val="24"/>
        </w:rPr>
        <w:t>5</w:t>
      </w:r>
      <w:r>
        <w:rPr>
          <w:kern w:val="2"/>
          <w:sz w:val="24"/>
          <w:szCs w:val="24"/>
        </w:rPr>
        <w:t>月</w:t>
      </w:r>
      <w:r>
        <w:rPr>
          <w:rFonts w:hint="eastAsia"/>
          <w:kern w:val="2"/>
          <w:sz w:val="24"/>
          <w:szCs w:val="24"/>
        </w:rPr>
        <w:t>2</w:t>
      </w:r>
      <w:r>
        <w:rPr>
          <w:kern w:val="2"/>
          <w:sz w:val="24"/>
          <w:szCs w:val="24"/>
        </w:rPr>
        <w:t>日</w:t>
      </w:r>
      <w:r>
        <w:rPr>
          <w:sz w:val="24"/>
          <w:szCs w:val="24"/>
        </w:rPr>
        <w:t>，项目监测因子及相对厂址位置见表</w:t>
      </w:r>
      <w:r>
        <w:rPr>
          <w:sz w:val="24"/>
          <w:szCs w:val="24"/>
        </w:rPr>
        <w:t>4.3-2</w:t>
      </w:r>
      <w:r>
        <w:rPr>
          <w:sz w:val="24"/>
          <w:szCs w:val="24"/>
        </w:rPr>
        <w:t>。</w:t>
      </w:r>
    </w:p>
    <w:p w:rsidR="00DB7CC8" w:rsidRDefault="002B5250">
      <w:pPr>
        <w:spacing w:line="240" w:lineRule="auto"/>
        <w:ind w:firstLineChars="0" w:firstLine="420"/>
        <w:jc w:val="center"/>
        <w:textAlignment w:val="baseline"/>
        <w:rPr>
          <w:rFonts w:eastAsia="黑体"/>
          <w:bCs/>
          <w:kern w:val="2"/>
          <w:sz w:val="21"/>
          <w:szCs w:val="21"/>
        </w:rPr>
      </w:pPr>
      <w:r>
        <w:rPr>
          <w:rFonts w:eastAsia="黑体"/>
          <w:bCs/>
          <w:kern w:val="2"/>
          <w:sz w:val="21"/>
          <w:szCs w:val="21"/>
        </w:rPr>
        <w:t>表</w:t>
      </w:r>
      <w:r>
        <w:rPr>
          <w:rFonts w:eastAsia="黑体"/>
          <w:bCs/>
          <w:kern w:val="2"/>
          <w:sz w:val="21"/>
          <w:szCs w:val="21"/>
        </w:rPr>
        <w:t xml:space="preserve">4.3-2  </w:t>
      </w:r>
      <w:r>
        <w:rPr>
          <w:rFonts w:eastAsia="黑体"/>
          <w:bCs/>
          <w:kern w:val="2"/>
          <w:sz w:val="21"/>
          <w:szCs w:val="21"/>
        </w:rPr>
        <w:t>环境空气现状监测点及监测因子一览表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4"/>
        <w:gridCol w:w="1515"/>
        <w:gridCol w:w="1968"/>
        <w:gridCol w:w="1843"/>
        <w:gridCol w:w="2413"/>
      </w:tblGrid>
      <w:tr w:rsidR="00DB7CC8">
        <w:trPr>
          <w:trHeight w:val="454"/>
          <w:jc w:val="center"/>
        </w:trPr>
        <w:tc>
          <w:tcPr>
            <w:tcW w:w="684" w:type="dxa"/>
            <w:vMerge w:val="restart"/>
            <w:vAlign w:val="center"/>
          </w:tcPr>
          <w:p w:rsidR="00DB7CC8" w:rsidRDefault="002B5250">
            <w:pPr>
              <w:spacing w:line="240" w:lineRule="auto"/>
              <w:ind w:firstLineChars="0" w:firstLine="0"/>
              <w:jc w:val="center"/>
              <w:rPr>
                <w:sz w:val="21"/>
                <w:szCs w:val="21"/>
              </w:rPr>
            </w:pPr>
            <w:r>
              <w:rPr>
                <w:sz w:val="21"/>
                <w:szCs w:val="21"/>
              </w:rPr>
              <w:t>序号</w:t>
            </w:r>
          </w:p>
        </w:tc>
        <w:tc>
          <w:tcPr>
            <w:tcW w:w="1515" w:type="dxa"/>
            <w:vMerge w:val="restart"/>
            <w:vAlign w:val="center"/>
          </w:tcPr>
          <w:p w:rsidR="00DB7CC8" w:rsidRDefault="002B5250">
            <w:pPr>
              <w:spacing w:line="240" w:lineRule="auto"/>
              <w:ind w:firstLineChars="0" w:firstLine="0"/>
              <w:jc w:val="center"/>
              <w:rPr>
                <w:sz w:val="21"/>
                <w:szCs w:val="21"/>
              </w:rPr>
            </w:pPr>
            <w:r>
              <w:rPr>
                <w:sz w:val="21"/>
                <w:szCs w:val="21"/>
              </w:rPr>
              <w:t>监测点名称</w:t>
            </w:r>
          </w:p>
        </w:tc>
        <w:tc>
          <w:tcPr>
            <w:tcW w:w="1968" w:type="dxa"/>
            <w:vMerge w:val="restart"/>
            <w:vAlign w:val="center"/>
          </w:tcPr>
          <w:p w:rsidR="00DB7CC8" w:rsidRDefault="002B5250">
            <w:pPr>
              <w:spacing w:line="240" w:lineRule="auto"/>
              <w:ind w:firstLineChars="0" w:firstLine="0"/>
              <w:jc w:val="center"/>
              <w:rPr>
                <w:sz w:val="21"/>
                <w:szCs w:val="21"/>
              </w:rPr>
            </w:pPr>
            <w:r>
              <w:rPr>
                <w:sz w:val="21"/>
                <w:szCs w:val="21"/>
              </w:rPr>
              <w:t>相对于项目方位</w:t>
            </w:r>
          </w:p>
        </w:tc>
        <w:tc>
          <w:tcPr>
            <w:tcW w:w="1843" w:type="dxa"/>
            <w:vMerge w:val="restart"/>
            <w:vAlign w:val="center"/>
          </w:tcPr>
          <w:p w:rsidR="00DB7CC8" w:rsidRDefault="002B5250">
            <w:pPr>
              <w:spacing w:line="240" w:lineRule="auto"/>
              <w:ind w:firstLineChars="0" w:firstLine="0"/>
              <w:jc w:val="center"/>
              <w:rPr>
                <w:sz w:val="21"/>
                <w:szCs w:val="21"/>
              </w:rPr>
            </w:pPr>
            <w:r>
              <w:rPr>
                <w:sz w:val="21"/>
                <w:szCs w:val="21"/>
              </w:rPr>
              <w:t>距本项目距离</w:t>
            </w:r>
          </w:p>
        </w:tc>
        <w:tc>
          <w:tcPr>
            <w:tcW w:w="2413" w:type="dxa"/>
            <w:vAlign w:val="center"/>
          </w:tcPr>
          <w:p w:rsidR="00DB7CC8" w:rsidRDefault="002B5250">
            <w:pPr>
              <w:spacing w:line="240" w:lineRule="auto"/>
              <w:ind w:firstLineChars="0" w:firstLine="0"/>
              <w:jc w:val="center"/>
              <w:rPr>
                <w:sz w:val="21"/>
                <w:szCs w:val="21"/>
              </w:rPr>
            </w:pPr>
            <w:r>
              <w:rPr>
                <w:sz w:val="21"/>
                <w:szCs w:val="21"/>
              </w:rPr>
              <w:t>方案及监测因子</w:t>
            </w:r>
          </w:p>
        </w:tc>
      </w:tr>
      <w:tr w:rsidR="00DB7CC8">
        <w:trPr>
          <w:trHeight w:val="454"/>
          <w:jc w:val="center"/>
        </w:trPr>
        <w:tc>
          <w:tcPr>
            <w:tcW w:w="684" w:type="dxa"/>
            <w:vMerge/>
            <w:vAlign w:val="center"/>
          </w:tcPr>
          <w:p w:rsidR="00DB7CC8" w:rsidRDefault="00DB7CC8">
            <w:pPr>
              <w:spacing w:line="240" w:lineRule="auto"/>
              <w:ind w:firstLineChars="0" w:firstLine="0"/>
              <w:jc w:val="center"/>
              <w:rPr>
                <w:sz w:val="21"/>
                <w:szCs w:val="21"/>
              </w:rPr>
            </w:pPr>
          </w:p>
        </w:tc>
        <w:tc>
          <w:tcPr>
            <w:tcW w:w="1515" w:type="dxa"/>
            <w:vMerge/>
            <w:vAlign w:val="center"/>
          </w:tcPr>
          <w:p w:rsidR="00DB7CC8" w:rsidRDefault="00DB7CC8">
            <w:pPr>
              <w:spacing w:line="240" w:lineRule="auto"/>
              <w:ind w:firstLineChars="0" w:firstLine="0"/>
              <w:jc w:val="center"/>
              <w:rPr>
                <w:sz w:val="21"/>
                <w:szCs w:val="21"/>
              </w:rPr>
            </w:pPr>
          </w:p>
        </w:tc>
        <w:tc>
          <w:tcPr>
            <w:tcW w:w="1968" w:type="dxa"/>
            <w:vMerge/>
            <w:vAlign w:val="center"/>
          </w:tcPr>
          <w:p w:rsidR="00DB7CC8" w:rsidRDefault="00DB7CC8">
            <w:pPr>
              <w:spacing w:line="240" w:lineRule="auto"/>
              <w:ind w:firstLineChars="0" w:firstLine="0"/>
              <w:jc w:val="center"/>
              <w:rPr>
                <w:sz w:val="21"/>
                <w:szCs w:val="21"/>
              </w:rPr>
            </w:pPr>
          </w:p>
        </w:tc>
        <w:tc>
          <w:tcPr>
            <w:tcW w:w="1843" w:type="dxa"/>
            <w:vMerge/>
            <w:vAlign w:val="center"/>
          </w:tcPr>
          <w:p w:rsidR="00DB7CC8" w:rsidRDefault="00DB7CC8">
            <w:pPr>
              <w:spacing w:line="240" w:lineRule="auto"/>
              <w:ind w:firstLineChars="0" w:firstLine="0"/>
              <w:jc w:val="center"/>
              <w:rPr>
                <w:sz w:val="21"/>
                <w:szCs w:val="21"/>
              </w:rPr>
            </w:pPr>
          </w:p>
        </w:tc>
        <w:tc>
          <w:tcPr>
            <w:tcW w:w="2413" w:type="dxa"/>
            <w:vAlign w:val="center"/>
          </w:tcPr>
          <w:p w:rsidR="00DB7CC8" w:rsidRDefault="002B5250">
            <w:pPr>
              <w:spacing w:line="240" w:lineRule="auto"/>
              <w:ind w:firstLineChars="0" w:firstLine="0"/>
              <w:jc w:val="center"/>
              <w:rPr>
                <w:sz w:val="21"/>
                <w:szCs w:val="21"/>
              </w:rPr>
            </w:pPr>
            <w:r>
              <w:rPr>
                <w:sz w:val="21"/>
                <w:szCs w:val="21"/>
              </w:rPr>
              <w:t>24</w:t>
            </w:r>
            <w:r>
              <w:rPr>
                <w:sz w:val="21"/>
                <w:szCs w:val="21"/>
              </w:rPr>
              <w:t>小时平均浓度</w:t>
            </w:r>
          </w:p>
        </w:tc>
      </w:tr>
      <w:tr w:rsidR="00DB7CC8">
        <w:trPr>
          <w:trHeight w:val="454"/>
          <w:jc w:val="center"/>
        </w:trPr>
        <w:tc>
          <w:tcPr>
            <w:tcW w:w="684" w:type="dxa"/>
            <w:vAlign w:val="center"/>
          </w:tcPr>
          <w:p w:rsidR="00DB7CC8" w:rsidRDefault="002B5250">
            <w:pPr>
              <w:spacing w:line="240" w:lineRule="auto"/>
              <w:ind w:firstLineChars="0" w:firstLine="0"/>
              <w:jc w:val="center"/>
              <w:rPr>
                <w:sz w:val="21"/>
                <w:szCs w:val="21"/>
              </w:rPr>
            </w:pPr>
            <w:r>
              <w:rPr>
                <w:sz w:val="21"/>
                <w:szCs w:val="21"/>
              </w:rPr>
              <w:lastRenderedPageBreak/>
              <w:t>1</w:t>
            </w:r>
          </w:p>
        </w:tc>
        <w:tc>
          <w:tcPr>
            <w:tcW w:w="1515" w:type="dxa"/>
            <w:vAlign w:val="center"/>
          </w:tcPr>
          <w:p w:rsidR="00DB7CC8" w:rsidRDefault="002B5250">
            <w:pPr>
              <w:spacing w:line="240" w:lineRule="auto"/>
              <w:ind w:firstLineChars="0" w:firstLine="0"/>
              <w:jc w:val="center"/>
              <w:rPr>
                <w:sz w:val="21"/>
                <w:szCs w:val="21"/>
              </w:rPr>
            </w:pPr>
            <w:r>
              <w:rPr>
                <w:sz w:val="21"/>
                <w:szCs w:val="21"/>
              </w:rPr>
              <w:t>项目厂区</w:t>
            </w:r>
          </w:p>
        </w:tc>
        <w:tc>
          <w:tcPr>
            <w:tcW w:w="1968" w:type="dxa"/>
            <w:vAlign w:val="center"/>
          </w:tcPr>
          <w:p w:rsidR="00DB7CC8" w:rsidRDefault="002B5250">
            <w:pPr>
              <w:spacing w:line="240" w:lineRule="auto"/>
              <w:ind w:firstLineChars="0" w:firstLine="0"/>
              <w:jc w:val="center"/>
              <w:rPr>
                <w:sz w:val="21"/>
                <w:szCs w:val="21"/>
              </w:rPr>
            </w:pPr>
            <w:r>
              <w:rPr>
                <w:sz w:val="21"/>
                <w:szCs w:val="21"/>
              </w:rPr>
              <w:t>/</w:t>
            </w:r>
          </w:p>
        </w:tc>
        <w:tc>
          <w:tcPr>
            <w:tcW w:w="1843" w:type="dxa"/>
            <w:vAlign w:val="center"/>
          </w:tcPr>
          <w:p w:rsidR="00DB7CC8" w:rsidRDefault="002B5250">
            <w:pPr>
              <w:spacing w:line="240" w:lineRule="auto"/>
              <w:ind w:firstLineChars="0" w:firstLine="0"/>
              <w:jc w:val="center"/>
              <w:rPr>
                <w:sz w:val="21"/>
                <w:szCs w:val="21"/>
              </w:rPr>
            </w:pPr>
            <w:r>
              <w:rPr>
                <w:sz w:val="21"/>
                <w:szCs w:val="21"/>
              </w:rPr>
              <w:t>/</w:t>
            </w:r>
          </w:p>
        </w:tc>
        <w:tc>
          <w:tcPr>
            <w:tcW w:w="2413" w:type="dxa"/>
            <w:vAlign w:val="center"/>
          </w:tcPr>
          <w:p w:rsidR="00DB7CC8" w:rsidRDefault="002B5250">
            <w:pPr>
              <w:spacing w:line="240" w:lineRule="auto"/>
              <w:ind w:firstLineChars="0" w:firstLine="0"/>
              <w:jc w:val="center"/>
              <w:rPr>
                <w:sz w:val="21"/>
                <w:szCs w:val="21"/>
              </w:rPr>
            </w:pPr>
            <w:r>
              <w:rPr>
                <w:sz w:val="21"/>
                <w:szCs w:val="21"/>
              </w:rPr>
              <w:t>TSP</w:t>
            </w:r>
          </w:p>
        </w:tc>
      </w:tr>
      <w:tr w:rsidR="00DB7CC8">
        <w:trPr>
          <w:trHeight w:val="454"/>
          <w:jc w:val="center"/>
        </w:trPr>
        <w:tc>
          <w:tcPr>
            <w:tcW w:w="684" w:type="dxa"/>
            <w:vAlign w:val="center"/>
          </w:tcPr>
          <w:p w:rsidR="00DB7CC8" w:rsidRDefault="002B5250">
            <w:pPr>
              <w:spacing w:line="240" w:lineRule="auto"/>
              <w:ind w:firstLineChars="0" w:firstLine="0"/>
              <w:jc w:val="center"/>
              <w:rPr>
                <w:sz w:val="21"/>
                <w:szCs w:val="21"/>
              </w:rPr>
            </w:pPr>
            <w:r>
              <w:rPr>
                <w:rFonts w:hint="eastAsia"/>
                <w:sz w:val="21"/>
                <w:szCs w:val="21"/>
              </w:rPr>
              <w:t>2</w:t>
            </w:r>
          </w:p>
        </w:tc>
        <w:tc>
          <w:tcPr>
            <w:tcW w:w="1515" w:type="dxa"/>
            <w:vAlign w:val="center"/>
          </w:tcPr>
          <w:p w:rsidR="00DB7CC8" w:rsidRDefault="002B5250">
            <w:pPr>
              <w:spacing w:line="240" w:lineRule="auto"/>
              <w:ind w:firstLineChars="0" w:firstLine="0"/>
              <w:jc w:val="center"/>
              <w:rPr>
                <w:sz w:val="21"/>
                <w:szCs w:val="21"/>
              </w:rPr>
            </w:pPr>
            <w:r>
              <w:rPr>
                <w:rFonts w:hint="eastAsia"/>
                <w:sz w:val="21"/>
                <w:szCs w:val="21"/>
              </w:rPr>
              <w:t>庄户村</w:t>
            </w:r>
          </w:p>
        </w:tc>
        <w:tc>
          <w:tcPr>
            <w:tcW w:w="1968" w:type="dxa"/>
            <w:vAlign w:val="center"/>
          </w:tcPr>
          <w:p w:rsidR="00DB7CC8" w:rsidRDefault="002B5250">
            <w:pPr>
              <w:spacing w:line="240" w:lineRule="auto"/>
              <w:ind w:firstLineChars="0" w:firstLine="0"/>
              <w:jc w:val="center"/>
              <w:rPr>
                <w:sz w:val="21"/>
                <w:szCs w:val="21"/>
              </w:rPr>
            </w:pPr>
            <w:r>
              <w:rPr>
                <w:rFonts w:hint="eastAsia"/>
                <w:sz w:val="21"/>
                <w:szCs w:val="21"/>
              </w:rPr>
              <w:t>SW</w:t>
            </w:r>
          </w:p>
        </w:tc>
        <w:tc>
          <w:tcPr>
            <w:tcW w:w="1843" w:type="dxa"/>
            <w:vAlign w:val="center"/>
          </w:tcPr>
          <w:p w:rsidR="00DB7CC8" w:rsidRDefault="002B5250">
            <w:pPr>
              <w:spacing w:line="240" w:lineRule="auto"/>
              <w:ind w:firstLineChars="0" w:firstLine="0"/>
              <w:jc w:val="center"/>
              <w:rPr>
                <w:sz w:val="21"/>
                <w:szCs w:val="21"/>
              </w:rPr>
            </w:pPr>
            <w:r>
              <w:rPr>
                <w:rFonts w:hint="eastAsia"/>
                <w:sz w:val="21"/>
                <w:szCs w:val="21"/>
              </w:rPr>
              <w:t>460m</w:t>
            </w:r>
          </w:p>
        </w:tc>
        <w:tc>
          <w:tcPr>
            <w:tcW w:w="2413" w:type="dxa"/>
            <w:vAlign w:val="center"/>
          </w:tcPr>
          <w:p w:rsidR="00DB7CC8" w:rsidRDefault="002B5250">
            <w:pPr>
              <w:spacing w:line="240" w:lineRule="auto"/>
              <w:ind w:firstLineChars="0" w:firstLine="0"/>
              <w:jc w:val="center"/>
              <w:rPr>
                <w:sz w:val="21"/>
                <w:szCs w:val="21"/>
              </w:rPr>
            </w:pPr>
            <w:r>
              <w:rPr>
                <w:sz w:val="21"/>
                <w:szCs w:val="21"/>
              </w:rPr>
              <w:t>TSP</w:t>
            </w:r>
          </w:p>
        </w:tc>
      </w:tr>
    </w:tbl>
    <w:p w:rsidR="00DB7CC8" w:rsidRDefault="002B5250">
      <w:pPr>
        <w:adjustRightInd w:val="0"/>
        <w:snapToGrid w:val="0"/>
        <w:spacing w:line="480" w:lineRule="exact"/>
        <w:ind w:firstLine="480"/>
        <w:rPr>
          <w:sz w:val="24"/>
          <w:szCs w:val="24"/>
        </w:rPr>
      </w:pPr>
      <w:r>
        <w:rPr>
          <w:sz w:val="24"/>
          <w:szCs w:val="24"/>
        </w:rPr>
        <w:t>监测期间同步观测气温、湿度、气压、风向、风速、总云量、低云量等气象资料（</w:t>
      </w:r>
      <w:r>
        <w:rPr>
          <w:sz w:val="24"/>
          <w:szCs w:val="24"/>
        </w:rPr>
        <w:t>24</w:t>
      </w:r>
      <w:r>
        <w:rPr>
          <w:sz w:val="24"/>
          <w:szCs w:val="24"/>
        </w:rPr>
        <w:t>小时数据）。</w:t>
      </w:r>
    </w:p>
    <w:p w:rsidR="00DB7CC8" w:rsidRDefault="002B5250">
      <w:pPr>
        <w:spacing w:line="480" w:lineRule="exact"/>
        <w:ind w:firstLine="480"/>
        <w:rPr>
          <w:sz w:val="24"/>
          <w:szCs w:val="24"/>
        </w:rPr>
      </w:pPr>
      <w:r>
        <w:rPr>
          <w:sz w:val="24"/>
          <w:szCs w:val="24"/>
        </w:rPr>
        <w:t>2</w:t>
      </w:r>
      <w:r>
        <w:rPr>
          <w:sz w:val="24"/>
          <w:szCs w:val="24"/>
        </w:rPr>
        <w:t>、监测周期及频率</w:t>
      </w:r>
    </w:p>
    <w:p w:rsidR="00DB7CC8" w:rsidRDefault="002B5250">
      <w:pPr>
        <w:adjustRightInd w:val="0"/>
        <w:snapToGrid w:val="0"/>
        <w:spacing w:line="480" w:lineRule="exact"/>
        <w:ind w:firstLine="480"/>
        <w:rPr>
          <w:sz w:val="24"/>
          <w:szCs w:val="24"/>
        </w:rPr>
      </w:pPr>
      <w:r>
        <w:rPr>
          <w:sz w:val="24"/>
          <w:szCs w:val="24"/>
        </w:rPr>
        <w:t>TSP</w:t>
      </w:r>
      <w:r>
        <w:rPr>
          <w:sz w:val="24"/>
          <w:szCs w:val="24"/>
        </w:rPr>
        <w:t>的</w:t>
      </w:r>
      <w:r>
        <w:rPr>
          <w:sz w:val="24"/>
          <w:szCs w:val="24"/>
        </w:rPr>
        <w:t>24</w:t>
      </w:r>
      <w:r>
        <w:rPr>
          <w:sz w:val="24"/>
          <w:szCs w:val="24"/>
        </w:rPr>
        <w:t>小时平均浓度，每天连续采样</w:t>
      </w:r>
      <w:r>
        <w:rPr>
          <w:sz w:val="24"/>
          <w:szCs w:val="24"/>
        </w:rPr>
        <w:t>24</w:t>
      </w:r>
      <w:r>
        <w:rPr>
          <w:sz w:val="24"/>
          <w:szCs w:val="24"/>
        </w:rPr>
        <w:t>小时。</w:t>
      </w:r>
    </w:p>
    <w:p w:rsidR="00DB7CC8" w:rsidRDefault="002B5250">
      <w:pPr>
        <w:adjustRightInd w:val="0"/>
        <w:snapToGrid w:val="0"/>
        <w:spacing w:line="480" w:lineRule="exact"/>
        <w:ind w:firstLine="480"/>
        <w:rPr>
          <w:sz w:val="24"/>
          <w:szCs w:val="24"/>
        </w:rPr>
      </w:pPr>
      <w:r>
        <w:rPr>
          <w:sz w:val="24"/>
          <w:szCs w:val="24"/>
        </w:rPr>
        <w:t>3</w:t>
      </w:r>
      <w:r>
        <w:rPr>
          <w:sz w:val="24"/>
          <w:szCs w:val="24"/>
        </w:rPr>
        <w:t>、测定方法</w:t>
      </w:r>
    </w:p>
    <w:p w:rsidR="00DB7CC8" w:rsidRDefault="002B5250">
      <w:pPr>
        <w:adjustRightInd w:val="0"/>
        <w:snapToGrid w:val="0"/>
        <w:spacing w:line="480" w:lineRule="exact"/>
        <w:ind w:firstLine="480"/>
        <w:rPr>
          <w:sz w:val="24"/>
          <w:szCs w:val="24"/>
        </w:rPr>
      </w:pPr>
      <w:r>
        <w:rPr>
          <w:sz w:val="24"/>
          <w:szCs w:val="24"/>
        </w:rPr>
        <w:t>采样方法按《环境监测技术规范》（大气部分）进行，监测方法按《环境空气质量标准》（</w:t>
      </w:r>
      <w:r>
        <w:rPr>
          <w:sz w:val="24"/>
          <w:szCs w:val="24"/>
        </w:rPr>
        <w:t>GB3095-2012</w:t>
      </w:r>
      <w:r>
        <w:rPr>
          <w:sz w:val="24"/>
          <w:szCs w:val="24"/>
        </w:rPr>
        <w:t>）、《空气和废气监测分析方法》中有关规定进行。</w:t>
      </w:r>
    </w:p>
    <w:p w:rsidR="00DB7CC8" w:rsidRDefault="002B5250">
      <w:pPr>
        <w:adjustRightInd w:val="0"/>
        <w:snapToGrid w:val="0"/>
        <w:spacing w:line="480" w:lineRule="exact"/>
        <w:ind w:firstLine="480"/>
        <w:rPr>
          <w:sz w:val="24"/>
          <w:szCs w:val="24"/>
        </w:rPr>
      </w:pPr>
      <w:r>
        <w:rPr>
          <w:sz w:val="24"/>
          <w:szCs w:val="24"/>
        </w:rPr>
        <w:t>4</w:t>
      </w:r>
      <w:r>
        <w:rPr>
          <w:sz w:val="24"/>
          <w:szCs w:val="24"/>
        </w:rPr>
        <w:t>、评价标准</w:t>
      </w:r>
    </w:p>
    <w:p w:rsidR="00DB7CC8" w:rsidRDefault="002B5250">
      <w:pPr>
        <w:adjustRightInd w:val="0"/>
        <w:snapToGrid w:val="0"/>
        <w:spacing w:line="480" w:lineRule="exact"/>
        <w:ind w:firstLine="480"/>
        <w:rPr>
          <w:sz w:val="24"/>
          <w:szCs w:val="24"/>
        </w:rPr>
      </w:pPr>
      <w:r>
        <w:rPr>
          <w:sz w:val="24"/>
          <w:szCs w:val="24"/>
        </w:rPr>
        <w:t>常规因子采用《环境空气质量标准》（</w:t>
      </w:r>
      <w:r>
        <w:rPr>
          <w:sz w:val="24"/>
          <w:szCs w:val="24"/>
        </w:rPr>
        <w:t>GB3095-2012</w:t>
      </w:r>
      <w:r>
        <w:rPr>
          <w:sz w:val="24"/>
          <w:szCs w:val="24"/>
        </w:rPr>
        <w:t>）中的二级标准。</w:t>
      </w:r>
    </w:p>
    <w:p w:rsidR="00DB7CC8" w:rsidRDefault="002B5250">
      <w:pPr>
        <w:adjustRightInd w:val="0"/>
        <w:snapToGrid w:val="0"/>
        <w:spacing w:line="480" w:lineRule="exact"/>
        <w:ind w:firstLine="480"/>
        <w:rPr>
          <w:sz w:val="24"/>
          <w:szCs w:val="24"/>
        </w:rPr>
      </w:pPr>
      <w:r>
        <w:rPr>
          <w:sz w:val="24"/>
          <w:szCs w:val="24"/>
        </w:rPr>
        <w:t>5</w:t>
      </w:r>
      <w:r>
        <w:rPr>
          <w:sz w:val="24"/>
          <w:szCs w:val="24"/>
        </w:rPr>
        <w:t>、评价方法</w:t>
      </w:r>
    </w:p>
    <w:p w:rsidR="00DB7CC8" w:rsidRDefault="002B5250">
      <w:pPr>
        <w:adjustRightInd w:val="0"/>
        <w:snapToGrid w:val="0"/>
        <w:spacing w:line="480" w:lineRule="exact"/>
        <w:ind w:firstLine="480"/>
        <w:rPr>
          <w:sz w:val="24"/>
          <w:szCs w:val="24"/>
        </w:rPr>
      </w:pPr>
      <w:r>
        <w:rPr>
          <w:sz w:val="24"/>
          <w:szCs w:val="24"/>
        </w:rPr>
        <w:t>评价方法采用单项标准指数法，评价模式如下：</w:t>
      </w:r>
    </w:p>
    <w:p w:rsidR="00DB7CC8" w:rsidRDefault="002B5250">
      <w:pPr>
        <w:adjustRightInd w:val="0"/>
        <w:snapToGrid w:val="0"/>
        <w:spacing w:line="480" w:lineRule="exact"/>
        <w:ind w:firstLine="480"/>
        <w:jc w:val="center"/>
        <w:rPr>
          <w:sz w:val="24"/>
          <w:szCs w:val="24"/>
        </w:rPr>
      </w:pPr>
      <w:r>
        <w:rPr>
          <w:sz w:val="24"/>
          <w:szCs w:val="24"/>
        </w:rPr>
        <w:t>Pi</w:t>
      </w:r>
      <w:r>
        <w:rPr>
          <w:sz w:val="24"/>
          <w:szCs w:val="24"/>
        </w:rPr>
        <w:t>＝</w:t>
      </w:r>
      <w:r>
        <w:rPr>
          <w:sz w:val="24"/>
          <w:szCs w:val="24"/>
        </w:rPr>
        <w:t>Ci/C0i</w:t>
      </w:r>
    </w:p>
    <w:p w:rsidR="00DB7CC8" w:rsidRDefault="002B5250">
      <w:pPr>
        <w:adjustRightInd w:val="0"/>
        <w:snapToGrid w:val="0"/>
        <w:spacing w:line="480" w:lineRule="exact"/>
        <w:ind w:firstLine="480"/>
        <w:rPr>
          <w:sz w:val="24"/>
          <w:szCs w:val="24"/>
        </w:rPr>
      </w:pPr>
      <w:r>
        <w:rPr>
          <w:sz w:val="24"/>
          <w:szCs w:val="24"/>
        </w:rPr>
        <w:t>式中：</w:t>
      </w:r>
      <w:r>
        <w:rPr>
          <w:sz w:val="24"/>
          <w:szCs w:val="24"/>
        </w:rPr>
        <w:t>Pi—i</w:t>
      </w:r>
      <w:r>
        <w:rPr>
          <w:sz w:val="24"/>
          <w:szCs w:val="24"/>
        </w:rPr>
        <w:t>污染物标准指数；</w:t>
      </w:r>
    </w:p>
    <w:p w:rsidR="00DB7CC8" w:rsidRDefault="002B5250">
      <w:pPr>
        <w:adjustRightInd w:val="0"/>
        <w:snapToGrid w:val="0"/>
        <w:spacing w:line="480" w:lineRule="exact"/>
        <w:ind w:firstLineChars="500" w:firstLine="1200"/>
        <w:rPr>
          <w:sz w:val="24"/>
          <w:szCs w:val="24"/>
        </w:rPr>
      </w:pPr>
      <w:r>
        <w:rPr>
          <w:sz w:val="24"/>
          <w:szCs w:val="24"/>
        </w:rPr>
        <w:t>Ci—i</w:t>
      </w:r>
      <w:r>
        <w:rPr>
          <w:sz w:val="24"/>
          <w:szCs w:val="24"/>
        </w:rPr>
        <w:t>污染物实测浓度，</w:t>
      </w:r>
      <w:r>
        <w:rPr>
          <w:sz w:val="24"/>
          <w:szCs w:val="24"/>
        </w:rPr>
        <w:t>mg/m</w:t>
      </w:r>
      <w:r>
        <w:rPr>
          <w:sz w:val="24"/>
          <w:szCs w:val="24"/>
          <w:vertAlign w:val="superscript"/>
        </w:rPr>
        <w:t>3</w:t>
      </w:r>
      <w:r>
        <w:rPr>
          <w:sz w:val="24"/>
          <w:szCs w:val="24"/>
        </w:rPr>
        <w:t>；</w:t>
      </w:r>
    </w:p>
    <w:p w:rsidR="00DB7CC8" w:rsidRDefault="002B5250">
      <w:pPr>
        <w:adjustRightInd w:val="0"/>
        <w:snapToGrid w:val="0"/>
        <w:spacing w:line="480" w:lineRule="exact"/>
        <w:ind w:firstLineChars="500" w:firstLine="1200"/>
        <w:rPr>
          <w:sz w:val="24"/>
          <w:szCs w:val="24"/>
        </w:rPr>
      </w:pPr>
      <w:r>
        <w:rPr>
          <w:sz w:val="24"/>
          <w:szCs w:val="24"/>
        </w:rPr>
        <w:t>C0i—i</w:t>
      </w:r>
      <w:r>
        <w:rPr>
          <w:sz w:val="24"/>
          <w:szCs w:val="24"/>
        </w:rPr>
        <w:t>污染物评价标准值，</w:t>
      </w:r>
      <w:r>
        <w:rPr>
          <w:sz w:val="24"/>
          <w:szCs w:val="24"/>
        </w:rPr>
        <w:t>mg/m</w:t>
      </w:r>
      <w:r>
        <w:rPr>
          <w:sz w:val="24"/>
          <w:szCs w:val="24"/>
          <w:vertAlign w:val="superscript"/>
        </w:rPr>
        <w:t>3</w:t>
      </w:r>
      <w:r>
        <w:rPr>
          <w:sz w:val="24"/>
          <w:szCs w:val="24"/>
        </w:rPr>
        <w:t>。</w:t>
      </w:r>
    </w:p>
    <w:p w:rsidR="00DB7CC8" w:rsidRDefault="002B5250">
      <w:pPr>
        <w:adjustRightInd w:val="0"/>
        <w:snapToGrid w:val="0"/>
        <w:spacing w:line="480" w:lineRule="exact"/>
        <w:ind w:firstLine="480"/>
        <w:rPr>
          <w:sz w:val="24"/>
          <w:szCs w:val="24"/>
        </w:rPr>
      </w:pPr>
      <w:r>
        <w:rPr>
          <w:sz w:val="24"/>
          <w:szCs w:val="24"/>
        </w:rPr>
        <w:t>6</w:t>
      </w:r>
      <w:r>
        <w:rPr>
          <w:sz w:val="24"/>
          <w:szCs w:val="24"/>
        </w:rPr>
        <w:t>、评价结果</w:t>
      </w:r>
    </w:p>
    <w:p w:rsidR="00DB7CC8" w:rsidRDefault="002B5250">
      <w:pPr>
        <w:adjustRightInd w:val="0"/>
        <w:snapToGrid w:val="0"/>
        <w:spacing w:line="480" w:lineRule="exact"/>
        <w:ind w:firstLine="480"/>
        <w:rPr>
          <w:sz w:val="24"/>
          <w:szCs w:val="24"/>
        </w:rPr>
      </w:pPr>
      <w:r>
        <w:rPr>
          <w:sz w:val="24"/>
          <w:szCs w:val="24"/>
        </w:rPr>
        <w:t>监测点环境空气现状监测浓度评价结果见表</w:t>
      </w:r>
      <w:r>
        <w:rPr>
          <w:sz w:val="24"/>
          <w:szCs w:val="24"/>
        </w:rPr>
        <w:t>4.3-3</w:t>
      </w:r>
      <w:r>
        <w:rPr>
          <w:sz w:val="24"/>
          <w:szCs w:val="24"/>
        </w:rPr>
        <w:t>。</w:t>
      </w:r>
    </w:p>
    <w:p w:rsidR="00DB7CC8" w:rsidRDefault="002B5250">
      <w:pPr>
        <w:spacing w:line="240" w:lineRule="auto"/>
        <w:ind w:firstLineChars="0" w:firstLine="420"/>
        <w:jc w:val="center"/>
        <w:textAlignment w:val="baseline"/>
        <w:rPr>
          <w:rFonts w:eastAsia="黑体"/>
          <w:bCs/>
          <w:kern w:val="2"/>
          <w:sz w:val="21"/>
          <w:szCs w:val="21"/>
        </w:rPr>
      </w:pPr>
      <w:r>
        <w:rPr>
          <w:rFonts w:eastAsia="黑体"/>
          <w:bCs/>
          <w:kern w:val="2"/>
          <w:sz w:val="21"/>
          <w:szCs w:val="21"/>
        </w:rPr>
        <w:t>表</w:t>
      </w:r>
      <w:r>
        <w:rPr>
          <w:rFonts w:eastAsia="黑体"/>
          <w:bCs/>
          <w:kern w:val="2"/>
          <w:sz w:val="21"/>
          <w:szCs w:val="21"/>
        </w:rPr>
        <w:t xml:space="preserve">4.3-3  </w:t>
      </w:r>
      <w:r>
        <w:rPr>
          <w:rFonts w:eastAsia="黑体"/>
          <w:bCs/>
          <w:kern w:val="2"/>
          <w:sz w:val="21"/>
          <w:szCs w:val="21"/>
        </w:rPr>
        <w:t>环境空气现状监测值评价结果一览表</w:t>
      </w:r>
      <w:r>
        <w:rPr>
          <w:rFonts w:eastAsia="黑体"/>
          <w:bCs/>
          <w:kern w:val="2"/>
          <w:sz w:val="21"/>
          <w:szCs w:val="21"/>
        </w:rPr>
        <w:t xml:space="preserve">  </w:t>
      </w:r>
      <w:r>
        <w:rPr>
          <w:rFonts w:eastAsia="黑体"/>
          <w:bCs/>
          <w:kern w:val="2"/>
          <w:sz w:val="21"/>
          <w:szCs w:val="21"/>
        </w:rPr>
        <w:t>单位：</w:t>
      </w:r>
      <w:r>
        <w:rPr>
          <w:rFonts w:eastAsia="黑体"/>
          <w:bCs/>
          <w:kern w:val="2"/>
          <w:sz w:val="21"/>
          <w:szCs w:val="21"/>
        </w:rPr>
        <w:t>μg/m</w:t>
      </w:r>
      <w:r>
        <w:rPr>
          <w:rFonts w:eastAsia="黑体"/>
          <w:bCs/>
          <w:kern w:val="2"/>
          <w:sz w:val="21"/>
          <w:szCs w:val="21"/>
          <w:vertAlign w:val="superscript"/>
        </w:rPr>
        <w:t>3</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1"/>
        <w:gridCol w:w="1330"/>
        <w:gridCol w:w="1391"/>
        <w:gridCol w:w="1283"/>
        <w:gridCol w:w="1042"/>
        <w:gridCol w:w="1484"/>
        <w:gridCol w:w="819"/>
      </w:tblGrid>
      <w:tr w:rsidR="00DB7CC8">
        <w:trPr>
          <w:trHeight w:val="454"/>
          <w:jc w:val="center"/>
        </w:trPr>
        <w:tc>
          <w:tcPr>
            <w:tcW w:w="682" w:type="pct"/>
            <w:vAlign w:val="center"/>
          </w:tcPr>
          <w:p w:rsidR="00DB7CC8" w:rsidRDefault="002B5250">
            <w:pPr>
              <w:spacing w:line="240" w:lineRule="auto"/>
              <w:ind w:firstLineChars="0" w:firstLine="0"/>
              <w:jc w:val="center"/>
              <w:rPr>
                <w:sz w:val="21"/>
                <w:szCs w:val="21"/>
              </w:rPr>
            </w:pPr>
            <w:r>
              <w:rPr>
                <w:sz w:val="21"/>
                <w:szCs w:val="21"/>
              </w:rPr>
              <w:t>污染物名称</w:t>
            </w:r>
          </w:p>
        </w:tc>
        <w:tc>
          <w:tcPr>
            <w:tcW w:w="781" w:type="pct"/>
            <w:vAlign w:val="center"/>
          </w:tcPr>
          <w:p w:rsidR="00DB7CC8" w:rsidRDefault="002B5250">
            <w:pPr>
              <w:spacing w:line="240" w:lineRule="auto"/>
              <w:ind w:firstLineChars="0" w:firstLine="0"/>
              <w:jc w:val="center"/>
              <w:rPr>
                <w:sz w:val="21"/>
                <w:szCs w:val="21"/>
              </w:rPr>
            </w:pPr>
            <w:r>
              <w:rPr>
                <w:sz w:val="21"/>
                <w:szCs w:val="21"/>
              </w:rPr>
              <w:t>监测点名称</w:t>
            </w:r>
          </w:p>
        </w:tc>
        <w:tc>
          <w:tcPr>
            <w:tcW w:w="816" w:type="pct"/>
            <w:vAlign w:val="center"/>
          </w:tcPr>
          <w:p w:rsidR="00DB7CC8" w:rsidRDefault="002B5250">
            <w:pPr>
              <w:spacing w:line="240" w:lineRule="auto"/>
              <w:ind w:firstLineChars="0" w:firstLine="0"/>
              <w:jc w:val="center"/>
              <w:rPr>
                <w:sz w:val="21"/>
                <w:szCs w:val="21"/>
              </w:rPr>
            </w:pPr>
            <w:r>
              <w:rPr>
                <w:sz w:val="21"/>
                <w:szCs w:val="21"/>
              </w:rPr>
              <w:t>类别</w:t>
            </w:r>
          </w:p>
        </w:tc>
        <w:tc>
          <w:tcPr>
            <w:tcW w:w="753" w:type="pct"/>
            <w:vAlign w:val="center"/>
          </w:tcPr>
          <w:p w:rsidR="00DB7CC8" w:rsidRDefault="002B5250">
            <w:pPr>
              <w:spacing w:line="240" w:lineRule="auto"/>
              <w:ind w:firstLineChars="0" w:firstLine="0"/>
              <w:jc w:val="center"/>
              <w:rPr>
                <w:sz w:val="21"/>
                <w:szCs w:val="21"/>
              </w:rPr>
            </w:pPr>
            <w:r>
              <w:rPr>
                <w:sz w:val="21"/>
                <w:szCs w:val="21"/>
              </w:rPr>
              <w:t>监测值</w:t>
            </w:r>
          </w:p>
        </w:tc>
        <w:tc>
          <w:tcPr>
            <w:tcW w:w="612" w:type="pct"/>
            <w:vAlign w:val="center"/>
          </w:tcPr>
          <w:p w:rsidR="00DB7CC8" w:rsidRDefault="002B5250">
            <w:pPr>
              <w:spacing w:line="240" w:lineRule="auto"/>
              <w:ind w:firstLineChars="0" w:firstLine="0"/>
              <w:jc w:val="center"/>
              <w:rPr>
                <w:sz w:val="21"/>
                <w:szCs w:val="21"/>
              </w:rPr>
            </w:pPr>
            <w:r>
              <w:rPr>
                <w:sz w:val="21"/>
                <w:szCs w:val="21"/>
              </w:rPr>
              <w:t>标准值</w:t>
            </w:r>
          </w:p>
        </w:tc>
        <w:tc>
          <w:tcPr>
            <w:tcW w:w="871" w:type="pct"/>
            <w:vAlign w:val="center"/>
          </w:tcPr>
          <w:p w:rsidR="00DB7CC8" w:rsidRDefault="002B5250">
            <w:pPr>
              <w:spacing w:line="240" w:lineRule="auto"/>
              <w:ind w:firstLineChars="0" w:firstLine="0"/>
              <w:jc w:val="center"/>
              <w:rPr>
                <w:sz w:val="21"/>
                <w:szCs w:val="21"/>
              </w:rPr>
            </w:pPr>
            <w:r>
              <w:rPr>
                <w:sz w:val="21"/>
                <w:szCs w:val="21"/>
              </w:rPr>
              <w:t>标准指数</w:t>
            </w:r>
          </w:p>
        </w:tc>
        <w:tc>
          <w:tcPr>
            <w:tcW w:w="481" w:type="pct"/>
            <w:vAlign w:val="center"/>
          </w:tcPr>
          <w:p w:rsidR="00DB7CC8" w:rsidRDefault="002B5250">
            <w:pPr>
              <w:spacing w:line="240" w:lineRule="auto"/>
              <w:ind w:firstLineChars="0" w:firstLine="0"/>
              <w:jc w:val="center"/>
              <w:rPr>
                <w:sz w:val="21"/>
                <w:szCs w:val="21"/>
              </w:rPr>
            </w:pPr>
            <w:r>
              <w:rPr>
                <w:sz w:val="21"/>
                <w:szCs w:val="21"/>
              </w:rPr>
              <w:t>达标情况</w:t>
            </w:r>
          </w:p>
        </w:tc>
      </w:tr>
      <w:tr w:rsidR="00DB7CC8">
        <w:trPr>
          <w:trHeight w:val="454"/>
          <w:jc w:val="center"/>
        </w:trPr>
        <w:tc>
          <w:tcPr>
            <w:tcW w:w="682" w:type="pct"/>
            <w:vMerge w:val="restart"/>
            <w:vAlign w:val="center"/>
          </w:tcPr>
          <w:p w:rsidR="00DB7CC8" w:rsidRDefault="002B5250">
            <w:pPr>
              <w:spacing w:line="240" w:lineRule="auto"/>
              <w:ind w:firstLineChars="0" w:firstLine="0"/>
              <w:jc w:val="center"/>
              <w:rPr>
                <w:sz w:val="21"/>
                <w:szCs w:val="21"/>
              </w:rPr>
            </w:pPr>
            <w:r>
              <w:rPr>
                <w:sz w:val="21"/>
                <w:szCs w:val="21"/>
              </w:rPr>
              <w:t>TSP</w:t>
            </w:r>
          </w:p>
        </w:tc>
        <w:tc>
          <w:tcPr>
            <w:tcW w:w="781" w:type="pct"/>
            <w:vAlign w:val="center"/>
          </w:tcPr>
          <w:p w:rsidR="00DB7CC8" w:rsidRDefault="002B5250">
            <w:pPr>
              <w:spacing w:line="240" w:lineRule="auto"/>
              <w:ind w:firstLineChars="0" w:firstLine="0"/>
              <w:jc w:val="center"/>
              <w:rPr>
                <w:sz w:val="21"/>
                <w:szCs w:val="21"/>
              </w:rPr>
            </w:pPr>
            <w:r>
              <w:rPr>
                <w:sz w:val="21"/>
                <w:szCs w:val="21"/>
              </w:rPr>
              <w:t>项目厂区</w:t>
            </w:r>
          </w:p>
        </w:tc>
        <w:tc>
          <w:tcPr>
            <w:tcW w:w="816" w:type="pct"/>
            <w:vAlign w:val="center"/>
          </w:tcPr>
          <w:p w:rsidR="00DB7CC8" w:rsidRDefault="002B5250">
            <w:pPr>
              <w:spacing w:line="240" w:lineRule="auto"/>
              <w:ind w:firstLineChars="0" w:firstLine="0"/>
              <w:jc w:val="center"/>
              <w:rPr>
                <w:sz w:val="21"/>
                <w:szCs w:val="21"/>
              </w:rPr>
            </w:pPr>
            <w:r>
              <w:rPr>
                <w:sz w:val="21"/>
                <w:szCs w:val="21"/>
              </w:rPr>
              <w:t>24</w:t>
            </w:r>
            <w:r>
              <w:rPr>
                <w:sz w:val="21"/>
                <w:szCs w:val="21"/>
              </w:rPr>
              <w:t>小时平均</w:t>
            </w:r>
          </w:p>
        </w:tc>
        <w:tc>
          <w:tcPr>
            <w:tcW w:w="753" w:type="pct"/>
            <w:vAlign w:val="center"/>
          </w:tcPr>
          <w:p w:rsidR="00DB7CC8" w:rsidRDefault="002B5250">
            <w:pPr>
              <w:spacing w:line="240" w:lineRule="auto"/>
              <w:ind w:firstLineChars="0" w:firstLine="0"/>
              <w:jc w:val="center"/>
              <w:rPr>
                <w:sz w:val="21"/>
                <w:szCs w:val="21"/>
              </w:rPr>
            </w:pPr>
            <w:r>
              <w:rPr>
                <w:rFonts w:hint="eastAsia"/>
                <w:sz w:val="21"/>
                <w:szCs w:val="21"/>
              </w:rPr>
              <w:t>92</w:t>
            </w:r>
            <w:r>
              <w:rPr>
                <w:sz w:val="21"/>
                <w:szCs w:val="21"/>
              </w:rPr>
              <w:t>～</w:t>
            </w:r>
            <w:r>
              <w:rPr>
                <w:rFonts w:hint="eastAsia"/>
                <w:sz w:val="21"/>
                <w:szCs w:val="21"/>
              </w:rPr>
              <w:t>117</w:t>
            </w:r>
          </w:p>
        </w:tc>
        <w:tc>
          <w:tcPr>
            <w:tcW w:w="612" w:type="pct"/>
            <w:vAlign w:val="center"/>
          </w:tcPr>
          <w:p w:rsidR="00DB7CC8" w:rsidRDefault="002B5250">
            <w:pPr>
              <w:spacing w:line="240" w:lineRule="auto"/>
              <w:ind w:firstLineChars="0" w:firstLine="0"/>
              <w:jc w:val="center"/>
              <w:rPr>
                <w:sz w:val="21"/>
                <w:szCs w:val="21"/>
              </w:rPr>
            </w:pPr>
            <w:r>
              <w:rPr>
                <w:sz w:val="21"/>
                <w:szCs w:val="21"/>
              </w:rPr>
              <w:t>300</w:t>
            </w:r>
          </w:p>
        </w:tc>
        <w:tc>
          <w:tcPr>
            <w:tcW w:w="871" w:type="pct"/>
            <w:vAlign w:val="center"/>
          </w:tcPr>
          <w:p w:rsidR="00DB7CC8" w:rsidRDefault="002B5250">
            <w:pPr>
              <w:spacing w:line="240" w:lineRule="auto"/>
              <w:ind w:firstLineChars="0" w:firstLine="0"/>
              <w:jc w:val="center"/>
              <w:rPr>
                <w:sz w:val="21"/>
                <w:szCs w:val="21"/>
              </w:rPr>
            </w:pPr>
            <w:r>
              <w:rPr>
                <w:sz w:val="21"/>
                <w:szCs w:val="21"/>
              </w:rPr>
              <w:t>0.</w:t>
            </w:r>
            <w:r>
              <w:rPr>
                <w:rFonts w:hint="eastAsia"/>
                <w:sz w:val="21"/>
                <w:szCs w:val="21"/>
              </w:rPr>
              <w:t>31</w:t>
            </w:r>
            <w:r>
              <w:rPr>
                <w:sz w:val="21"/>
                <w:szCs w:val="21"/>
              </w:rPr>
              <w:t>～</w:t>
            </w:r>
            <w:r>
              <w:rPr>
                <w:sz w:val="21"/>
                <w:szCs w:val="21"/>
              </w:rPr>
              <w:t>0.</w:t>
            </w:r>
            <w:r>
              <w:rPr>
                <w:rFonts w:hint="eastAsia"/>
                <w:sz w:val="21"/>
                <w:szCs w:val="21"/>
              </w:rPr>
              <w:t>39</w:t>
            </w:r>
          </w:p>
        </w:tc>
        <w:tc>
          <w:tcPr>
            <w:tcW w:w="481" w:type="pct"/>
            <w:vAlign w:val="center"/>
          </w:tcPr>
          <w:p w:rsidR="00DB7CC8" w:rsidRDefault="002B5250">
            <w:pPr>
              <w:spacing w:line="240" w:lineRule="auto"/>
              <w:ind w:firstLineChars="0" w:firstLine="0"/>
              <w:jc w:val="center"/>
              <w:rPr>
                <w:sz w:val="21"/>
                <w:szCs w:val="21"/>
              </w:rPr>
            </w:pPr>
            <w:r>
              <w:rPr>
                <w:sz w:val="21"/>
                <w:szCs w:val="21"/>
              </w:rPr>
              <w:t>达标</w:t>
            </w:r>
          </w:p>
        </w:tc>
      </w:tr>
      <w:tr w:rsidR="00DB7CC8">
        <w:trPr>
          <w:trHeight w:val="454"/>
          <w:jc w:val="center"/>
        </w:trPr>
        <w:tc>
          <w:tcPr>
            <w:tcW w:w="682" w:type="pct"/>
            <w:vMerge/>
            <w:vAlign w:val="center"/>
          </w:tcPr>
          <w:p w:rsidR="00DB7CC8" w:rsidRDefault="00DB7CC8">
            <w:pPr>
              <w:spacing w:line="240" w:lineRule="auto"/>
              <w:ind w:firstLineChars="0" w:firstLine="0"/>
              <w:jc w:val="center"/>
              <w:rPr>
                <w:sz w:val="21"/>
                <w:szCs w:val="21"/>
              </w:rPr>
            </w:pPr>
          </w:p>
        </w:tc>
        <w:tc>
          <w:tcPr>
            <w:tcW w:w="781" w:type="pct"/>
            <w:vAlign w:val="center"/>
          </w:tcPr>
          <w:p w:rsidR="00DB7CC8" w:rsidRDefault="002B5250">
            <w:pPr>
              <w:spacing w:line="240" w:lineRule="auto"/>
              <w:ind w:firstLineChars="0" w:firstLine="0"/>
              <w:jc w:val="center"/>
              <w:rPr>
                <w:sz w:val="21"/>
                <w:szCs w:val="21"/>
              </w:rPr>
            </w:pPr>
            <w:r>
              <w:rPr>
                <w:rFonts w:hint="eastAsia"/>
                <w:sz w:val="21"/>
                <w:szCs w:val="21"/>
              </w:rPr>
              <w:t>庄户村</w:t>
            </w:r>
          </w:p>
        </w:tc>
        <w:tc>
          <w:tcPr>
            <w:tcW w:w="816" w:type="pct"/>
            <w:vAlign w:val="center"/>
          </w:tcPr>
          <w:p w:rsidR="00DB7CC8" w:rsidRDefault="002B5250">
            <w:pPr>
              <w:spacing w:line="240" w:lineRule="auto"/>
              <w:ind w:firstLineChars="0" w:firstLine="0"/>
              <w:jc w:val="center"/>
              <w:rPr>
                <w:sz w:val="21"/>
                <w:szCs w:val="21"/>
              </w:rPr>
            </w:pPr>
            <w:r>
              <w:rPr>
                <w:sz w:val="21"/>
                <w:szCs w:val="21"/>
              </w:rPr>
              <w:t>24</w:t>
            </w:r>
            <w:r>
              <w:rPr>
                <w:sz w:val="21"/>
                <w:szCs w:val="21"/>
              </w:rPr>
              <w:t>小时平均</w:t>
            </w:r>
          </w:p>
        </w:tc>
        <w:tc>
          <w:tcPr>
            <w:tcW w:w="753" w:type="pct"/>
            <w:vAlign w:val="center"/>
          </w:tcPr>
          <w:p w:rsidR="00DB7CC8" w:rsidRDefault="002B5250">
            <w:pPr>
              <w:spacing w:line="240" w:lineRule="auto"/>
              <w:ind w:firstLineChars="0" w:firstLine="0"/>
              <w:jc w:val="center"/>
              <w:rPr>
                <w:sz w:val="21"/>
                <w:szCs w:val="21"/>
              </w:rPr>
            </w:pPr>
            <w:r>
              <w:rPr>
                <w:rFonts w:hint="eastAsia"/>
                <w:sz w:val="21"/>
                <w:szCs w:val="21"/>
              </w:rPr>
              <w:t>92</w:t>
            </w:r>
            <w:r>
              <w:rPr>
                <w:sz w:val="21"/>
                <w:szCs w:val="21"/>
              </w:rPr>
              <w:t>～</w:t>
            </w:r>
            <w:r>
              <w:rPr>
                <w:rFonts w:hint="eastAsia"/>
                <w:sz w:val="21"/>
                <w:szCs w:val="21"/>
              </w:rPr>
              <w:t>108</w:t>
            </w:r>
          </w:p>
        </w:tc>
        <w:tc>
          <w:tcPr>
            <w:tcW w:w="612" w:type="pct"/>
            <w:vAlign w:val="center"/>
          </w:tcPr>
          <w:p w:rsidR="00DB7CC8" w:rsidRDefault="002B5250">
            <w:pPr>
              <w:spacing w:line="240" w:lineRule="auto"/>
              <w:ind w:firstLineChars="0" w:firstLine="0"/>
              <w:jc w:val="center"/>
              <w:rPr>
                <w:sz w:val="21"/>
                <w:szCs w:val="21"/>
              </w:rPr>
            </w:pPr>
            <w:r>
              <w:rPr>
                <w:sz w:val="21"/>
                <w:szCs w:val="21"/>
              </w:rPr>
              <w:t>300</w:t>
            </w:r>
          </w:p>
        </w:tc>
        <w:tc>
          <w:tcPr>
            <w:tcW w:w="871" w:type="pct"/>
            <w:vAlign w:val="center"/>
          </w:tcPr>
          <w:p w:rsidR="00DB7CC8" w:rsidRDefault="002B5250">
            <w:pPr>
              <w:spacing w:line="240" w:lineRule="auto"/>
              <w:ind w:firstLineChars="0" w:firstLine="0"/>
              <w:jc w:val="center"/>
              <w:rPr>
                <w:sz w:val="21"/>
                <w:szCs w:val="21"/>
              </w:rPr>
            </w:pPr>
            <w:r>
              <w:rPr>
                <w:sz w:val="21"/>
                <w:szCs w:val="21"/>
              </w:rPr>
              <w:t>0.</w:t>
            </w:r>
            <w:r>
              <w:rPr>
                <w:rFonts w:hint="eastAsia"/>
                <w:sz w:val="21"/>
                <w:szCs w:val="21"/>
              </w:rPr>
              <w:t>31</w:t>
            </w:r>
            <w:r>
              <w:rPr>
                <w:sz w:val="21"/>
                <w:szCs w:val="21"/>
              </w:rPr>
              <w:t>～</w:t>
            </w:r>
            <w:r>
              <w:rPr>
                <w:sz w:val="21"/>
                <w:szCs w:val="21"/>
              </w:rPr>
              <w:t>0.</w:t>
            </w:r>
            <w:r>
              <w:rPr>
                <w:rFonts w:hint="eastAsia"/>
                <w:sz w:val="21"/>
                <w:szCs w:val="21"/>
              </w:rPr>
              <w:t>36</w:t>
            </w:r>
          </w:p>
        </w:tc>
        <w:tc>
          <w:tcPr>
            <w:tcW w:w="481" w:type="pct"/>
            <w:vAlign w:val="center"/>
          </w:tcPr>
          <w:p w:rsidR="00DB7CC8" w:rsidRDefault="002B5250">
            <w:pPr>
              <w:spacing w:line="240" w:lineRule="auto"/>
              <w:ind w:firstLineChars="0" w:firstLine="0"/>
              <w:jc w:val="center"/>
              <w:rPr>
                <w:sz w:val="21"/>
                <w:szCs w:val="21"/>
              </w:rPr>
            </w:pPr>
            <w:r>
              <w:rPr>
                <w:sz w:val="21"/>
                <w:szCs w:val="21"/>
              </w:rPr>
              <w:t>达标</w:t>
            </w:r>
          </w:p>
        </w:tc>
      </w:tr>
    </w:tbl>
    <w:p w:rsidR="00DB7CC8" w:rsidRDefault="002B5250">
      <w:pPr>
        <w:ind w:firstLine="496"/>
        <w:jc w:val="both"/>
        <w:rPr>
          <w:spacing w:val="4"/>
          <w:sz w:val="24"/>
        </w:rPr>
      </w:pPr>
      <w:r>
        <w:rPr>
          <w:spacing w:val="4"/>
          <w:sz w:val="24"/>
        </w:rPr>
        <w:t>由上表分析可知，监测期间监测点</w:t>
      </w:r>
      <w:r>
        <w:rPr>
          <w:spacing w:val="4"/>
          <w:sz w:val="24"/>
        </w:rPr>
        <w:t>TSP</w:t>
      </w:r>
      <w:r>
        <w:rPr>
          <w:spacing w:val="4"/>
          <w:sz w:val="24"/>
        </w:rPr>
        <w:t>的</w:t>
      </w:r>
      <w:r>
        <w:rPr>
          <w:spacing w:val="4"/>
          <w:sz w:val="24"/>
        </w:rPr>
        <w:t>24</w:t>
      </w:r>
      <w:r>
        <w:rPr>
          <w:spacing w:val="4"/>
          <w:sz w:val="24"/>
        </w:rPr>
        <w:t>小时平均浓度标准指数为</w:t>
      </w:r>
      <w:r>
        <w:rPr>
          <w:spacing w:val="4"/>
          <w:sz w:val="24"/>
        </w:rPr>
        <w:t>0.</w:t>
      </w:r>
      <w:r>
        <w:rPr>
          <w:rFonts w:hint="eastAsia"/>
          <w:spacing w:val="4"/>
          <w:sz w:val="24"/>
        </w:rPr>
        <w:t>31</w:t>
      </w:r>
      <w:r>
        <w:rPr>
          <w:spacing w:val="4"/>
          <w:sz w:val="24"/>
        </w:rPr>
        <w:t>～</w:t>
      </w:r>
      <w:r>
        <w:rPr>
          <w:spacing w:val="4"/>
          <w:sz w:val="24"/>
        </w:rPr>
        <w:t>0.</w:t>
      </w:r>
      <w:r>
        <w:rPr>
          <w:rFonts w:hint="eastAsia"/>
          <w:spacing w:val="4"/>
          <w:sz w:val="24"/>
        </w:rPr>
        <w:t>39</w:t>
      </w:r>
      <w:r>
        <w:rPr>
          <w:spacing w:val="4"/>
          <w:sz w:val="24"/>
        </w:rPr>
        <w:t>，监测期间评价区域内</w:t>
      </w:r>
      <w:r>
        <w:rPr>
          <w:spacing w:val="4"/>
          <w:sz w:val="24"/>
        </w:rPr>
        <w:t>TSP</w:t>
      </w:r>
      <w:r>
        <w:rPr>
          <w:spacing w:val="4"/>
          <w:sz w:val="24"/>
        </w:rPr>
        <w:t>监测浓度满足《环境空气质量标准》（</w:t>
      </w:r>
      <w:r>
        <w:rPr>
          <w:spacing w:val="4"/>
          <w:sz w:val="24"/>
        </w:rPr>
        <w:t>GB3095-2012</w:t>
      </w:r>
      <w:r>
        <w:rPr>
          <w:spacing w:val="4"/>
          <w:sz w:val="24"/>
        </w:rPr>
        <w:t>）中的二级标准。</w:t>
      </w:r>
    </w:p>
    <w:p w:rsidR="00DB7CC8" w:rsidRDefault="00DB7CC8">
      <w:pPr>
        <w:ind w:firstLine="496"/>
        <w:jc w:val="both"/>
        <w:rPr>
          <w:spacing w:val="4"/>
          <w:sz w:val="24"/>
        </w:rPr>
        <w:sectPr w:rsidR="00DB7CC8">
          <w:footerReference w:type="default" r:id="rId58"/>
          <w:pgSz w:w="11905" w:h="16838"/>
          <w:pgMar w:top="1440" w:right="1803" w:bottom="1134" w:left="1803" w:header="850" w:footer="992" w:gutter="0"/>
          <w:cols w:space="0"/>
          <w:docGrid w:linePitch="312"/>
        </w:sectPr>
      </w:pPr>
    </w:p>
    <w:p w:rsidR="00DB7CC8" w:rsidRDefault="002B5250">
      <w:pPr>
        <w:pStyle w:val="3"/>
        <w:numPr>
          <w:ilvl w:val="2"/>
          <w:numId w:val="1"/>
        </w:numPr>
        <w:rPr>
          <w:szCs w:val="28"/>
        </w:rPr>
      </w:pPr>
      <w:bookmarkStart w:id="301" w:name="_Toc25557"/>
      <w:bookmarkStart w:id="302" w:name="_Toc521591788"/>
      <w:r>
        <w:rPr>
          <w:szCs w:val="28"/>
        </w:rPr>
        <w:lastRenderedPageBreak/>
        <w:t>地</w:t>
      </w:r>
      <w:r>
        <w:rPr>
          <w:rFonts w:hint="eastAsia"/>
          <w:szCs w:val="28"/>
        </w:rPr>
        <w:t>下</w:t>
      </w:r>
      <w:r>
        <w:rPr>
          <w:szCs w:val="28"/>
        </w:rPr>
        <w:t>水</w:t>
      </w:r>
    </w:p>
    <w:p w:rsidR="00DB7CC8" w:rsidRDefault="002B5250">
      <w:pPr>
        <w:spacing w:line="480" w:lineRule="exact"/>
        <w:ind w:firstLine="480"/>
        <w:rPr>
          <w:sz w:val="24"/>
          <w:szCs w:val="24"/>
        </w:rPr>
      </w:pPr>
      <w:bookmarkStart w:id="303" w:name="_Toc499740311"/>
      <w:bookmarkStart w:id="304" w:name="_Toc16632"/>
      <w:bookmarkStart w:id="305" w:name="_Toc13987"/>
      <w:bookmarkStart w:id="306" w:name="_Toc2301"/>
      <w:r>
        <w:rPr>
          <w:sz w:val="24"/>
          <w:szCs w:val="24"/>
        </w:rPr>
        <w:t>按照《环境影响评价技术导则</w:t>
      </w:r>
      <w:r>
        <w:rPr>
          <w:sz w:val="24"/>
          <w:szCs w:val="24"/>
        </w:rPr>
        <w:t xml:space="preserve"> </w:t>
      </w:r>
      <w:r>
        <w:rPr>
          <w:sz w:val="24"/>
          <w:szCs w:val="24"/>
        </w:rPr>
        <w:t>地下水环境》（</w:t>
      </w:r>
      <w:r>
        <w:rPr>
          <w:sz w:val="24"/>
          <w:szCs w:val="24"/>
        </w:rPr>
        <w:t>HJ610-2016</w:t>
      </w:r>
      <w:r>
        <w:rPr>
          <w:sz w:val="24"/>
          <w:szCs w:val="24"/>
        </w:rPr>
        <w:t>）规范要求，</w:t>
      </w:r>
      <w:r>
        <w:rPr>
          <w:rFonts w:hint="eastAsia"/>
          <w:sz w:val="24"/>
          <w:szCs w:val="24"/>
        </w:rPr>
        <w:t>委托监测单位</w:t>
      </w:r>
      <w:r>
        <w:rPr>
          <w:sz w:val="24"/>
          <w:szCs w:val="24"/>
        </w:rPr>
        <w:t>于</w:t>
      </w:r>
      <w:r>
        <w:rPr>
          <w:sz w:val="24"/>
          <w:szCs w:val="24"/>
        </w:rPr>
        <w:t>202</w:t>
      </w:r>
      <w:r>
        <w:rPr>
          <w:rFonts w:hint="eastAsia"/>
          <w:sz w:val="24"/>
          <w:szCs w:val="24"/>
        </w:rPr>
        <w:t>3</w:t>
      </w:r>
      <w:r>
        <w:rPr>
          <w:sz w:val="24"/>
          <w:szCs w:val="24"/>
        </w:rPr>
        <w:t>年</w:t>
      </w:r>
      <w:r>
        <w:rPr>
          <w:rFonts w:hint="eastAsia"/>
          <w:sz w:val="24"/>
          <w:szCs w:val="24"/>
        </w:rPr>
        <w:t>4</w:t>
      </w:r>
      <w:r>
        <w:rPr>
          <w:sz w:val="24"/>
          <w:szCs w:val="24"/>
        </w:rPr>
        <w:t>月</w:t>
      </w:r>
      <w:r>
        <w:rPr>
          <w:rFonts w:hint="eastAsia"/>
          <w:sz w:val="24"/>
          <w:szCs w:val="24"/>
        </w:rPr>
        <w:t>27</w:t>
      </w:r>
      <w:r>
        <w:rPr>
          <w:sz w:val="24"/>
          <w:szCs w:val="24"/>
        </w:rPr>
        <w:t>日对本项目所在区域的地下水环境质量现状进行监测，根据《地下水环境质量标准》（</w:t>
      </w:r>
      <w:r>
        <w:rPr>
          <w:sz w:val="24"/>
          <w:szCs w:val="24"/>
        </w:rPr>
        <w:t>GB/T14848-2017</w:t>
      </w:r>
      <w:r>
        <w:rPr>
          <w:sz w:val="24"/>
          <w:szCs w:val="24"/>
        </w:rPr>
        <w:t>）并参照《地表水环境质量标准》（</w:t>
      </w:r>
      <w:r>
        <w:rPr>
          <w:sz w:val="24"/>
          <w:szCs w:val="24"/>
        </w:rPr>
        <w:t>GB3838-2002</w:t>
      </w:r>
      <w:r>
        <w:rPr>
          <w:sz w:val="24"/>
          <w:szCs w:val="24"/>
        </w:rPr>
        <w:t>）对本项目地下水环境进行评价。</w:t>
      </w:r>
    </w:p>
    <w:p w:rsidR="00DB7CC8" w:rsidRDefault="002B5250">
      <w:pPr>
        <w:spacing w:line="480" w:lineRule="exact"/>
        <w:ind w:firstLine="480"/>
        <w:rPr>
          <w:sz w:val="24"/>
          <w:szCs w:val="24"/>
        </w:rPr>
      </w:pPr>
      <w:r>
        <w:rPr>
          <w:sz w:val="24"/>
          <w:szCs w:val="24"/>
        </w:rPr>
        <w:t>1</w:t>
      </w:r>
      <w:r>
        <w:rPr>
          <w:sz w:val="24"/>
          <w:szCs w:val="24"/>
        </w:rPr>
        <w:t>、监测点位与监测因子</w:t>
      </w:r>
    </w:p>
    <w:p w:rsidR="00DB7CC8" w:rsidRDefault="002B5250">
      <w:pPr>
        <w:spacing w:line="480" w:lineRule="exact"/>
        <w:ind w:firstLine="480"/>
        <w:rPr>
          <w:sz w:val="24"/>
          <w:szCs w:val="24"/>
        </w:rPr>
      </w:pPr>
      <w:r>
        <w:rPr>
          <w:sz w:val="24"/>
          <w:szCs w:val="24"/>
        </w:rPr>
        <w:t>根据厂址所在区域地下水流向及地下水导则要求，在评价区域内共设置</w:t>
      </w:r>
      <w:r>
        <w:rPr>
          <w:sz w:val="24"/>
          <w:szCs w:val="24"/>
        </w:rPr>
        <w:t>5</w:t>
      </w:r>
      <w:r>
        <w:rPr>
          <w:sz w:val="24"/>
          <w:szCs w:val="24"/>
        </w:rPr>
        <w:t>个监测点位进行水质及水位监测。各监测井及监测因子见表</w:t>
      </w:r>
      <w:r>
        <w:rPr>
          <w:sz w:val="24"/>
          <w:szCs w:val="24"/>
        </w:rPr>
        <w:t>4.3-4</w:t>
      </w:r>
      <w:r>
        <w:rPr>
          <w:sz w:val="24"/>
          <w:szCs w:val="24"/>
        </w:rPr>
        <w:t>。</w:t>
      </w:r>
    </w:p>
    <w:p w:rsidR="00DB7CC8" w:rsidRDefault="002B5250">
      <w:pPr>
        <w:pStyle w:val="29"/>
        <w:spacing w:after="0" w:line="480" w:lineRule="exact"/>
        <w:ind w:leftChars="0" w:left="0" w:firstLine="422"/>
        <w:jc w:val="center"/>
        <w:rPr>
          <w:b/>
          <w:bCs/>
        </w:rPr>
      </w:pPr>
      <w:r>
        <w:rPr>
          <w:b/>
          <w:bCs/>
        </w:rPr>
        <w:t>表</w:t>
      </w:r>
      <w:r>
        <w:rPr>
          <w:b/>
          <w:bCs/>
        </w:rPr>
        <w:t xml:space="preserve">4.3-4  </w:t>
      </w:r>
      <w:r>
        <w:rPr>
          <w:b/>
          <w:bCs/>
        </w:rPr>
        <w:t>地下水监测点及监测因子一览表</w:t>
      </w:r>
    </w:p>
    <w:tbl>
      <w:tblPr>
        <w:tblW w:w="8653"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 w:type="dxa"/>
          <w:right w:w="1" w:type="dxa"/>
        </w:tblCellMar>
        <w:tblLook w:val="04A0" w:firstRow="1" w:lastRow="0" w:firstColumn="1" w:lastColumn="0" w:noHBand="0" w:noVBand="1"/>
      </w:tblPr>
      <w:tblGrid>
        <w:gridCol w:w="296"/>
        <w:gridCol w:w="1084"/>
        <w:gridCol w:w="1065"/>
        <w:gridCol w:w="1414"/>
        <w:gridCol w:w="2155"/>
        <w:gridCol w:w="1448"/>
        <w:gridCol w:w="1191"/>
      </w:tblGrid>
      <w:tr w:rsidR="00DB7CC8">
        <w:trPr>
          <w:trHeight w:val="375"/>
        </w:trPr>
        <w:tc>
          <w:tcPr>
            <w:tcW w:w="296" w:type="dxa"/>
            <w:vMerge w:val="restart"/>
            <w:vAlign w:val="center"/>
          </w:tcPr>
          <w:p w:rsidR="00DB7CC8" w:rsidRDefault="002B5250">
            <w:pPr>
              <w:spacing w:line="240" w:lineRule="auto"/>
              <w:ind w:firstLineChars="0" w:firstLine="0"/>
              <w:jc w:val="center"/>
              <w:rPr>
                <w:sz w:val="21"/>
                <w:szCs w:val="21"/>
              </w:rPr>
            </w:pPr>
            <w:r>
              <w:rPr>
                <w:sz w:val="21"/>
                <w:szCs w:val="21"/>
              </w:rPr>
              <w:t>序</w:t>
            </w:r>
          </w:p>
          <w:p w:rsidR="00DB7CC8" w:rsidRDefault="002B5250">
            <w:pPr>
              <w:spacing w:line="240" w:lineRule="auto"/>
              <w:ind w:firstLineChars="0" w:firstLine="0"/>
              <w:jc w:val="center"/>
              <w:rPr>
                <w:sz w:val="21"/>
                <w:szCs w:val="21"/>
              </w:rPr>
            </w:pPr>
            <w:r>
              <w:rPr>
                <w:sz w:val="21"/>
                <w:szCs w:val="21"/>
              </w:rPr>
              <w:t>号</w:t>
            </w:r>
          </w:p>
        </w:tc>
        <w:tc>
          <w:tcPr>
            <w:tcW w:w="1084" w:type="dxa"/>
            <w:vMerge w:val="restart"/>
            <w:vAlign w:val="center"/>
          </w:tcPr>
          <w:p w:rsidR="00DB7CC8" w:rsidRDefault="002B5250">
            <w:pPr>
              <w:spacing w:line="240" w:lineRule="auto"/>
              <w:ind w:firstLineChars="0" w:firstLine="0"/>
              <w:jc w:val="center"/>
              <w:rPr>
                <w:sz w:val="21"/>
                <w:szCs w:val="21"/>
              </w:rPr>
            </w:pPr>
            <w:r>
              <w:rPr>
                <w:sz w:val="21"/>
                <w:szCs w:val="21"/>
              </w:rPr>
              <w:t>监测点</w:t>
            </w:r>
          </w:p>
          <w:p w:rsidR="00DB7CC8" w:rsidRDefault="002B5250">
            <w:pPr>
              <w:spacing w:line="240" w:lineRule="auto"/>
              <w:ind w:firstLineChars="0" w:firstLine="0"/>
              <w:jc w:val="center"/>
              <w:rPr>
                <w:sz w:val="21"/>
                <w:szCs w:val="21"/>
              </w:rPr>
            </w:pPr>
            <w:r>
              <w:rPr>
                <w:sz w:val="21"/>
                <w:szCs w:val="21"/>
              </w:rPr>
              <w:t>名称</w:t>
            </w:r>
          </w:p>
        </w:tc>
        <w:tc>
          <w:tcPr>
            <w:tcW w:w="1065" w:type="dxa"/>
            <w:vMerge w:val="restart"/>
            <w:vAlign w:val="center"/>
          </w:tcPr>
          <w:p w:rsidR="00DB7CC8" w:rsidRDefault="002B5250">
            <w:pPr>
              <w:spacing w:line="240" w:lineRule="auto"/>
              <w:ind w:firstLineChars="0" w:firstLine="0"/>
              <w:jc w:val="center"/>
              <w:rPr>
                <w:sz w:val="21"/>
                <w:szCs w:val="21"/>
              </w:rPr>
            </w:pPr>
            <w:r>
              <w:rPr>
                <w:sz w:val="21"/>
                <w:szCs w:val="21"/>
              </w:rPr>
              <w:t>监测层位</w:t>
            </w:r>
          </w:p>
          <w:p w:rsidR="00DB7CC8" w:rsidRDefault="00DB7CC8">
            <w:pPr>
              <w:spacing w:line="240" w:lineRule="auto"/>
              <w:ind w:firstLineChars="0" w:firstLine="0"/>
              <w:jc w:val="center"/>
              <w:rPr>
                <w:sz w:val="21"/>
                <w:szCs w:val="21"/>
              </w:rPr>
            </w:pPr>
          </w:p>
        </w:tc>
        <w:tc>
          <w:tcPr>
            <w:tcW w:w="1414" w:type="dxa"/>
            <w:vMerge w:val="restart"/>
            <w:vAlign w:val="center"/>
          </w:tcPr>
          <w:p w:rsidR="00DB7CC8" w:rsidRDefault="002B5250">
            <w:pPr>
              <w:spacing w:line="240" w:lineRule="auto"/>
              <w:ind w:firstLineChars="0" w:firstLine="0"/>
              <w:jc w:val="center"/>
              <w:rPr>
                <w:sz w:val="21"/>
                <w:szCs w:val="21"/>
              </w:rPr>
            </w:pPr>
            <w:r>
              <w:rPr>
                <w:sz w:val="21"/>
                <w:szCs w:val="21"/>
              </w:rPr>
              <w:t>监测点与</w:t>
            </w:r>
          </w:p>
          <w:p w:rsidR="00DB7CC8" w:rsidRDefault="002B5250">
            <w:pPr>
              <w:spacing w:line="240" w:lineRule="auto"/>
              <w:ind w:firstLineChars="0" w:firstLine="0"/>
              <w:jc w:val="center"/>
              <w:rPr>
                <w:sz w:val="21"/>
                <w:szCs w:val="21"/>
              </w:rPr>
            </w:pPr>
            <w:r>
              <w:rPr>
                <w:sz w:val="21"/>
                <w:szCs w:val="21"/>
              </w:rPr>
              <w:t>厂址的方位</w:t>
            </w:r>
          </w:p>
        </w:tc>
        <w:tc>
          <w:tcPr>
            <w:tcW w:w="4794" w:type="dxa"/>
            <w:gridSpan w:val="3"/>
            <w:vAlign w:val="center"/>
          </w:tcPr>
          <w:p w:rsidR="00DB7CC8" w:rsidRDefault="002B5250">
            <w:pPr>
              <w:spacing w:line="240" w:lineRule="auto"/>
              <w:ind w:firstLineChars="0" w:firstLine="0"/>
              <w:jc w:val="center"/>
              <w:rPr>
                <w:sz w:val="21"/>
                <w:szCs w:val="21"/>
              </w:rPr>
            </w:pPr>
            <w:r>
              <w:rPr>
                <w:sz w:val="21"/>
                <w:szCs w:val="21"/>
              </w:rPr>
              <w:t>监测与调查项目</w:t>
            </w:r>
          </w:p>
        </w:tc>
      </w:tr>
      <w:tr w:rsidR="00DB7CC8">
        <w:trPr>
          <w:trHeight w:val="240"/>
        </w:trPr>
        <w:tc>
          <w:tcPr>
            <w:tcW w:w="296" w:type="dxa"/>
            <w:vMerge/>
            <w:vAlign w:val="center"/>
          </w:tcPr>
          <w:p w:rsidR="00DB7CC8" w:rsidRDefault="00DB7CC8">
            <w:pPr>
              <w:spacing w:line="240" w:lineRule="auto"/>
              <w:ind w:firstLineChars="0" w:firstLine="0"/>
              <w:jc w:val="center"/>
              <w:rPr>
                <w:sz w:val="21"/>
                <w:szCs w:val="21"/>
              </w:rPr>
            </w:pPr>
          </w:p>
        </w:tc>
        <w:tc>
          <w:tcPr>
            <w:tcW w:w="1084" w:type="dxa"/>
            <w:vMerge/>
            <w:vAlign w:val="center"/>
          </w:tcPr>
          <w:p w:rsidR="00DB7CC8" w:rsidRDefault="00DB7CC8">
            <w:pPr>
              <w:spacing w:line="240" w:lineRule="auto"/>
              <w:ind w:firstLineChars="0" w:firstLine="0"/>
              <w:jc w:val="center"/>
              <w:rPr>
                <w:sz w:val="21"/>
                <w:szCs w:val="21"/>
              </w:rPr>
            </w:pPr>
          </w:p>
        </w:tc>
        <w:tc>
          <w:tcPr>
            <w:tcW w:w="1065" w:type="dxa"/>
            <w:vMerge/>
            <w:vAlign w:val="center"/>
          </w:tcPr>
          <w:p w:rsidR="00DB7CC8" w:rsidRDefault="00DB7CC8">
            <w:pPr>
              <w:spacing w:line="240" w:lineRule="auto"/>
              <w:ind w:firstLineChars="0" w:firstLine="0"/>
              <w:jc w:val="center"/>
              <w:rPr>
                <w:sz w:val="21"/>
                <w:szCs w:val="21"/>
              </w:rPr>
            </w:pPr>
          </w:p>
        </w:tc>
        <w:tc>
          <w:tcPr>
            <w:tcW w:w="1414" w:type="dxa"/>
            <w:vMerge/>
            <w:vAlign w:val="center"/>
          </w:tcPr>
          <w:p w:rsidR="00DB7CC8" w:rsidRDefault="00DB7CC8">
            <w:pPr>
              <w:spacing w:line="240" w:lineRule="auto"/>
              <w:ind w:firstLineChars="0" w:firstLine="0"/>
              <w:jc w:val="center"/>
              <w:rPr>
                <w:sz w:val="21"/>
                <w:szCs w:val="21"/>
              </w:rPr>
            </w:pPr>
          </w:p>
        </w:tc>
        <w:tc>
          <w:tcPr>
            <w:tcW w:w="2155" w:type="dxa"/>
            <w:vAlign w:val="center"/>
          </w:tcPr>
          <w:p w:rsidR="00DB7CC8" w:rsidRDefault="002B5250">
            <w:pPr>
              <w:spacing w:line="240" w:lineRule="auto"/>
              <w:ind w:firstLineChars="0" w:firstLine="0"/>
              <w:jc w:val="center"/>
              <w:rPr>
                <w:sz w:val="21"/>
                <w:szCs w:val="21"/>
              </w:rPr>
            </w:pPr>
            <w:r>
              <w:rPr>
                <w:sz w:val="21"/>
                <w:szCs w:val="21"/>
              </w:rPr>
              <w:t>监测因子</w:t>
            </w:r>
          </w:p>
        </w:tc>
        <w:tc>
          <w:tcPr>
            <w:tcW w:w="1448" w:type="dxa"/>
            <w:vAlign w:val="center"/>
          </w:tcPr>
          <w:p w:rsidR="00DB7CC8" w:rsidRDefault="002B5250">
            <w:pPr>
              <w:spacing w:line="240" w:lineRule="auto"/>
              <w:ind w:firstLineChars="0" w:firstLine="0"/>
              <w:jc w:val="center"/>
              <w:rPr>
                <w:sz w:val="21"/>
                <w:szCs w:val="21"/>
              </w:rPr>
            </w:pPr>
            <w:r>
              <w:rPr>
                <w:sz w:val="21"/>
                <w:szCs w:val="21"/>
              </w:rPr>
              <w:t>检测因子</w:t>
            </w:r>
          </w:p>
        </w:tc>
        <w:tc>
          <w:tcPr>
            <w:tcW w:w="1191" w:type="dxa"/>
            <w:vAlign w:val="center"/>
          </w:tcPr>
          <w:p w:rsidR="00DB7CC8" w:rsidRDefault="002B5250">
            <w:pPr>
              <w:spacing w:line="240" w:lineRule="auto"/>
              <w:ind w:firstLineChars="0" w:firstLine="0"/>
              <w:jc w:val="center"/>
              <w:rPr>
                <w:sz w:val="21"/>
                <w:szCs w:val="21"/>
              </w:rPr>
            </w:pPr>
            <w:r>
              <w:rPr>
                <w:sz w:val="21"/>
                <w:szCs w:val="21"/>
              </w:rPr>
              <w:t>调查项目</w:t>
            </w:r>
          </w:p>
        </w:tc>
      </w:tr>
      <w:tr w:rsidR="00DB7CC8">
        <w:trPr>
          <w:trHeight w:val="675"/>
        </w:trPr>
        <w:tc>
          <w:tcPr>
            <w:tcW w:w="296" w:type="dxa"/>
            <w:vAlign w:val="center"/>
          </w:tcPr>
          <w:p w:rsidR="00DB7CC8" w:rsidRDefault="002B5250">
            <w:pPr>
              <w:spacing w:line="240" w:lineRule="auto"/>
              <w:ind w:firstLineChars="0" w:firstLine="0"/>
              <w:jc w:val="center"/>
              <w:rPr>
                <w:sz w:val="21"/>
                <w:szCs w:val="21"/>
              </w:rPr>
            </w:pPr>
            <w:r>
              <w:rPr>
                <w:sz w:val="21"/>
                <w:szCs w:val="21"/>
              </w:rPr>
              <w:t>1</w:t>
            </w:r>
          </w:p>
        </w:tc>
        <w:tc>
          <w:tcPr>
            <w:tcW w:w="1084" w:type="dxa"/>
            <w:vAlign w:val="center"/>
          </w:tcPr>
          <w:p w:rsidR="00DB7CC8" w:rsidRDefault="002B5250">
            <w:pPr>
              <w:spacing w:line="240" w:lineRule="auto"/>
              <w:ind w:firstLineChars="0" w:firstLine="0"/>
              <w:jc w:val="center"/>
              <w:rPr>
                <w:sz w:val="21"/>
                <w:szCs w:val="21"/>
              </w:rPr>
            </w:pPr>
            <w:r>
              <w:rPr>
                <w:rFonts w:hint="eastAsia"/>
                <w:sz w:val="21"/>
                <w:szCs w:val="21"/>
              </w:rPr>
              <w:t>大于沟</w:t>
            </w:r>
            <w:r>
              <w:rPr>
                <w:sz w:val="21"/>
                <w:szCs w:val="21"/>
              </w:rPr>
              <w:t>村</w:t>
            </w:r>
          </w:p>
        </w:tc>
        <w:tc>
          <w:tcPr>
            <w:tcW w:w="1065" w:type="dxa"/>
            <w:vAlign w:val="center"/>
          </w:tcPr>
          <w:p w:rsidR="00DB7CC8" w:rsidRDefault="002B5250">
            <w:pPr>
              <w:spacing w:line="240" w:lineRule="auto"/>
              <w:ind w:firstLineChars="0" w:firstLine="0"/>
              <w:jc w:val="center"/>
              <w:rPr>
                <w:sz w:val="21"/>
                <w:szCs w:val="21"/>
              </w:rPr>
            </w:pPr>
            <w:r>
              <w:rPr>
                <w:sz w:val="21"/>
                <w:szCs w:val="21"/>
              </w:rPr>
              <w:t>潜水</w:t>
            </w:r>
          </w:p>
        </w:tc>
        <w:tc>
          <w:tcPr>
            <w:tcW w:w="1414" w:type="dxa"/>
            <w:vAlign w:val="center"/>
          </w:tcPr>
          <w:p w:rsidR="00DB7CC8" w:rsidRDefault="002B5250">
            <w:pPr>
              <w:spacing w:line="240" w:lineRule="auto"/>
              <w:ind w:firstLineChars="0" w:firstLine="0"/>
              <w:jc w:val="center"/>
              <w:rPr>
                <w:sz w:val="21"/>
                <w:szCs w:val="21"/>
              </w:rPr>
            </w:pPr>
            <w:r>
              <w:rPr>
                <w:sz w:val="21"/>
                <w:szCs w:val="21"/>
              </w:rPr>
              <w:t>N</w:t>
            </w:r>
            <w:r>
              <w:rPr>
                <w:rFonts w:hint="eastAsia"/>
                <w:sz w:val="21"/>
                <w:szCs w:val="21"/>
              </w:rPr>
              <w:t>E</w:t>
            </w:r>
          </w:p>
        </w:tc>
        <w:tc>
          <w:tcPr>
            <w:tcW w:w="2155" w:type="dxa"/>
            <w:vMerge w:val="restart"/>
            <w:vAlign w:val="center"/>
          </w:tcPr>
          <w:p w:rsidR="00DB7CC8" w:rsidRDefault="002B5250">
            <w:pPr>
              <w:spacing w:line="0" w:lineRule="atLeast"/>
              <w:ind w:firstLine="420"/>
              <w:jc w:val="center"/>
              <w:rPr>
                <w:spacing w:val="-10"/>
                <w:sz w:val="21"/>
                <w:szCs w:val="21"/>
              </w:rPr>
            </w:pPr>
            <w:r>
              <w:rPr>
                <w:sz w:val="21"/>
                <w:szCs w:val="21"/>
              </w:rPr>
              <w:t>pH</w:t>
            </w:r>
            <w:r>
              <w:rPr>
                <w:sz w:val="21"/>
                <w:szCs w:val="21"/>
              </w:rPr>
              <w:t>、耗氧量、总硬度、溶解性总固体、氨氮、硝酸盐、亚硝酸盐、硫酸盐、氯化物、氰化物、挥发性酚类、氟、砷、汞、镉、六价铬、铅、铁、锰、石油类</w:t>
            </w:r>
          </w:p>
        </w:tc>
        <w:tc>
          <w:tcPr>
            <w:tcW w:w="1448" w:type="dxa"/>
            <w:vMerge w:val="restart"/>
            <w:vAlign w:val="center"/>
          </w:tcPr>
          <w:p w:rsidR="00DB7CC8" w:rsidRDefault="002B5250">
            <w:pPr>
              <w:spacing w:line="0" w:lineRule="atLeast"/>
              <w:ind w:firstLine="420"/>
              <w:jc w:val="center"/>
              <w:rPr>
                <w:spacing w:val="-10"/>
                <w:sz w:val="21"/>
                <w:szCs w:val="21"/>
              </w:rPr>
            </w:pPr>
            <w:r>
              <w:rPr>
                <w:sz w:val="21"/>
                <w:szCs w:val="21"/>
              </w:rPr>
              <w:t>K</w:t>
            </w:r>
            <w:r>
              <w:rPr>
                <w:sz w:val="21"/>
                <w:szCs w:val="21"/>
                <w:vertAlign w:val="superscript"/>
              </w:rPr>
              <w:t>+</w:t>
            </w:r>
            <w:r>
              <w:rPr>
                <w:sz w:val="21"/>
                <w:szCs w:val="21"/>
              </w:rPr>
              <w:t>、</w:t>
            </w:r>
            <w:r>
              <w:rPr>
                <w:sz w:val="21"/>
                <w:szCs w:val="21"/>
              </w:rPr>
              <w:t>Na</w:t>
            </w:r>
            <w:r>
              <w:rPr>
                <w:sz w:val="21"/>
                <w:szCs w:val="21"/>
                <w:vertAlign w:val="superscript"/>
              </w:rPr>
              <w:t>+</w:t>
            </w:r>
            <w:r>
              <w:rPr>
                <w:sz w:val="21"/>
                <w:szCs w:val="21"/>
              </w:rPr>
              <w:t>、</w:t>
            </w:r>
            <w:r>
              <w:rPr>
                <w:sz w:val="21"/>
                <w:szCs w:val="21"/>
              </w:rPr>
              <w:t>Ca</w:t>
            </w:r>
            <w:r>
              <w:rPr>
                <w:sz w:val="21"/>
                <w:szCs w:val="21"/>
                <w:vertAlign w:val="superscript"/>
              </w:rPr>
              <w:t>2+</w:t>
            </w:r>
            <w:r>
              <w:rPr>
                <w:sz w:val="21"/>
                <w:szCs w:val="21"/>
              </w:rPr>
              <w:t>、</w:t>
            </w:r>
            <w:r>
              <w:rPr>
                <w:sz w:val="21"/>
                <w:szCs w:val="21"/>
              </w:rPr>
              <w:t>Mg</w:t>
            </w:r>
            <w:r>
              <w:rPr>
                <w:sz w:val="21"/>
                <w:szCs w:val="21"/>
                <w:vertAlign w:val="superscript"/>
              </w:rPr>
              <w:t>2+</w:t>
            </w:r>
            <w:r>
              <w:rPr>
                <w:sz w:val="21"/>
                <w:szCs w:val="21"/>
              </w:rPr>
              <w:t>、</w:t>
            </w:r>
            <w:r>
              <w:rPr>
                <w:sz w:val="21"/>
                <w:szCs w:val="21"/>
              </w:rPr>
              <w:t>CO</w:t>
            </w:r>
            <w:r>
              <w:rPr>
                <w:sz w:val="21"/>
                <w:szCs w:val="21"/>
                <w:vertAlign w:val="subscript"/>
              </w:rPr>
              <w:t>3</w:t>
            </w:r>
            <w:r>
              <w:rPr>
                <w:sz w:val="21"/>
                <w:szCs w:val="21"/>
                <w:vertAlign w:val="superscript"/>
              </w:rPr>
              <w:t>2-</w:t>
            </w:r>
            <w:r>
              <w:rPr>
                <w:sz w:val="21"/>
                <w:szCs w:val="21"/>
              </w:rPr>
              <w:t>、</w:t>
            </w:r>
            <w:r>
              <w:rPr>
                <w:sz w:val="21"/>
                <w:szCs w:val="21"/>
              </w:rPr>
              <w:t>HCO</w:t>
            </w:r>
            <w:r>
              <w:rPr>
                <w:sz w:val="21"/>
                <w:szCs w:val="21"/>
                <w:vertAlign w:val="subscript"/>
              </w:rPr>
              <w:t>3</w:t>
            </w:r>
            <w:r>
              <w:rPr>
                <w:sz w:val="21"/>
                <w:szCs w:val="21"/>
                <w:vertAlign w:val="superscript"/>
              </w:rPr>
              <w:t>-</w:t>
            </w:r>
          </w:p>
        </w:tc>
        <w:tc>
          <w:tcPr>
            <w:tcW w:w="1191" w:type="dxa"/>
            <w:vMerge w:val="restart"/>
            <w:vAlign w:val="center"/>
          </w:tcPr>
          <w:p w:rsidR="00DB7CC8" w:rsidRDefault="002B5250">
            <w:pPr>
              <w:spacing w:line="0" w:lineRule="atLeast"/>
              <w:ind w:firstLineChars="0" w:firstLine="0"/>
              <w:jc w:val="both"/>
              <w:rPr>
                <w:spacing w:val="-10"/>
                <w:sz w:val="21"/>
                <w:szCs w:val="21"/>
              </w:rPr>
            </w:pPr>
            <w:r>
              <w:rPr>
                <w:spacing w:val="-10"/>
                <w:sz w:val="21"/>
                <w:szCs w:val="21"/>
              </w:rPr>
              <w:t>水位标高</w:t>
            </w:r>
            <w:r>
              <w:rPr>
                <w:spacing w:val="-10"/>
                <w:sz w:val="21"/>
                <w:szCs w:val="21"/>
              </w:rPr>
              <w:t>(m)</w:t>
            </w:r>
            <w:r>
              <w:rPr>
                <w:spacing w:val="-10"/>
                <w:sz w:val="21"/>
                <w:szCs w:val="21"/>
              </w:rPr>
              <w:t>、</w:t>
            </w:r>
          </w:p>
          <w:p w:rsidR="00DB7CC8" w:rsidRDefault="002B5250">
            <w:pPr>
              <w:spacing w:line="0" w:lineRule="atLeast"/>
              <w:ind w:firstLineChars="0" w:firstLine="0"/>
              <w:jc w:val="both"/>
              <w:rPr>
                <w:spacing w:val="-10"/>
                <w:sz w:val="21"/>
                <w:szCs w:val="21"/>
              </w:rPr>
            </w:pPr>
            <w:r>
              <w:rPr>
                <w:spacing w:val="-10"/>
                <w:sz w:val="21"/>
                <w:szCs w:val="21"/>
              </w:rPr>
              <w:t>井口标高</w:t>
            </w:r>
            <w:r>
              <w:rPr>
                <w:spacing w:val="-10"/>
                <w:sz w:val="21"/>
                <w:szCs w:val="21"/>
              </w:rPr>
              <w:t>(m)</w:t>
            </w:r>
            <w:r>
              <w:rPr>
                <w:spacing w:val="-10"/>
                <w:sz w:val="21"/>
                <w:szCs w:val="21"/>
              </w:rPr>
              <w:t>、</w:t>
            </w:r>
          </w:p>
        </w:tc>
      </w:tr>
      <w:tr w:rsidR="00DB7CC8">
        <w:trPr>
          <w:trHeight w:val="486"/>
        </w:trPr>
        <w:tc>
          <w:tcPr>
            <w:tcW w:w="296" w:type="dxa"/>
            <w:vAlign w:val="center"/>
          </w:tcPr>
          <w:p w:rsidR="00DB7CC8" w:rsidRDefault="002B5250">
            <w:pPr>
              <w:spacing w:line="240" w:lineRule="auto"/>
              <w:ind w:firstLineChars="0" w:firstLine="0"/>
              <w:jc w:val="center"/>
              <w:rPr>
                <w:sz w:val="21"/>
                <w:szCs w:val="21"/>
              </w:rPr>
            </w:pPr>
            <w:r>
              <w:rPr>
                <w:sz w:val="21"/>
                <w:szCs w:val="21"/>
              </w:rPr>
              <w:t>2</w:t>
            </w:r>
          </w:p>
        </w:tc>
        <w:tc>
          <w:tcPr>
            <w:tcW w:w="1084" w:type="dxa"/>
            <w:vAlign w:val="center"/>
          </w:tcPr>
          <w:p w:rsidR="00DB7CC8" w:rsidRDefault="002B5250">
            <w:pPr>
              <w:spacing w:line="240" w:lineRule="auto"/>
              <w:ind w:firstLineChars="0" w:firstLine="0"/>
              <w:jc w:val="center"/>
              <w:rPr>
                <w:sz w:val="21"/>
                <w:szCs w:val="21"/>
              </w:rPr>
            </w:pPr>
            <w:r>
              <w:rPr>
                <w:rFonts w:hint="eastAsia"/>
                <w:sz w:val="21"/>
                <w:szCs w:val="21"/>
              </w:rPr>
              <w:t>靠山庄村</w:t>
            </w:r>
          </w:p>
        </w:tc>
        <w:tc>
          <w:tcPr>
            <w:tcW w:w="1065" w:type="dxa"/>
            <w:vAlign w:val="center"/>
          </w:tcPr>
          <w:p w:rsidR="00DB7CC8" w:rsidRDefault="002B5250">
            <w:pPr>
              <w:spacing w:line="240" w:lineRule="auto"/>
              <w:ind w:firstLineChars="0" w:firstLine="0"/>
              <w:jc w:val="center"/>
              <w:rPr>
                <w:sz w:val="21"/>
                <w:szCs w:val="21"/>
              </w:rPr>
            </w:pPr>
            <w:r>
              <w:rPr>
                <w:sz w:val="21"/>
                <w:szCs w:val="21"/>
              </w:rPr>
              <w:t>潜水</w:t>
            </w:r>
          </w:p>
        </w:tc>
        <w:tc>
          <w:tcPr>
            <w:tcW w:w="1414" w:type="dxa"/>
            <w:vAlign w:val="center"/>
          </w:tcPr>
          <w:p w:rsidR="00DB7CC8" w:rsidRDefault="002B5250">
            <w:pPr>
              <w:spacing w:line="240" w:lineRule="auto"/>
              <w:ind w:firstLineChars="0" w:firstLine="0"/>
              <w:jc w:val="center"/>
              <w:rPr>
                <w:sz w:val="21"/>
                <w:szCs w:val="21"/>
              </w:rPr>
            </w:pPr>
            <w:r>
              <w:rPr>
                <w:rFonts w:hint="eastAsia"/>
                <w:sz w:val="21"/>
                <w:szCs w:val="21"/>
              </w:rPr>
              <w:t>N</w:t>
            </w:r>
          </w:p>
        </w:tc>
        <w:tc>
          <w:tcPr>
            <w:tcW w:w="2155" w:type="dxa"/>
            <w:vMerge/>
            <w:vAlign w:val="center"/>
          </w:tcPr>
          <w:p w:rsidR="00DB7CC8" w:rsidRDefault="00DB7CC8">
            <w:pPr>
              <w:spacing w:line="0" w:lineRule="atLeast"/>
              <w:ind w:firstLine="380"/>
              <w:jc w:val="center"/>
              <w:rPr>
                <w:spacing w:val="-10"/>
                <w:sz w:val="21"/>
                <w:szCs w:val="21"/>
              </w:rPr>
            </w:pPr>
          </w:p>
        </w:tc>
        <w:tc>
          <w:tcPr>
            <w:tcW w:w="1448" w:type="dxa"/>
            <w:vMerge/>
            <w:vAlign w:val="center"/>
          </w:tcPr>
          <w:p w:rsidR="00DB7CC8" w:rsidRDefault="00DB7CC8">
            <w:pPr>
              <w:spacing w:line="0" w:lineRule="atLeast"/>
              <w:ind w:firstLine="380"/>
              <w:jc w:val="center"/>
              <w:rPr>
                <w:spacing w:val="-10"/>
                <w:sz w:val="21"/>
                <w:szCs w:val="21"/>
              </w:rPr>
            </w:pPr>
          </w:p>
        </w:tc>
        <w:tc>
          <w:tcPr>
            <w:tcW w:w="1191" w:type="dxa"/>
            <w:vMerge/>
            <w:vAlign w:val="center"/>
          </w:tcPr>
          <w:p w:rsidR="00DB7CC8" w:rsidRDefault="00DB7CC8">
            <w:pPr>
              <w:spacing w:line="0" w:lineRule="atLeast"/>
              <w:ind w:firstLine="380"/>
              <w:jc w:val="center"/>
              <w:rPr>
                <w:spacing w:val="-10"/>
                <w:sz w:val="21"/>
                <w:szCs w:val="21"/>
              </w:rPr>
            </w:pPr>
          </w:p>
        </w:tc>
      </w:tr>
      <w:tr w:rsidR="00DB7CC8">
        <w:trPr>
          <w:trHeight w:val="486"/>
        </w:trPr>
        <w:tc>
          <w:tcPr>
            <w:tcW w:w="296" w:type="dxa"/>
            <w:vAlign w:val="center"/>
          </w:tcPr>
          <w:p w:rsidR="00DB7CC8" w:rsidRDefault="002B5250">
            <w:pPr>
              <w:spacing w:line="240" w:lineRule="auto"/>
              <w:ind w:firstLineChars="0" w:firstLine="0"/>
              <w:jc w:val="center"/>
              <w:rPr>
                <w:sz w:val="21"/>
                <w:szCs w:val="21"/>
              </w:rPr>
            </w:pPr>
            <w:r>
              <w:rPr>
                <w:sz w:val="21"/>
                <w:szCs w:val="21"/>
              </w:rPr>
              <w:t>3</w:t>
            </w:r>
          </w:p>
        </w:tc>
        <w:tc>
          <w:tcPr>
            <w:tcW w:w="1084" w:type="dxa"/>
            <w:vAlign w:val="center"/>
          </w:tcPr>
          <w:p w:rsidR="00DB7CC8" w:rsidRDefault="002B5250">
            <w:pPr>
              <w:spacing w:line="240" w:lineRule="auto"/>
              <w:ind w:firstLineChars="0" w:firstLine="0"/>
              <w:jc w:val="center"/>
              <w:rPr>
                <w:sz w:val="21"/>
                <w:szCs w:val="21"/>
              </w:rPr>
            </w:pPr>
            <w:r>
              <w:rPr>
                <w:sz w:val="21"/>
                <w:szCs w:val="21"/>
              </w:rPr>
              <w:t>项目</w:t>
            </w:r>
          </w:p>
          <w:p w:rsidR="00DB7CC8" w:rsidRDefault="002B5250">
            <w:pPr>
              <w:spacing w:line="240" w:lineRule="auto"/>
              <w:ind w:firstLineChars="0" w:firstLine="0"/>
              <w:jc w:val="center"/>
              <w:rPr>
                <w:sz w:val="21"/>
                <w:szCs w:val="21"/>
              </w:rPr>
            </w:pPr>
            <w:r>
              <w:rPr>
                <w:sz w:val="21"/>
                <w:szCs w:val="21"/>
              </w:rPr>
              <w:t>厂区内</w:t>
            </w:r>
          </w:p>
        </w:tc>
        <w:tc>
          <w:tcPr>
            <w:tcW w:w="1065" w:type="dxa"/>
            <w:vAlign w:val="center"/>
          </w:tcPr>
          <w:p w:rsidR="00DB7CC8" w:rsidRDefault="002B5250">
            <w:pPr>
              <w:spacing w:line="240" w:lineRule="auto"/>
              <w:ind w:firstLineChars="0" w:firstLine="0"/>
              <w:jc w:val="center"/>
              <w:rPr>
                <w:sz w:val="21"/>
                <w:szCs w:val="21"/>
              </w:rPr>
            </w:pPr>
            <w:r>
              <w:rPr>
                <w:sz w:val="21"/>
                <w:szCs w:val="21"/>
              </w:rPr>
              <w:t>潜水</w:t>
            </w:r>
          </w:p>
        </w:tc>
        <w:tc>
          <w:tcPr>
            <w:tcW w:w="1414" w:type="dxa"/>
            <w:vAlign w:val="center"/>
          </w:tcPr>
          <w:p w:rsidR="00DB7CC8" w:rsidRDefault="002B5250">
            <w:pPr>
              <w:spacing w:line="240" w:lineRule="auto"/>
              <w:ind w:firstLineChars="0" w:firstLine="0"/>
              <w:jc w:val="center"/>
              <w:rPr>
                <w:sz w:val="21"/>
                <w:szCs w:val="21"/>
              </w:rPr>
            </w:pPr>
            <w:r>
              <w:rPr>
                <w:sz w:val="21"/>
                <w:szCs w:val="21"/>
              </w:rPr>
              <w:t>—</w:t>
            </w:r>
          </w:p>
        </w:tc>
        <w:tc>
          <w:tcPr>
            <w:tcW w:w="2155" w:type="dxa"/>
            <w:vMerge/>
            <w:vAlign w:val="center"/>
          </w:tcPr>
          <w:p w:rsidR="00DB7CC8" w:rsidRDefault="00DB7CC8">
            <w:pPr>
              <w:spacing w:line="0" w:lineRule="atLeast"/>
              <w:ind w:firstLine="380"/>
              <w:jc w:val="center"/>
              <w:rPr>
                <w:spacing w:val="-10"/>
                <w:sz w:val="21"/>
                <w:szCs w:val="21"/>
              </w:rPr>
            </w:pPr>
          </w:p>
        </w:tc>
        <w:tc>
          <w:tcPr>
            <w:tcW w:w="1448" w:type="dxa"/>
            <w:vMerge/>
            <w:vAlign w:val="center"/>
          </w:tcPr>
          <w:p w:rsidR="00DB7CC8" w:rsidRDefault="00DB7CC8">
            <w:pPr>
              <w:spacing w:line="0" w:lineRule="atLeast"/>
              <w:ind w:firstLine="380"/>
              <w:jc w:val="center"/>
              <w:rPr>
                <w:spacing w:val="-10"/>
                <w:sz w:val="21"/>
                <w:szCs w:val="21"/>
              </w:rPr>
            </w:pPr>
          </w:p>
        </w:tc>
        <w:tc>
          <w:tcPr>
            <w:tcW w:w="1191" w:type="dxa"/>
            <w:vMerge/>
            <w:vAlign w:val="center"/>
          </w:tcPr>
          <w:p w:rsidR="00DB7CC8" w:rsidRDefault="00DB7CC8">
            <w:pPr>
              <w:spacing w:line="0" w:lineRule="atLeast"/>
              <w:ind w:firstLine="380"/>
              <w:jc w:val="center"/>
              <w:rPr>
                <w:spacing w:val="-10"/>
                <w:sz w:val="21"/>
                <w:szCs w:val="21"/>
              </w:rPr>
            </w:pPr>
          </w:p>
        </w:tc>
      </w:tr>
      <w:tr w:rsidR="00DB7CC8">
        <w:trPr>
          <w:trHeight w:val="486"/>
        </w:trPr>
        <w:tc>
          <w:tcPr>
            <w:tcW w:w="296" w:type="dxa"/>
            <w:vAlign w:val="center"/>
          </w:tcPr>
          <w:p w:rsidR="00DB7CC8" w:rsidRDefault="002B5250">
            <w:pPr>
              <w:spacing w:line="240" w:lineRule="auto"/>
              <w:ind w:firstLineChars="0" w:firstLine="0"/>
              <w:jc w:val="center"/>
              <w:rPr>
                <w:sz w:val="21"/>
                <w:szCs w:val="21"/>
              </w:rPr>
            </w:pPr>
            <w:r>
              <w:rPr>
                <w:sz w:val="21"/>
                <w:szCs w:val="21"/>
              </w:rPr>
              <w:t>4</w:t>
            </w:r>
          </w:p>
        </w:tc>
        <w:tc>
          <w:tcPr>
            <w:tcW w:w="1084" w:type="dxa"/>
            <w:vAlign w:val="center"/>
          </w:tcPr>
          <w:p w:rsidR="00DB7CC8" w:rsidRDefault="002B5250">
            <w:pPr>
              <w:spacing w:line="240" w:lineRule="auto"/>
              <w:ind w:firstLineChars="0" w:firstLine="0"/>
              <w:jc w:val="center"/>
              <w:rPr>
                <w:sz w:val="21"/>
                <w:szCs w:val="21"/>
              </w:rPr>
            </w:pPr>
            <w:r>
              <w:rPr>
                <w:rFonts w:hint="eastAsia"/>
                <w:sz w:val="21"/>
                <w:szCs w:val="21"/>
              </w:rPr>
              <w:t>小安乐庄村</w:t>
            </w:r>
          </w:p>
        </w:tc>
        <w:tc>
          <w:tcPr>
            <w:tcW w:w="1065" w:type="dxa"/>
            <w:vAlign w:val="center"/>
          </w:tcPr>
          <w:p w:rsidR="00DB7CC8" w:rsidRDefault="002B5250">
            <w:pPr>
              <w:spacing w:line="240" w:lineRule="auto"/>
              <w:ind w:firstLineChars="0" w:firstLine="0"/>
              <w:jc w:val="center"/>
              <w:rPr>
                <w:sz w:val="21"/>
                <w:szCs w:val="21"/>
              </w:rPr>
            </w:pPr>
            <w:r>
              <w:rPr>
                <w:sz w:val="21"/>
                <w:szCs w:val="21"/>
              </w:rPr>
              <w:t>潜水</w:t>
            </w:r>
          </w:p>
        </w:tc>
        <w:tc>
          <w:tcPr>
            <w:tcW w:w="1414" w:type="dxa"/>
            <w:vAlign w:val="center"/>
          </w:tcPr>
          <w:p w:rsidR="00DB7CC8" w:rsidRDefault="002B5250">
            <w:pPr>
              <w:spacing w:line="240" w:lineRule="auto"/>
              <w:ind w:firstLineChars="0" w:firstLine="0"/>
              <w:jc w:val="center"/>
              <w:rPr>
                <w:sz w:val="21"/>
                <w:szCs w:val="21"/>
              </w:rPr>
            </w:pPr>
            <w:r>
              <w:rPr>
                <w:rFonts w:hint="eastAsia"/>
                <w:sz w:val="21"/>
                <w:szCs w:val="21"/>
              </w:rPr>
              <w:t>SW</w:t>
            </w:r>
          </w:p>
        </w:tc>
        <w:tc>
          <w:tcPr>
            <w:tcW w:w="2155" w:type="dxa"/>
            <w:vMerge/>
            <w:vAlign w:val="center"/>
          </w:tcPr>
          <w:p w:rsidR="00DB7CC8" w:rsidRDefault="00DB7CC8">
            <w:pPr>
              <w:spacing w:line="0" w:lineRule="atLeast"/>
              <w:ind w:firstLine="380"/>
              <w:jc w:val="center"/>
              <w:rPr>
                <w:spacing w:val="-10"/>
                <w:sz w:val="21"/>
                <w:szCs w:val="21"/>
              </w:rPr>
            </w:pPr>
          </w:p>
        </w:tc>
        <w:tc>
          <w:tcPr>
            <w:tcW w:w="1448" w:type="dxa"/>
            <w:vMerge/>
            <w:vAlign w:val="center"/>
          </w:tcPr>
          <w:p w:rsidR="00DB7CC8" w:rsidRDefault="00DB7CC8">
            <w:pPr>
              <w:spacing w:line="0" w:lineRule="atLeast"/>
              <w:ind w:firstLine="380"/>
              <w:jc w:val="center"/>
              <w:rPr>
                <w:spacing w:val="-10"/>
                <w:sz w:val="21"/>
                <w:szCs w:val="21"/>
              </w:rPr>
            </w:pPr>
          </w:p>
        </w:tc>
        <w:tc>
          <w:tcPr>
            <w:tcW w:w="1191" w:type="dxa"/>
            <w:vMerge/>
            <w:vAlign w:val="center"/>
          </w:tcPr>
          <w:p w:rsidR="00DB7CC8" w:rsidRDefault="00DB7CC8">
            <w:pPr>
              <w:spacing w:line="0" w:lineRule="atLeast"/>
              <w:ind w:firstLine="380"/>
              <w:jc w:val="center"/>
              <w:rPr>
                <w:spacing w:val="-10"/>
                <w:sz w:val="21"/>
                <w:szCs w:val="21"/>
              </w:rPr>
            </w:pPr>
          </w:p>
        </w:tc>
      </w:tr>
      <w:tr w:rsidR="00DB7CC8">
        <w:trPr>
          <w:trHeight w:val="490"/>
        </w:trPr>
        <w:tc>
          <w:tcPr>
            <w:tcW w:w="296" w:type="dxa"/>
            <w:vAlign w:val="center"/>
          </w:tcPr>
          <w:p w:rsidR="00DB7CC8" w:rsidRDefault="002B5250">
            <w:pPr>
              <w:spacing w:line="240" w:lineRule="auto"/>
              <w:ind w:firstLineChars="0" w:firstLine="0"/>
              <w:jc w:val="center"/>
              <w:rPr>
                <w:sz w:val="21"/>
                <w:szCs w:val="21"/>
              </w:rPr>
            </w:pPr>
            <w:r>
              <w:rPr>
                <w:sz w:val="21"/>
                <w:szCs w:val="21"/>
              </w:rPr>
              <w:t>5</w:t>
            </w:r>
          </w:p>
        </w:tc>
        <w:tc>
          <w:tcPr>
            <w:tcW w:w="1084" w:type="dxa"/>
            <w:vAlign w:val="center"/>
          </w:tcPr>
          <w:p w:rsidR="00DB7CC8" w:rsidRDefault="002B5250">
            <w:pPr>
              <w:spacing w:line="240" w:lineRule="auto"/>
              <w:ind w:firstLineChars="0" w:firstLine="0"/>
              <w:jc w:val="center"/>
              <w:rPr>
                <w:sz w:val="21"/>
                <w:szCs w:val="21"/>
              </w:rPr>
            </w:pPr>
            <w:r>
              <w:rPr>
                <w:rFonts w:hint="eastAsia"/>
                <w:sz w:val="21"/>
                <w:szCs w:val="21"/>
              </w:rPr>
              <w:t>阎家屯村</w:t>
            </w:r>
          </w:p>
        </w:tc>
        <w:tc>
          <w:tcPr>
            <w:tcW w:w="1065" w:type="dxa"/>
            <w:vAlign w:val="center"/>
          </w:tcPr>
          <w:p w:rsidR="00DB7CC8" w:rsidRDefault="002B5250">
            <w:pPr>
              <w:spacing w:line="240" w:lineRule="auto"/>
              <w:ind w:firstLineChars="0" w:firstLine="0"/>
              <w:jc w:val="center"/>
              <w:rPr>
                <w:sz w:val="21"/>
                <w:szCs w:val="21"/>
              </w:rPr>
            </w:pPr>
            <w:r>
              <w:rPr>
                <w:sz w:val="21"/>
                <w:szCs w:val="21"/>
              </w:rPr>
              <w:t>潜水</w:t>
            </w:r>
          </w:p>
        </w:tc>
        <w:tc>
          <w:tcPr>
            <w:tcW w:w="1414" w:type="dxa"/>
            <w:vAlign w:val="center"/>
          </w:tcPr>
          <w:p w:rsidR="00DB7CC8" w:rsidRDefault="002B5250">
            <w:pPr>
              <w:spacing w:line="240" w:lineRule="auto"/>
              <w:ind w:firstLineChars="0" w:firstLine="0"/>
              <w:jc w:val="center"/>
              <w:rPr>
                <w:sz w:val="21"/>
                <w:szCs w:val="21"/>
              </w:rPr>
            </w:pPr>
            <w:r>
              <w:rPr>
                <w:rFonts w:hint="eastAsia"/>
                <w:sz w:val="21"/>
                <w:szCs w:val="21"/>
              </w:rPr>
              <w:t>W</w:t>
            </w:r>
          </w:p>
        </w:tc>
        <w:tc>
          <w:tcPr>
            <w:tcW w:w="2155" w:type="dxa"/>
            <w:vMerge/>
            <w:vAlign w:val="center"/>
          </w:tcPr>
          <w:p w:rsidR="00DB7CC8" w:rsidRDefault="00DB7CC8">
            <w:pPr>
              <w:spacing w:line="0" w:lineRule="atLeast"/>
              <w:ind w:firstLine="380"/>
              <w:jc w:val="center"/>
              <w:rPr>
                <w:spacing w:val="-10"/>
                <w:sz w:val="21"/>
                <w:szCs w:val="21"/>
              </w:rPr>
            </w:pPr>
          </w:p>
        </w:tc>
        <w:tc>
          <w:tcPr>
            <w:tcW w:w="1448" w:type="dxa"/>
            <w:vMerge/>
            <w:vAlign w:val="center"/>
          </w:tcPr>
          <w:p w:rsidR="00DB7CC8" w:rsidRDefault="00DB7CC8">
            <w:pPr>
              <w:spacing w:line="0" w:lineRule="atLeast"/>
              <w:ind w:firstLine="380"/>
              <w:jc w:val="center"/>
              <w:rPr>
                <w:spacing w:val="-10"/>
                <w:sz w:val="21"/>
                <w:szCs w:val="21"/>
              </w:rPr>
            </w:pPr>
          </w:p>
        </w:tc>
        <w:tc>
          <w:tcPr>
            <w:tcW w:w="1191" w:type="dxa"/>
            <w:vMerge/>
            <w:vAlign w:val="center"/>
          </w:tcPr>
          <w:p w:rsidR="00DB7CC8" w:rsidRDefault="00DB7CC8">
            <w:pPr>
              <w:spacing w:line="0" w:lineRule="atLeast"/>
              <w:ind w:firstLine="380"/>
              <w:jc w:val="center"/>
              <w:rPr>
                <w:spacing w:val="-10"/>
                <w:sz w:val="21"/>
                <w:szCs w:val="21"/>
              </w:rPr>
            </w:pPr>
          </w:p>
        </w:tc>
      </w:tr>
    </w:tbl>
    <w:p w:rsidR="00DB7CC8" w:rsidRDefault="002B5250">
      <w:pPr>
        <w:spacing w:line="480" w:lineRule="exact"/>
        <w:ind w:firstLine="480"/>
        <w:rPr>
          <w:sz w:val="24"/>
          <w:szCs w:val="24"/>
        </w:rPr>
      </w:pPr>
      <w:r>
        <w:rPr>
          <w:sz w:val="24"/>
          <w:szCs w:val="24"/>
        </w:rPr>
        <w:t>2</w:t>
      </w:r>
      <w:r>
        <w:rPr>
          <w:sz w:val="24"/>
          <w:szCs w:val="24"/>
        </w:rPr>
        <w:t>、监测时间及频率</w:t>
      </w:r>
    </w:p>
    <w:p w:rsidR="00DB7CC8" w:rsidRDefault="002B5250">
      <w:pPr>
        <w:spacing w:line="480" w:lineRule="exact"/>
        <w:ind w:firstLine="480"/>
        <w:rPr>
          <w:kern w:val="24"/>
          <w:sz w:val="24"/>
          <w:szCs w:val="24"/>
        </w:rPr>
      </w:pPr>
      <w:r>
        <w:rPr>
          <w:kern w:val="24"/>
          <w:sz w:val="24"/>
          <w:szCs w:val="24"/>
        </w:rPr>
        <w:t>监测</w:t>
      </w:r>
      <w:r>
        <w:rPr>
          <w:kern w:val="24"/>
          <w:sz w:val="24"/>
          <w:szCs w:val="24"/>
        </w:rPr>
        <w:t>1</w:t>
      </w:r>
      <w:r>
        <w:rPr>
          <w:kern w:val="24"/>
          <w:sz w:val="24"/>
          <w:szCs w:val="24"/>
        </w:rPr>
        <w:t>天，各采样</w:t>
      </w:r>
      <w:r>
        <w:rPr>
          <w:kern w:val="24"/>
          <w:sz w:val="24"/>
          <w:szCs w:val="24"/>
        </w:rPr>
        <w:t>1</w:t>
      </w:r>
      <w:r>
        <w:rPr>
          <w:kern w:val="24"/>
          <w:sz w:val="24"/>
          <w:szCs w:val="24"/>
        </w:rPr>
        <w:t>次。</w:t>
      </w:r>
    </w:p>
    <w:p w:rsidR="00DB7CC8" w:rsidRDefault="002B5250">
      <w:pPr>
        <w:spacing w:line="480" w:lineRule="exact"/>
        <w:ind w:firstLine="480"/>
        <w:rPr>
          <w:sz w:val="24"/>
          <w:szCs w:val="24"/>
        </w:rPr>
      </w:pPr>
      <w:r>
        <w:rPr>
          <w:sz w:val="24"/>
          <w:szCs w:val="24"/>
        </w:rPr>
        <w:t>3</w:t>
      </w:r>
      <w:r>
        <w:rPr>
          <w:sz w:val="24"/>
          <w:szCs w:val="24"/>
        </w:rPr>
        <w:t>、评价方法：采用单因子标准指数法，计算公式为：</w:t>
      </w:r>
    </w:p>
    <w:p w:rsidR="00DB7CC8" w:rsidRDefault="002B5250">
      <w:pPr>
        <w:spacing w:line="480" w:lineRule="exact"/>
        <w:ind w:firstLine="480"/>
        <w:jc w:val="center"/>
        <w:rPr>
          <w:sz w:val="24"/>
          <w:szCs w:val="24"/>
        </w:rPr>
      </w:pPr>
      <w:r>
        <w:rPr>
          <w:sz w:val="24"/>
          <w:szCs w:val="24"/>
        </w:rPr>
        <w:t>P</w:t>
      </w:r>
      <w:r>
        <w:rPr>
          <w:sz w:val="24"/>
          <w:szCs w:val="24"/>
          <w:vertAlign w:val="subscript"/>
        </w:rPr>
        <w:t>i</w:t>
      </w:r>
      <w:r>
        <w:rPr>
          <w:sz w:val="24"/>
          <w:szCs w:val="24"/>
        </w:rPr>
        <w:t>=C</w:t>
      </w:r>
      <w:r>
        <w:rPr>
          <w:sz w:val="24"/>
          <w:szCs w:val="24"/>
          <w:vertAlign w:val="subscript"/>
        </w:rPr>
        <w:t>i</w:t>
      </w:r>
      <w:r>
        <w:rPr>
          <w:sz w:val="24"/>
          <w:szCs w:val="24"/>
        </w:rPr>
        <w:t>/C</w:t>
      </w:r>
      <w:r>
        <w:rPr>
          <w:sz w:val="24"/>
          <w:szCs w:val="24"/>
          <w:vertAlign w:val="subscript"/>
        </w:rPr>
        <w:t>oi</w:t>
      </w:r>
    </w:p>
    <w:p w:rsidR="00DB7CC8" w:rsidRDefault="002B5250">
      <w:pPr>
        <w:spacing w:line="480" w:lineRule="exact"/>
        <w:ind w:firstLine="480"/>
        <w:rPr>
          <w:sz w:val="24"/>
          <w:szCs w:val="24"/>
        </w:rPr>
      </w:pPr>
      <w:r>
        <w:rPr>
          <w:sz w:val="24"/>
          <w:szCs w:val="24"/>
        </w:rPr>
        <w:t>式中：</w:t>
      </w:r>
      <w:r>
        <w:rPr>
          <w:sz w:val="24"/>
          <w:szCs w:val="24"/>
        </w:rPr>
        <w:t>P</w:t>
      </w:r>
      <w:r>
        <w:rPr>
          <w:sz w:val="24"/>
          <w:szCs w:val="24"/>
          <w:vertAlign w:val="subscript"/>
        </w:rPr>
        <w:t>i</w:t>
      </w:r>
      <w:r>
        <w:rPr>
          <w:sz w:val="24"/>
          <w:szCs w:val="24"/>
        </w:rPr>
        <w:t>—i</w:t>
      </w:r>
      <w:r>
        <w:rPr>
          <w:sz w:val="24"/>
          <w:szCs w:val="24"/>
        </w:rPr>
        <w:t>种污染物的标准指数，无量纲；</w:t>
      </w:r>
    </w:p>
    <w:p w:rsidR="00DB7CC8" w:rsidRDefault="002B5250">
      <w:pPr>
        <w:spacing w:line="480" w:lineRule="exact"/>
        <w:ind w:firstLineChars="500" w:firstLine="1200"/>
        <w:rPr>
          <w:sz w:val="24"/>
          <w:szCs w:val="24"/>
        </w:rPr>
      </w:pPr>
      <w:r>
        <w:rPr>
          <w:sz w:val="24"/>
          <w:szCs w:val="24"/>
        </w:rPr>
        <w:t>C</w:t>
      </w:r>
      <w:r>
        <w:rPr>
          <w:sz w:val="24"/>
          <w:szCs w:val="24"/>
          <w:vertAlign w:val="subscript"/>
        </w:rPr>
        <w:t>i</w:t>
      </w:r>
      <w:r>
        <w:rPr>
          <w:sz w:val="24"/>
          <w:szCs w:val="24"/>
        </w:rPr>
        <w:t>—i</w:t>
      </w:r>
      <w:r>
        <w:rPr>
          <w:sz w:val="24"/>
          <w:szCs w:val="24"/>
        </w:rPr>
        <w:t>种污染物的实测浓度，</w:t>
      </w:r>
      <w:r>
        <w:rPr>
          <w:sz w:val="24"/>
          <w:szCs w:val="24"/>
        </w:rPr>
        <w:t>mg/L</w:t>
      </w:r>
      <w:r>
        <w:rPr>
          <w:sz w:val="24"/>
          <w:szCs w:val="24"/>
        </w:rPr>
        <w:t>；</w:t>
      </w:r>
    </w:p>
    <w:p w:rsidR="00DB7CC8" w:rsidRDefault="002B5250">
      <w:pPr>
        <w:spacing w:line="480" w:lineRule="exact"/>
        <w:ind w:firstLineChars="500" w:firstLine="1200"/>
        <w:rPr>
          <w:sz w:val="24"/>
          <w:szCs w:val="24"/>
        </w:rPr>
      </w:pPr>
      <w:r>
        <w:rPr>
          <w:sz w:val="24"/>
          <w:szCs w:val="24"/>
        </w:rPr>
        <w:t>C</w:t>
      </w:r>
      <w:r>
        <w:rPr>
          <w:sz w:val="24"/>
          <w:szCs w:val="24"/>
          <w:vertAlign w:val="subscript"/>
        </w:rPr>
        <w:t>o</w:t>
      </w:r>
      <w:r>
        <w:rPr>
          <w:sz w:val="24"/>
          <w:szCs w:val="24"/>
        </w:rPr>
        <w:t>—i</w:t>
      </w:r>
      <w:r>
        <w:rPr>
          <w:sz w:val="24"/>
          <w:szCs w:val="24"/>
        </w:rPr>
        <w:t>种污染物的环境质量标准，</w:t>
      </w:r>
      <w:r>
        <w:rPr>
          <w:sz w:val="24"/>
          <w:szCs w:val="24"/>
        </w:rPr>
        <w:t>mg/L</w:t>
      </w:r>
      <w:r>
        <w:rPr>
          <w:sz w:val="24"/>
          <w:szCs w:val="24"/>
        </w:rPr>
        <w:t>；</w:t>
      </w:r>
    </w:p>
    <w:p w:rsidR="00DB7CC8" w:rsidRDefault="002B5250">
      <w:pPr>
        <w:spacing w:line="480" w:lineRule="exact"/>
        <w:ind w:firstLine="480"/>
        <w:rPr>
          <w:sz w:val="24"/>
          <w:szCs w:val="24"/>
        </w:rPr>
      </w:pPr>
      <w:r>
        <w:rPr>
          <w:sz w:val="24"/>
          <w:szCs w:val="24"/>
        </w:rPr>
        <w:t>对于</w:t>
      </w:r>
      <w:r>
        <w:rPr>
          <w:sz w:val="24"/>
          <w:szCs w:val="24"/>
        </w:rPr>
        <w:t>pH</w:t>
      </w:r>
      <w:r>
        <w:rPr>
          <w:sz w:val="24"/>
          <w:szCs w:val="24"/>
        </w:rPr>
        <w:t>值，评价公式为：</w:t>
      </w:r>
    </w:p>
    <w:p w:rsidR="00DB7CC8" w:rsidRDefault="002B5250">
      <w:pPr>
        <w:spacing w:line="480" w:lineRule="exact"/>
        <w:ind w:firstLine="480"/>
        <w:jc w:val="center"/>
        <w:rPr>
          <w:sz w:val="24"/>
          <w:szCs w:val="24"/>
        </w:rPr>
      </w:pPr>
      <w:r>
        <w:rPr>
          <w:sz w:val="24"/>
          <w:szCs w:val="24"/>
        </w:rPr>
        <w:t>P</w:t>
      </w:r>
      <w:r>
        <w:rPr>
          <w:sz w:val="24"/>
          <w:szCs w:val="24"/>
          <w:vertAlign w:val="subscript"/>
        </w:rPr>
        <w:t>PH</w:t>
      </w:r>
      <w:r>
        <w:rPr>
          <w:sz w:val="24"/>
          <w:szCs w:val="24"/>
        </w:rPr>
        <w:t>=(7.0-pH)/(7.0-pH</w:t>
      </w:r>
      <w:r>
        <w:rPr>
          <w:sz w:val="24"/>
          <w:szCs w:val="24"/>
          <w:vertAlign w:val="subscript"/>
        </w:rPr>
        <w:t>sd</w:t>
      </w:r>
      <w:r>
        <w:rPr>
          <w:sz w:val="24"/>
          <w:szCs w:val="24"/>
        </w:rPr>
        <w:t>)(pH≤7.0)</w:t>
      </w:r>
    </w:p>
    <w:p w:rsidR="00DB7CC8" w:rsidRDefault="002B5250">
      <w:pPr>
        <w:spacing w:line="480" w:lineRule="exact"/>
        <w:ind w:firstLine="480"/>
        <w:jc w:val="center"/>
        <w:rPr>
          <w:sz w:val="24"/>
          <w:szCs w:val="24"/>
        </w:rPr>
      </w:pPr>
      <w:r>
        <w:rPr>
          <w:sz w:val="24"/>
          <w:szCs w:val="24"/>
        </w:rPr>
        <w:t>P</w:t>
      </w:r>
      <w:r>
        <w:rPr>
          <w:sz w:val="24"/>
          <w:szCs w:val="24"/>
          <w:vertAlign w:val="subscript"/>
        </w:rPr>
        <w:t>PH</w:t>
      </w:r>
      <w:r>
        <w:rPr>
          <w:sz w:val="24"/>
          <w:szCs w:val="24"/>
        </w:rPr>
        <w:t>=(pH-7.0)/(pH</w:t>
      </w:r>
      <w:r>
        <w:rPr>
          <w:sz w:val="24"/>
          <w:szCs w:val="24"/>
          <w:vertAlign w:val="subscript"/>
        </w:rPr>
        <w:t>su</w:t>
      </w:r>
      <w:r>
        <w:rPr>
          <w:sz w:val="24"/>
          <w:szCs w:val="24"/>
        </w:rPr>
        <w:t>-7.0)(pH</w:t>
      </w:r>
      <w:r>
        <w:rPr>
          <w:sz w:val="24"/>
          <w:szCs w:val="24"/>
          <w:vertAlign w:val="subscript"/>
        </w:rPr>
        <w:t>i</w:t>
      </w:r>
      <w:r>
        <w:rPr>
          <w:sz w:val="24"/>
          <w:szCs w:val="24"/>
        </w:rPr>
        <w:t>&gt;7.0)</w:t>
      </w:r>
    </w:p>
    <w:p w:rsidR="00DB7CC8" w:rsidRDefault="002B5250">
      <w:pPr>
        <w:spacing w:line="480" w:lineRule="exact"/>
        <w:ind w:firstLine="480"/>
        <w:rPr>
          <w:sz w:val="24"/>
          <w:szCs w:val="24"/>
        </w:rPr>
      </w:pPr>
      <w:r>
        <w:rPr>
          <w:sz w:val="24"/>
          <w:szCs w:val="24"/>
        </w:rPr>
        <w:t>式中：</w:t>
      </w:r>
      <w:r>
        <w:rPr>
          <w:sz w:val="24"/>
          <w:szCs w:val="24"/>
        </w:rPr>
        <w:t>P</w:t>
      </w:r>
      <w:r>
        <w:rPr>
          <w:sz w:val="24"/>
          <w:szCs w:val="24"/>
          <w:vertAlign w:val="subscript"/>
        </w:rPr>
        <w:t>PH</w:t>
      </w:r>
      <w:r>
        <w:rPr>
          <w:sz w:val="24"/>
          <w:szCs w:val="24"/>
        </w:rPr>
        <w:t>—pH</w:t>
      </w:r>
      <w:r>
        <w:rPr>
          <w:sz w:val="24"/>
          <w:szCs w:val="24"/>
        </w:rPr>
        <w:t>的标准指数，无量纲；</w:t>
      </w:r>
    </w:p>
    <w:p w:rsidR="00DB7CC8" w:rsidRDefault="002B5250">
      <w:pPr>
        <w:spacing w:line="480" w:lineRule="exact"/>
        <w:ind w:firstLineChars="500" w:firstLine="1200"/>
        <w:rPr>
          <w:sz w:val="24"/>
          <w:szCs w:val="24"/>
        </w:rPr>
      </w:pPr>
      <w:r>
        <w:rPr>
          <w:sz w:val="24"/>
          <w:szCs w:val="24"/>
        </w:rPr>
        <w:t>pH—pH</w:t>
      </w:r>
      <w:r>
        <w:rPr>
          <w:sz w:val="24"/>
          <w:szCs w:val="24"/>
        </w:rPr>
        <w:t>监测值；</w:t>
      </w:r>
    </w:p>
    <w:p w:rsidR="00DB7CC8" w:rsidRDefault="002B5250">
      <w:pPr>
        <w:spacing w:line="480" w:lineRule="exact"/>
        <w:ind w:firstLineChars="500" w:firstLine="1200"/>
        <w:rPr>
          <w:sz w:val="24"/>
          <w:szCs w:val="24"/>
        </w:rPr>
      </w:pPr>
      <w:r>
        <w:rPr>
          <w:sz w:val="24"/>
          <w:szCs w:val="24"/>
        </w:rPr>
        <w:lastRenderedPageBreak/>
        <w:t>pH</w:t>
      </w:r>
      <w:r>
        <w:rPr>
          <w:sz w:val="24"/>
          <w:szCs w:val="24"/>
          <w:vertAlign w:val="subscript"/>
        </w:rPr>
        <w:t>sd</w:t>
      </w:r>
      <w:r>
        <w:rPr>
          <w:sz w:val="24"/>
          <w:szCs w:val="24"/>
        </w:rPr>
        <w:t>—</w:t>
      </w:r>
      <w:r>
        <w:rPr>
          <w:sz w:val="24"/>
          <w:szCs w:val="24"/>
        </w:rPr>
        <w:t>标准中</w:t>
      </w:r>
      <w:r>
        <w:rPr>
          <w:sz w:val="24"/>
          <w:szCs w:val="24"/>
        </w:rPr>
        <w:t>pH</w:t>
      </w:r>
      <w:r>
        <w:rPr>
          <w:sz w:val="24"/>
          <w:szCs w:val="24"/>
        </w:rPr>
        <w:t>的下限值；</w:t>
      </w:r>
    </w:p>
    <w:p w:rsidR="00DB7CC8" w:rsidRDefault="002B5250">
      <w:pPr>
        <w:spacing w:line="480" w:lineRule="exact"/>
        <w:ind w:firstLineChars="500" w:firstLine="1200"/>
        <w:rPr>
          <w:sz w:val="24"/>
          <w:szCs w:val="24"/>
        </w:rPr>
      </w:pPr>
      <w:r>
        <w:rPr>
          <w:sz w:val="24"/>
          <w:szCs w:val="24"/>
        </w:rPr>
        <w:t>pH</w:t>
      </w:r>
      <w:r>
        <w:rPr>
          <w:sz w:val="24"/>
          <w:szCs w:val="24"/>
          <w:vertAlign w:val="subscript"/>
        </w:rPr>
        <w:t>su</w:t>
      </w:r>
      <w:r>
        <w:rPr>
          <w:sz w:val="24"/>
          <w:szCs w:val="24"/>
        </w:rPr>
        <w:t>—</w:t>
      </w:r>
      <w:r>
        <w:rPr>
          <w:sz w:val="24"/>
          <w:szCs w:val="24"/>
        </w:rPr>
        <w:t>标准中</w:t>
      </w:r>
      <w:r>
        <w:rPr>
          <w:sz w:val="24"/>
          <w:szCs w:val="24"/>
        </w:rPr>
        <w:t>pH</w:t>
      </w:r>
      <w:r>
        <w:rPr>
          <w:sz w:val="24"/>
          <w:szCs w:val="24"/>
        </w:rPr>
        <w:t>的上限值。</w:t>
      </w:r>
    </w:p>
    <w:p w:rsidR="00DB7CC8" w:rsidRDefault="002B5250">
      <w:pPr>
        <w:spacing w:line="480" w:lineRule="exact"/>
        <w:ind w:firstLine="480"/>
        <w:rPr>
          <w:sz w:val="24"/>
          <w:szCs w:val="24"/>
        </w:rPr>
      </w:pPr>
      <w:r>
        <w:rPr>
          <w:sz w:val="24"/>
          <w:szCs w:val="24"/>
        </w:rPr>
        <w:t>4</w:t>
      </w:r>
      <w:r>
        <w:rPr>
          <w:sz w:val="24"/>
          <w:szCs w:val="24"/>
        </w:rPr>
        <w:t>、评价标准</w:t>
      </w:r>
    </w:p>
    <w:p w:rsidR="00DB7CC8" w:rsidRDefault="002B5250">
      <w:pPr>
        <w:spacing w:line="480" w:lineRule="exact"/>
        <w:ind w:firstLine="480"/>
        <w:rPr>
          <w:sz w:val="24"/>
          <w:szCs w:val="24"/>
        </w:rPr>
      </w:pPr>
      <w:r>
        <w:rPr>
          <w:sz w:val="24"/>
          <w:szCs w:val="24"/>
        </w:rPr>
        <w:t>采用《地下水质量标准》（</w:t>
      </w:r>
      <w:r>
        <w:rPr>
          <w:sz w:val="24"/>
          <w:szCs w:val="24"/>
        </w:rPr>
        <w:t>GB/T14848-2017</w:t>
      </w:r>
      <w:r>
        <w:rPr>
          <w:sz w:val="24"/>
          <w:szCs w:val="24"/>
        </w:rPr>
        <w:t>）中</w:t>
      </w:r>
      <w:r>
        <w:rPr>
          <w:sz w:val="24"/>
          <w:szCs w:val="24"/>
        </w:rPr>
        <w:t>III</w:t>
      </w:r>
      <w:r>
        <w:rPr>
          <w:sz w:val="24"/>
          <w:szCs w:val="24"/>
        </w:rPr>
        <w:t>类标准进行评价。</w:t>
      </w:r>
    </w:p>
    <w:p w:rsidR="00DB7CC8" w:rsidRDefault="002B5250">
      <w:pPr>
        <w:spacing w:line="480" w:lineRule="exact"/>
        <w:ind w:firstLine="480"/>
        <w:rPr>
          <w:sz w:val="24"/>
          <w:szCs w:val="24"/>
        </w:rPr>
      </w:pPr>
      <w:r>
        <w:rPr>
          <w:sz w:val="24"/>
          <w:szCs w:val="24"/>
        </w:rPr>
        <w:t>5</w:t>
      </w:r>
      <w:r>
        <w:rPr>
          <w:sz w:val="24"/>
          <w:szCs w:val="24"/>
        </w:rPr>
        <w:t>、监测及评价结果</w:t>
      </w:r>
    </w:p>
    <w:p w:rsidR="00DB7CC8" w:rsidRDefault="002B5250">
      <w:pPr>
        <w:spacing w:line="480" w:lineRule="exact"/>
        <w:ind w:firstLine="480"/>
        <w:rPr>
          <w:sz w:val="24"/>
          <w:szCs w:val="24"/>
        </w:rPr>
      </w:pPr>
      <w:r>
        <w:rPr>
          <w:sz w:val="24"/>
          <w:szCs w:val="24"/>
        </w:rPr>
        <w:t>地下水现状监测结果见表</w:t>
      </w:r>
      <w:r>
        <w:rPr>
          <w:sz w:val="24"/>
          <w:szCs w:val="24"/>
        </w:rPr>
        <w:t>4.3-5</w:t>
      </w:r>
      <w:r>
        <w:rPr>
          <w:sz w:val="24"/>
          <w:szCs w:val="24"/>
        </w:rPr>
        <w:t>，地下水现状评价结果见表</w:t>
      </w:r>
      <w:r>
        <w:rPr>
          <w:sz w:val="24"/>
          <w:szCs w:val="24"/>
        </w:rPr>
        <w:t>4.3-6</w:t>
      </w:r>
      <w:r>
        <w:rPr>
          <w:sz w:val="24"/>
          <w:szCs w:val="24"/>
        </w:rPr>
        <w:t>。</w:t>
      </w:r>
    </w:p>
    <w:p w:rsidR="00DB7CC8" w:rsidRDefault="002B5250">
      <w:pPr>
        <w:pStyle w:val="29"/>
        <w:spacing w:after="0" w:line="480" w:lineRule="exact"/>
        <w:ind w:leftChars="0" w:left="0" w:firstLine="422"/>
        <w:jc w:val="center"/>
        <w:rPr>
          <w:b/>
          <w:bCs/>
        </w:rPr>
      </w:pPr>
      <w:r>
        <w:rPr>
          <w:b/>
          <w:bCs/>
        </w:rPr>
        <w:t>表</w:t>
      </w:r>
      <w:r>
        <w:rPr>
          <w:b/>
          <w:bCs/>
        </w:rPr>
        <w:t xml:space="preserve">4.3-5    </w:t>
      </w:r>
      <w:r>
        <w:rPr>
          <w:b/>
          <w:bCs/>
        </w:rPr>
        <w:t>地下水现状监测结果一览表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1178"/>
        <w:gridCol w:w="1426"/>
        <w:gridCol w:w="1426"/>
        <w:gridCol w:w="1427"/>
        <w:gridCol w:w="922"/>
        <w:gridCol w:w="922"/>
        <w:gridCol w:w="798"/>
      </w:tblGrid>
      <w:tr w:rsidR="00DB7CC8">
        <w:trPr>
          <w:trHeight w:val="595"/>
          <w:jc w:val="center"/>
        </w:trPr>
        <w:tc>
          <w:tcPr>
            <w:tcW w:w="940" w:type="pct"/>
            <w:gridSpan w:val="2"/>
            <w:vAlign w:val="center"/>
          </w:tcPr>
          <w:p w:rsidR="00DB7CC8" w:rsidRDefault="00DB7CC8">
            <w:pPr>
              <w:spacing w:line="240" w:lineRule="auto"/>
              <w:ind w:firstLineChars="0" w:firstLine="0"/>
              <w:jc w:val="center"/>
              <w:rPr>
                <w:sz w:val="21"/>
                <w:szCs w:val="21"/>
              </w:rPr>
            </w:pPr>
          </w:p>
          <w:p w:rsidR="00DB7CC8" w:rsidRDefault="00DB7CC8">
            <w:pPr>
              <w:spacing w:line="240" w:lineRule="auto"/>
              <w:ind w:firstLineChars="0" w:firstLine="0"/>
              <w:jc w:val="center"/>
              <w:rPr>
                <w:sz w:val="21"/>
                <w:szCs w:val="21"/>
              </w:rPr>
            </w:pPr>
          </w:p>
          <w:p w:rsidR="00DB7CC8" w:rsidRDefault="002B5250">
            <w:pPr>
              <w:spacing w:line="240" w:lineRule="auto"/>
              <w:ind w:firstLineChars="0" w:firstLine="0"/>
              <w:jc w:val="center"/>
              <w:rPr>
                <w:sz w:val="21"/>
                <w:szCs w:val="21"/>
              </w:rPr>
            </w:pPr>
            <w:r>
              <w:rPr>
                <w:rFonts w:hint="eastAsia"/>
                <w:sz w:val="21"/>
                <w:szCs w:val="21"/>
              </w:rPr>
              <w:t>监测点位</w:t>
            </w:r>
          </w:p>
          <w:p w:rsidR="00DB7CC8" w:rsidRDefault="00DB7CC8">
            <w:pPr>
              <w:spacing w:line="240" w:lineRule="auto"/>
              <w:ind w:firstLineChars="0" w:firstLine="0"/>
              <w:jc w:val="center"/>
              <w:rPr>
                <w:sz w:val="21"/>
                <w:szCs w:val="21"/>
              </w:rPr>
            </w:pPr>
          </w:p>
          <w:p w:rsidR="00DB7CC8" w:rsidRDefault="00DB7CC8">
            <w:pPr>
              <w:spacing w:line="240" w:lineRule="auto"/>
              <w:ind w:firstLineChars="0" w:firstLine="0"/>
              <w:jc w:val="center"/>
              <w:rPr>
                <w:sz w:val="21"/>
                <w:szCs w:val="21"/>
              </w:rPr>
            </w:pP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大于沟村</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靠山庄村</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厂区内</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小安乐庄</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阎家屯</w:t>
            </w:r>
          </w:p>
        </w:tc>
        <w:tc>
          <w:tcPr>
            <w:tcW w:w="468" w:type="pct"/>
            <w:vAlign w:val="center"/>
          </w:tcPr>
          <w:p w:rsidR="00DB7CC8" w:rsidRDefault="002B5250">
            <w:pPr>
              <w:spacing w:line="240" w:lineRule="auto"/>
              <w:ind w:firstLineChars="0" w:firstLine="0"/>
              <w:jc w:val="center"/>
              <w:rPr>
                <w:sz w:val="21"/>
                <w:szCs w:val="21"/>
              </w:rPr>
            </w:pPr>
            <w:r>
              <w:rPr>
                <w:sz w:val="21"/>
                <w:szCs w:val="21"/>
              </w:rPr>
              <w:t>单位</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1</w:t>
            </w:r>
          </w:p>
        </w:tc>
        <w:tc>
          <w:tcPr>
            <w:tcW w:w="690" w:type="pct"/>
            <w:vAlign w:val="center"/>
          </w:tcPr>
          <w:p w:rsidR="00DB7CC8" w:rsidRDefault="002B5250">
            <w:pPr>
              <w:spacing w:line="240" w:lineRule="auto"/>
              <w:ind w:firstLineChars="0" w:firstLine="0"/>
              <w:jc w:val="center"/>
              <w:rPr>
                <w:sz w:val="21"/>
                <w:szCs w:val="21"/>
              </w:rPr>
            </w:pPr>
            <w:r>
              <w:rPr>
                <w:sz w:val="21"/>
                <w:szCs w:val="21"/>
              </w:rPr>
              <w:t>pH</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7.1</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7.2</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7.1</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7.2</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7.2</w:t>
            </w:r>
          </w:p>
        </w:tc>
        <w:tc>
          <w:tcPr>
            <w:tcW w:w="468" w:type="pct"/>
            <w:vAlign w:val="center"/>
          </w:tcPr>
          <w:p w:rsidR="00DB7CC8" w:rsidRDefault="002B5250">
            <w:pPr>
              <w:spacing w:line="240" w:lineRule="auto"/>
              <w:ind w:firstLineChars="0" w:firstLine="0"/>
              <w:jc w:val="center"/>
              <w:rPr>
                <w:sz w:val="21"/>
                <w:szCs w:val="21"/>
              </w:rPr>
            </w:pPr>
            <w:r>
              <w:rPr>
                <w:rFonts w:hint="eastAsia"/>
                <w:sz w:val="21"/>
                <w:szCs w:val="21"/>
              </w:rPr>
              <w:t>无量纲</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2</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总硬度</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328</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294</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289</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443</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298</w:t>
            </w:r>
          </w:p>
        </w:tc>
        <w:tc>
          <w:tcPr>
            <w:tcW w:w="468" w:type="pct"/>
            <w:vAlign w:val="center"/>
          </w:tcPr>
          <w:p w:rsidR="00DB7CC8" w:rsidRDefault="002B5250">
            <w:pPr>
              <w:spacing w:line="240" w:lineRule="auto"/>
              <w:ind w:firstLineChars="0" w:firstLine="0"/>
              <w:jc w:val="center"/>
              <w:rPr>
                <w:sz w:val="21"/>
                <w:szCs w:val="21"/>
              </w:rPr>
            </w:pPr>
            <w:r>
              <w:rPr>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3</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溶解性总固体</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698</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168</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40</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803</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90</w:t>
            </w:r>
          </w:p>
        </w:tc>
        <w:tc>
          <w:tcPr>
            <w:tcW w:w="468" w:type="pct"/>
            <w:vAlign w:val="center"/>
          </w:tcPr>
          <w:p w:rsidR="00DB7CC8" w:rsidRDefault="002B5250">
            <w:pPr>
              <w:spacing w:line="240" w:lineRule="auto"/>
              <w:ind w:firstLineChars="0" w:firstLine="0"/>
              <w:jc w:val="center"/>
              <w:rPr>
                <w:sz w:val="21"/>
                <w:szCs w:val="21"/>
              </w:rPr>
            </w:pPr>
            <w:r>
              <w:rPr>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4</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硫酸盐</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130</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47</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8L</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165</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30</w:t>
            </w:r>
          </w:p>
        </w:tc>
        <w:tc>
          <w:tcPr>
            <w:tcW w:w="468" w:type="pct"/>
            <w:vAlign w:val="center"/>
          </w:tcPr>
          <w:p w:rsidR="00DB7CC8" w:rsidRDefault="002B5250">
            <w:pPr>
              <w:spacing w:line="240" w:lineRule="auto"/>
              <w:ind w:firstLineChars="0" w:firstLine="0"/>
              <w:jc w:val="center"/>
              <w:rPr>
                <w:sz w:val="21"/>
                <w:szCs w:val="21"/>
              </w:rPr>
            </w:pPr>
            <w:r>
              <w:rPr>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5</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氯化物</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13.2</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3.70</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1L</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16.7</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1.70</w:t>
            </w:r>
          </w:p>
        </w:tc>
        <w:tc>
          <w:tcPr>
            <w:tcW w:w="468" w:type="pct"/>
            <w:vAlign w:val="center"/>
          </w:tcPr>
          <w:p w:rsidR="00DB7CC8" w:rsidRDefault="002B5250">
            <w:pPr>
              <w:spacing w:line="240" w:lineRule="auto"/>
              <w:ind w:firstLineChars="0" w:firstLine="0"/>
              <w:jc w:val="center"/>
              <w:rPr>
                <w:sz w:val="21"/>
                <w:szCs w:val="21"/>
              </w:rPr>
            </w:pPr>
            <w:r>
              <w:rPr>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6</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铁</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0.03L</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0.03L</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0.03L</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0.03L</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0.03L</w:t>
            </w:r>
          </w:p>
        </w:tc>
        <w:tc>
          <w:tcPr>
            <w:tcW w:w="468" w:type="pct"/>
            <w:vAlign w:val="center"/>
          </w:tcPr>
          <w:p w:rsidR="00DB7CC8" w:rsidRDefault="002B5250">
            <w:pPr>
              <w:spacing w:line="240" w:lineRule="auto"/>
              <w:ind w:firstLineChars="0" w:firstLine="0"/>
              <w:jc w:val="center"/>
              <w:rPr>
                <w:sz w:val="21"/>
                <w:szCs w:val="21"/>
              </w:rPr>
            </w:pPr>
            <w:r>
              <w:rPr>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7</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锰</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0.01L</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0.01L</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0.01L</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0.01L</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0.01L</w:t>
            </w:r>
          </w:p>
        </w:tc>
        <w:tc>
          <w:tcPr>
            <w:tcW w:w="468" w:type="pct"/>
            <w:vAlign w:val="center"/>
          </w:tcPr>
          <w:p w:rsidR="00DB7CC8" w:rsidRDefault="002B5250">
            <w:pPr>
              <w:spacing w:line="240" w:lineRule="auto"/>
              <w:ind w:firstLineChars="0" w:firstLine="0"/>
              <w:jc w:val="center"/>
              <w:rPr>
                <w:sz w:val="21"/>
                <w:szCs w:val="21"/>
              </w:rPr>
            </w:pPr>
            <w:r>
              <w:rPr>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8</w:t>
            </w:r>
          </w:p>
        </w:tc>
        <w:tc>
          <w:tcPr>
            <w:tcW w:w="690" w:type="pct"/>
            <w:vAlign w:val="center"/>
          </w:tcPr>
          <w:p w:rsidR="00DB7CC8" w:rsidRDefault="002B5250">
            <w:pPr>
              <w:spacing w:line="240" w:lineRule="auto"/>
              <w:ind w:firstLineChars="0" w:firstLine="0"/>
              <w:jc w:val="center"/>
              <w:rPr>
                <w:sz w:val="21"/>
                <w:szCs w:val="21"/>
              </w:rPr>
            </w:pPr>
            <w:r>
              <w:rPr>
                <w:sz w:val="21"/>
                <w:szCs w:val="21"/>
              </w:rPr>
              <w:t>钾</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2.96</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1.49</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1.10</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4.81</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1.10</w:t>
            </w:r>
          </w:p>
        </w:tc>
        <w:tc>
          <w:tcPr>
            <w:tcW w:w="468" w:type="pct"/>
            <w:vAlign w:val="center"/>
          </w:tcPr>
          <w:p w:rsidR="00DB7CC8" w:rsidRDefault="002B5250">
            <w:pPr>
              <w:spacing w:line="240" w:lineRule="auto"/>
              <w:ind w:firstLineChars="0" w:firstLine="0"/>
              <w:jc w:val="center"/>
              <w:rPr>
                <w:sz w:val="21"/>
                <w:szCs w:val="21"/>
              </w:rPr>
            </w:pPr>
            <w:r>
              <w:rPr>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9</w:t>
            </w:r>
          </w:p>
        </w:tc>
        <w:tc>
          <w:tcPr>
            <w:tcW w:w="690" w:type="pct"/>
            <w:vAlign w:val="center"/>
          </w:tcPr>
          <w:p w:rsidR="00DB7CC8" w:rsidRDefault="002B5250">
            <w:pPr>
              <w:spacing w:line="240" w:lineRule="auto"/>
              <w:ind w:firstLineChars="0" w:firstLine="0"/>
              <w:jc w:val="center"/>
              <w:rPr>
                <w:sz w:val="21"/>
                <w:szCs w:val="21"/>
              </w:rPr>
            </w:pPr>
            <w:r>
              <w:rPr>
                <w:sz w:val="21"/>
                <w:szCs w:val="21"/>
              </w:rPr>
              <w:t>钙</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117</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90.1</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127</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140</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92.2</w:t>
            </w:r>
          </w:p>
        </w:tc>
        <w:tc>
          <w:tcPr>
            <w:tcW w:w="468" w:type="pct"/>
            <w:vAlign w:val="center"/>
          </w:tcPr>
          <w:p w:rsidR="00DB7CC8" w:rsidRDefault="002B5250">
            <w:pPr>
              <w:spacing w:line="240" w:lineRule="auto"/>
              <w:ind w:firstLineChars="0" w:firstLine="0"/>
              <w:jc w:val="center"/>
              <w:rPr>
                <w:sz w:val="21"/>
                <w:szCs w:val="21"/>
              </w:rPr>
            </w:pPr>
            <w:r>
              <w:rPr>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10</w:t>
            </w:r>
          </w:p>
        </w:tc>
        <w:tc>
          <w:tcPr>
            <w:tcW w:w="690" w:type="pct"/>
            <w:vAlign w:val="center"/>
          </w:tcPr>
          <w:p w:rsidR="00DB7CC8" w:rsidRDefault="002B5250">
            <w:pPr>
              <w:spacing w:line="240" w:lineRule="auto"/>
              <w:ind w:firstLineChars="0" w:firstLine="0"/>
              <w:jc w:val="center"/>
              <w:rPr>
                <w:sz w:val="21"/>
                <w:szCs w:val="21"/>
              </w:rPr>
            </w:pPr>
            <w:r>
              <w:rPr>
                <w:sz w:val="21"/>
                <w:szCs w:val="21"/>
              </w:rPr>
              <w:t>镁</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25.4</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26.4</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28.5</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28.8</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29.1</w:t>
            </w:r>
          </w:p>
        </w:tc>
        <w:tc>
          <w:tcPr>
            <w:tcW w:w="468" w:type="pct"/>
            <w:vAlign w:val="center"/>
          </w:tcPr>
          <w:p w:rsidR="00DB7CC8" w:rsidRDefault="002B5250">
            <w:pPr>
              <w:spacing w:line="240" w:lineRule="auto"/>
              <w:ind w:firstLineChars="0" w:firstLine="0"/>
              <w:jc w:val="center"/>
              <w:rPr>
                <w:sz w:val="21"/>
                <w:szCs w:val="21"/>
              </w:rPr>
            </w:pPr>
            <w:r>
              <w:rPr>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11</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钠</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17.0</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4.80</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4.80</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25.2</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1.94</w:t>
            </w:r>
          </w:p>
        </w:tc>
        <w:tc>
          <w:tcPr>
            <w:tcW w:w="468" w:type="pct"/>
            <w:vAlign w:val="center"/>
          </w:tcPr>
          <w:p w:rsidR="00DB7CC8" w:rsidRDefault="002B5250">
            <w:pPr>
              <w:spacing w:line="240" w:lineRule="auto"/>
              <w:ind w:firstLineChars="0" w:firstLine="0"/>
              <w:jc w:val="center"/>
              <w:rPr>
                <w:sz w:val="21"/>
                <w:szCs w:val="21"/>
              </w:rPr>
            </w:pPr>
            <w:r>
              <w:rPr>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12</w:t>
            </w:r>
          </w:p>
        </w:tc>
        <w:tc>
          <w:tcPr>
            <w:tcW w:w="690" w:type="pct"/>
            <w:vAlign w:val="center"/>
          </w:tcPr>
          <w:p w:rsidR="00DB7CC8" w:rsidRDefault="002B5250">
            <w:pPr>
              <w:spacing w:line="240" w:lineRule="auto"/>
              <w:ind w:firstLineChars="0" w:firstLine="0"/>
              <w:jc w:val="center"/>
              <w:rPr>
                <w:sz w:val="21"/>
                <w:szCs w:val="21"/>
              </w:rPr>
            </w:pPr>
            <w:r>
              <w:rPr>
                <w:sz w:val="21"/>
                <w:szCs w:val="21"/>
              </w:rPr>
              <w:t>碳酸盐</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5L</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5L</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5L</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5L</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5L</w:t>
            </w:r>
          </w:p>
        </w:tc>
        <w:tc>
          <w:tcPr>
            <w:tcW w:w="468" w:type="pct"/>
            <w:vAlign w:val="center"/>
          </w:tcPr>
          <w:p w:rsidR="00DB7CC8" w:rsidRDefault="002B5250">
            <w:pPr>
              <w:spacing w:line="240" w:lineRule="auto"/>
              <w:ind w:firstLineChars="0" w:firstLine="0"/>
              <w:jc w:val="center"/>
              <w:rPr>
                <w:sz w:val="21"/>
                <w:szCs w:val="21"/>
              </w:rPr>
            </w:pPr>
            <w:r>
              <w:rPr>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13</w:t>
            </w:r>
          </w:p>
        </w:tc>
        <w:tc>
          <w:tcPr>
            <w:tcW w:w="690" w:type="pct"/>
            <w:vAlign w:val="center"/>
          </w:tcPr>
          <w:p w:rsidR="00DB7CC8" w:rsidRDefault="002B5250">
            <w:pPr>
              <w:spacing w:line="240" w:lineRule="auto"/>
              <w:ind w:firstLineChars="0" w:firstLine="0"/>
              <w:jc w:val="center"/>
              <w:rPr>
                <w:sz w:val="21"/>
                <w:szCs w:val="21"/>
              </w:rPr>
            </w:pPr>
            <w:r>
              <w:rPr>
                <w:sz w:val="21"/>
                <w:szCs w:val="21"/>
              </w:rPr>
              <w:t>重碳酸盐</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171</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245</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24</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214</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277</w:t>
            </w:r>
          </w:p>
        </w:tc>
        <w:tc>
          <w:tcPr>
            <w:tcW w:w="468" w:type="pct"/>
            <w:vAlign w:val="center"/>
          </w:tcPr>
          <w:p w:rsidR="00DB7CC8" w:rsidRDefault="002B5250">
            <w:pPr>
              <w:spacing w:line="240" w:lineRule="auto"/>
              <w:ind w:firstLineChars="0" w:firstLine="0"/>
              <w:jc w:val="center"/>
              <w:rPr>
                <w:sz w:val="21"/>
                <w:szCs w:val="21"/>
              </w:rPr>
            </w:pPr>
            <w:r>
              <w:rPr>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14</w:t>
            </w:r>
          </w:p>
        </w:tc>
        <w:tc>
          <w:tcPr>
            <w:tcW w:w="690" w:type="pct"/>
            <w:vAlign w:val="center"/>
          </w:tcPr>
          <w:p w:rsidR="00DB7CC8" w:rsidRDefault="002B5250">
            <w:pPr>
              <w:spacing w:line="240" w:lineRule="auto"/>
              <w:ind w:firstLineChars="0" w:firstLine="0"/>
              <w:jc w:val="center"/>
              <w:rPr>
                <w:sz w:val="21"/>
                <w:szCs w:val="21"/>
              </w:rPr>
            </w:pPr>
            <w:r>
              <w:rPr>
                <w:sz w:val="21"/>
                <w:szCs w:val="21"/>
              </w:rPr>
              <w:t>挥发性酚类</w:t>
            </w:r>
            <w:r>
              <w:rPr>
                <w:rFonts w:hint="eastAsia"/>
                <w:sz w:val="21"/>
                <w:szCs w:val="21"/>
              </w:rPr>
              <w:t>（以苯酚计）</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0.0003L</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0.0003L</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0.0003L</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0.0003L</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0.0003L</w:t>
            </w:r>
          </w:p>
        </w:tc>
        <w:tc>
          <w:tcPr>
            <w:tcW w:w="468" w:type="pct"/>
            <w:vAlign w:val="center"/>
          </w:tcPr>
          <w:p w:rsidR="00DB7CC8" w:rsidRDefault="002B5250">
            <w:pPr>
              <w:spacing w:line="240" w:lineRule="auto"/>
              <w:ind w:firstLineChars="0" w:firstLine="0"/>
              <w:jc w:val="center"/>
              <w:rPr>
                <w:sz w:val="21"/>
                <w:szCs w:val="21"/>
              </w:rPr>
            </w:pPr>
            <w:r>
              <w:rPr>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15</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耗氧量</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1.90</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2.07</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1.61</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1.42</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1.74</w:t>
            </w:r>
          </w:p>
        </w:tc>
        <w:tc>
          <w:tcPr>
            <w:tcW w:w="468" w:type="pct"/>
            <w:vAlign w:val="center"/>
          </w:tcPr>
          <w:p w:rsidR="00DB7CC8" w:rsidRDefault="002B5250">
            <w:pPr>
              <w:spacing w:line="240" w:lineRule="auto"/>
              <w:ind w:firstLineChars="0" w:firstLine="0"/>
              <w:jc w:val="center"/>
              <w:rPr>
                <w:sz w:val="21"/>
                <w:szCs w:val="21"/>
              </w:rPr>
            </w:pPr>
            <w:r>
              <w:rPr>
                <w:rFonts w:hint="eastAsia"/>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16</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氨氮</w:t>
            </w:r>
          </w:p>
          <w:p w:rsidR="00DB7CC8" w:rsidRDefault="002B5250">
            <w:pPr>
              <w:spacing w:line="240" w:lineRule="auto"/>
              <w:ind w:firstLineChars="0" w:firstLine="0"/>
              <w:jc w:val="center"/>
              <w:rPr>
                <w:sz w:val="21"/>
                <w:szCs w:val="21"/>
              </w:rPr>
            </w:pPr>
            <w:r>
              <w:rPr>
                <w:sz w:val="21"/>
                <w:szCs w:val="21"/>
              </w:rPr>
              <w:t>（以</w:t>
            </w:r>
            <w:r>
              <w:rPr>
                <w:sz w:val="21"/>
                <w:szCs w:val="21"/>
              </w:rPr>
              <w:t>N</w:t>
            </w:r>
            <w:r>
              <w:rPr>
                <w:sz w:val="21"/>
                <w:szCs w:val="21"/>
              </w:rPr>
              <w:t>计）</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0.062</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0.263</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0.229</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0.025L</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0.025L</w:t>
            </w:r>
          </w:p>
        </w:tc>
        <w:tc>
          <w:tcPr>
            <w:tcW w:w="468" w:type="pct"/>
            <w:vAlign w:val="center"/>
          </w:tcPr>
          <w:p w:rsidR="00DB7CC8" w:rsidRDefault="002B5250">
            <w:pPr>
              <w:spacing w:line="240" w:lineRule="auto"/>
              <w:ind w:firstLineChars="0" w:firstLine="0"/>
              <w:jc w:val="center"/>
              <w:rPr>
                <w:sz w:val="21"/>
                <w:szCs w:val="21"/>
              </w:rPr>
            </w:pPr>
            <w:r>
              <w:rPr>
                <w:rFonts w:hint="eastAsia"/>
                <w:sz w:val="21"/>
                <w:szCs w:val="21"/>
              </w:rPr>
              <w:t>mg/L</w:t>
            </w:r>
          </w:p>
        </w:tc>
      </w:tr>
      <w:tr w:rsidR="00DB7CC8">
        <w:trPr>
          <w:trHeight w:val="321"/>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17</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总大肠菌群</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未检出</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未检出</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未检出</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未检出</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未检出</w:t>
            </w:r>
          </w:p>
        </w:tc>
        <w:tc>
          <w:tcPr>
            <w:tcW w:w="468" w:type="pct"/>
            <w:vAlign w:val="center"/>
          </w:tcPr>
          <w:p w:rsidR="00DB7CC8" w:rsidRDefault="002B5250">
            <w:pPr>
              <w:spacing w:line="240" w:lineRule="auto"/>
              <w:ind w:firstLineChars="0" w:firstLine="0"/>
              <w:jc w:val="center"/>
              <w:rPr>
                <w:sz w:val="21"/>
                <w:szCs w:val="21"/>
              </w:rPr>
            </w:pPr>
            <w:r>
              <w:rPr>
                <w:rFonts w:hint="eastAsia"/>
                <w:sz w:val="21"/>
                <w:szCs w:val="21"/>
              </w:rPr>
              <w:t>MPN/</w:t>
            </w:r>
          </w:p>
          <w:p w:rsidR="00DB7CC8" w:rsidRDefault="002B5250">
            <w:pPr>
              <w:spacing w:line="240" w:lineRule="auto"/>
              <w:ind w:firstLineChars="0" w:firstLine="0"/>
              <w:jc w:val="center"/>
              <w:rPr>
                <w:sz w:val="21"/>
                <w:szCs w:val="21"/>
              </w:rPr>
            </w:pPr>
            <w:r>
              <w:rPr>
                <w:rFonts w:hint="eastAsia"/>
                <w:sz w:val="21"/>
                <w:szCs w:val="21"/>
              </w:rPr>
              <w:t>100ml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18</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菌落总数</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63</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59</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65</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56</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70</w:t>
            </w:r>
          </w:p>
        </w:tc>
        <w:tc>
          <w:tcPr>
            <w:tcW w:w="468" w:type="pct"/>
            <w:vAlign w:val="center"/>
          </w:tcPr>
          <w:p w:rsidR="00DB7CC8" w:rsidRDefault="002B5250">
            <w:pPr>
              <w:spacing w:line="240" w:lineRule="auto"/>
              <w:ind w:firstLineChars="0" w:firstLine="0"/>
              <w:jc w:val="center"/>
              <w:rPr>
                <w:sz w:val="21"/>
                <w:szCs w:val="21"/>
              </w:rPr>
            </w:pPr>
            <w:r>
              <w:rPr>
                <w:rFonts w:hint="eastAsia"/>
                <w:sz w:val="21"/>
                <w:szCs w:val="21"/>
              </w:rPr>
              <w:t>CFU/</w:t>
            </w:r>
          </w:p>
          <w:p w:rsidR="00DB7CC8" w:rsidRDefault="002B5250">
            <w:pPr>
              <w:spacing w:line="240" w:lineRule="auto"/>
              <w:ind w:firstLineChars="0" w:firstLine="0"/>
              <w:jc w:val="center"/>
              <w:rPr>
                <w:sz w:val="21"/>
                <w:szCs w:val="21"/>
              </w:rPr>
            </w:pPr>
            <w:r>
              <w:rPr>
                <w:rFonts w:hint="eastAsia"/>
                <w:sz w:val="21"/>
                <w:szCs w:val="21"/>
              </w:rPr>
              <w:t>mL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19</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硝酸盐</w:t>
            </w:r>
          </w:p>
          <w:p w:rsidR="00DB7CC8" w:rsidRDefault="002B5250">
            <w:pPr>
              <w:spacing w:line="240" w:lineRule="auto"/>
              <w:ind w:firstLineChars="0" w:firstLine="0"/>
              <w:jc w:val="center"/>
              <w:rPr>
                <w:sz w:val="21"/>
                <w:szCs w:val="21"/>
              </w:rPr>
            </w:pPr>
            <w:r>
              <w:rPr>
                <w:rFonts w:hint="eastAsia"/>
                <w:sz w:val="21"/>
                <w:szCs w:val="21"/>
              </w:rPr>
              <w:t>（以</w:t>
            </w:r>
            <w:r>
              <w:rPr>
                <w:rFonts w:hint="eastAsia"/>
                <w:sz w:val="21"/>
                <w:szCs w:val="21"/>
              </w:rPr>
              <w:t>N</w:t>
            </w:r>
            <w:r>
              <w:rPr>
                <w:rFonts w:hint="eastAsia"/>
                <w:sz w:val="21"/>
                <w:szCs w:val="21"/>
              </w:rPr>
              <w:t>计）</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5.16</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5.62</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0.23</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5.81</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5.70</w:t>
            </w:r>
          </w:p>
        </w:tc>
        <w:tc>
          <w:tcPr>
            <w:tcW w:w="468" w:type="pct"/>
            <w:vAlign w:val="center"/>
          </w:tcPr>
          <w:p w:rsidR="00DB7CC8" w:rsidRDefault="002B5250">
            <w:pPr>
              <w:spacing w:line="240" w:lineRule="auto"/>
              <w:ind w:firstLineChars="0" w:firstLine="0"/>
              <w:jc w:val="center"/>
              <w:rPr>
                <w:sz w:val="21"/>
                <w:szCs w:val="21"/>
              </w:rPr>
            </w:pPr>
            <w:r>
              <w:rPr>
                <w:rFonts w:hint="eastAsia"/>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lastRenderedPageBreak/>
              <w:t>20</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亚硝酸盐</w:t>
            </w:r>
          </w:p>
          <w:p w:rsidR="00DB7CC8" w:rsidRDefault="002B5250">
            <w:pPr>
              <w:spacing w:line="240" w:lineRule="auto"/>
              <w:ind w:firstLineChars="0" w:firstLine="0"/>
              <w:jc w:val="center"/>
              <w:rPr>
                <w:sz w:val="21"/>
                <w:szCs w:val="21"/>
              </w:rPr>
            </w:pPr>
            <w:r>
              <w:rPr>
                <w:rFonts w:hint="eastAsia"/>
                <w:sz w:val="21"/>
                <w:szCs w:val="21"/>
              </w:rPr>
              <w:t>（以</w:t>
            </w:r>
            <w:r>
              <w:rPr>
                <w:rFonts w:hint="eastAsia"/>
                <w:sz w:val="21"/>
                <w:szCs w:val="21"/>
              </w:rPr>
              <w:t>N</w:t>
            </w:r>
            <w:r>
              <w:rPr>
                <w:rFonts w:hint="eastAsia"/>
                <w:sz w:val="21"/>
                <w:szCs w:val="21"/>
              </w:rPr>
              <w:t>计）</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0.003L</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0.003L</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0.003L</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0.003L</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0.003L</w:t>
            </w:r>
          </w:p>
        </w:tc>
        <w:tc>
          <w:tcPr>
            <w:tcW w:w="468" w:type="pct"/>
            <w:vAlign w:val="center"/>
          </w:tcPr>
          <w:p w:rsidR="00DB7CC8" w:rsidRDefault="002B5250">
            <w:pPr>
              <w:spacing w:line="240" w:lineRule="auto"/>
              <w:ind w:firstLineChars="0" w:firstLine="0"/>
              <w:jc w:val="center"/>
              <w:rPr>
                <w:sz w:val="21"/>
                <w:szCs w:val="21"/>
              </w:rPr>
            </w:pPr>
            <w:r>
              <w:rPr>
                <w:rFonts w:hint="eastAsia"/>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21</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氰化物</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0.002L</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0.002L</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0.002L</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0.002L</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0.002L</w:t>
            </w:r>
          </w:p>
        </w:tc>
        <w:tc>
          <w:tcPr>
            <w:tcW w:w="468" w:type="pct"/>
            <w:vAlign w:val="center"/>
          </w:tcPr>
          <w:p w:rsidR="00DB7CC8" w:rsidRDefault="002B5250">
            <w:pPr>
              <w:spacing w:line="240" w:lineRule="auto"/>
              <w:ind w:firstLineChars="0" w:firstLine="0"/>
              <w:jc w:val="center"/>
              <w:rPr>
                <w:sz w:val="21"/>
                <w:szCs w:val="21"/>
              </w:rPr>
            </w:pPr>
            <w:r>
              <w:rPr>
                <w:rFonts w:hint="eastAsia"/>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22</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氟化物</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0.30</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0.25</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0.07</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0.26</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0.19</w:t>
            </w:r>
          </w:p>
        </w:tc>
        <w:tc>
          <w:tcPr>
            <w:tcW w:w="468" w:type="pct"/>
            <w:vAlign w:val="center"/>
          </w:tcPr>
          <w:p w:rsidR="00DB7CC8" w:rsidRDefault="002B5250">
            <w:pPr>
              <w:spacing w:line="240" w:lineRule="auto"/>
              <w:ind w:firstLineChars="0" w:firstLine="0"/>
              <w:jc w:val="center"/>
              <w:rPr>
                <w:sz w:val="21"/>
                <w:szCs w:val="21"/>
              </w:rPr>
            </w:pPr>
            <w:r>
              <w:rPr>
                <w:rFonts w:hint="eastAsia"/>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23</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汞</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0.04L</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0.04L</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0.04L</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0.04L</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0.04L</w:t>
            </w:r>
          </w:p>
        </w:tc>
        <w:tc>
          <w:tcPr>
            <w:tcW w:w="468" w:type="pct"/>
            <w:vAlign w:val="center"/>
          </w:tcPr>
          <w:p w:rsidR="00DB7CC8" w:rsidRDefault="002B5250">
            <w:pPr>
              <w:spacing w:line="240" w:lineRule="auto"/>
              <w:ind w:firstLineChars="0" w:firstLine="0"/>
              <w:jc w:val="center"/>
              <w:rPr>
                <w:sz w:val="21"/>
                <w:szCs w:val="21"/>
              </w:rPr>
            </w:pPr>
            <w:r>
              <w:rPr>
                <w:rFonts w:hint="eastAsia"/>
                <w:sz w:val="21"/>
                <w:szCs w:val="21"/>
              </w:rPr>
              <w:t>μ</w:t>
            </w:r>
            <w:r>
              <w:rPr>
                <w:rFonts w:hint="eastAsia"/>
                <w:sz w:val="21"/>
                <w:szCs w:val="21"/>
              </w:rPr>
              <w:t>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24</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砷</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0.3L</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0.3L</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0.3L</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0.3L</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0.3L</w:t>
            </w:r>
          </w:p>
        </w:tc>
        <w:tc>
          <w:tcPr>
            <w:tcW w:w="468" w:type="pct"/>
            <w:vAlign w:val="center"/>
          </w:tcPr>
          <w:p w:rsidR="00DB7CC8" w:rsidRDefault="002B5250">
            <w:pPr>
              <w:spacing w:line="240" w:lineRule="auto"/>
              <w:ind w:firstLineChars="0" w:firstLine="0"/>
              <w:jc w:val="center"/>
              <w:rPr>
                <w:sz w:val="21"/>
                <w:szCs w:val="21"/>
              </w:rPr>
            </w:pPr>
            <w:r>
              <w:rPr>
                <w:rFonts w:hint="eastAsia"/>
                <w:sz w:val="21"/>
                <w:szCs w:val="21"/>
              </w:rPr>
              <w:t>μ</w:t>
            </w:r>
            <w:r>
              <w:rPr>
                <w:rFonts w:hint="eastAsia"/>
                <w:sz w:val="21"/>
                <w:szCs w:val="21"/>
              </w:rPr>
              <w:t>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25</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镉</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0.5L</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0.5L</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0.5L</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0.5L</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0.5L</w:t>
            </w:r>
          </w:p>
        </w:tc>
        <w:tc>
          <w:tcPr>
            <w:tcW w:w="468" w:type="pct"/>
            <w:vAlign w:val="center"/>
          </w:tcPr>
          <w:p w:rsidR="00DB7CC8" w:rsidRDefault="002B5250">
            <w:pPr>
              <w:spacing w:line="240" w:lineRule="auto"/>
              <w:ind w:firstLineChars="0" w:firstLine="0"/>
              <w:jc w:val="center"/>
              <w:rPr>
                <w:sz w:val="21"/>
                <w:szCs w:val="21"/>
              </w:rPr>
            </w:pPr>
            <w:r>
              <w:rPr>
                <w:rFonts w:hint="eastAsia"/>
                <w:sz w:val="21"/>
                <w:szCs w:val="21"/>
              </w:rPr>
              <w:t>μ</w:t>
            </w:r>
            <w:r>
              <w:rPr>
                <w:rFonts w:hint="eastAsia"/>
                <w:sz w:val="21"/>
                <w:szCs w:val="21"/>
              </w:rPr>
              <w:t>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26</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铬（六价）</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0.004L</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0.004L</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0.004L</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0.004L</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0.004L</w:t>
            </w:r>
          </w:p>
        </w:tc>
        <w:tc>
          <w:tcPr>
            <w:tcW w:w="468" w:type="pct"/>
            <w:vAlign w:val="center"/>
          </w:tcPr>
          <w:p w:rsidR="00DB7CC8" w:rsidRDefault="002B5250">
            <w:pPr>
              <w:spacing w:line="240" w:lineRule="auto"/>
              <w:ind w:firstLineChars="0" w:firstLine="0"/>
              <w:jc w:val="center"/>
              <w:rPr>
                <w:sz w:val="21"/>
                <w:szCs w:val="21"/>
              </w:rPr>
            </w:pPr>
            <w:r>
              <w:rPr>
                <w:rFonts w:hint="eastAsia"/>
                <w:sz w:val="21"/>
                <w:szCs w:val="21"/>
              </w:rPr>
              <w:t>mg/L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27</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铅</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2.5L</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2.5L</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2.5L</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2.5L</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2.5L</w:t>
            </w:r>
          </w:p>
        </w:tc>
        <w:tc>
          <w:tcPr>
            <w:tcW w:w="468" w:type="pct"/>
            <w:vAlign w:val="center"/>
          </w:tcPr>
          <w:p w:rsidR="00DB7CC8" w:rsidRDefault="002B5250">
            <w:pPr>
              <w:spacing w:line="240" w:lineRule="auto"/>
              <w:ind w:firstLineChars="0" w:firstLine="0"/>
              <w:jc w:val="center"/>
              <w:rPr>
                <w:sz w:val="21"/>
                <w:szCs w:val="21"/>
              </w:rPr>
            </w:pPr>
            <w:r>
              <w:rPr>
                <w:rFonts w:hint="eastAsia"/>
                <w:sz w:val="21"/>
                <w:szCs w:val="21"/>
              </w:rPr>
              <w:t>μ</w:t>
            </w:r>
            <w:r>
              <w:rPr>
                <w:rFonts w:hint="eastAsia"/>
                <w:sz w:val="21"/>
                <w:szCs w:val="21"/>
              </w:rPr>
              <w:t>g/L</w:t>
            </w:r>
          </w:p>
        </w:tc>
      </w:tr>
      <w:tr w:rsidR="00DB7CC8">
        <w:trPr>
          <w:trHeight w:val="397"/>
          <w:jc w:val="center"/>
        </w:trPr>
        <w:tc>
          <w:tcPr>
            <w:tcW w:w="249" w:type="pct"/>
            <w:vAlign w:val="center"/>
          </w:tcPr>
          <w:p w:rsidR="00DB7CC8" w:rsidRDefault="002B5250">
            <w:pPr>
              <w:spacing w:line="240" w:lineRule="auto"/>
              <w:ind w:firstLineChars="0" w:firstLine="0"/>
              <w:jc w:val="center"/>
              <w:rPr>
                <w:sz w:val="21"/>
                <w:szCs w:val="21"/>
              </w:rPr>
            </w:pPr>
            <w:r>
              <w:rPr>
                <w:rFonts w:hint="eastAsia"/>
                <w:sz w:val="21"/>
                <w:szCs w:val="21"/>
              </w:rPr>
              <w:t>28</w:t>
            </w:r>
          </w:p>
        </w:tc>
        <w:tc>
          <w:tcPr>
            <w:tcW w:w="690" w:type="pct"/>
            <w:vAlign w:val="center"/>
          </w:tcPr>
          <w:p w:rsidR="00DB7CC8" w:rsidRDefault="002B5250">
            <w:pPr>
              <w:spacing w:line="240" w:lineRule="auto"/>
              <w:ind w:firstLineChars="0" w:firstLine="0"/>
              <w:jc w:val="center"/>
              <w:rPr>
                <w:sz w:val="21"/>
                <w:szCs w:val="21"/>
              </w:rPr>
            </w:pPr>
            <w:r>
              <w:rPr>
                <w:rFonts w:hint="eastAsia"/>
                <w:sz w:val="21"/>
                <w:szCs w:val="21"/>
              </w:rPr>
              <w:t>石油类</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0.01L</w:t>
            </w:r>
          </w:p>
        </w:tc>
        <w:tc>
          <w:tcPr>
            <w:tcW w:w="1518" w:type="dxa"/>
            <w:vAlign w:val="center"/>
          </w:tcPr>
          <w:p w:rsidR="00DB7CC8" w:rsidRDefault="002B5250">
            <w:pPr>
              <w:spacing w:line="240" w:lineRule="auto"/>
              <w:ind w:firstLineChars="0" w:firstLine="0"/>
              <w:jc w:val="center"/>
              <w:rPr>
                <w:sz w:val="21"/>
                <w:szCs w:val="21"/>
              </w:rPr>
            </w:pPr>
            <w:r>
              <w:rPr>
                <w:rFonts w:hint="eastAsia"/>
                <w:sz w:val="21"/>
                <w:szCs w:val="21"/>
              </w:rPr>
              <w:t>0.01L</w:t>
            </w:r>
          </w:p>
        </w:tc>
        <w:tc>
          <w:tcPr>
            <w:tcW w:w="1519" w:type="dxa"/>
            <w:vAlign w:val="center"/>
          </w:tcPr>
          <w:p w:rsidR="00DB7CC8" w:rsidRDefault="002B5250">
            <w:pPr>
              <w:spacing w:line="240" w:lineRule="auto"/>
              <w:ind w:firstLineChars="0" w:firstLine="0"/>
              <w:jc w:val="center"/>
              <w:rPr>
                <w:sz w:val="21"/>
                <w:szCs w:val="21"/>
              </w:rPr>
            </w:pPr>
            <w:r>
              <w:rPr>
                <w:rFonts w:hint="eastAsia"/>
                <w:sz w:val="21"/>
                <w:szCs w:val="21"/>
              </w:rPr>
              <w:t>0.01L</w:t>
            </w:r>
          </w:p>
        </w:tc>
        <w:tc>
          <w:tcPr>
            <w:tcW w:w="922" w:type="dxa"/>
            <w:vAlign w:val="center"/>
          </w:tcPr>
          <w:p w:rsidR="00DB7CC8" w:rsidRDefault="002B5250">
            <w:pPr>
              <w:spacing w:line="240" w:lineRule="auto"/>
              <w:ind w:firstLineChars="0" w:firstLine="0"/>
              <w:jc w:val="center"/>
              <w:rPr>
                <w:sz w:val="21"/>
                <w:szCs w:val="21"/>
              </w:rPr>
            </w:pPr>
            <w:r>
              <w:rPr>
                <w:rFonts w:hint="eastAsia"/>
                <w:sz w:val="21"/>
                <w:szCs w:val="21"/>
              </w:rPr>
              <w:t>0.01L</w:t>
            </w:r>
          </w:p>
        </w:tc>
        <w:tc>
          <w:tcPr>
            <w:tcW w:w="645" w:type="dxa"/>
            <w:vAlign w:val="center"/>
          </w:tcPr>
          <w:p w:rsidR="00DB7CC8" w:rsidRDefault="002B5250">
            <w:pPr>
              <w:spacing w:line="240" w:lineRule="auto"/>
              <w:ind w:firstLineChars="0" w:firstLine="0"/>
              <w:jc w:val="center"/>
              <w:rPr>
                <w:sz w:val="21"/>
                <w:szCs w:val="21"/>
              </w:rPr>
            </w:pPr>
            <w:r>
              <w:rPr>
                <w:rFonts w:hint="eastAsia"/>
                <w:sz w:val="21"/>
                <w:szCs w:val="21"/>
              </w:rPr>
              <w:t>0.01L</w:t>
            </w:r>
          </w:p>
        </w:tc>
        <w:tc>
          <w:tcPr>
            <w:tcW w:w="468" w:type="pct"/>
            <w:vAlign w:val="center"/>
          </w:tcPr>
          <w:p w:rsidR="00DB7CC8" w:rsidRDefault="002B5250">
            <w:pPr>
              <w:spacing w:line="240" w:lineRule="auto"/>
              <w:ind w:firstLineChars="0" w:firstLine="0"/>
              <w:jc w:val="center"/>
              <w:rPr>
                <w:sz w:val="21"/>
                <w:szCs w:val="21"/>
              </w:rPr>
            </w:pPr>
            <w:r>
              <w:rPr>
                <w:rFonts w:hint="eastAsia"/>
                <w:sz w:val="21"/>
                <w:szCs w:val="21"/>
              </w:rPr>
              <w:t>mg/L</w:t>
            </w:r>
          </w:p>
        </w:tc>
      </w:tr>
    </w:tbl>
    <w:p w:rsidR="00DB7CC8" w:rsidRDefault="002B5250">
      <w:pPr>
        <w:pStyle w:val="29"/>
        <w:spacing w:after="0" w:line="480" w:lineRule="exact"/>
        <w:ind w:leftChars="0" w:left="0" w:firstLine="422"/>
        <w:jc w:val="center"/>
        <w:rPr>
          <w:b/>
          <w:bCs/>
        </w:rPr>
      </w:pPr>
      <w:r>
        <w:rPr>
          <w:b/>
          <w:bCs/>
        </w:rPr>
        <w:t>表</w:t>
      </w:r>
      <w:r>
        <w:rPr>
          <w:b/>
          <w:bCs/>
        </w:rPr>
        <w:t xml:space="preserve">4.3-6       </w:t>
      </w:r>
      <w:r>
        <w:rPr>
          <w:b/>
          <w:bCs/>
        </w:rPr>
        <w:t>地下水现状评价结果一览表</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43"/>
        <w:gridCol w:w="1221"/>
        <w:gridCol w:w="1206"/>
        <w:gridCol w:w="1195"/>
        <w:gridCol w:w="1315"/>
        <w:gridCol w:w="1284"/>
        <w:gridCol w:w="1262"/>
      </w:tblGrid>
      <w:tr w:rsidR="00DB7CC8">
        <w:trPr>
          <w:cantSplit/>
          <w:trHeight w:val="369"/>
          <w:jc w:val="center"/>
        </w:trPr>
        <w:tc>
          <w:tcPr>
            <w:tcW w:w="611" w:type="pct"/>
            <w:vMerge w:val="restart"/>
            <w:vAlign w:val="center"/>
          </w:tcPr>
          <w:p w:rsidR="00DB7CC8" w:rsidRDefault="002B5250">
            <w:pPr>
              <w:spacing w:line="240" w:lineRule="auto"/>
              <w:ind w:firstLineChars="0" w:firstLine="0"/>
              <w:jc w:val="center"/>
              <w:rPr>
                <w:sz w:val="21"/>
                <w:szCs w:val="21"/>
              </w:rPr>
            </w:pPr>
            <w:r>
              <w:rPr>
                <w:sz w:val="21"/>
                <w:szCs w:val="21"/>
              </w:rPr>
              <w:t>监测因子</w:t>
            </w:r>
          </w:p>
        </w:tc>
        <w:tc>
          <w:tcPr>
            <w:tcW w:w="716" w:type="pct"/>
            <w:vMerge w:val="restart"/>
            <w:vAlign w:val="center"/>
          </w:tcPr>
          <w:p w:rsidR="00DB7CC8" w:rsidRDefault="002B5250">
            <w:pPr>
              <w:spacing w:line="240" w:lineRule="auto"/>
              <w:ind w:firstLineChars="0" w:firstLine="0"/>
              <w:jc w:val="center"/>
              <w:rPr>
                <w:sz w:val="21"/>
                <w:szCs w:val="21"/>
              </w:rPr>
            </w:pPr>
            <w:r>
              <w:rPr>
                <w:sz w:val="21"/>
                <w:szCs w:val="21"/>
              </w:rPr>
              <w:t>标准值</w:t>
            </w:r>
          </w:p>
        </w:tc>
        <w:tc>
          <w:tcPr>
            <w:tcW w:w="3672" w:type="pct"/>
            <w:gridSpan w:val="5"/>
            <w:vAlign w:val="center"/>
          </w:tcPr>
          <w:p w:rsidR="00DB7CC8" w:rsidRDefault="002B5250">
            <w:pPr>
              <w:spacing w:line="240" w:lineRule="auto"/>
              <w:ind w:firstLineChars="0" w:firstLine="0"/>
              <w:jc w:val="center"/>
              <w:rPr>
                <w:sz w:val="21"/>
                <w:szCs w:val="21"/>
              </w:rPr>
            </w:pPr>
            <w:r>
              <w:rPr>
                <w:sz w:val="21"/>
                <w:szCs w:val="21"/>
              </w:rPr>
              <w:t>监测点达标情况分析</w:t>
            </w:r>
          </w:p>
        </w:tc>
      </w:tr>
      <w:tr w:rsidR="00DB7CC8">
        <w:trPr>
          <w:cantSplit/>
          <w:trHeight w:val="369"/>
          <w:jc w:val="center"/>
        </w:trPr>
        <w:tc>
          <w:tcPr>
            <w:tcW w:w="611" w:type="pct"/>
            <w:vMerge/>
            <w:vAlign w:val="center"/>
          </w:tcPr>
          <w:p w:rsidR="00DB7CC8" w:rsidRDefault="00DB7CC8">
            <w:pPr>
              <w:spacing w:line="240" w:lineRule="auto"/>
              <w:ind w:firstLineChars="0" w:firstLine="0"/>
              <w:jc w:val="center"/>
              <w:rPr>
                <w:sz w:val="21"/>
                <w:szCs w:val="21"/>
              </w:rPr>
            </w:pPr>
          </w:p>
        </w:tc>
        <w:tc>
          <w:tcPr>
            <w:tcW w:w="716" w:type="pct"/>
            <w:vMerge/>
            <w:vAlign w:val="center"/>
          </w:tcPr>
          <w:p w:rsidR="00DB7CC8" w:rsidRDefault="00DB7CC8">
            <w:pPr>
              <w:spacing w:line="240" w:lineRule="auto"/>
              <w:ind w:firstLineChars="0" w:firstLine="0"/>
              <w:jc w:val="center"/>
              <w:rPr>
                <w:sz w:val="21"/>
                <w:szCs w:val="21"/>
              </w:rPr>
            </w:pPr>
          </w:p>
        </w:tc>
        <w:tc>
          <w:tcPr>
            <w:tcW w:w="2004" w:type="dxa"/>
            <w:vAlign w:val="center"/>
          </w:tcPr>
          <w:p w:rsidR="00DB7CC8" w:rsidRDefault="002B5250">
            <w:pPr>
              <w:spacing w:line="240" w:lineRule="auto"/>
              <w:ind w:firstLineChars="0" w:firstLine="0"/>
              <w:jc w:val="center"/>
              <w:rPr>
                <w:sz w:val="21"/>
                <w:szCs w:val="21"/>
              </w:rPr>
            </w:pPr>
            <w:r>
              <w:rPr>
                <w:rFonts w:hint="eastAsia"/>
                <w:sz w:val="21"/>
                <w:szCs w:val="21"/>
              </w:rPr>
              <w:t>大于沟村</w:t>
            </w:r>
          </w:p>
        </w:tc>
        <w:tc>
          <w:tcPr>
            <w:tcW w:w="1987" w:type="dxa"/>
            <w:vAlign w:val="center"/>
          </w:tcPr>
          <w:p w:rsidR="00DB7CC8" w:rsidRDefault="002B5250">
            <w:pPr>
              <w:spacing w:line="240" w:lineRule="auto"/>
              <w:ind w:firstLineChars="0" w:firstLine="0"/>
              <w:jc w:val="center"/>
              <w:rPr>
                <w:sz w:val="21"/>
                <w:szCs w:val="21"/>
              </w:rPr>
            </w:pPr>
            <w:r>
              <w:rPr>
                <w:rFonts w:hint="eastAsia"/>
                <w:sz w:val="21"/>
                <w:szCs w:val="21"/>
              </w:rPr>
              <w:t>靠山庄村</w:t>
            </w:r>
          </w:p>
        </w:tc>
        <w:tc>
          <w:tcPr>
            <w:tcW w:w="2186" w:type="dxa"/>
            <w:vAlign w:val="center"/>
          </w:tcPr>
          <w:p w:rsidR="00DB7CC8" w:rsidRDefault="002B5250">
            <w:pPr>
              <w:spacing w:line="240" w:lineRule="auto"/>
              <w:ind w:firstLineChars="0" w:firstLine="0"/>
              <w:jc w:val="center"/>
              <w:rPr>
                <w:sz w:val="21"/>
                <w:szCs w:val="21"/>
              </w:rPr>
            </w:pPr>
            <w:r>
              <w:rPr>
                <w:rFonts w:hint="eastAsia"/>
                <w:sz w:val="21"/>
                <w:szCs w:val="21"/>
              </w:rPr>
              <w:t>厂区内</w:t>
            </w:r>
          </w:p>
        </w:tc>
        <w:tc>
          <w:tcPr>
            <w:tcW w:w="2135" w:type="dxa"/>
            <w:vAlign w:val="center"/>
          </w:tcPr>
          <w:p w:rsidR="00DB7CC8" w:rsidRDefault="002B5250">
            <w:pPr>
              <w:spacing w:line="240" w:lineRule="auto"/>
              <w:ind w:firstLineChars="0" w:firstLine="0"/>
              <w:jc w:val="center"/>
              <w:rPr>
                <w:sz w:val="21"/>
                <w:szCs w:val="21"/>
              </w:rPr>
            </w:pPr>
            <w:r>
              <w:rPr>
                <w:rFonts w:hint="eastAsia"/>
                <w:sz w:val="21"/>
                <w:szCs w:val="21"/>
              </w:rPr>
              <w:t>小安乐庄</w:t>
            </w:r>
          </w:p>
        </w:tc>
        <w:tc>
          <w:tcPr>
            <w:tcW w:w="2098" w:type="dxa"/>
            <w:vAlign w:val="center"/>
          </w:tcPr>
          <w:p w:rsidR="00DB7CC8" w:rsidRDefault="002B5250">
            <w:pPr>
              <w:spacing w:line="240" w:lineRule="auto"/>
              <w:ind w:firstLineChars="0" w:firstLine="0"/>
              <w:jc w:val="center"/>
              <w:rPr>
                <w:sz w:val="21"/>
                <w:szCs w:val="21"/>
              </w:rPr>
            </w:pPr>
            <w:r>
              <w:rPr>
                <w:rFonts w:hint="eastAsia"/>
                <w:sz w:val="21"/>
                <w:szCs w:val="21"/>
              </w:rPr>
              <w:t>阎家屯</w:t>
            </w:r>
          </w:p>
        </w:tc>
      </w:tr>
      <w:tr w:rsidR="00DB7CC8">
        <w:trPr>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石油类</w:t>
            </w:r>
          </w:p>
        </w:tc>
        <w:tc>
          <w:tcPr>
            <w:tcW w:w="716" w:type="pct"/>
            <w:vAlign w:val="center"/>
          </w:tcPr>
          <w:p w:rsidR="00DB7CC8" w:rsidRDefault="002B5250">
            <w:pPr>
              <w:spacing w:line="240" w:lineRule="auto"/>
              <w:ind w:firstLineChars="0" w:firstLine="0"/>
              <w:jc w:val="center"/>
              <w:rPr>
                <w:sz w:val="21"/>
                <w:szCs w:val="21"/>
              </w:rPr>
            </w:pPr>
            <w:r>
              <w:rPr>
                <w:sz w:val="21"/>
                <w:szCs w:val="21"/>
              </w:rPr>
              <w:t>0.05mg/L</w:t>
            </w:r>
          </w:p>
        </w:tc>
        <w:tc>
          <w:tcPr>
            <w:tcW w:w="707" w:type="pct"/>
            <w:tcBorders>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0.10</w:t>
            </w:r>
          </w:p>
        </w:tc>
        <w:tc>
          <w:tcPr>
            <w:tcW w:w="701" w:type="pct"/>
            <w:tcBorders>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0.10</w:t>
            </w:r>
          </w:p>
        </w:tc>
        <w:tc>
          <w:tcPr>
            <w:tcW w:w="771" w:type="pct"/>
            <w:tcBorders>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0.10</w:t>
            </w:r>
          </w:p>
        </w:tc>
        <w:tc>
          <w:tcPr>
            <w:tcW w:w="753" w:type="pct"/>
            <w:tcBorders>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0.10</w:t>
            </w:r>
          </w:p>
        </w:tc>
        <w:tc>
          <w:tcPr>
            <w:tcW w:w="737" w:type="pct"/>
            <w:tcBorders>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0.10</w:t>
            </w:r>
          </w:p>
        </w:tc>
      </w:tr>
      <w:tr w:rsidR="00DB7CC8">
        <w:trPr>
          <w:trHeight w:val="505"/>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pH</w:t>
            </w:r>
          </w:p>
        </w:tc>
        <w:tc>
          <w:tcPr>
            <w:tcW w:w="716" w:type="pct"/>
            <w:vAlign w:val="center"/>
          </w:tcPr>
          <w:p w:rsidR="00DB7CC8" w:rsidRDefault="002B5250">
            <w:pPr>
              <w:spacing w:line="240" w:lineRule="auto"/>
              <w:ind w:firstLineChars="0" w:firstLine="0"/>
              <w:jc w:val="center"/>
              <w:rPr>
                <w:sz w:val="21"/>
                <w:szCs w:val="21"/>
              </w:rPr>
            </w:pPr>
            <w:r>
              <w:rPr>
                <w:sz w:val="21"/>
                <w:szCs w:val="21"/>
              </w:rPr>
              <w:t>6.5</w:t>
            </w:r>
            <w:r>
              <w:rPr>
                <w:sz w:val="21"/>
                <w:szCs w:val="21"/>
              </w:rPr>
              <w:t>～</w:t>
            </w:r>
            <w:r>
              <w:rPr>
                <w:sz w:val="21"/>
                <w:szCs w:val="21"/>
              </w:rPr>
              <w:t>8.5</w:t>
            </w:r>
          </w:p>
        </w:tc>
        <w:tc>
          <w:tcPr>
            <w:tcW w:w="707"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0.07</w:t>
            </w:r>
          </w:p>
        </w:tc>
        <w:tc>
          <w:tcPr>
            <w:tcW w:w="701"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0.1</w:t>
            </w:r>
            <w:r>
              <w:rPr>
                <w:rFonts w:hint="eastAsia"/>
                <w:sz w:val="21"/>
                <w:szCs w:val="21"/>
              </w:rPr>
              <w:t>5</w:t>
            </w:r>
          </w:p>
        </w:tc>
        <w:tc>
          <w:tcPr>
            <w:tcW w:w="771"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0.07</w:t>
            </w:r>
          </w:p>
        </w:tc>
        <w:tc>
          <w:tcPr>
            <w:tcW w:w="753" w:type="pct"/>
            <w:tcBorders>
              <w:top w:val="single" w:sz="4" w:space="0" w:color="auto"/>
              <w:bottom w:val="single" w:sz="4" w:space="0" w:color="auto"/>
            </w:tcBorders>
            <w:vAlign w:val="center"/>
          </w:tcPr>
          <w:p w:rsidR="00DB7CC8" w:rsidRDefault="002B5250">
            <w:pPr>
              <w:spacing w:line="240" w:lineRule="auto"/>
              <w:ind w:firstLine="420"/>
              <w:jc w:val="both"/>
              <w:rPr>
                <w:sz w:val="21"/>
                <w:szCs w:val="21"/>
              </w:rPr>
            </w:pPr>
            <w:r>
              <w:rPr>
                <w:sz w:val="21"/>
                <w:szCs w:val="21"/>
              </w:rPr>
              <w:t>0.1</w:t>
            </w:r>
            <w:r>
              <w:rPr>
                <w:rFonts w:hint="eastAsia"/>
                <w:sz w:val="21"/>
                <w:szCs w:val="21"/>
              </w:rPr>
              <w:t>5</w:t>
            </w:r>
          </w:p>
        </w:tc>
        <w:tc>
          <w:tcPr>
            <w:tcW w:w="737" w:type="pct"/>
            <w:tcBorders>
              <w:top w:val="single" w:sz="4" w:space="0" w:color="auto"/>
              <w:bottom w:val="single" w:sz="4" w:space="0" w:color="auto"/>
            </w:tcBorders>
            <w:vAlign w:val="center"/>
          </w:tcPr>
          <w:p w:rsidR="00DB7CC8" w:rsidRDefault="002B5250">
            <w:pPr>
              <w:spacing w:line="240" w:lineRule="auto"/>
              <w:ind w:firstLine="420"/>
              <w:jc w:val="both"/>
              <w:rPr>
                <w:sz w:val="21"/>
                <w:szCs w:val="21"/>
              </w:rPr>
            </w:pPr>
            <w:r>
              <w:rPr>
                <w:sz w:val="21"/>
                <w:szCs w:val="21"/>
              </w:rPr>
              <w:t>0.1</w:t>
            </w:r>
            <w:r>
              <w:rPr>
                <w:rFonts w:hint="eastAsia"/>
                <w:sz w:val="21"/>
                <w:szCs w:val="21"/>
              </w:rPr>
              <w:t>5</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耗氧量</w:t>
            </w:r>
          </w:p>
        </w:tc>
        <w:tc>
          <w:tcPr>
            <w:tcW w:w="716" w:type="pct"/>
            <w:vAlign w:val="center"/>
          </w:tcPr>
          <w:p w:rsidR="00DB7CC8" w:rsidRDefault="002B5250">
            <w:pPr>
              <w:spacing w:line="240" w:lineRule="auto"/>
              <w:ind w:firstLineChars="0" w:firstLine="0"/>
              <w:jc w:val="center"/>
              <w:rPr>
                <w:sz w:val="21"/>
                <w:szCs w:val="21"/>
              </w:rPr>
            </w:pPr>
            <w:r>
              <w:rPr>
                <w:sz w:val="21"/>
                <w:szCs w:val="21"/>
              </w:rPr>
              <w:t>3.0 mg/L</w:t>
            </w:r>
          </w:p>
        </w:tc>
        <w:tc>
          <w:tcPr>
            <w:tcW w:w="1204"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0.63</w:t>
            </w:r>
          </w:p>
        </w:tc>
        <w:tc>
          <w:tcPr>
            <w:tcW w:w="1194"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0.69</w:t>
            </w:r>
          </w:p>
        </w:tc>
        <w:tc>
          <w:tcPr>
            <w:tcW w:w="1313"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0.54</w:t>
            </w:r>
          </w:p>
        </w:tc>
        <w:tc>
          <w:tcPr>
            <w:tcW w:w="1282"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0.47</w:t>
            </w:r>
          </w:p>
        </w:tc>
        <w:tc>
          <w:tcPr>
            <w:tcW w:w="1260"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0.58</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总硬度</w:t>
            </w:r>
          </w:p>
        </w:tc>
        <w:tc>
          <w:tcPr>
            <w:tcW w:w="716" w:type="pct"/>
            <w:vAlign w:val="center"/>
          </w:tcPr>
          <w:p w:rsidR="00DB7CC8" w:rsidRDefault="002B5250">
            <w:pPr>
              <w:spacing w:line="240" w:lineRule="auto"/>
              <w:ind w:firstLineChars="0" w:firstLine="0"/>
              <w:jc w:val="center"/>
              <w:rPr>
                <w:sz w:val="21"/>
                <w:szCs w:val="21"/>
              </w:rPr>
            </w:pPr>
            <w:r>
              <w:rPr>
                <w:sz w:val="21"/>
                <w:szCs w:val="21"/>
              </w:rPr>
              <w:t>450 mg/L</w:t>
            </w:r>
          </w:p>
        </w:tc>
        <w:tc>
          <w:tcPr>
            <w:tcW w:w="1204"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0.73</w:t>
            </w:r>
          </w:p>
        </w:tc>
        <w:tc>
          <w:tcPr>
            <w:tcW w:w="1194"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0.65</w:t>
            </w:r>
          </w:p>
        </w:tc>
        <w:tc>
          <w:tcPr>
            <w:tcW w:w="1313"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0.64</w:t>
            </w:r>
          </w:p>
        </w:tc>
        <w:tc>
          <w:tcPr>
            <w:tcW w:w="1282"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0.98</w:t>
            </w:r>
          </w:p>
        </w:tc>
        <w:tc>
          <w:tcPr>
            <w:tcW w:w="1260"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0.66</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溶解性总固体</w:t>
            </w:r>
          </w:p>
        </w:tc>
        <w:tc>
          <w:tcPr>
            <w:tcW w:w="716" w:type="pct"/>
            <w:vAlign w:val="center"/>
          </w:tcPr>
          <w:p w:rsidR="00DB7CC8" w:rsidRDefault="002B5250">
            <w:pPr>
              <w:spacing w:line="240" w:lineRule="auto"/>
              <w:ind w:firstLineChars="0" w:firstLine="0"/>
              <w:jc w:val="center"/>
              <w:rPr>
                <w:sz w:val="21"/>
                <w:szCs w:val="21"/>
              </w:rPr>
            </w:pPr>
            <w:r>
              <w:rPr>
                <w:sz w:val="21"/>
                <w:szCs w:val="21"/>
              </w:rPr>
              <w:t>1000mg/L</w:t>
            </w:r>
          </w:p>
        </w:tc>
        <w:tc>
          <w:tcPr>
            <w:tcW w:w="1204"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0.7</w:t>
            </w:r>
          </w:p>
        </w:tc>
        <w:tc>
          <w:tcPr>
            <w:tcW w:w="1194"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0.17</w:t>
            </w:r>
          </w:p>
        </w:tc>
        <w:tc>
          <w:tcPr>
            <w:tcW w:w="1313"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0.04</w:t>
            </w:r>
          </w:p>
        </w:tc>
        <w:tc>
          <w:tcPr>
            <w:tcW w:w="1282"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0.8</w:t>
            </w:r>
          </w:p>
        </w:tc>
        <w:tc>
          <w:tcPr>
            <w:tcW w:w="1260"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0.09</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氨氮</w:t>
            </w:r>
          </w:p>
        </w:tc>
        <w:tc>
          <w:tcPr>
            <w:tcW w:w="716" w:type="pct"/>
            <w:vAlign w:val="center"/>
          </w:tcPr>
          <w:p w:rsidR="00DB7CC8" w:rsidRDefault="002B5250">
            <w:pPr>
              <w:spacing w:line="240" w:lineRule="auto"/>
              <w:ind w:firstLineChars="0" w:firstLine="0"/>
              <w:jc w:val="center"/>
              <w:rPr>
                <w:sz w:val="21"/>
                <w:szCs w:val="21"/>
              </w:rPr>
            </w:pPr>
            <w:r>
              <w:rPr>
                <w:sz w:val="21"/>
                <w:szCs w:val="21"/>
              </w:rPr>
              <w:t>0.5 mg/L</w:t>
            </w:r>
          </w:p>
        </w:tc>
        <w:tc>
          <w:tcPr>
            <w:tcW w:w="1204"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0.12</w:t>
            </w:r>
          </w:p>
        </w:tc>
        <w:tc>
          <w:tcPr>
            <w:tcW w:w="1194"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0.53</w:t>
            </w:r>
          </w:p>
        </w:tc>
        <w:tc>
          <w:tcPr>
            <w:tcW w:w="1313"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0.46</w:t>
            </w:r>
          </w:p>
        </w:tc>
        <w:tc>
          <w:tcPr>
            <w:tcW w:w="1282"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0.025</w:t>
            </w:r>
          </w:p>
        </w:tc>
        <w:tc>
          <w:tcPr>
            <w:tcW w:w="1260"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0.025</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硝酸盐</w:t>
            </w:r>
          </w:p>
        </w:tc>
        <w:tc>
          <w:tcPr>
            <w:tcW w:w="716" w:type="pct"/>
            <w:vAlign w:val="center"/>
          </w:tcPr>
          <w:p w:rsidR="00DB7CC8" w:rsidRDefault="002B5250">
            <w:pPr>
              <w:spacing w:line="240" w:lineRule="auto"/>
              <w:ind w:firstLineChars="0" w:firstLine="0"/>
              <w:jc w:val="center"/>
              <w:rPr>
                <w:sz w:val="21"/>
                <w:szCs w:val="21"/>
              </w:rPr>
            </w:pPr>
            <w:r>
              <w:rPr>
                <w:sz w:val="21"/>
                <w:szCs w:val="21"/>
              </w:rPr>
              <w:t>20 mg/L</w:t>
            </w:r>
          </w:p>
        </w:tc>
        <w:tc>
          <w:tcPr>
            <w:tcW w:w="1204"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0.26</w:t>
            </w:r>
          </w:p>
        </w:tc>
        <w:tc>
          <w:tcPr>
            <w:tcW w:w="1194"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0.28</w:t>
            </w:r>
          </w:p>
        </w:tc>
        <w:tc>
          <w:tcPr>
            <w:tcW w:w="1313"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0.01</w:t>
            </w:r>
          </w:p>
        </w:tc>
        <w:tc>
          <w:tcPr>
            <w:tcW w:w="1282"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0.29</w:t>
            </w:r>
          </w:p>
        </w:tc>
        <w:tc>
          <w:tcPr>
            <w:tcW w:w="1260"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0.29</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亚硝酸盐</w:t>
            </w:r>
          </w:p>
        </w:tc>
        <w:tc>
          <w:tcPr>
            <w:tcW w:w="716" w:type="pct"/>
            <w:vAlign w:val="center"/>
          </w:tcPr>
          <w:p w:rsidR="00DB7CC8" w:rsidRDefault="002B5250">
            <w:pPr>
              <w:spacing w:line="240" w:lineRule="auto"/>
              <w:ind w:firstLineChars="0" w:firstLine="0"/>
              <w:jc w:val="center"/>
              <w:rPr>
                <w:sz w:val="21"/>
                <w:szCs w:val="21"/>
              </w:rPr>
            </w:pPr>
            <w:r>
              <w:rPr>
                <w:sz w:val="21"/>
                <w:szCs w:val="21"/>
              </w:rPr>
              <w:t>1.0mg/L</w:t>
            </w:r>
          </w:p>
        </w:tc>
        <w:tc>
          <w:tcPr>
            <w:tcW w:w="707"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0.0</w:t>
            </w:r>
            <w:r>
              <w:rPr>
                <w:rFonts w:hint="eastAsia"/>
                <w:sz w:val="21"/>
                <w:szCs w:val="21"/>
              </w:rPr>
              <w:t>0</w:t>
            </w:r>
            <w:r>
              <w:rPr>
                <w:sz w:val="21"/>
                <w:szCs w:val="21"/>
              </w:rPr>
              <w:t>1</w:t>
            </w:r>
            <w:r>
              <w:rPr>
                <w:rFonts w:hint="eastAsia"/>
                <w:sz w:val="21"/>
                <w:szCs w:val="21"/>
              </w:rPr>
              <w:t>5</w:t>
            </w:r>
          </w:p>
        </w:tc>
        <w:tc>
          <w:tcPr>
            <w:tcW w:w="701"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0.0</w:t>
            </w:r>
            <w:r>
              <w:rPr>
                <w:rFonts w:hint="eastAsia"/>
                <w:sz w:val="21"/>
                <w:szCs w:val="21"/>
              </w:rPr>
              <w:t>0</w:t>
            </w:r>
            <w:r>
              <w:rPr>
                <w:sz w:val="21"/>
                <w:szCs w:val="21"/>
              </w:rPr>
              <w:t>1</w:t>
            </w:r>
            <w:r>
              <w:rPr>
                <w:rFonts w:hint="eastAsia"/>
                <w:sz w:val="21"/>
                <w:szCs w:val="21"/>
              </w:rPr>
              <w:t>5</w:t>
            </w:r>
          </w:p>
        </w:tc>
        <w:tc>
          <w:tcPr>
            <w:tcW w:w="771"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0.0</w:t>
            </w:r>
            <w:r>
              <w:rPr>
                <w:rFonts w:hint="eastAsia"/>
                <w:sz w:val="21"/>
                <w:szCs w:val="21"/>
              </w:rPr>
              <w:t>0</w:t>
            </w:r>
            <w:r>
              <w:rPr>
                <w:sz w:val="21"/>
                <w:szCs w:val="21"/>
              </w:rPr>
              <w:t>1</w:t>
            </w:r>
            <w:r>
              <w:rPr>
                <w:rFonts w:hint="eastAsia"/>
                <w:sz w:val="21"/>
                <w:szCs w:val="21"/>
              </w:rPr>
              <w:t>5</w:t>
            </w:r>
          </w:p>
        </w:tc>
        <w:tc>
          <w:tcPr>
            <w:tcW w:w="753"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0.0</w:t>
            </w:r>
            <w:r>
              <w:rPr>
                <w:rFonts w:hint="eastAsia"/>
                <w:sz w:val="21"/>
                <w:szCs w:val="21"/>
              </w:rPr>
              <w:t>0</w:t>
            </w:r>
            <w:r>
              <w:rPr>
                <w:sz w:val="21"/>
                <w:szCs w:val="21"/>
              </w:rPr>
              <w:t>1</w:t>
            </w:r>
            <w:r>
              <w:rPr>
                <w:rFonts w:hint="eastAsia"/>
                <w:sz w:val="21"/>
                <w:szCs w:val="21"/>
              </w:rPr>
              <w:t>5</w:t>
            </w:r>
          </w:p>
        </w:tc>
        <w:tc>
          <w:tcPr>
            <w:tcW w:w="737"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0.0</w:t>
            </w:r>
            <w:r>
              <w:rPr>
                <w:rFonts w:hint="eastAsia"/>
                <w:sz w:val="21"/>
                <w:szCs w:val="21"/>
              </w:rPr>
              <w:t>0</w:t>
            </w:r>
            <w:r>
              <w:rPr>
                <w:sz w:val="21"/>
                <w:szCs w:val="21"/>
              </w:rPr>
              <w:t>1</w:t>
            </w:r>
            <w:r>
              <w:rPr>
                <w:rFonts w:hint="eastAsia"/>
                <w:sz w:val="21"/>
                <w:szCs w:val="21"/>
              </w:rPr>
              <w:t>5</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硫酸盐</w:t>
            </w:r>
          </w:p>
        </w:tc>
        <w:tc>
          <w:tcPr>
            <w:tcW w:w="716" w:type="pct"/>
            <w:vAlign w:val="center"/>
          </w:tcPr>
          <w:p w:rsidR="00DB7CC8" w:rsidRDefault="002B5250">
            <w:pPr>
              <w:spacing w:line="240" w:lineRule="auto"/>
              <w:ind w:firstLineChars="0" w:firstLine="0"/>
              <w:jc w:val="center"/>
              <w:rPr>
                <w:sz w:val="21"/>
                <w:szCs w:val="21"/>
              </w:rPr>
            </w:pPr>
            <w:r>
              <w:rPr>
                <w:sz w:val="21"/>
                <w:szCs w:val="21"/>
              </w:rPr>
              <w:t>250 mg/L</w:t>
            </w:r>
          </w:p>
        </w:tc>
        <w:tc>
          <w:tcPr>
            <w:tcW w:w="1204"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0.52</w:t>
            </w:r>
          </w:p>
        </w:tc>
        <w:tc>
          <w:tcPr>
            <w:tcW w:w="1194"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0.19</w:t>
            </w:r>
          </w:p>
        </w:tc>
        <w:tc>
          <w:tcPr>
            <w:tcW w:w="1313"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0.02</w:t>
            </w:r>
          </w:p>
        </w:tc>
        <w:tc>
          <w:tcPr>
            <w:tcW w:w="1282"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0.66</w:t>
            </w:r>
          </w:p>
        </w:tc>
        <w:tc>
          <w:tcPr>
            <w:tcW w:w="1260"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0.12</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氯化物</w:t>
            </w:r>
          </w:p>
        </w:tc>
        <w:tc>
          <w:tcPr>
            <w:tcW w:w="716" w:type="pct"/>
            <w:vAlign w:val="center"/>
          </w:tcPr>
          <w:p w:rsidR="00DB7CC8" w:rsidRDefault="002B5250">
            <w:pPr>
              <w:spacing w:line="240" w:lineRule="auto"/>
              <w:ind w:firstLineChars="0" w:firstLine="0"/>
              <w:jc w:val="center"/>
              <w:rPr>
                <w:sz w:val="21"/>
                <w:szCs w:val="21"/>
              </w:rPr>
            </w:pPr>
            <w:r>
              <w:rPr>
                <w:sz w:val="21"/>
                <w:szCs w:val="21"/>
              </w:rPr>
              <w:t>250 mg/L</w:t>
            </w:r>
          </w:p>
        </w:tc>
        <w:tc>
          <w:tcPr>
            <w:tcW w:w="1204"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0.05</w:t>
            </w:r>
          </w:p>
        </w:tc>
        <w:tc>
          <w:tcPr>
            <w:tcW w:w="1194"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0.01</w:t>
            </w:r>
          </w:p>
        </w:tc>
        <w:tc>
          <w:tcPr>
            <w:tcW w:w="1313"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0.002</w:t>
            </w:r>
          </w:p>
        </w:tc>
        <w:tc>
          <w:tcPr>
            <w:tcW w:w="1282"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0.07</w:t>
            </w:r>
          </w:p>
        </w:tc>
        <w:tc>
          <w:tcPr>
            <w:tcW w:w="1260"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0.007</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氰化物</w:t>
            </w:r>
          </w:p>
        </w:tc>
        <w:tc>
          <w:tcPr>
            <w:tcW w:w="716" w:type="pct"/>
            <w:vAlign w:val="center"/>
          </w:tcPr>
          <w:p w:rsidR="00DB7CC8" w:rsidRDefault="002B5250">
            <w:pPr>
              <w:spacing w:line="240" w:lineRule="auto"/>
              <w:ind w:firstLineChars="0" w:firstLine="0"/>
              <w:jc w:val="center"/>
              <w:rPr>
                <w:sz w:val="21"/>
                <w:szCs w:val="21"/>
              </w:rPr>
            </w:pPr>
            <w:r>
              <w:rPr>
                <w:sz w:val="21"/>
                <w:szCs w:val="21"/>
              </w:rPr>
              <w:t>0.05 mg/L</w:t>
            </w:r>
          </w:p>
        </w:tc>
        <w:tc>
          <w:tcPr>
            <w:tcW w:w="707"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0.02</w:t>
            </w:r>
          </w:p>
        </w:tc>
        <w:tc>
          <w:tcPr>
            <w:tcW w:w="701"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0.02</w:t>
            </w:r>
          </w:p>
        </w:tc>
        <w:tc>
          <w:tcPr>
            <w:tcW w:w="771"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0.02</w:t>
            </w:r>
          </w:p>
        </w:tc>
        <w:tc>
          <w:tcPr>
            <w:tcW w:w="753"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0.02</w:t>
            </w:r>
          </w:p>
        </w:tc>
        <w:tc>
          <w:tcPr>
            <w:tcW w:w="737"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0.02</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挥发性酚类</w:t>
            </w:r>
          </w:p>
        </w:tc>
        <w:tc>
          <w:tcPr>
            <w:tcW w:w="716" w:type="pct"/>
            <w:vAlign w:val="center"/>
          </w:tcPr>
          <w:p w:rsidR="00DB7CC8" w:rsidRDefault="002B5250">
            <w:pPr>
              <w:spacing w:line="240" w:lineRule="auto"/>
              <w:ind w:firstLineChars="0" w:firstLine="0"/>
              <w:jc w:val="center"/>
              <w:rPr>
                <w:sz w:val="21"/>
                <w:szCs w:val="21"/>
              </w:rPr>
            </w:pPr>
            <w:r>
              <w:rPr>
                <w:sz w:val="21"/>
                <w:szCs w:val="21"/>
              </w:rPr>
              <w:t>0.002 mg/L</w:t>
            </w:r>
          </w:p>
        </w:tc>
        <w:tc>
          <w:tcPr>
            <w:tcW w:w="707"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0.075</w:t>
            </w:r>
          </w:p>
        </w:tc>
        <w:tc>
          <w:tcPr>
            <w:tcW w:w="701"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0.075</w:t>
            </w:r>
          </w:p>
        </w:tc>
        <w:tc>
          <w:tcPr>
            <w:tcW w:w="771"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0.075</w:t>
            </w:r>
          </w:p>
        </w:tc>
        <w:tc>
          <w:tcPr>
            <w:tcW w:w="753"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0.075</w:t>
            </w:r>
          </w:p>
        </w:tc>
        <w:tc>
          <w:tcPr>
            <w:tcW w:w="737"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0.075</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氟</w:t>
            </w:r>
          </w:p>
        </w:tc>
        <w:tc>
          <w:tcPr>
            <w:tcW w:w="716" w:type="pct"/>
            <w:vAlign w:val="center"/>
          </w:tcPr>
          <w:p w:rsidR="00DB7CC8" w:rsidRDefault="002B5250">
            <w:pPr>
              <w:spacing w:line="240" w:lineRule="auto"/>
              <w:ind w:firstLineChars="0" w:firstLine="0"/>
              <w:jc w:val="center"/>
              <w:rPr>
                <w:sz w:val="21"/>
                <w:szCs w:val="21"/>
              </w:rPr>
            </w:pPr>
            <w:r>
              <w:rPr>
                <w:sz w:val="21"/>
                <w:szCs w:val="21"/>
              </w:rPr>
              <w:t>1.0 mg/L</w:t>
            </w:r>
          </w:p>
        </w:tc>
        <w:tc>
          <w:tcPr>
            <w:tcW w:w="1204"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0.30</w:t>
            </w:r>
          </w:p>
        </w:tc>
        <w:tc>
          <w:tcPr>
            <w:tcW w:w="1987"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0.25</w:t>
            </w:r>
          </w:p>
        </w:tc>
        <w:tc>
          <w:tcPr>
            <w:tcW w:w="2186"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0.07</w:t>
            </w:r>
          </w:p>
        </w:tc>
        <w:tc>
          <w:tcPr>
            <w:tcW w:w="2135"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0.26</w:t>
            </w:r>
          </w:p>
        </w:tc>
        <w:tc>
          <w:tcPr>
            <w:tcW w:w="1260"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rFonts w:hint="eastAsia"/>
                <w:sz w:val="21"/>
                <w:szCs w:val="21"/>
              </w:rPr>
              <w:t>0.19</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砷</w:t>
            </w:r>
          </w:p>
        </w:tc>
        <w:tc>
          <w:tcPr>
            <w:tcW w:w="716" w:type="pct"/>
            <w:vAlign w:val="center"/>
          </w:tcPr>
          <w:p w:rsidR="00DB7CC8" w:rsidRDefault="002B5250">
            <w:pPr>
              <w:spacing w:line="240" w:lineRule="auto"/>
              <w:ind w:firstLineChars="0" w:firstLine="0"/>
              <w:jc w:val="center"/>
              <w:rPr>
                <w:sz w:val="21"/>
                <w:szCs w:val="21"/>
              </w:rPr>
            </w:pPr>
            <w:r>
              <w:rPr>
                <w:sz w:val="21"/>
                <w:szCs w:val="21"/>
              </w:rPr>
              <w:t>0.01mg/L</w:t>
            </w:r>
          </w:p>
        </w:tc>
        <w:tc>
          <w:tcPr>
            <w:tcW w:w="707"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0.0</w:t>
            </w:r>
            <w:r>
              <w:rPr>
                <w:rFonts w:hint="eastAsia"/>
                <w:sz w:val="21"/>
                <w:szCs w:val="21"/>
              </w:rPr>
              <w:t>1</w:t>
            </w:r>
            <w:r>
              <w:rPr>
                <w:sz w:val="21"/>
                <w:szCs w:val="21"/>
              </w:rPr>
              <w:t>5</w:t>
            </w:r>
          </w:p>
        </w:tc>
        <w:tc>
          <w:tcPr>
            <w:tcW w:w="701"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0.0</w:t>
            </w:r>
            <w:r>
              <w:rPr>
                <w:rFonts w:hint="eastAsia"/>
                <w:sz w:val="21"/>
                <w:szCs w:val="21"/>
              </w:rPr>
              <w:t>1</w:t>
            </w:r>
            <w:r>
              <w:rPr>
                <w:sz w:val="21"/>
                <w:szCs w:val="21"/>
              </w:rPr>
              <w:t>5</w:t>
            </w:r>
          </w:p>
        </w:tc>
        <w:tc>
          <w:tcPr>
            <w:tcW w:w="771"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0.0</w:t>
            </w:r>
            <w:r>
              <w:rPr>
                <w:rFonts w:hint="eastAsia"/>
                <w:sz w:val="21"/>
                <w:szCs w:val="21"/>
              </w:rPr>
              <w:t>1</w:t>
            </w:r>
            <w:r>
              <w:rPr>
                <w:sz w:val="21"/>
                <w:szCs w:val="21"/>
              </w:rPr>
              <w:t>5</w:t>
            </w:r>
          </w:p>
        </w:tc>
        <w:tc>
          <w:tcPr>
            <w:tcW w:w="753"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0.0</w:t>
            </w:r>
            <w:r>
              <w:rPr>
                <w:rFonts w:hint="eastAsia"/>
                <w:sz w:val="21"/>
                <w:szCs w:val="21"/>
              </w:rPr>
              <w:t>1</w:t>
            </w:r>
            <w:r>
              <w:rPr>
                <w:sz w:val="21"/>
                <w:szCs w:val="21"/>
              </w:rPr>
              <w:t>5</w:t>
            </w:r>
          </w:p>
        </w:tc>
        <w:tc>
          <w:tcPr>
            <w:tcW w:w="737" w:type="pct"/>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0.0</w:t>
            </w:r>
            <w:r>
              <w:rPr>
                <w:rFonts w:hint="eastAsia"/>
                <w:sz w:val="21"/>
                <w:szCs w:val="21"/>
              </w:rPr>
              <w:t>1</w:t>
            </w:r>
            <w:r>
              <w:rPr>
                <w:sz w:val="21"/>
                <w:szCs w:val="21"/>
              </w:rPr>
              <w:t>5</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汞</w:t>
            </w:r>
          </w:p>
        </w:tc>
        <w:tc>
          <w:tcPr>
            <w:tcW w:w="716" w:type="pct"/>
            <w:vAlign w:val="center"/>
          </w:tcPr>
          <w:p w:rsidR="00DB7CC8" w:rsidRDefault="002B5250">
            <w:pPr>
              <w:spacing w:line="240" w:lineRule="auto"/>
              <w:ind w:firstLineChars="0" w:firstLine="0"/>
              <w:jc w:val="center"/>
              <w:rPr>
                <w:sz w:val="21"/>
                <w:szCs w:val="21"/>
              </w:rPr>
            </w:pPr>
            <w:r>
              <w:rPr>
                <w:sz w:val="21"/>
                <w:szCs w:val="21"/>
              </w:rPr>
              <w:t>0.001 mg/L</w:t>
            </w:r>
          </w:p>
        </w:tc>
        <w:tc>
          <w:tcPr>
            <w:tcW w:w="707" w:type="pct"/>
            <w:vAlign w:val="center"/>
          </w:tcPr>
          <w:p w:rsidR="00DB7CC8" w:rsidRDefault="002B5250">
            <w:pPr>
              <w:spacing w:line="240" w:lineRule="auto"/>
              <w:ind w:firstLineChars="0" w:firstLine="0"/>
              <w:jc w:val="center"/>
              <w:rPr>
                <w:sz w:val="21"/>
                <w:szCs w:val="21"/>
              </w:rPr>
            </w:pPr>
            <w:r>
              <w:rPr>
                <w:sz w:val="21"/>
                <w:szCs w:val="21"/>
              </w:rPr>
              <w:t>0.02</w:t>
            </w:r>
          </w:p>
        </w:tc>
        <w:tc>
          <w:tcPr>
            <w:tcW w:w="701" w:type="pct"/>
            <w:vAlign w:val="center"/>
          </w:tcPr>
          <w:p w:rsidR="00DB7CC8" w:rsidRDefault="002B5250">
            <w:pPr>
              <w:spacing w:line="240" w:lineRule="auto"/>
              <w:ind w:firstLineChars="0" w:firstLine="0"/>
              <w:jc w:val="center"/>
              <w:rPr>
                <w:sz w:val="21"/>
                <w:szCs w:val="21"/>
              </w:rPr>
            </w:pPr>
            <w:r>
              <w:rPr>
                <w:sz w:val="21"/>
                <w:szCs w:val="21"/>
              </w:rPr>
              <w:t>0.02</w:t>
            </w:r>
          </w:p>
        </w:tc>
        <w:tc>
          <w:tcPr>
            <w:tcW w:w="771" w:type="pct"/>
            <w:vAlign w:val="center"/>
          </w:tcPr>
          <w:p w:rsidR="00DB7CC8" w:rsidRDefault="002B5250">
            <w:pPr>
              <w:spacing w:line="240" w:lineRule="auto"/>
              <w:ind w:firstLineChars="0" w:firstLine="0"/>
              <w:jc w:val="center"/>
              <w:rPr>
                <w:sz w:val="21"/>
                <w:szCs w:val="21"/>
              </w:rPr>
            </w:pPr>
            <w:r>
              <w:rPr>
                <w:sz w:val="21"/>
                <w:szCs w:val="21"/>
              </w:rPr>
              <w:t>0.02</w:t>
            </w:r>
          </w:p>
        </w:tc>
        <w:tc>
          <w:tcPr>
            <w:tcW w:w="753" w:type="pct"/>
            <w:vAlign w:val="center"/>
          </w:tcPr>
          <w:p w:rsidR="00DB7CC8" w:rsidRDefault="002B5250">
            <w:pPr>
              <w:spacing w:line="240" w:lineRule="auto"/>
              <w:ind w:firstLineChars="0" w:firstLine="0"/>
              <w:jc w:val="center"/>
              <w:rPr>
                <w:sz w:val="21"/>
                <w:szCs w:val="21"/>
              </w:rPr>
            </w:pPr>
            <w:r>
              <w:rPr>
                <w:sz w:val="21"/>
                <w:szCs w:val="21"/>
              </w:rPr>
              <w:t>0.02</w:t>
            </w:r>
          </w:p>
        </w:tc>
        <w:tc>
          <w:tcPr>
            <w:tcW w:w="737" w:type="pct"/>
            <w:vAlign w:val="center"/>
          </w:tcPr>
          <w:p w:rsidR="00DB7CC8" w:rsidRDefault="002B5250">
            <w:pPr>
              <w:spacing w:line="240" w:lineRule="auto"/>
              <w:ind w:firstLineChars="0" w:firstLine="0"/>
              <w:jc w:val="center"/>
              <w:rPr>
                <w:sz w:val="21"/>
                <w:szCs w:val="21"/>
              </w:rPr>
            </w:pPr>
            <w:r>
              <w:rPr>
                <w:rFonts w:hint="eastAsia"/>
                <w:sz w:val="21"/>
                <w:szCs w:val="21"/>
              </w:rPr>
              <w:t>0.02</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镉</w:t>
            </w:r>
          </w:p>
        </w:tc>
        <w:tc>
          <w:tcPr>
            <w:tcW w:w="716" w:type="pct"/>
            <w:vAlign w:val="center"/>
          </w:tcPr>
          <w:p w:rsidR="00DB7CC8" w:rsidRDefault="002B5250">
            <w:pPr>
              <w:spacing w:line="240" w:lineRule="auto"/>
              <w:ind w:firstLineChars="0" w:firstLine="0"/>
              <w:jc w:val="center"/>
              <w:rPr>
                <w:sz w:val="21"/>
                <w:szCs w:val="21"/>
              </w:rPr>
            </w:pPr>
            <w:r>
              <w:rPr>
                <w:sz w:val="21"/>
                <w:szCs w:val="21"/>
              </w:rPr>
              <w:t>0.005mg/L</w:t>
            </w:r>
          </w:p>
        </w:tc>
        <w:tc>
          <w:tcPr>
            <w:tcW w:w="707" w:type="pct"/>
            <w:vAlign w:val="center"/>
          </w:tcPr>
          <w:p w:rsidR="00DB7CC8" w:rsidRDefault="002B5250">
            <w:pPr>
              <w:spacing w:line="240" w:lineRule="auto"/>
              <w:ind w:firstLineChars="0" w:firstLine="0"/>
              <w:jc w:val="center"/>
              <w:rPr>
                <w:sz w:val="21"/>
                <w:szCs w:val="21"/>
              </w:rPr>
            </w:pPr>
            <w:r>
              <w:rPr>
                <w:rFonts w:hint="eastAsia"/>
                <w:sz w:val="21"/>
                <w:szCs w:val="21"/>
              </w:rPr>
              <w:t>0.05</w:t>
            </w:r>
          </w:p>
        </w:tc>
        <w:tc>
          <w:tcPr>
            <w:tcW w:w="701" w:type="pct"/>
            <w:vAlign w:val="center"/>
          </w:tcPr>
          <w:p w:rsidR="00DB7CC8" w:rsidRDefault="002B5250">
            <w:pPr>
              <w:spacing w:line="240" w:lineRule="auto"/>
              <w:ind w:firstLineChars="0" w:firstLine="0"/>
              <w:jc w:val="center"/>
              <w:rPr>
                <w:sz w:val="21"/>
                <w:szCs w:val="21"/>
              </w:rPr>
            </w:pPr>
            <w:r>
              <w:rPr>
                <w:rFonts w:hint="eastAsia"/>
                <w:sz w:val="21"/>
                <w:szCs w:val="21"/>
              </w:rPr>
              <w:t>0.05</w:t>
            </w:r>
          </w:p>
        </w:tc>
        <w:tc>
          <w:tcPr>
            <w:tcW w:w="771" w:type="pct"/>
            <w:vAlign w:val="center"/>
          </w:tcPr>
          <w:p w:rsidR="00DB7CC8" w:rsidRDefault="002B5250">
            <w:pPr>
              <w:spacing w:line="240" w:lineRule="auto"/>
              <w:ind w:firstLineChars="0" w:firstLine="0"/>
              <w:jc w:val="center"/>
              <w:rPr>
                <w:sz w:val="21"/>
                <w:szCs w:val="21"/>
              </w:rPr>
            </w:pPr>
            <w:r>
              <w:rPr>
                <w:rFonts w:hint="eastAsia"/>
                <w:sz w:val="21"/>
                <w:szCs w:val="21"/>
              </w:rPr>
              <w:t>0.05</w:t>
            </w:r>
          </w:p>
        </w:tc>
        <w:tc>
          <w:tcPr>
            <w:tcW w:w="753" w:type="pct"/>
            <w:vAlign w:val="center"/>
          </w:tcPr>
          <w:p w:rsidR="00DB7CC8" w:rsidRDefault="002B5250">
            <w:pPr>
              <w:spacing w:line="240" w:lineRule="auto"/>
              <w:ind w:firstLineChars="0" w:firstLine="0"/>
              <w:jc w:val="center"/>
              <w:rPr>
                <w:sz w:val="21"/>
                <w:szCs w:val="21"/>
              </w:rPr>
            </w:pPr>
            <w:r>
              <w:rPr>
                <w:rFonts w:hint="eastAsia"/>
                <w:sz w:val="21"/>
                <w:szCs w:val="21"/>
              </w:rPr>
              <w:t>0.05</w:t>
            </w:r>
          </w:p>
        </w:tc>
        <w:tc>
          <w:tcPr>
            <w:tcW w:w="737" w:type="pct"/>
            <w:vAlign w:val="center"/>
          </w:tcPr>
          <w:p w:rsidR="00DB7CC8" w:rsidRDefault="002B5250">
            <w:pPr>
              <w:spacing w:line="240" w:lineRule="auto"/>
              <w:ind w:firstLineChars="0" w:firstLine="0"/>
              <w:jc w:val="center"/>
              <w:rPr>
                <w:sz w:val="21"/>
                <w:szCs w:val="21"/>
              </w:rPr>
            </w:pPr>
            <w:r>
              <w:rPr>
                <w:rFonts w:hint="eastAsia"/>
                <w:sz w:val="21"/>
                <w:szCs w:val="21"/>
              </w:rPr>
              <w:t>0.05</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六价铬</w:t>
            </w:r>
          </w:p>
        </w:tc>
        <w:tc>
          <w:tcPr>
            <w:tcW w:w="716" w:type="pct"/>
            <w:vAlign w:val="center"/>
          </w:tcPr>
          <w:p w:rsidR="00DB7CC8" w:rsidRDefault="002B5250">
            <w:pPr>
              <w:spacing w:line="240" w:lineRule="auto"/>
              <w:ind w:firstLineChars="0" w:firstLine="0"/>
              <w:jc w:val="center"/>
              <w:rPr>
                <w:sz w:val="21"/>
                <w:szCs w:val="21"/>
              </w:rPr>
            </w:pPr>
            <w:r>
              <w:rPr>
                <w:sz w:val="21"/>
                <w:szCs w:val="21"/>
              </w:rPr>
              <w:t>0.05 mg/L</w:t>
            </w:r>
          </w:p>
        </w:tc>
        <w:tc>
          <w:tcPr>
            <w:tcW w:w="707" w:type="pct"/>
            <w:vAlign w:val="center"/>
          </w:tcPr>
          <w:p w:rsidR="00DB7CC8" w:rsidRDefault="002B5250">
            <w:pPr>
              <w:spacing w:line="240" w:lineRule="auto"/>
              <w:ind w:firstLineChars="0" w:firstLine="0"/>
              <w:jc w:val="center"/>
              <w:rPr>
                <w:sz w:val="21"/>
                <w:szCs w:val="21"/>
              </w:rPr>
            </w:pPr>
            <w:r>
              <w:rPr>
                <w:rFonts w:hint="eastAsia"/>
                <w:sz w:val="21"/>
                <w:szCs w:val="21"/>
              </w:rPr>
              <w:t>0.40</w:t>
            </w:r>
          </w:p>
        </w:tc>
        <w:tc>
          <w:tcPr>
            <w:tcW w:w="701" w:type="pct"/>
            <w:vAlign w:val="center"/>
          </w:tcPr>
          <w:p w:rsidR="00DB7CC8" w:rsidRDefault="002B5250">
            <w:pPr>
              <w:spacing w:line="240" w:lineRule="auto"/>
              <w:ind w:firstLineChars="0" w:firstLine="0"/>
              <w:jc w:val="center"/>
              <w:rPr>
                <w:sz w:val="21"/>
                <w:szCs w:val="21"/>
              </w:rPr>
            </w:pPr>
            <w:r>
              <w:rPr>
                <w:rFonts w:hint="eastAsia"/>
                <w:sz w:val="21"/>
                <w:szCs w:val="21"/>
              </w:rPr>
              <w:t>0.40</w:t>
            </w:r>
          </w:p>
        </w:tc>
        <w:tc>
          <w:tcPr>
            <w:tcW w:w="771" w:type="pct"/>
            <w:vAlign w:val="center"/>
          </w:tcPr>
          <w:p w:rsidR="00DB7CC8" w:rsidRDefault="002B5250">
            <w:pPr>
              <w:spacing w:line="240" w:lineRule="auto"/>
              <w:ind w:firstLineChars="0" w:firstLine="0"/>
              <w:jc w:val="center"/>
              <w:rPr>
                <w:sz w:val="21"/>
                <w:szCs w:val="21"/>
              </w:rPr>
            </w:pPr>
            <w:r>
              <w:rPr>
                <w:rFonts w:hint="eastAsia"/>
                <w:sz w:val="21"/>
                <w:szCs w:val="21"/>
              </w:rPr>
              <w:t>0.40</w:t>
            </w:r>
          </w:p>
        </w:tc>
        <w:tc>
          <w:tcPr>
            <w:tcW w:w="753" w:type="pct"/>
            <w:vAlign w:val="center"/>
          </w:tcPr>
          <w:p w:rsidR="00DB7CC8" w:rsidRDefault="002B5250">
            <w:pPr>
              <w:spacing w:line="240" w:lineRule="auto"/>
              <w:ind w:firstLineChars="0" w:firstLine="0"/>
              <w:jc w:val="center"/>
              <w:rPr>
                <w:sz w:val="21"/>
                <w:szCs w:val="21"/>
              </w:rPr>
            </w:pPr>
            <w:r>
              <w:rPr>
                <w:rFonts w:hint="eastAsia"/>
                <w:sz w:val="21"/>
                <w:szCs w:val="21"/>
              </w:rPr>
              <w:t>0.40</w:t>
            </w:r>
          </w:p>
        </w:tc>
        <w:tc>
          <w:tcPr>
            <w:tcW w:w="737" w:type="pct"/>
            <w:vAlign w:val="center"/>
          </w:tcPr>
          <w:p w:rsidR="00DB7CC8" w:rsidRDefault="002B5250">
            <w:pPr>
              <w:spacing w:line="240" w:lineRule="auto"/>
              <w:ind w:firstLineChars="0" w:firstLine="0"/>
              <w:jc w:val="center"/>
              <w:rPr>
                <w:sz w:val="21"/>
                <w:szCs w:val="21"/>
              </w:rPr>
            </w:pPr>
            <w:r>
              <w:rPr>
                <w:rFonts w:hint="eastAsia"/>
                <w:sz w:val="21"/>
                <w:szCs w:val="21"/>
              </w:rPr>
              <w:t>0.40</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铅</w:t>
            </w:r>
          </w:p>
        </w:tc>
        <w:tc>
          <w:tcPr>
            <w:tcW w:w="716" w:type="pct"/>
            <w:vAlign w:val="center"/>
          </w:tcPr>
          <w:p w:rsidR="00DB7CC8" w:rsidRDefault="002B5250">
            <w:pPr>
              <w:spacing w:line="240" w:lineRule="auto"/>
              <w:ind w:firstLineChars="0" w:firstLine="0"/>
              <w:jc w:val="center"/>
              <w:rPr>
                <w:sz w:val="21"/>
                <w:szCs w:val="21"/>
              </w:rPr>
            </w:pPr>
            <w:r>
              <w:rPr>
                <w:sz w:val="21"/>
                <w:szCs w:val="21"/>
              </w:rPr>
              <w:t>0.01mg/L</w:t>
            </w:r>
          </w:p>
        </w:tc>
        <w:tc>
          <w:tcPr>
            <w:tcW w:w="707" w:type="pct"/>
            <w:vAlign w:val="center"/>
          </w:tcPr>
          <w:p w:rsidR="00DB7CC8" w:rsidRDefault="002B5250">
            <w:pPr>
              <w:spacing w:line="240" w:lineRule="auto"/>
              <w:ind w:firstLineChars="0" w:firstLine="0"/>
              <w:jc w:val="center"/>
              <w:rPr>
                <w:sz w:val="21"/>
                <w:szCs w:val="21"/>
              </w:rPr>
            </w:pPr>
            <w:r>
              <w:rPr>
                <w:rFonts w:hint="eastAsia"/>
                <w:sz w:val="21"/>
                <w:szCs w:val="21"/>
              </w:rPr>
              <w:t>0.125</w:t>
            </w:r>
          </w:p>
        </w:tc>
        <w:tc>
          <w:tcPr>
            <w:tcW w:w="701" w:type="pct"/>
            <w:vAlign w:val="center"/>
          </w:tcPr>
          <w:p w:rsidR="00DB7CC8" w:rsidRDefault="002B5250">
            <w:pPr>
              <w:spacing w:line="240" w:lineRule="auto"/>
              <w:ind w:firstLineChars="0" w:firstLine="0"/>
              <w:jc w:val="center"/>
              <w:rPr>
                <w:sz w:val="21"/>
                <w:szCs w:val="21"/>
              </w:rPr>
            </w:pPr>
            <w:r>
              <w:rPr>
                <w:rFonts w:hint="eastAsia"/>
                <w:sz w:val="21"/>
                <w:szCs w:val="21"/>
              </w:rPr>
              <w:t>0.125</w:t>
            </w:r>
          </w:p>
        </w:tc>
        <w:tc>
          <w:tcPr>
            <w:tcW w:w="771" w:type="pct"/>
            <w:vAlign w:val="center"/>
          </w:tcPr>
          <w:p w:rsidR="00DB7CC8" w:rsidRDefault="002B5250">
            <w:pPr>
              <w:spacing w:line="240" w:lineRule="auto"/>
              <w:ind w:firstLineChars="0" w:firstLine="0"/>
              <w:jc w:val="center"/>
              <w:rPr>
                <w:sz w:val="21"/>
                <w:szCs w:val="21"/>
              </w:rPr>
            </w:pPr>
            <w:r>
              <w:rPr>
                <w:rFonts w:hint="eastAsia"/>
                <w:sz w:val="21"/>
                <w:szCs w:val="21"/>
              </w:rPr>
              <w:t>0.125</w:t>
            </w:r>
          </w:p>
        </w:tc>
        <w:tc>
          <w:tcPr>
            <w:tcW w:w="753" w:type="pct"/>
            <w:vAlign w:val="center"/>
          </w:tcPr>
          <w:p w:rsidR="00DB7CC8" w:rsidRDefault="002B5250">
            <w:pPr>
              <w:spacing w:line="240" w:lineRule="auto"/>
              <w:ind w:firstLineChars="0" w:firstLine="0"/>
              <w:jc w:val="center"/>
              <w:rPr>
                <w:sz w:val="21"/>
                <w:szCs w:val="21"/>
              </w:rPr>
            </w:pPr>
            <w:r>
              <w:rPr>
                <w:rFonts w:hint="eastAsia"/>
                <w:sz w:val="21"/>
                <w:szCs w:val="21"/>
              </w:rPr>
              <w:t>0.125</w:t>
            </w:r>
          </w:p>
        </w:tc>
        <w:tc>
          <w:tcPr>
            <w:tcW w:w="737" w:type="pct"/>
            <w:vAlign w:val="center"/>
          </w:tcPr>
          <w:p w:rsidR="00DB7CC8" w:rsidRDefault="002B5250">
            <w:pPr>
              <w:spacing w:line="240" w:lineRule="auto"/>
              <w:ind w:firstLineChars="0" w:firstLine="0"/>
              <w:jc w:val="center"/>
              <w:rPr>
                <w:sz w:val="21"/>
                <w:szCs w:val="21"/>
              </w:rPr>
            </w:pPr>
            <w:r>
              <w:rPr>
                <w:rFonts w:hint="eastAsia"/>
                <w:sz w:val="21"/>
                <w:szCs w:val="21"/>
              </w:rPr>
              <w:t>0.125</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铁</w:t>
            </w:r>
          </w:p>
        </w:tc>
        <w:tc>
          <w:tcPr>
            <w:tcW w:w="716" w:type="pct"/>
            <w:vAlign w:val="center"/>
          </w:tcPr>
          <w:p w:rsidR="00DB7CC8" w:rsidRDefault="002B5250">
            <w:pPr>
              <w:spacing w:line="240" w:lineRule="auto"/>
              <w:ind w:firstLineChars="0" w:firstLine="0"/>
              <w:jc w:val="center"/>
              <w:rPr>
                <w:sz w:val="21"/>
                <w:szCs w:val="21"/>
              </w:rPr>
            </w:pPr>
            <w:r>
              <w:rPr>
                <w:sz w:val="21"/>
                <w:szCs w:val="21"/>
              </w:rPr>
              <w:t>0.3 mg/L</w:t>
            </w:r>
          </w:p>
        </w:tc>
        <w:tc>
          <w:tcPr>
            <w:tcW w:w="707" w:type="pct"/>
            <w:vAlign w:val="center"/>
          </w:tcPr>
          <w:p w:rsidR="00DB7CC8" w:rsidRDefault="002B5250">
            <w:pPr>
              <w:spacing w:line="240" w:lineRule="auto"/>
              <w:ind w:firstLineChars="0" w:firstLine="0"/>
              <w:jc w:val="center"/>
              <w:rPr>
                <w:sz w:val="21"/>
                <w:szCs w:val="21"/>
              </w:rPr>
            </w:pPr>
            <w:r>
              <w:rPr>
                <w:sz w:val="21"/>
                <w:szCs w:val="21"/>
              </w:rPr>
              <w:t>0.05</w:t>
            </w:r>
          </w:p>
        </w:tc>
        <w:tc>
          <w:tcPr>
            <w:tcW w:w="701" w:type="pct"/>
            <w:vAlign w:val="center"/>
          </w:tcPr>
          <w:p w:rsidR="00DB7CC8" w:rsidRDefault="002B5250">
            <w:pPr>
              <w:spacing w:line="240" w:lineRule="auto"/>
              <w:ind w:firstLineChars="0" w:firstLine="0"/>
              <w:jc w:val="center"/>
              <w:rPr>
                <w:sz w:val="21"/>
                <w:szCs w:val="21"/>
              </w:rPr>
            </w:pPr>
            <w:r>
              <w:rPr>
                <w:sz w:val="21"/>
                <w:szCs w:val="21"/>
              </w:rPr>
              <w:t>0.05</w:t>
            </w:r>
          </w:p>
        </w:tc>
        <w:tc>
          <w:tcPr>
            <w:tcW w:w="771" w:type="pct"/>
            <w:vAlign w:val="center"/>
          </w:tcPr>
          <w:p w:rsidR="00DB7CC8" w:rsidRDefault="002B5250">
            <w:pPr>
              <w:spacing w:line="240" w:lineRule="auto"/>
              <w:ind w:firstLineChars="0" w:firstLine="0"/>
              <w:jc w:val="center"/>
              <w:rPr>
                <w:sz w:val="21"/>
                <w:szCs w:val="21"/>
              </w:rPr>
            </w:pPr>
            <w:r>
              <w:rPr>
                <w:sz w:val="21"/>
                <w:szCs w:val="21"/>
              </w:rPr>
              <w:t>0.05</w:t>
            </w:r>
          </w:p>
        </w:tc>
        <w:tc>
          <w:tcPr>
            <w:tcW w:w="753" w:type="pct"/>
            <w:vAlign w:val="center"/>
          </w:tcPr>
          <w:p w:rsidR="00DB7CC8" w:rsidRDefault="002B5250">
            <w:pPr>
              <w:spacing w:line="240" w:lineRule="auto"/>
              <w:ind w:firstLineChars="0" w:firstLine="0"/>
              <w:jc w:val="center"/>
              <w:rPr>
                <w:sz w:val="21"/>
                <w:szCs w:val="21"/>
              </w:rPr>
            </w:pPr>
            <w:r>
              <w:rPr>
                <w:sz w:val="21"/>
                <w:szCs w:val="21"/>
              </w:rPr>
              <w:t>0.05</w:t>
            </w:r>
          </w:p>
        </w:tc>
        <w:tc>
          <w:tcPr>
            <w:tcW w:w="737" w:type="pct"/>
            <w:vAlign w:val="center"/>
          </w:tcPr>
          <w:p w:rsidR="00DB7CC8" w:rsidRDefault="002B5250">
            <w:pPr>
              <w:spacing w:line="240" w:lineRule="auto"/>
              <w:ind w:firstLineChars="0" w:firstLine="0"/>
              <w:jc w:val="center"/>
              <w:rPr>
                <w:sz w:val="21"/>
                <w:szCs w:val="21"/>
              </w:rPr>
            </w:pPr>
            <w:r>
              <w:rPr>
                <w:sz w:val="21"/>
                <w:szCs w:val="21"/>
              </w:rPr>
              <w:t>0.05</w:t>
            </w:r>
          </w:p>
        </w:tc>
      </w:tr>
      <w:tr w:rsidR="00DB7CC8">
        <w:trPr>
          <w:cantSplit/>
          <w:trHeight w:val="369"/>
          <w:jc w:val="center"/>
        </w:trPr>
        <w:tc>
          <w:tcPr>
            <w:tcW w:w="611" w:type="pct"/>
            <w:vAlign w:val="center"/>
          </w:tcPr>
          <w:p w:rsidR="00DB7CC8" w:rsidRDefault="002B5250">
            <w:pPr>
              <w:spacing w:line="240" w:lineRule="auto"/>
              <w:ind w:firstLineChars="0" w:firstLine="0"/>
              <w:jc w:val="center"/>
              <w:rPr>
                <w:sz w:val="21"/>
                <w:szCs w:val="21"/>
              </w:rPr>
            </w:pPr>
            <w:r>
              <w:rPr>
                <w:sz w:val="21"/>
                <w:szCs w:val="21"/>
              </w:rPr>
              <w:t>锰</w:t>
            </w:r>
          </w:p>
        </w:tc>
        <w:tc>
          <w:tcPr>
            <w:tcW w:w="716" w:type="pct"/>
            <w:vAlign w:val="center"/>
          </w:tcPr>
          <w:p w:rsidR="00DB7CC8" w:rsidRDefault="002B5250">
            <w:pPr>
              <w:spacing w:line="240" w:lineRule="auto"/>
              <w:ind w:firstLineChars="0" w:firstLine="0"/>
              <w:jc w:val="center"/>
              <w:rPr>
                <w:sz w:val="21"/>
                <w:szCs w:val="21"/>
              </w:rPr>
            </w:pPr>
            <w:r>
              <w:rPr>
                <w:sz w:val="21"/>
                <w:szCs w:val="21"/>
              </w:rPr>
              <w:t>0.1 mg/L</w:t>
            </w:r>
          </w:p>
        </w:tc>
        <w:tc>
          <w:tcPr>
            <w:tcW w:w="707" w:type="pct"/>
            <w:vAlign w:val="center"/>
          </w:tcPr>
          <w:p w:rsidR="00DB7CC8" w:rsidRDefault="002B5250">
            <w:pPr>
              <w:spacing w:line="240" w:lineRule="auto"/>
              <w:ind w:firstLineChars="0" w:firstLine="0"/>
              <w:jc w:val="center"/>
              <w:rPr>
                <w:sz w:val="21"/>
                <w:szCs w:val="21"/>
              </w:rPr>
            </w:pPr>
            <w:r>
              <w:rPr>
                <w:sz w:val="21"/>
                <w:szCs w:val="21"/>
              </w:rPr>
              <w:t>0.05</w:t>
            </w:r>
          </w:p>
        </w:tc>
        <w:tc>
          <w:tcPr>
            <w:tcW w:w="701" w:type="pct"/>
            <w:vAlign w:val="center"/>
          </w:tcPr>
          <w:p w:rsidR="00DB7CC8" w:rsidRDefault="002B5250">
            <w:pPr>
              <w:spacing w:line="240" w:lineRule="auto"/>
              <w:ind w:firstLineChars="0" w:firstLine="0"/>
              <w:jc w:val="center"/>
              <w:rPr>
                <w:sz w:val="21"/>
                <w:szCs w:val="21"/>
              </w:rPr>
            </w:pPr>
            <w:r>
              <w:rPr>
                <w:sz w:val="21"/>
                <w:szCs w:val="21"/>
              </w:rPr>
              <w:t>0.05</w:t>
            </w:r>
          </w:p>
        </w:tc>
        <w:tc>
          <w:tcPr>
            <w:tcW w:w="771" w:type="pct"/>
            <w:vAlign w:val="center"/>
          </w:tcPr>
          <w:p w:rsidR="00DB7CC8" w:rsidRDefault="002B5250">
            <w:pPr>
              <w:spacing w:line="240" w:lineRule="auto"/>
              <w:ind w:firstLineChars="0" w:firstLine="0"/>
              <w:jc w:val="center"/>
              <w:rPr>
                <w:sz w:val="21"/>
                <w:szCs w:val="21"/>
              </w:rPr>
            </w:pPr>
            <w:r>
              <w:rPr>
                <w:sz w:val="21"/>
                <w:szCs w:val="21"/>
              </w:rPr>
              <w:t>0.05</w:t>
            </w:r>
          </w:p>
        </w:tc>
        <w:tc>
          <w:tcPr>
            <w:tcW w:w="753" w:type="pct"/>
            <w:vAlign w:val="center"/>
          </w:tcPr>
          <w:p w:rsidR="00DB7CC8" w:rsidRDefault="002B5250">
            <w:pPr>
              <w:spacing w:line="240" w:lineRule="auto"/>
              <w:ind w:firstLineChars="0" w:firstLine="0"/>
              <w:jc w:val="center"/>
              <w:rPr>
                <w:sz w:val="21"/>
                <w:szCs w:val="21"/>
              </w:rPr>
            </w:pPr>
            <w:r>
              <w:rPr>
                <w:sz w:val="21"/>
                <w:szCs w:val="21"/>
              </w:rPr>
              <w:t>0.05</w:t>
            </w:r>
          </w:p>
        </w:tc>
        <w:tc>
          <w:tcPr>
            <w:tcW w:w="737" w:type="pct"/>
            <w:vAlign w:val="center"/>
          </w:tcPr>
          <w:p w:rsidR="00DB7CC8" w:rsidRDefault="002B5250">
            <w:pPr>
              <w:spacing w:line="240" w:lineRule="auto"/>
              <w:ind w:firstLineChars="0" w:firstLine="0"/>
              <w:jc w:val="center"/>
              <w:rPr>
                <w:sz w:val="21"/>
                <w:szCs w:val="21"/>
              </w:rPr>
            </w:pPr>
            <w:r>
              <w:rPr>
                <w:sz w:val="21"/>
                <w:szCs w:val="21"/>
              </w:rPr>
              <w:t>0.05</w:t>
            </w:r>
          </w:p>
        </w:tc>
      </w:tr>
    </w:tbl>
    <w:p w:rsidR="00DB7CC8" w:rsidRDefault="002B5250">
      <w:pPr>
        <w:spacing w:line="440" w:lineRule="exact"/>
        <w:ind w:firstLine="480"/>
        <w:jc w:val="both"/>
        <w:rPr>
          <w:sz w:val="24"/>
        </w:rPr>
      </w:pPr>
      <w:r>
        <w:rPr>
          <w:sz w:val="24"/>
        </w:rPr>
        <w:t>由上述结果可知，项目所在区域地下水中所有监测因子均满足《地下水质量</w:t>
      </w:r>
      <w:r>
        <w:rPr>
          <w:sz w:val="24"/>
        </w:rPr>
        <w:lastRenderedPageBreak/>
        <w:t>标准》（</w:t>
      </w:r>
      <w:r>
        <w:rPr>
          <w:sz w:val="24"/>
        </w:rPr>
        <w:t>GB/T14848-2017</w:t>
      </w:r>
      <w:r>
        <w:rPr>
          <w:sz w:val="24"/>
        </w:rPr>
        <w:t>）中</w:t>
      </w:r>
      <w:r>
        <w:rPr>
          <w:sz w:val="24"/>
        </w:rPr>
        <w:t>III</w:t>
      </w:r>
      <w:r>
        <w:rPr>
          <w:sz w:val="24"/>
        </w:rPr>
        <w:t>类标准限值要求，其中石油类满足《地表水环境质量标准》（</w:t>
      </w:r>
      <w:r>
        <w:rPr>
          <w:sz w:val="24"/>
        </w:rPr>
        <w:t>GB3838-2002</w:t>
      </w:r>
      <w:r>
        <w:rPr>
          <w:sz w:val="24"/>
        </w:rPr>
        <w:t>）中表</w:t>
      </w:r>
      <w:r>
        <w:rPr>
          <w:sz w:val="24"/>
        </w:rPr>
        <w:t>1 III</w:t>
      </w:r>
      <w:r>
        <w:rPr>
          <w:sz w:val="24"/>
        </w:rPr>
        <w:t>类标准限值要求。</w:t>
      </w:r>
    </w:p>
    <w:p w:rsidR="00DB7CC8" w:rsidRDefault="002B5250">
      <w:pPr>
        <w:pStyle w:val="3"/>
        <w:numPr>
          <w:ilvl w:val="2"/>
          <w:numId w:val="1"/>
        </w:numPr>
        <w:rPr>
          <w:szCs w:val="28"/>
        </w:rPr>
      </w:pPr>
      <w:r>
        <w:rPr>
          <w:rFonts w:hint="eastAsia"/>
          <w:szCs w:val="28"/>
        </w:rPr>
        <w:tab/>
      </w:r>
      <w:bookmarkEnd w:id="303"/>
      <w:bookmarkEnd w:id="304"/>
      <w:bookmarkEnd w:id="305"/>
      <w:bookmarkEnd w:id="306"/>
      <w:r>
        <w:rPr>
          <w:szCs w:val="28"/>
        </w:rPr>
        <w:t>噪声</w:t>
      </w:r>
      <w:bookmarkEnd w:id="301"/>
      <w:bookmarkEnd w:id="302"/>
    </w:p>
    <w:p w:rsidR="00DB7CC8" w:rsidRDefault="002B5250">
      <w:pPr>
        <w:pStyle w:val="TimesNewRoman08522"/>
        <w:widowControl w:val="0"/>
        <w:spacing w:line="480" w:lineRule="exact"/>
        <w:ind w:firstLine="480"/>
      </w:pPr>
      <w:r>
        <w:t>为了解项目厂界噪声现状，</w:t>
      </w:r>
      <w:r>
        <w:rPr>
          <w:rFonts w:hint="eastAsia"/>
        </w:rPr>
        <w:t>委托监测单位</w:t>
      </w:r>
      <w:r>
        <w:t>于</w:t>
      </w:r>
      <w:r>
        <w:t>202</w:t>
      </w:r>
      <w:r>
        <w:rPr>
          <w:rFonts w:hint="eastAsia"/>
        </w:rPr>
        <w:t>3</w:t>
      </w:r>
      <w:r>
        <w:t>年</w:t>
      </w:r>
      <w:r>
        <w:t>0</w:t>
      </w:r>
      <w:r>
        <w:rPr>
          <w:rFonts w:hint="eastAsia"/>
        </w:rPr>
        <w:t>4</w:t>
      </w:r>
      <w:r>
        <w:t>月</w:t>
      </w:r>
      <w:r>
        <w:rPr>
          <w:rFonts w:hint="eastAsia"/>
        </w:rPr>
        <w:t>28</w:t>
      </w:r>
      <w:r>
        <w:t>日对厂界噪声现状值进行了监测。</w:t>
      </w:r>
    </w:p>
    <w:p w:rsidR="00DB7CC8" w:rsidRDefault="002B5250">
      <w:pPr>
        <w:pStyle w:val="TimesNewRoman08522"/>
        <w:widowControl w:val="0"/>
        <w:spacing w:line="480" w:lineRule="exact"/>
        <w:ind w:firstLine="480"/>
      </w:pPr>
      <w:r>
        <w:t>1</w:t>
      </w:r>
      <w:r>
        <w:t>、监测因子：等效连续</w:t>
      </w:r>
      <w:r>
        <w:t>A</w:t>
      </w:r>
      <w:r>
        <w:t>声级。</w:t>
      </w:r>
    </w:p>
    <w:p w:rsidR="00DB7CC8" w:rsidRDefault="002B5250">
      <w:pPr>
        <w:spacing w:line="480" w:lineRule="exact"/>
        <w:ind w:firstLine="480"/>
        <w:rPr>
          <w:sz w:val="24"/>
          <w:szCs w:val="24"/>
        </w:rPr>
      </w:pPr>
      <w:r>
        <w:rPr>
          <w:sz w:val="24"/>
          <w:szCs w:val="24"/>
        </w:rPr>
        <w:t>2</w:t>
      </w:r>
      <w:r>
        <w:rPr>
          <w:sz w:val="24"/>
          <w:szCs w:val="24"/>
        </w:rPr>
        <w:t>、监测布点：在厂区四周边界各布设</w:t>
      </w:r>
      <w:r>
        <w:rPr>
          <w:sz w:val="24"/>
          <w:szCs w:val="24"/>
        </w:rPr>
        <w:t>1</w:t>
      </w:r>
      <w:r>
        <w:rPr>
          <w:sz w:val="24"/>
          <w:szCs w:val="24"/>
        </w:rPr>
        <w:t>个噪声监测点，</w:t>
      </w:r>
      <w:r>
        <w:rPr>
          <w:rFonts w:hint="eastAsia"/>
          <w:sz w:val="24"/>
          <w:szCs w:val="24"/>
        </w:rPr>
        <w:t>共</w:t>
      </w:r>
      <w:r>
        <w:rPr>
          <w:sz w:val="24"/>
          <w:szCs w:val="24"/>
        </w:rPr>
        <w:t>设</w:t>
      </w:r>
      <w:r>
        <w:rPr>
          <w:sz w:val="24"/>
          <w:szCs w:val="24"/>
        </w:rPr>
        <w:t>4</w:t>
      </w:r>
      <w:r>
        <w:rPr>
          <w:sz w:val="24"/>
          <w:szCs w:val="24"/>
        </w:rPr>
        <w:t>个监测点。</w:t>
      </w:r>
    </w:p>
    <w:p w:rsidR="00DB7CC8" w:rsidRDefault="002B5250">
      <w:pPr>
        <w:pStyle w:val="TimesNewRoman08522"/>
        <w:widowControl w:val="0"/>
        <w:spacing w:line="480" w:lineRule="exact"/>
        <w:ind w:firstLine="480"/>
      </w:pPr>
      <w:r>
        <w:t>3</w:t>
      </w:r>
      <w:r>
        <w:t>、监测时间及监测频次</w:t>
      </w:r>
    </w:p>
    <w:p w:rsidR="00DB7CC8" w:rsidRDefault="002B5250">
      <w:pPr>
        <w:pStyle w:val="TimesNewRoman08522"/>
        <w:widowControl w:val="0"/>
        <w:spacing w:line="480" w:lineRule="exact"/>
        <w:ind w:firstLine="480"/>
      </w:pPr>
      <w:r>
        <w:t>监测</w:t>
      </w:r>
      <w:r>
        <w:t>1</w:t>
      </w:r>
      <w:r>
        <w:t>天，昼间、夜间分别监测，昼间监测时段为</w:t>
      </w:r>
      <w:r>
        <w:t>6:00</w:t>
      </w:r>
      <w:r>
        <w:t>～</w:t>
      </w:r>
      <w:r>
        <w:t>22:00</w:t>
      </w:r>
      <w:r>
        <w:t>，夜间监测时段为</w:t>
      </w:r>
      <w:r>
        <w:t>22:00</w:t>
      </w:r>
      <w:r>
        <w:t>～次日</w:t>
      </w:r>
      <w:r>
        <w:t>06:00</w:t>
      </w:r>
      <w:r>
        <w:t>。</w:t>
      </w:r>
    </w:p>
    <w:p w:rsidR="00DB7CC8" w:rsidRDefault="002B5250">
      <w:pPr>
        <w:pStyle w:val="TimesNewRoman08522"/>
        <w:widowControl w:val="0"/>
        <w:spacing w:line="480" w:lineRule="exact"/>
        <w:ind w:firstLine="480"/>
      </w:pPr>
      <w:r>
        <w:t>4</w:t>
      </w:r>
      <w:r>
        <w:t>、监测与评价方法</w:t>
      </w:r>
    </w:p>
    <w:p w:rsidR="00DB7CC8" w:rsidRDefault="002B5250">
      <w:pPr>
        <w:spacing w:line="480" w:lineRule="exact"/>
        <w:ind w:firstLine="480"/>
        <w:rPr>
          <w:sz w:val="24"/>
          <w:szCs w:val="24"/>
        </w:rPr>
      </w:pPr>
      <w:r>
        <w:rPr>
          <w:sz w:val="24"/>
          <w:szCs w:val="24"/>
        </w:rPr>
        <w:t>监测按照《声环境质量标准》（</w:t>
      </w:r>
      <w:r>
        <w:rPr>
          <w:sz w:val="24"/>
          <w:szCs w:val="24"/>
        </w:rPr>
        <w:t>GB3096-2008</w:t>
      </w:r>
      <w:r>
        <w:rPr>
          <w:sz w:val="24"/>
          <w:szCs w:val="24"/>
        </w:rPr>
        <w:t>）中的规定进行；评价采用等效声级与相应标准值比较的方法进行。</w:t>
      </w:r>
    </w:p>
    <w:p w:rsidR="00DB7CC8" w:rsidRDefault="002B5250">
      <w:pPr>
        <w:spacing w:line="480" w:lineRule="exact"/>
        <w:ind w:firstLine="480"/>
        <w:rPr>
          <w:kern w:val="24"/>
          <w:sz w:val="24"/>
          <w:szCs w:val="24"/>
        </w:rPr>
      </w:pPr>
      <w:r>
        <w:rPr>
          <w:kern w:val="24"/>
          <w:sz w:val="24"/>
          <w:szCs w:val="24"/>
        </w:rPr>
        <w:t>5</w:t>
      </w:r>
      <w:r>
        <w:rPr>
          <w:kern w:val="24"/>
          <w:sz w:val="24"/>
          <w:szCs w:val="24"/>
        </w:rPr>
        <w:t>、评价标准</w:t>
      </w:r>
    </w:p>
    <w:p w:rsidR="00DB7CC8" w:rsidRDefault="002B5250">
      <w:pPr>
        <w:pStyle w:val="affff9"/>
        <w:spacing w:line="480" w:lineRule="exact"/>
        <w:ind w:firstLine="480"/>
      </w:pPr>
      <w:r>
        <w:t>执行《声环境质量标准》</w:t>
      </w:r>
      <w:r>
        <w:t>(GB3096-2008)</w:t>
      </w:r>
      <w:r>
        <w:t>中</w:t>
      </w:r>
      <w:r>
        <w:t>2</w:t>
      </w:r>
      <w:r>
        <w:t>类区标准：昼间</w:t>
      </w:r>
      <w:r>
        <w:t>60dB(A)</w:t>
      </w:r>
      <w:r>
        <w:t>、夜间</w:t>
      </w:r>
      <w:r>
        <w:t>50dB(A)</w:t>
      </w:r>
      <w:r>
        <w:t>。</w:t>
      </w:r>
    </w:p>
    <w:p w:rsidR="00DB7CC8" w:rsidRDefault="002B5250">
      <w:pPr>
        <w:pStyle w:val="TimesNewRoman08522"/>
        <w:widowControl w:val="0"/>
        <w:numPr>
          <w:ilvl w:val="0"/>
          <w:numId w:val="4"/>
        </w:numPr>
        <w:spacing w:line="480" w:lineRule="exact"/>
        <w:ind w:firstLine="480"/>
      </w:pPr>
      <w:r>
        <w:t>监测及评价结果</w:t>
      </w:r>
    </w:p>
    <w:p w:rsidR="00DB7CC8" w:rsidRDefault="002B5250">
      <w:pPr>
        <w:pStyle w:val="TimesNewRoman08522"/>
        <w:widowControl w:val="0"/>
        <w:spacing w:line="480" w:lineRule="exact"/>
        <w:ind w:firstLine="480"/>
      </w:pPr>
      <w:r>
        <w:t>监测及评价结果见表</w:t>
      </w:r>
      <w:r>
        <w:t>4.3-</w:t>
      </w:r>
      <w:r>
        <w:rPr>
          <w:rFonts w:hint="eastAsia"/>
        </w:rPr>
        <w:t>7</w:t>
      </w:r>
      <w:r>
        <w:t>。</w:t>
      </w:r>
    </w:p>
    <w:p w:rsidR="00DB7CC8" w:rsidRDefault="002B5250">
      <w:pPr>
        <w:adjustRightInd w:val="0"/>
        <w:snapToGrid w:val="0"/>
        <w:spacing w:line="240" w:lineRule="auto"/>
        <w:ind w:firstLineChars="0" w:firstLine="0"/>
        <w:jc w:val="center"/>
        <w:textAlignment w:val="auto"/>
        <w:rPr>
          <w:rFonts w:eastAsia="黑体"/>
          <w:bCs/>
          <w:kern w:val="2"/>
          <w:sz w:val="21"/>
          <w:szCs w:val="22"/>
        </w:rPr>
      </w:pPr>
      <w:r>
        <w:rPr>
          <w:rFonts w:eastAsia="黑体"/>
          <w:bCs/>
          <w:kern w:val="2"/>
          <w:sz w:val="21"/>
          <w:szCs w:val="22"/>
        </w:rPr>
        <w:t>表</w:t>
      </w:r>
      <w:r>
        <w:rPr>
          <w:rFonts w:eastAsia="黑体"/>
          <w:bCs/>
          <w:kern w:val="2"/>
          <w:sz w:val="21"/>
          <w:szCs w:val="22"/>
        </w:rPr>
        <w:t>4.3-</w:t>
      </w:r>
      <w:r>
        <w:rPr>
          <w:rFonts w:eastAsia="黑体" w:hint="eastAsia"/>
          <w:bCs/>
          <w:kern w:val="2"/>
          <w:sz w:val="21"/>
          <w:szCs w:val="22"/>
        </w:rPr>
        <w:t>7</w:t>
      </w:r>
      <w:r>
        <w:rPr>
          <w:rFonts w:eastAsia="黑体"/>
          <w:bCs/>
          <w:kern w:val="2"/>
          <w:sz w:val="21"/>
          <w:szCs w:val="22"/>
        </w:rPr>
        <w:t xml:space="preserve">  </w:t>
      </w:r>
      <w:r>
        <w:rPr>
          <w:rFonts w:eastAsia="黑体"/>
          <w:bCs/>
          <w:kern w:val="2"/>
          <w:sz w:val="21"/>
          <w:szCs w:val="22"/>
        </w:rPr>
        <w:t>声环境现状监测及评价结果一览表</w:t>
      </w:r>
      <w:r>
        <w:rPr>
          <w:rFonts w:eastAsia="黑体"/>
          <w:bCs/>
          <w:kern w:val="2"/>
          <w:sz w:val="21"/>
          <w:szCs w:val="22"/>
        </w:rPr>
        <w:t xml:space="preserve">  </w:t>
      </w:r>
      <w:r>
        <w:rPr>
          <w:rFonts w:eastAsia="黑体"/>
          <w:bCs/>
          <w:kern w:val="2"/>
          <w:sz w:val="21"/>
          <w:szCs w:val="22"/>
        </w:rPr>
        <w:t>单位：</w:t>
      </w:r>
      <w:r>
        <w:rPr>
          <w:rFonts w:eastAsia="黑体"/>
          <w:bCs/>
          <w:kern w:val="2"/>
          <w:sz w:val="21"/>
          <w:szCs w:val="22"/>
        </w:rPr>
        <w:t>dB(A)</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399"/>
        <w:gridCol w:w="1035"/>
        <w:gridCol w:w="930"/>
        <w:gridCol w:w="1108"/>
        <w:gridCol w:w="1202"/>
        <w:gridCol w:w="1184"/>
        <w:gridCol w:w="1362"/>
      </w:tblGrid>
      <w:tr w:rsidR="00DB7CC8">
        <w:trPr>
          <w:trHeight w:val="156"/>
          <w:jc w:val="center"/>
        </w:trPr>
        <w:tc>
          <w:tcPr>
            <w:tcW w:w="1399" w:type="dxa"/>
            <w:vMerge w:val="restart"/>
            <w:vAlign w:val="center"/>
          </w:tcPr>
          <w:p w:rsidR="00DB7CC8" w:rsidRDefault="002B5250">
            <w:pPr>
              <w:spacing w:line="240" w:lineRule="auto"/>
              <w:ind w:firstLineChars="0" w:firstLine="0"/>
              <w:jc w:val="center"/>
              <w:rPr>
                <w:sz w:val="21"/>
                <w:szCs w:val="21"/>
              </w:rPr>
            </w:pPr>
            <w:r>
              <w:rPr>
                <w:sz w:val="21"/>
                <w:szCs w:val="21"/>
              </w:rPr>
              <w:t>位置</w:t>
            </w:r>
          </w:p>
        </w:tc>
        <w:tc>
          <w:tcPr>
            <w:tcW w:w="3073" w:type="dxa"/>
            <w:gridSpan w:val="3"/>
            <w:vAlign w:val="center"/>
          </w:tcPr>
          <w:p w:rsidR="00DB7CC8" w:rsidRDefault="002B5250">
            <w:pPr>
              <w:spacing w:line="240" w:lineRule="auto"/>
              <w:ind w:firstLineChars="0" w:firstLine="0"/>
              <w:jc w:val="center"/>
              <w:rPr>
                <w:sz w:val="21"/>
                <w:szCs w:val="21"/>
              </w:rPr>
            </w:pPr>
            <w:r>
              <w:rPr>
                <w:sz w:val="21"/>
                <w:szCs w:val="21"/>
              </w:rPr>
              <w:t>昼间</w:t>
            </w:r>
          </w:p>
        </w:tc>
        <w:tc>
          <w:tcPr>
            <w:tcW w:w="3748" w:type="dxa"/>
            <w:gridSpan w:val="3"/>
            <w:vAlign w:val="center"/>
          </w:tcPr>
          <w:p w:rsidR="00DB7CC8" w:rsidRDefault="002B5250">
            <w:pPr>
              <w:spacing w:line="240" w:lineRule="auto"/>
              <w:ind w:firstLineChars="0" w:firstLine="0"/>
              <w:jc w:val="center"/>
              <w:rPr>
                <w:sz w:val="21"/>
                <w:szCs w:val="21"/>
              </w:rPr>
            </w:pPr>
            <w:r>
              <w:rPr>
                <w:sz w:val="21"/>
                <w:szCs w:val="21"/>
              </w:rPr>
              <w:t>夜间</w:t>
            </w:r>
          </w:p>
        </w:tc>
      </w:tr>
      <w:tr w:rsidR="00DB7CC8">
        <w:trPr>
          <w:trHeight w:val="150"/>
          <w:jc w:val="center"/>
        </w:trPr>
        <w:tc>
          <w:tcPr>
            <w:tcW w:w="1399" w:type="dxa"/>
            <w:vMerge/>
            <w:vAlign w:val="center"/>
          </w:tcPr>
          <w:p w:rsidR="00DB7CC8" w:rsidRDefault="00DB7CC8">
            <w:pPr>
              <w:spacing w:line="240" w:lineRule="auto"/>
              <w:ind w:firstLineChars="0" w:firstLine="0"/>
              <w:jc w:val="center"/>
              <w:rPr>
                <w:sz w:val="21"/>
                <w:szCs w:val="21"/>
              </w:rPr>
            </w:pPr>
          </w:p>
        </w:tc>
        <w:tc>
          <w:tcPr>
            <w:tcW w:w="1035" w:type="dxa"/>
            <w:vAlign w:val="center"/>
          </w:tcPr>
          <w:p w:rsidR="00DB7CC8" w:rsidRDefault="002B5250">
            <w:pPr>
              <w:spacing w:line="240" w:lineRule="auto"/>
              <w:ind w:firstLineChars="0" w:firstLine="0"/>
              <w:jc w:val="center"/>
              <w:rPr>
                <w:sz w:val="21"/>
                <w:szCs w:val="21"/>
              </w:rPr>
            </w:pPr>
            <w:r>
              <w:rPr>
                <w:sz w:val="21"/>
                <w:szCs w:val="21"/>
              </w:rPr>
              <w:t>监测值</w:t>
            </w:r>
          </w:p>
        </w:tc>
        <w:tc>
          <w:tcPr>
            <w:tcW w:w="930" w:type="dxa"/>
            <w:vAlign w:val="center"/>
          </w:tcPr>
          <w:p w:rsidR="00DB7CC8" w:rsidRDefault="002B5250">
            <w:pPr>
              <w:spacing w:line="240" w:lineRule="auto"/>
              <w:ind w:firstLineChars="0" w:firstLine="0"/>
              <w:jc w:val="center"/>
              <w:rPr>
                <w:sz w:val="21"/>
                <w:szCs w:val="21"/>
              </w:rPr>
            </w:pPr>
            <w:r>
              <w:rPr>
                <w:sz w:val="21"/>
                <w:szCs w:val="21"/>
              </w:rPr>
              <w:t>标准值</w:t>
            </w:r>
          </w:p>
        </w:tc>
        <w:tc>
          <w:tcPr>
            <w:tcW w:w="1108" w:type="dxa"/>
            <w:vAlign w:val="center"/>
          </w:tcPr>
          <w:p w:rsidR="00DB7CC8" w:rsidRDefault="002B5250">
            <w:pPr>
              <w:spacing w:line="240" w:lineRule="auto"/>
              <w:ind w:firstLineChars="0" w:firstLine="0"/>
              <w:jc w:val="center"/>
              <w:rPr>
                <w:sz w:val="21"/>
                <w:szCs w:val="21"/>
              </w:rPr>
            </w:pPr>
            <w:r>
              <w:rPr>
                <w:sz w:val="21"/>
                <w:szCs w:val="21"/>
              </w:rPr>
              <w:t>评价结果</w:t>
            </w:r>
          </w:p>
        </w:tc>
        <w:tc>
          <w:tcPr>
            <w:tcW w:w="1202" w:type="dxa"/>
            <w:vAlign w:val="center"/>
          </w:tcPr>
          <w:p w:rsidR="00DB7CC8" w:rsidRDefault="002B5250">
            <w:pPr>
              <w:spacing w:line="240" w:lineRule="auto"/>
              <w:ind w:firstLineChars="0" w:firstLine="0"/>
              <w:jc w:val="center"/>
              <w:rPr>
                <w:sz w:val="21"/>
                <w:szCs w:val="21"/>
              </w:rPr>
            </w:pPr>
            <w:r>
              <w:rPr>
                <w:sz w:val="21"/>
                <w:szCs w:val="21"/>
              </w:rPr>
              <w:t>监测值</w:t>
            </w:r>
          </w:p>
        </w:tc>
        <w:tc>
          <w:tcPr>
            <w:tcW w:w="1184" w:type="dxa"/>
            <w:vAlign w:val="center"/>
          </w:tcPr>
          <w:p w:rsidR="00DB7CC8" w:rsidRDefault="002B5250">
            <w:pPr>
              <w:spacing w:line="240" w:lineRule="auto"/>
              <w:ind w:firstLineChars="0" w:firstLine="0"/>
              <w:jc w:val="center"/>
              <w:rPr>
                <w:sz w:val="21"/>
                <w:szCs w:val="21"/>
              </w:rPr>
            </w:pPr>
            <w:r>
              <w:rPr>
                <w:sz w:val="21"/>
                <w:szCs w:val="21"/>
              </w:rPr>
              <w:t>标准值</w:t>
            </w:r>
          </w:p>
        </w:tc>
        <w:tc>
          <w:tcPr>
            <w:tcW w:w="1362" w:type="dxa"/>
            <w:vAlign w:val="center"/>
          </w:tcPr>
          <w:p w:rsidR="00DB7CC8" w:rsidRDefault="002B5250">
            <w:pPr>
              <w:spacing w:line="240" w:lineRule="auto"/>
              <w:ind w:firstLineChars="0" w:firstLine="0"/>
              <w:jc w:val="center"/>
              <w:rPr>
                <w:sz w:val="21"/>
                <w:szCs w:val="21"/>
              </w:rPr>
            </w:pPr>
            <w:r>
              <w:rPr>
                <w:sz w:val="21"/>
                <w:szCs w:val="21"/>
              </w:rPr>
              <w:t>评价结果</w:t>
            </w:r>
          </w:p>
        </w:tc>
      </w:tr>
      <w:tr w:rsidR="00DB7CC8">
        <w:trPr>
          <w:trHeight w:val="150"/>
          <w:jc w:val="center"/>
        </w:trPr>
        <w:tc>
          <w:tcPr>
            <w:tcW w:w="1399" w:type="dxa"/>
            <w:vAlign w:val="center"/>
          </w:tcPr>
          <w:p w:rsidR="00DB7CC8" w:rsidRDefault="002B5250">
            <w:pPr>
              <w:spacing w:line="240" w:lineRule="auto"/>
              <w:ind w:firstLineChars="0" w:firstLine="0"/>
              <w:jc w:val="center"/>
              <w:rPr>
                <w:sz w:val="21"/>
                <w:szCs w:val="21"/>
              </w:rPr>
            </w:pPr>
            <w:r>
              <w:rPr>
                <w:sz w:val="21"/>
                <w:szCs w:val="21"/>
              </w:rPr>
              <w:t>1#</w:t>
            </w:r>
            <w:r>
              <w:rPr>
                <w:sz w:val="21"/>
                <w:szCs w:val="21"/>
              </w:rPr>
              <w:t>（东厂界）</w:t>
            </w:r>
          </w:p>
        </w:tc>
        <w:tc>
          <w:tcPr>
            <w:tcW w:w="1035" w:type="dxa"/>
            <w:vAlign w:val="center"/>
          </w:tcPr>
          <w:p w:rsidR="00DB7CC8" w:rsidRDefault="002B5250">
            <w:pPr>
              <w:pStyle w:val="Default"/>
              <w:jc w:val="center"/>
              <w:rPr>
                <w:rFonts w:ascii="Times New Roman" w:hAnsi="Times New Roman" w:cs="Times New Roman"/>
                <w:sz w:val="21"/>
                <w:szCs w:val="21"/>
              </w:rPr>
            </w:pPr>
            <w:r>
              <w:rPr>
                <w:rFonts w:ascii="Times New Roman" w:hint="eastAsia"/>
                <w:color w:val="auto"/>
                <w:sz w:val="21"/>
                <w:szCs w:val="21"/>
              </w:rPr>
              <w:t>56</w:t>
            </w:r>
          </w:p>
        </w:tc>
        <w:tc>
          <w:tcPr>
            <w:tcW w:w="930" w:type="dxa"/>
            <w:vAlign w:val="center"/>
          </w:tcPr>
          <w:p w:rsidR="00DB7CC8" w:rsidRDefault="002B5250">
            <w:pPr>
              <w:spacing w:line="240" w:lineRule="auto"/>
              <w:ind w:firstLineChars="0" w:firstLine="0"/>
              <w:jc w:val="center"/>
              <w:rPr>
                <w:sz w:val="21"/>
                <w:szCs w:val="21"/>
              </w:rPr>
            </w:pPr>
            <w:r>
              <w:rPr>
                <w:sz w:val="21"/>
                <w:szCs w:val="21"/>
              </w:rPr>
              <w:t>60</w:t>
            </w:r>
          </w:p>
        </w:tc>
        <w:tc>
          <w:tcPr>
            <w:tcW w:w="1108" w:type="dxa"/>
            <w:vAlign w:val="center"/>
          </w:tcPr>
          <w:p w:rsidR="00DB7CC8" w:rsidRDefault="002B5250">
            <w:pPr>
              <w:spacing w:line="240" w:lineRule="auto"/>
              <w:ind w:firstLineChars="0" w:firstLine="0"/>
              <w:jc w:val="center"/>
              <w:rPr>
                <w:sz w:val="21"/>
                <w:szCs w:val="21"/>
              </w:rPr>
            </w:pPr>
            <w:r>
              <w:rPr>
                <w:sz w:val="21"/>
                <w:szCs w:val="21"/>
              </w:rPr>
              <w:t>达标</w:t>
            </w:r>
          </w:p>
        </w:tc>
        <w:tc>
          <w:tcPr>
            <w:tcW w:w="1202" w:type="dxa"/>
            <w:vAlign w:val="center"/>
          </w:tcPr>
          <w:p w:rsidR="00DB7CC8" w:rsidRDefault="002B5250">
            <w:pPr>
              <w:pStyle w:val="Default"/>
              <w:jc w:val="center"/>
              <w:rPr>
                <w:rFonts w:ascii="Times New Roman" w:hAnsi="Times New Roman" w:cs="Times New Roman"/>
                <w:sz w:val="21"/>
                <w:szCs w:val="21"/>
              </w:rPr>
            </w:pPr>
            <w:r>
              <w:rPr>
                <w:rFonts w:ascii="Times New Roman" w:hint="eastAsia"/>
                <w:color w:val="auto"/>
                <w:sz w:val="21"/>
                <w:szCs w:val="21"/>
              </w:rPr>
              <w:t>46</w:t>
            </w:r>
          </w:p>
        </w:tc>
        <w:tc>
          <w:tcPr>
            <w:tcW w:w="1184" w:type="dxa"/>
            <w:vAlign w:val="center"/>
          </w:tcPr>
          <w:p w:rsidR="00DB7CC8" w:rsidRDefault="002B5250">
            <w:pPr>
              <w:spacing w:line="240" w:lineRule="auto"/>
              <w:ind w:firstLineChars="0" w:firstLine="0"/>
              <w:jc w:val="center"/>
              <w:rPr>
                <w:sz w:val="21"/>
                <w:szCs w:val="21"/>
              </w:rPr>
            </w:pPr>
            <w:r>
              <w:rPr>
                <w:sz w:val="21"/>
                <w:szCs w:val="21"/>
              </w:rPr>
              <w:t>50</w:t>
            </w:r>
          </w:p>
        </w:tc>
        <w:tc>
          <w:tcPr>
            <w:tcW w:w="1362" w:type="dxa"/>
            <w:vAlign w:val="center"/>
          </w:tcPr>
          <w:p w:rsidR="00DB7CC8" w:rsidRDefault="002B5250">
            <w:pPr>
              <w:spacing w:line="240" w:lineRule="auto"/>
              <w:ind w:firstLineChars="0" w:firstLine="0"/>
              <w:jc w:val="center"/>
              <w:rPr>
                <w:sz w:val="21"/>
                <w:szCs w:val="21"/>
              </w:rPr>
            </w:pPr>
            <w:r>
              <w:rPr>
                <w:sz w:val="21"/>
                <w:szCs w:val="21"/>
              </w:rPr>
              <w:t>达标</w:t>
            </w:r>
          </w:p>
        </w:tc>
      </w:tr>
      <w:tr w:rsidR="00DB7CC8">
        <w:trPr>
          <w:trHeight w:val="150"/>
          <w:jc w:val="center"/>
        </w:trPr>
        <w:tc>
          <w:tcPr>
            <w:tcW w:w="1399" w:type="dxa"/>
            <w:vAlign w:val="center"/>
          </w:tcPr>
          <w:p w:rsidR="00DB7CC8" w:rsidRDefault="002B5250">
            <w:pPr>
              <w:spacing w:line="240" w:lineRule="auto"/>
              <w:ind w:firstLineChars="0" w:firstLine="0"/>
              <w:jc w:val="center"/>
              <w:rPr>
                <w:sz w:val="21"/>
                <w:szCs w:val="21"/>
              </w:rPr>
            </w:pPr>
            <w:r>
              <w:rPr>
                <w:sz w:val="21"/>
                <w:szCs w:val="21"/>
              </w:rPr>
              <w:t>2#</w:t>
            </w:r>
            <w:r>
              <w:rPr>
                <w:sz w:val="21"/>
                <w:szCs w:val="21"/>
              </w:rPr>
              <w:t>（南厂界）</w:t>
            </w:r>
          </w:p>
        </w:tc>
        <w:tc>
          <w:tcPr>
            <w:tcW w:w="1035" w:type="dxa"/>
            <w:vAlign w:val="center"/>
          </w:tcPr>
          <w:p w:rsidR="00DB7CC8" w:rsidRDefault="002B5250">
            <w:pPr>
              <w:pStyle w:val="Default"/>
              <w:jc w:val="center"/>
              <w:rPr>
                <w:rFonts w:ascii="Times New Roman" w:hAnsi="Times New Roman" w:cs="Times New Roman"/>
                <w:sz w:val="21"/>
                <w:szCs w:val="21"/>
              </w:rPr>
            </w:pPr>
            <w:r>
              <w:rPr>
                <w:rFonts w:ascii="Times New Roman" w:hint="eastAsia"/>
                <w:color w:val="auto"/>
                <w:sz w:val="21"/>
                <w:szCs w:val="21"/>
              </w:rPr>
              <w:t>56</w:t>
            </w:r>
          </w:p>
        </w:tc>
        <w:tc>
          <w:tcPr>
            <w:tcW w:w="930" w:type="dxa"/>
            <w:vAlign w:val="center"/>
          </w:tcPr>
          <w:p w:rsidR="00DB7CC8" w:rsidRDefault="002B5250">
            <w:pPr>
              <w:spacing w:line="240" w:lineRule="auto"/>
              <w:ind w:firstLineChars="0" w:firstLine="0"/>
              <w:jc w:val="center"/>
              <w:rPr>
                <w:sz w:val="21"/>
                <w:szCs w:val="21"/>
              </w:rPr>
            </w:pPr>
            <w:r>
              <w:rPr>
                <w:sz w:val="21"/>
                <w:szCs w:val="21"/>
              </w:rPr>
              <w:t>60</w:t>
            </w:r>
          </w:p>
        </w:tc>
        <w:tc>
          <w:tcPr>
            <w:tcW w:w="1108" w:type="dxa"/>
            <w:vAlign w:val="center"/>
          </w:tcPr>
          <w:p w:rsidR="00DB7CC8" w:rsidRDefault="002B5250">
            <w:pPr>
              <w:spacing w:line="240" w:lineRule="auto"/>
              <w:ind w:firstLineChars="0" w:firstLine="0"/>
              <w:jc w:val="center"/>
              <w:rPr>
                <w:sz w:val="21"/>
                <w:szCs w:val="21"/>
              </w:rPr>
            </w:pPr>
            <w:r>
              <w:rPr>
                <w:sz w:val="21"/>
                <w:szCs w:val="21"/>
              </w:rPr>
              <w:t>达标</w:t>
            </w:r>
          </w:p>
        </w:tc>
        <w:tc>
          <w:tcPr>
            <w:tcW w:w="1202" w:type="dxa"/>
            <w:vAlign w:val="center"/>
          </w:tcPr>
          <w:p w:rsidR="00DB7CC8" w:rsidRDefault="002B5250">
            <w:pPr>
              <w:pStyle w:val="Default"/>
              <w:jc w:val="center"/>
              <w:rPr>
                <w:rFonts w:ascii="Times New Roman" w:hAnsi="Times New Roman" w:cs="Times New Roman"/>
                <w:sz w:val="21"/>
                <w:szCs w:val="21"/>
              </w:rPr>
            </w:pPr>
            <w:r>
              <w:rPr>
                <w:rFonts w:ascii="Times New Roman" w:hint="eastAsia"/>
                <w:color w:val="auto"/>
                <w:sz w:val="21"/>
                <w:szCs w:val="21"/>
              </w:rPr>
              <w:t>46</w:t>
            </w:r>
          </w:p>
        </w:tc>
        <w:tc>
          <w:tcPr>
            <w:tcW w:w="1184" w:type="dxa"/>
            <w:vAlign w:val="center"/>
          </w:tcPr>
          <w:p w:rsidR="00DB7CC8" w:rsidRDefault="002B5250">
            <w:pPr>
              <w:spacing w:line="240" w:lineRule="auto"/>
              <w:ind w:firstLineChars="0" w:firstLine="0"/>
              <w:jc w:val="center"/>
              <w:rPr>
                <w:sz w:val="21"/>
                <w:szCs w:val="21"/>
              </w:rPr>
            </w:pPr>
            <w:r>
              <w:rPr>
                <w:sz w:val="21"/>
                <w:szCs w:val="21"/>
              </w:rPr>
              <w:t>50</w:t>
            </w:r>
          </w:p>
        </w:tc>
        <w:tc>
          <w:tcPr>
            <w:tcW w:w="1362" w:type="dxa"/>
            <w:vAlign w:val="center"/>
          </w:tcPr>
          <w:p w:rsidR="00DB7CC8" w:rsidRDefault="002B5250">
            <w:pPr>
              <w:spacing w:line="240" w:lineRule="auto"/>
              <w:ind w:firstLineChars="0" w:firstLine="0"/>
              <w:jc w:val="center"/>
              <w:rPr>
                <w:sz w:val="21"/>
                <w:szCs w:val="21"/>
              </w:rPr>
            </w:pPr>
            <w:r>
              <w:rPr>
                <w:sz w:val="21"/>
                <w:szCs w:val="21"/>
              </w:rPr>
              <w:t>达标</w:t>
            </w:r>
          </w:p>
        </w:tc>
      </w:tr>
      <w:tr w:rsidR="00DB7CC8">
        <w:trPr>
          <w:trHeight w:val="150"/>
          <w:jc w:val="center"/>
        </w:trPr>
        <w:tc>
          <w:tcPr>
            <w:tcW w:w="1399" w:type="dxa"/>
            <w:vAlign w:val="center"/>
          </w:tcPr>
          <w:p w:rsidR="00DB7CC8" w:rsidRDefault="002B5250">
            <w:pPr>
              <w:spacing w:line="240" w:lineRule="auto"/>
              <w:ind w:firstLineChars="0" w:firstLine="0"/>
              <w:jc w:val="center"/>
              <w:rPr>
                <w:sz w:val="21"/>
                <w:szCs w:val="21"/>
              </w:rPr>
            </w:pPr>
            <w:r>
              <w:rPr>
                <w:sz w:val="21"/>
                <w:szCs w:val="21"/>
              </w:rPr>
              <w:t>3#</w:t>
            </w:r>
            <w:r>
              <w:rPr>
                <w:sz w:val="21"/>
                <w:szCs w:val="21"/>
              </w:rPr>
              <w:t>（西厂界）</w:t>
            </w:r>
          </w:p>
        </w:tc>
        <w:tc>
          <w:tcPr>
            <w:tcW w:w="1035" w:type="dxa"/>
            <w:vAlign w:val="center"/>
          </w:tcPr>
          <w:p w:rsidR="00DB7CC8" w:rsidRDefault="002B5250">
            <w:pPr>
              <w:pStyle w:val="Default"/>
              <w:jc w:val="center"/>
              <w:rPr>
                <w:rFonts w:ascii="Times New Roman" w:hAnsi="Times New Roman" w:cs="Times New Roman"/>
                <w:sz w:val="21"/>
                <w:szCs w:val="21"/>
              </w:rPr>
            </w:pPr>
            <w:r>
              <w:rPr>
                <w:rFonts w:ascii="Times New Roman" w:hint="eastAsia"/>
                <w:color w:val="auto"/>
                <w:sz w:val="21"/>
                <w:szCs w:val="21"/>
              </w:rPr>
              <w:t>53</w:t>
            </w:r>
          </w:p>
        </w:tc>
        <w:tc>
          <w:tcPr>
            <w:tcW w:w="930" w:type="dxa"/>
            <w:vAlign w:val="center"/>
          </w:tcPr>
          <w:p w:rsidR="00DB7CC8" w:rsidRDefault="002B5250">
            <w:pPr>
              <w:spacing w:line="240" w:lineRule="auto"/>
              <w:ind w:firstLineChars="0" w:firstLine="0"/>
              <w:jc w:val="center"/>
              <w:rPr>
                <w:sz w:val="21"/>
                <w:szCs w:val="21"/>
              </w:rPr>
            </w:pPr>
            <w:r>
              <w:rPr>
                <w:sz w:val="21"/>
                <w:szCs w:val="21"/>
              </w:rPr>
              <w:t>60</w:t>
            </w:r>
          </w:p>
        </w:tc>
        <w:tc>
          <w:tcPr>
            <w:tcW w:w="1108" w:type="dxa"/>
            <w:vAlign w:val="center"/>
          </w:tcPr>
          <w:p w:rsidR="00DB7CC8" w:rsidRDefault="002B5250">
            <w:pPr>
              <w:spacing w:line="240" w:lineRule="auto"/>
              <w:ind w:firstLineChars="0" w:firstLine="0"/>
              <w:jc w:val="center"/>
              <w:rPr>
                <w:sz w:val="21"/>
                <w:szCs w:val="21"/>
              </w:rPr>
            </w:pPr>
            <w:r>
              <w:rPr>
                <w:sz w:val="21"/>
                <w:szCs w:val="21"/>
              </w:rPr>
              <w:t>达标</w:t>
            </w:r>
          </w:p>
        </w:tc>
        <w:tc>
          <w:tcPr>
            <w:tcW w:w="1202" w:type="dxa"/>
            <w:vAlign w:val="center"/>
          </w:tcPr>
          <w:p w:rsidR="00DB7CC8" w:rsidRDefault="002B5250">
            <w:pPr>
              <w:pStyle w:val="Default"/>
              <w:jc w:val="center"/>
              <w:rPr>
                <w:rFonts w:ascii="Times New Roman" w:hAnsi="Times New Roman" w:cs="Times New Roman"/>
                <w:sz w:val="21"/>
                <w:szCs w:val="21"/>
              </w:rPr>
            </w:pPr>
            <w:r>
              <w:rPr>
                <w:rFonts w:ascii="Times New Roman" w:hint="eastAsia"/>
                <w:color w:val="auto"/>
                <w:sz w:val="21"/>
                <w:szCs w:val="21"/>
              </w:rPr>
              <w:t>45</w:t>
            </w:r>
          </w:p>
        </w:tc>
        <w:tc>
          <w:tcPr>
            <w:tcW w:w="1184" w:type="dxa"/>
            <w:vAlign w:val="center"/>
          </w:tcPr>
          <w:p w:rsidR="00DB7CC8" w:rsidRDefault="002B5250">
            <w:pPr>
              <w:spacing w:line="240" w:lineRule="auto"/>
              <w:ind w:firstLineChars="0" w:firstLine="0"/>
              <w:jc w:val="center"/>
              <w:rPr>
                <w:sz w:val="21"/>
                <w:szCs w:val="21"/>
              </w:rPr>
            </w:pPr>
            <w:r>
              <w:rPr>
                <w:rFonts w:hint="eastAsia"/>
                <w:sz w:val="21"/>
                <w:szCs w:val="21"/>
              </w:rPr>
              <w:t>50</w:t>
            </w:r>
          </w:p>
        </w:tc>
        <w:tc>
          <w:tcPr>
            <w:tcW w:w="1362" w:type="dxa"/>
            <w:vAlign w:val="center"/>
          </w:tcPr>
          <w:p w:rsidR="00DB7CC8" w:rsidRDefault="002B5250">
            <w:pPr>
              <w:spacing w:line="240" w:lineRule="auto"/>
              <w:ind w:firstLineChars="0" w:firstLine="0"/>
              <w:jc w:val="center"/>
              <w:rPr>
                <w:sz w:val="21"/>
                <w:szCs w:val="21"/>
              </w:rPr>
            </w:pPr>
            <w:r>
              <w:rPr>
                <w:sz w:val="21"/>
                <w:szCs w:val="21"/>
              </w:rPr>
              <w:t>达标</w:t>
            </w:r>
          </w:p>
        </w:tc>
      </w:tr>
      <w:tr w:rsidR="00DB7CC8">
        <w:trPr>
          <w:trHeight w:val="90"/>
          <w:jc w:val="center"/>
        </w:trPr>
        <w:tc>
          <w:tcPr>
            <w:tcW w:w="1399" w:type="dxa"/>
            <w:vAlign w:val="center"/>
          </w:tcPr>
          <w:p w:rsidR="00DB7CC8" w:rsidRDefault="002B5250">
            <w:pPr>
              <w:spacing w:line="240" w:lineRule="auto"/>
              <w:ind w:firstLineChars="0" w:firstLine="0"/>
              <w:jc w:val="center"/>
              <w:rPr>
                <w:sz w:val="21"/>
                <w:szCs w:val="21"/>
              </w:rPr>
            </w:pPr>
            <w:r>
              <w:rPr>
                <w:sz w:val="21"/>
                <w:szCs w:val="21"/>
              </w:rPr>
              <w:t>4#</w:t>
            </w:r>
            <w:r>
              <w:rPr>
                <w:sz w:val="21"/>
                <w:szCs w:val="21"/>
              </w:rPr>
              <w:t>（北厂界）</w:t>
            </w:r>
          </w:p>
        </w:tc>
        <w:tc>
          <w:tcPr>
            <w:tcW w:w="1035" w:type="dxa"/>
            <w:vAlign w:val="center"/>
          </w:tcPr>
          <w:p w:rsidR="00DB7CC8" w:rsidRDefault="002B5250">
            <w:pPr>
              <w:pStyle w:val="Default"/>
              <w:jc w:val="center"/>
              <w:rPr>
                <w:rFonts w:ascii="Times New Roman" w:hAnsi="Times New Roman" w:cs="Times New Roman"/>
                <w:sz w:val="21"/>
                <w:szCs w:val="21"/>
              </w:rPr>
            </w:pPr>
            <w:r>
              <w:rPr>
                <w:rFonts w:ascii="Times New Roman" w:hint="eastAsia"/>
                <w:color w:val="auto"/>
                <w:sz w:val="21"/>
                <w:szCs w:val="21"/>
              </w:rPr>
              <w:t>54</w:t>
            </w:r>
          </w:p>
        </w:tc>
        <w:tc>
          <w:tcPr>
            <w:tcW w:w="930" w:type="dxa"/>
            <w:vAlign w:val="center"/>
          </w:tcPr>
          <w:p w:rsidR="00DB7CC8" w:rsidRDefault="002B5250">
            <w:pPr>
              <w:spacing w:line="240" w:lineRule="auto"/>
              <w:ind w:firstLineChars="0" w:firstLine="0"/>
              <w:jc w:val="center"/>
              <w:rPr>
                <w:sz w:val="21"/>
                <w:szCs w:val="21"/>
              </w:rPr>
            </w:pPr>
            <w:r>
              <w:rPr>
                <w:sz w:val="21"/>
                <w:szCs w:val="21"/>
              </w:rPr>
              <w:t>60</w:t>
            </w:r>
          </w:p>
        </w:tc>
        <w:tc>
          <w:tcPr>
            <w:tcW w:w="1108" w:type="dxa"/>
            <w:vAlign w:val="center"/>
          </w:tcPr>
          <w:p w:rsidR="00DB7CC8" w:rsidRDefault="002B5250">
            <w:pPr>
              <w:spacing w:line="240" w:lineRule="auto"/>
              <w:ind w:firstLineChars="0" w:firstLine="0"/>
              <w:jc w:val="center"/>
              <w:rPr>
                <w:sz w:val="21"/>
                <w:szCs w:val="21"/>
              </w:rPr>
            </w:pPr>
            <w:r>
              <w:rPr>
                <w:sz w:val="21"/>
                <w:szCs w:val="21"/>
              </w:rPr>
              <w:t>达标</w:t>
            </w:r>
          </w:p>
        </w:tc>
        <w:tc>
          <w:tcPr>
            <w:tcW w:w="1202" w:type="dxa"/>
            <w:vAlign w:val="center"/>
          </w:tcPr>
          <w:p w:rsidR="00DB7CC8" w:rsidRDefault="002B5250">
            <w:pPr>
              <w:pStyle w:val="Default"/>
              <w:jc w:val="center"/>
              <w:rPr>
                <w:rFonts w:ascii="Times New Roman" w:hAnsi="Times New Roman" w:cs="Times New Roman"/>
                <w:sz w:val="21"/>
                <w:szCs w:val="21"/>
              </w:rPr>
            </w:pPr>
            <w:r>
              <w:rPr>
                <w:rFonts w:ascii="Times New Roman" w:hint="eastAsia"/>
                <w:color w:val="auto"/>
                <w:sz w:val="21"/>
                <w:szCs w:val="21"/>
              </w:rPr>
              <w:t>47</w:t>
            </w:r>
          </w:p>
        </w:tc>
        <w:tc>
          <w:tcPr>
            <w:tcW w:w="1184" w:type="dxa"/>
            <w:vAlign w:val="center"/>
          </w:tcPr>
          <w:p w:rsidR="00DB7CC8" w:rsidRDefault="002B5250">
            <w:pPr>
              <w:spacing w:line="240" w:lineRule="auto"/>
              <w:ind w:firstLineChars="0" w:firstLine="0"/>
              <w:jc w:val="center"/>
              <w:rPr>
                <w:sz w:val="21"/>
                <w:szCs w:val="21"/>
              </w:rPr>
            </w:pPr>
            <w:r>
              <w:rPr>
                <w:sz w:val="21"/>
                <w:szCs w:val="21"/>
              </w:rPr>
              <w:t>50</w:t>
            </w:r>
          </w:p>
        </w:tc>
        <w:tc>
          <w:tcPr>
            <w:tcW w:w="1362" w:type="dxa"/>
            <w:vAlign w:val="center"/>
          </w:tcPr>
          <w:p w:rsidR="00DB7CC8" w:rsidRDefault="002B5250">
            <w:pPr>
              <w:spacing w:line="240" w:lineRule="auto"/>
              <w:ind w:firstLineChars="0" w:firstLine="0"/>
              <w:jc w:val="center"/>
              <w:rPr>
                <w:sz w:val="21"/>
                <w:szCs w:val="21"/>
              </w:rPr>
            </w:pPr>
            <w:r>
              <w:rPr>
                <w:sz w:val="21"/>
                <w:szCs w:val="21"/>
              </w:rPr>
              <w:t>达标</w:t>
            </w:r>
          </w:p>
        </w:tc>
      </w:tr>
    </w:tbl>
    <w:p w:rsidR="00DB7CC8" w:rsidRDefault="002B5250">
      <w:pPr>
        <w:spacing w:line="480" w:lineRule="exact"/>
        <w:ind w:firstLine="480"/>
        <w:jc w:val="both"/>
        <w:rPr>
          <w:sz w:val="24"/>
          <w:szCs w:val="24"/>
        </w:rPr>
      </w:pPr>
      <w:r>
        <w:rPr>
          <w:sz w:val="24"/>
          <w:szCs w:val="24"/>
        </w:rPr>
        <w:t>由表</w:t>
      </w:r>
      <w:r>
        <w:rPr>
          <w:sz w:val="24"/>
          <w:szCs w:val="24"/>
        </w:rPr>
        <w:t>4.3-12</w:t>
      </w:r>
      <w:r>
        <w:rPr>
          <w:sz w:val="24"/>
          <w:szCs w:val="24"/>
        </w:rPr>
        <w:t>可知，本项目厂界昼、夜噪声监测值满足《声环境质量标准》</w:t>
      </w:r>
      <w:r>
        <w:rPr>
          <w:sz w:val="24"/>
          <w:szCs w:val="24"/>
        </w:rPr>
        <w:t>(GB3096-2008)</w:t>
      </w:r>
      <w:r>
        <w:rPr>
          <w:rFonts w:hint="eastAsia"/>
          <w:sz w:val="24"/>
          <w:szCs w:val="24"/>
        </w:rPr>
        <w:t>2</w:t>
      </w:r>
      <w:r>
        <w:rPr>
          <w:sz w:val="24"/>
          <w:szCs w:val="24"/>
        </w:rPr>
        <w:t>类区标准限值要求。</w:t>
      </w:r>
    </w:p>
    <w:p w:rsidR="00DB7CC8" w:rsidRDefault="00DB7CC8">
      <w:pPr>
        <w:pStyle w:val="1"/>
        <w:spacing w:beforeLines="50" w:before="120" w:afterLines="50" w:after="120" w:line="480" w:lineRule="exact"/>
        <w:rPr>
          <w:rFonts w:ascii="Times New Roman" w:hAnsi="Times New Roman"/>
          <w:sz w:val="32"/>
          <w:szCs w:val="32"/>
        </w:rPr>
        <w:sectPr w:rsidR="00DB7CC8">
          <w:pgSz w:w="11906" w:h="16838"/>
          <w:pgMar w:top="1440" w:right="1797" w:bottom="1440" w:left="1797" w:header="851" w:footer="992" w:gutter="0"/>
          <w:cols w:space="720"/>
          <w:docGrid w:linePitch="312"/>
        </w:sectPr>
      </w:pPr>
    </w:p>
    <w:p w:rsidR="00DB7CC8" w:rsidRDefault="002B5250">
      <w:pPr>
        <w:pStyle w:val="3"/>
        <w:numPr>
          <w:ilvl w:val="2"/>
          <w:numId w:val="1"/>
        </w:numPr>
        <w:rPr>
          <w:szCs w:val="28"/>
        </w:rPr>
      </w:pPr>
      <w:r>
        <w:rPr>
          <w:rFonts w:hint="eastAsia"/>
          <w:szCs w:val="28"/>
        </w:rPr>
        <w:lastRenderedPageBreak/>
        <w:t>土壤</w:t>
      </w:r>
      <w:r>
        <w:rPr>
          <w:rFonts w:hint="eastAsia"/>
          <w:szCs w:val="28"/>
        </w:rPr>
        <w:t>环境质量</w:t>
      </w:r>
    </w:p>
    <w:p w:rsidR="00DB7CC8" w:rsidRDefault="002B5250">
      <w:pPr>
        <w:spacing w:line="480" w:lineRule="exact"/>
        <w:ind w:firstLine="480"/>
        <w:rPr>
          <w:sz w:val="24"/>
          <w:szCs w:val="24"/>
        </w:rPr>
      </w:pPr>
      <w:r>
        <w:rPr>
          <w:sz w:val="24"/>
          <w:szCs w:val="24"/>
        </w:rPr>
        <w:t>按照《环境影响评价技术导则</w:t>
      </w:r>
      <w:r>
        <w:rPr>
          <w:sz w:val="24"/>
          <w:szCs w:val="24"/>
        </w:rPr>
        <w:t xml:space="preserve"> </w:t>
      </w:r>
      <w:r>
        <w:rPr>
          <w:sz w:val="24"/>
          <w:szCs w:val="24"/>
        </w:rPr>
        <w:t>土壤环境（试行）》（</w:t>
      </w:r>
      <w:r>
        <w:rPr>
          <w:sz w:val="24"/>
          <w:szCs w:val="24"/>
        </w:rPr>
        <w:t>HJ964-2018</w:t>
      </w:r>
      <w:r>
        <w:rPr>
          <w:sz w:val="24"/>
          <w:szCs w:val="24"/>
        </w:rPr>
        <w:t>）规范要求，</w:t>
      </w:r>
      <w:r>
        <w:rPr>
          <w:rFonts w:hint="eastAsia"/>
          <w:sz w:val="24"/>
          <w:szCs w:val="24"/>
        </w:rPr>
        <w:t>委托监测单位</w:t>
      </w:r>
      <w:r>
        <w:rPr>
          <w:sz w:val="24"/>
          <w:szCs w:val="24"/>
        </w:rPr>
        <w:t>于</w:t>
      </w:r>
      <w:r>
        <w:rPr>
          <w:sz w:val="24"/>
          <w:szCs w:val="24"/>
        </w:rPr>
        <w:t>20</w:t>
      </w:r>
      <w:r>
        <w:rPr>
          <w:rFonts w:hint="eastAsia"/>
          <w:sz w:val="24"/>
          <w:szCs w:val="24"/>
        </w:rPr>
        <w:t>23</w:t>
      </w:r>
      <w:r>
        <w:rPr>
          <w:sz w:val="24"/>
          <w:szCs w:val="24"/>
        </w:rPr>
        <w:t>年</w:t>
      </w:r>
      <w:r>
        <w:rPr>
          <w:rFonts w:hint="eastAsia"/>
          <w:sz w:val="24"/>
          <w:szCs w:val="24"/>
        </w:rPr>
        <w:t>04</w:t>
      </w:r>
      <w:r>
        <w:rPr>
          <w:sz w:val="24"/>
          <w:szCs w:val="24"/>
        </w:rPr>
        <w:t>月</w:t>
      </w:r>
      <w:r>
        <w:rPr>
          <w:rFonts w:hint="eastAsia"/>
          <w:sz w:val="24"/>
          <w:szCs w:val="24"/>
        </w:rPr>
        <w:t>28</w:t>
      </w:r>
      <w:r>
        <w:rPr>
          <w:sz w:val="24"/>
          <w:szCs w:val="24"/>
        </w:rPr>
        <w:t>日对本项目厂区土壤环境现状监测。在本厂</w:t>
      </w:r>
      <w:r>
        <w:rPr>
          <w:rFonts w:hint="eastAsia"/>
          <w:sz w:val="24"/>
          <w:szCs w:val="24"/>
        </w:rPr>
        <w:t>北侧</w:t>
      </w:r>
      <w:r>
        <w:rPr>
          <w:sz w:val="24"/>
          <w:szCs w:val="24"/>
        </w:rPr>
        <w:t>未受扰动区、</w:t>
      </w:r>
      <w:r>
        <w:rPr>
          <w:rFonts w:hint="eastAsia"/>
          <w:sz w:val="24"/>
          <w:szCs w:val="24"/>
        </w:rPr>
        <w:t>球磨</w:t>
      </w:r>
      <w:r>
        <w:rPr>
          <w:rFonts w:hint="eastAsia"/>
          <w:sz w:val="24"/>
          <w:szCs w:val="24"/>
        </w:rPr>
        <w:t>车间</w:t>
      </w:r>
      <w:r>
        <w:rPr>
          <w:rFonts w:hint="eastAsia"/>
          <w:sz w:val="24"/>
          <w:szCs w:val="24"/>
        </w:rPr>
        <w:t>西</w:t>
      </w:r>
      <w:r>
        <w:rPr>
          <w:sz w:val="24"/>
          <w:szCs w:val="24"/>
        </w:rPr>
        <w:t>侧、</w:t>
      </w:r>
      <w:r>
        <w:rPr>
          <w:rFonts w:hint="eastAsia"/>
          <w:sz w:val="24"/>
          <w:szCs w:val="24"/>
        </w:rPr>
        <w:t>浓密池南</w:t>
      </w:r>
      <w:r>
        <w:rPr>
          <w:sz w:val="24"/>
          <w:szCs w:val="24"/>
        </w:rPr>
        <w:t>侧共布设</w:t>
      </w:r>
      <w:r>
        <w:rPr>
          <w:sz w:val="24"/>
          <w:szCs w:val="24"/>
        </w:rPr>
        <w:t>3</w:t>
      </w:r>
      <w:r>
        <w:rPr>
          <w:sz w:val="24"/>
          <w:szCs w:val="24"/>
        </w:rPr>
        <w:t>个土壤表层监测点，表层监测点取样深度为</w:t>
      </w:r>
      <w:r>
        <w:rPr>
          <w:sz w:val="24"/>
          <w:szCs w:val="24"/>
        </w:rPr>
        <w:t>0-0.2m</w:t>
      </w:r>
      <w:r>
        <w:rPr>
          <w:sz w:val="24"/>
          <w:szCs w:val="24"/>
        </w:rPr>
        <w:t>。</w:t>
      </w:r>
    </w:p>
    <w:p w:rsidR="00DB7CC8" w:rsidRDefault="002B5250">
      <w:pPr>
        <w:autoSpaceDE w:val="0"/>
        <w:autoSpaceDN w:val="0"/>
        <w:spacing w:line="480" w:lineRule="exact"/>
        <w:ind w:firstLine="480"/>
        <w:rPr>
          <w:sz w:val="24"/>
          <w:szCs w:val="24"/>
        </w:rPr>
      </w:pPr>
      <w:r>
        <w:rPr>
          <w:sz w:val="24"/>
          <w:szCs w:val="24"/>
        </w:rPr>
        <w:t>（</w:t>
      </w:r>
      <w:r>
        <w:rPr>
          <w:sz w:val="24"/>
          <w:szCs w:val="24"/>
        </w:rPr>
        <w:t>1</w:t>
      </w:r>
      <w:r>
        <w:rPr>
          <w:sz w:val="24"/>
          <w:szCs w:val="24"/>
        </w:rPr>
        <w:t>）监测因子</w:t>
      </w:r>
    </w:p>
    <w:p w:rsidR="00DB7CC8" w:rsidRDefault="002B5250">
      <w:pPr>
        <w:spacing w:line="480" w:lineRule="exact"/>
        <w:ind w:firstLine="480"/>
        <w:jc w:val="both"/>
        <w:rPr>
          <w:sz w:val="24"/>
          <w:szCs w:val="24"/>
        </w:rPr>
      </w:pPr>
      <w:r>
        <w:rPr>
          <w:sz w:val="24"/>
          <w:szCs w:val="24"/>
        </w:rPr>
        <w:t>基本因子为《土壤环境质量建设用地土壤污染风险管控标准》（</w:t>
      </w:r>
      <w:r>
        <w:rPr>
          <w:sz w:val="24"/>
          <w:szCs w:val="24"/>
        </w:rPr>
        <w:t>GB36600-2018</w:t>
      </w:r>
      <w:r>
        <w:rPr>
          <w:sz w:val="24"/>
          <w:szCs w:val="24"/>
        </w:rPr>
        <w:t>）表</w:t>
      </w:r>
      <w:r>
        <w:rPr>
          <w:sz w:val="24"/>
          <w:szCs w:val="24"/>
        </w:rPr>
        <w:t>1</w:t>
      </w:r>
      <w:r>
        <w:rPr>
          <w:sz w:val="24"/>
          <w:szCs w:val="24"/>
        </w:rPr>
        <w:t>所列出的</w:t>
      </w:r>
      <w:r>
        <w:rPr>
          <w:sz w:val="24"/>
          <w:szCs w:val="24"/>
        </w:rPr>
        <w:t>45</w:t>
      </w:r>
      <w:r>
        <w:rPr>
          <w:sz w:val="24"/>
          <w:szCs w:val="24"/>
        </w:rPr>
        <w:t>项污染物。</w:t>
      </w:r>
    </w:p>
    <w:p w:rsidR="00DB7CC8" w:rsidRDefault="002B5250">
      <w:pPr>
        <w:spacing w:line="480" w:lineRule="exact"/>
        <w:ind w:firstLine="480"/>
        <w:rPr>
          <w:sz w:val="24"/>
          <w:szCs w:val="24"/>
        </w:rPr>
      </w:pPr>
      <w:r>
        <w:rPr>
          <w:sz w:val="24"/>
          <w:szCs w:val="24"/>
        </w:rPr>
        <w:t>特征因子为</w:t>
      </w:r>
      <w:r>
        <w:rPr>
          <w:sz w:val="24"/>
          <w:szCs w:val="24"/>
        </w:rPr>
        <w:t>pH</w:t>
      </w:r>
      <w:r>
        <w:rPr>
          <w:sz w:val="24"/>
          <w:szCs w:val="24"/>
        </w:rPr>
        <w:t>、石油类、铁。</w:t>
      </w:r>
      <w:r>
        <w:rPr>
          <w:sz w:val="24"/>
          <w:szCs w:val="24"/>
        </w:rPr>
        <w:t xml:space="preserve"> </w:t>
      </w:r>
    </w:p>
    <w:p w:rsidR="00DB7CC8" w:rsidRDefault="002B5250">
      <w:pPr>
        <w:pStyle w:val="29"/>
        <w:spacing w:line="480" w:lineRule="exact"/>
        <w:ind w:leftChars="0" w:left="0" w:firstLine="480"/>
        <w:rPr>
          <w:sz w:val="24"/>
        </w:rPr>
      </w:pPr>
      <w:r>
        <w:rPr>
          <w:sz w:val="24"/>
        </w:rPr>
        <w:t>（</w:t>
      </w:r>
      <w:r>
        <w:rPr>
          <w:sz w:val="24"/>
        </w:rPr>
        <w:t>2</w:t>
      </w:r>
      <w:r>
        <w:rPr>
          <w:sz w:val="24"/>
        </w:rPr>
        <w:t>）监测点位</w:t>
      </w:r>
    </w:p>
    <w:p w:rsidR="00DB7CC8" w:rsidRDefault="002B5250">
      <w:pPr>
        <w:pStyle w:val="29"/>
        <w:spacing w:line="480" w:lineRule="exact"/>
        <w:ind w:leftChars="0" w:left="0" w:firstLine="480"/>
        <w:rPr>
          <w:sz w:val="24"/>
        </w:rPr>
      </w:pPr>
      <w:r>
        <w:rPr>
          <w:sz w:val="24"/>
        </w:rPr>
        <w:t>共布设</w:t>
      </w:r>
      <w:r>
        <w:rPr>
          <w:sz w:val="24"/>
        </w:rPr>
        <w:t>3</w:t>
      </w:r>
      <w:r>
        <w:rPr>
          <w:sz w:val="24"/>
        </w:rPr>
        <w:t>个土壤表层监测点，表层监测点取样深度为</w:t>
      </w:r>
      <w:r>
        <w:rPr>
          <w:sz w:val="24"/>
        </w:rPr>
        <w:t>0-0.2m</w:t>
      </w:r>
      <w:r>
        <w:rPr>
          <w:sz w:val="24"/>
        </w:rPr>
        <w:t>。</w:t>
      </w:r>
    </w:p>
    <w:p w:rsidR="00DB7CC8" w:rsidRDefault="002B5250">
      <w:pPr>
        <w:adjustRightInd w:val="0"/>
        <w:snapToGrid w:val="0"/>
        <w:spacing w:line="240" w:lineRule="auto"/>
        <w:ind w:firstLineChars="0" w:firstLine="0"/>
        <w:jc w:val="center"/>
        <w:textAlignment w:val="auto"/>
        <w:rPr>
          <w:rFonts w:eastAsia="黑体"/>
          <w:bCs/>
          <w:kern w:val="2"/>
          <w:sz w:val="21"/>
          <w:szCs w:val="22"/>
        </w:rPr>
      </w:pPr>
      <w:r>
        <w:rPr>
          <w:rFonts w:eastAsia="黑体"/>
          <w:bCs/>
          <w:kern w:val="2"/>
          <w:sz w:val="21"/>
          <w:szCs w:val="22"/>
        </w:rPr>
        <w:t>表</w:t>
      </w:r>
      <w:r>
        <w:rPr>
          <w:rFonts w:eastAsia="黑体"/>
          <w:bCs/>
          <w:kern w:val="2"/>
          <w:sz w:val="21"/>
          <w:szCs w:val="22"/>
        </w:rPr>
        <w:t>4.3-</w:t>
      </w:r>
      <w:r>
        <w:rPr>
          <w:rFonts w:eastAsia="黑体" w:hint="eastAsia"/>
          <w:bCs/>
          <w:kern w:val="2"/>
          <w:sz w:val="21"/>
          <w:szCs w:val="22"/>
        </w:rPr>
        <w:t>8</w:t>
      </w:r>
      <w:r>
        <w:rPr>
          <w:rFonts w:eastAsia="黑体"/>
          <w:bCs/>
          <w:kern w:val="2"/>
          <w:sz w:val="21"/>
          <w:szCs w:val="22"/>
        </w:rPr>
        <w:t xml:space="preserve"> </w:t>
      </w:r>
      <w:r>
        <w:rPr>
          <w:rFonts w:eastAsia="黑体"/>
          <w:bCs/>
          <w:kern w:val="2"/>
          <w:sz w:val="21"/>
          <w:szCs w:val="22"/>
        </w:rPr>
        <w:t>土壤监测点布置</w:t>
      </w: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4A0" w:firstRow="1" w:lastRow="0" w:firstColumn="1" w:lastColumn="0" w:noHBand="0" w:noVBand="1"/>
      </w:tblPr>
      <w:tblGrid>
        <w:gridCol w:w="890"/>
        <w:gridCol w:w="3673"/>
        <w:gridCol w:w="1656"/>
        <w:gridCol w:w="2457"/>
      </w:tblGrid>
      <w:tr w:rsidR="00DB7CC8">
        <w:trPr>
          <w:trHeight w:val="384"/>
        </w:trPr>
        <w:tc>
          <w:tcPr>
            <w:tcW w:w="890" w:type="dxa"/>
            <w:vAlign w:val="center"/>
          </w:tcPr>
          <w:p w:rsidR="00DB7CC8" w:rsidRDefault="002B5250">
            <w:pPr>
              <w:spacing w:line="240" w:lineRule="auto"/>
              <w:ind w:firstLineChars="0" w:firstLine="0"/>
              <w:jc w:val="center"/>
              <w:rPr>
                <w:sz w:val="21"/>
                <w:szCs w:val="21"/>
              </w:rPr>
            </w:pPr>
            <w:bookmarkStart w:id="307" w:name="_Toc8230"/>
            <w:r>
              <w:rPr>
                <w:sz w:val="21"/>
                <w:szCs w:val="21"/>
              </w:rPr>
              <w:t>序号</w:t>
            </w:r>
            <w:bookmarkEnd w:id="307"/>
          </w:p>
        </w:tc>
        <w:tc>
          <w:tcPr>
            <w:tcW w:w="3673" w:type="dxa"/>
            <w:vAlign w:val="center"/>
          </w:tcPr>
          <w:p w:rsidR="00DB7CC8" w:rsidRDefault="002B5250">
            <w:pPr>
              <w:spacing w:line="240" w:lineRule="auto"/>
              <w:ind w:firstLineChars="0" w:firstLine="0"/>
              <w:jc w:val="center"/>
              <w:rPr>
                <w:sz w:val="21"/>
                <w:szCs w:val="21"/>
              </w:rPr>
            </w:pPr>
            <w:bookmarkStart w:id="308" w:name="_Toc8689"/>
            <w:r>
              <w:rPr>
                <w:sz w:val="21"/>
                <w:szCs w:val="21"/>
              </w:rPr>
              <w:t>点位</w:t>
            </w:r>
            <w:bookmarkEnd w:id="308"/>
          </w:p>
        </w:tc>
        <w:tc>
          <w:tcPr>
            <w:tcW w:w="1656" w:type="dxa"/>
            <w:vAlign w:val="center"/>
          </w:tcPr>
          <w:p w:rsidR="00DB7CC8" w:rsidRDefault="002B5250">
            <w:pPr>
              <w:spacing w:line="240" w:lineRule="auto"/>
              <w:ind w:firstLineChars="0" w:firstLine="0"/>
              <w:jc w:val="center"/>
              <w:rPr>
                <w:sz w:val="21"/>
                <w:szCs w:val="21"/>
              </w:rPr>
            </w:pPr>
            <w:bookmarkStart w:id="309" w:name="_Toc733"/>
            <w:r>
              <w:rPr>
                <w:sz w:val="21"/>
                <w:szCs w:val="21"/>
              </w:rPr>
              <w:t>监测点类型</w:t>
            </w:r>
            <w:bookmarkEnd w:id="309"/>
          </w:p>
        </w:tc>
        <w:tc>
          <w:tcPr>
            <w:tcW w:w="2457" w:type="dxa"/>
            <w:vAlign w:val="center"/>
          </w:tcPr>
          <w:p w:rsidR="00DB7CC8" w:rsidRDefault="002B5250">
            <w:pPr>
              <w:spacing w:line="240" w:lineRule="auto"/>
              <w:ind w:firstLineChars="0" w:firstLine="0"/>
              <w:jc w:val="center"/>
              <w:rPr>
                <w:sz w:val="21"/>
                <w:szCs w:val="21"/>
              </w:rPr>
            </w:pPr>
            <w:bookmarkStart w:id="310" w:name="_Toc5153"/>
            <w:r>
              <w:rPr>
                <w:sz w:val="21"/>
                <w:szCs w:val="21"/>
              </w:rPr>
              <w:t>监测因子</w:t>
            </w:r>
            <w:bookmarkEnd w:id="310"/>
          </w:p>
        </w:tc>
      </w:tr>
      <w:tr w:rsidR="00DB7CC8">
        <w:trPr>
          <w:trHeight w:val="381"/>
        </w:trPr>
        <w:tc>
          <w:tcPr>
            <w:tcW w:w="890" w:type="dxa"/>
            <w:vAlign w:val="center"/>
          </w:tcPr>
          <w:p w:rsidR="00DB7CC8" w:rsidRDefault="002B5250">
            <w:pPr>
              <w:spacing w:line="240" w:lineRule="auto"/>
              <w:ind w:firstLineChars="0" w:firstLine="0"/>
              <w:jc w:val="center"/>
              <w:rPr>
                <w:sz w:val="21"/>
                <w:szCs w:val="21"/>
              </w:rPr>
            </w:pPr>
            <w:bookmarkStart w:id="311" w:name="_Toc20331"/>
            <w:r>
              <w:rPr>
                <w:sz w:val="21"/>
                <w:szCs w:val="21"/>
              </w:rPr>
              <w:t>1#</w:t>
            </w:r>
            <w:bookmarkEnd w:id="311"/>
          </w:p>
        </w:tc>
        <w:tc>
          <w:tcPr>
            <w:tcW w:w="3673" w:type="dxa"/>
            <w:vAlign w:val="center"/>
          </w:tcPr>
          <w:p w:rsidR="00DB7CC8" w:rsidRDefault="002B5250">
            <w:pPr>
              <w:spacing w:line="240" w:lineRule="auto"/>
              <w:ind w:firstLineChars="0" w:firstLine="0"/>
              <w:jc w:val="center"/>
              <w:rPr>
                <w:sz w:val="21"/>
                <w:szCs w:val="21"/>
              </w:rPr>
            </w:pPr>
            <w:r>
              <w:rPr>
                <w:rFonts w:hint="eastAsia"/>
                <w:sz w:val="21"/>
                <w:szCs w:val="21"/>
              </w:rPr>
              <w:t>厂区北侧未受扰动区</w:t>
            </w:r>
          </w:p>
        </w:tc>
        <w:tc>
          <w:tcPr>
            <w:tcW w:w="1656" w:type="dxa"/>
            <w:vAlign w:val="center"/>
          </w:tcPr>
          <w:p w:rsidR="00DB7CC8" w:rsidRDefault="002B5250">
            <w:pPr>
              <w:spacing w:line="240" w:lineRule="auto"/>
              <w:ind w:firstLineChars="0" w:firstLine="0"/>
              <w:jc w:val="center"/>
              <w:rPr>
                <w:sz w:val="21"/>
                <w:szCs w:val="21"/>
              </w:rPr>
            </w:pPr>
            <w:bookmarkStart w:id="312" w:name="_Toc479"/>
            <w:r>
              <w:rPr>
                <w:sz w:val="21"/>
                <w:szCs w:val="21"/>
              </w:rPr>
              <w:t>表层样</w:t>
            </w:r>
            <w:bookmarkEnd w:id="312"/>
          </w:p>
        </w:tc>
        <w:tc>
          <w:tcPr>
            <w:tcW w:w="2457" w:type="dxa"/>
            <w:vAlign w:val="center"/>
          </w:tcPr>
          <w:p w:rsidR="00DB7CC8" w:rsidRDefault="002B5250">
            <w:pPr>
              <w:spacing w:line="240" w:lineRule="auto"/>
              <w:ind w:firstLineChars="0" w:firstLine="0"/>
              <w:jc w:val="center"/>
              <w:rPr>
                <w:sz w:val="21"/>
                <w:szCs w:val="21"/>
              </w:rPr>
            </w:pPr>
            <w:bookmarkStart w:id="313" w:name="_Toc1818"/>
            <w:r>
              <w:rPr>
                <w:sz w:val="21"/>
                <w:szCs w:val="21"/>
              </w:rPr>
              <w:t>基本因子</w:t>
            </w:r>
            <w:r>
              <w:rPr>
                <w:sz w:val="21"/>
                <w:szCs w:val="21"/>
              </w:rPr>
              <w:t>+</w:t>
            </w:r>
            <w:r>
              <w:rPr>
                <w:sz w:val="21"/>
                <w:szCs w:val="21"/>
              </w:rPr>
              <w:t>特征因子</w:t>
            </w:r>
            <w:bookmarkEnd w:id="313"/>
          </w:p>
        </w:tc>
      </w:tr>
      <w:tr w:rsidR="00DB7CC8">
        <w:trPr>
          <w:trHeight w:val="381"/>
        </w:trPr>
        <w:tc>
          <w:tcPr>
            <w:tcW w:w="890" w:type="dxa"/>
            <w:vAlign w:val="center"/>
          </w:tcPr>
          <w:p w:rsidR="00DB7CC8" w:rsidRDefault="002B5250">
            <w:pPr>
              <w:spacing w:line="240" w:lineRule="auto"/>
              <w:ind w:firstLineChars="0" w:firstLine="0"/>
              <w:jc w:val="center"/>
              <w:rPr>
                <w:sz w:val="21"/>
                <w:szCs w:val="21"/>
              </w:rPr>
            </w:pPr>
            <w:bookmarkStart w:id="314" w:name="_Toc17858"/>
            <w:r>
              <w:rPr>
                <w:sz w:val="21"/>
                <w:szCs w:val="21"/>
              </w:rPr>
              <w:t>2#</w:t>
            </w:r>
            <w:bookmarkEnd w:id="314"/>
          </w:p>
        </w:tc>
        <w:tc>
          <w:tcPr>
            <w:tcW w:w="3673" w:type="dxa"/>
            <w:vAlign w:val="center"/>
          </w:tcPr>
          <w:p w:rsidR="00DB7CC8" w:rsidRDefault="002B5250">
            <w:pPr>
              <w:spacing w:line="240" w:lineRule="auto"/>
              <w:ind w:firstLineChars="0" w:firstLine="0"/>
              <w:jc w:val="center"/>
              <w:rPr>
                <w:sz w:val="21"/>
                <w:szCs w:val="21"/>
              </w:rPr>
            </w:pPr>
            <w:r>
              <w:rPr>
                <w:rFonts w:hint="eastAsia"/>
                <w:sz w:val="21"/>
                <w:szCs w:val="21"/>
              </w:rPr>
              <w:t>球磨车间西侧</w:t>
            </w:r>
          </w:p>
        </w:tc>
        <w:tc>
          <w:tcPr>
            <w:tcW w:w="1656" w:type="dxa"/>
            <w:vAlign w:val="center"/>
          </w:tcPr>
          <w:p w:rsidR="00DB7CC8" w:rsidRDefault="002B5250">
            <w:pPr>
              <w:spacing w:line="240" w:lineRule="auto"/>
              <w:ind w:firstLineChars="0" w:firstLine="0"/>
              <w:jc w:val="center"/>
              <w:rPr>
                <w:sz w:val="21"/>
                <w:szCs w:val="21"/>
              </w:rPr>
            </w:pPr>
            <w:bookmarkStart w:id="315" w:name="_Toc2419"/>
            <w:r>
              <w:rPr>
                <w:sz w:val="21"/>
                <w:szCs w:val="21"/>
              </w:rPr>
              <w:t>表层样</w:t>
            </w:r>
            <w:bookmarkEnd w:id="315"/>
          </w:p>
        </w:tc>
        <w:tc>
          <w:tcPr>
            <w:tcW w:w="2457" w:type="dxa"/>
            <w:vAlign w:val="center"/>
          </w:tcPr>
          <w:p w:rsidR="00DB7CC8" w:rsidRDefault="002B5250">
            <w:pPr>
              <w:spacing w:line="240" w:lineRule="auto"/>
              <w:ind w:firstLineChars="0" w:firstLine="0"/>
              <w:jc w:val="center"/>
              <w:rPr>
                <w:sz w:val="21"/>
                <w:szCs w:val="21"/>
              </w:rPr>
            </w:pPr>
            <w:bookmarkStart w:id="316" w:name="_Toc12543"/>
            <w:r>
              <w:rPr>
                <w:sz w:val="21"/>
                <w:szCs w:val="21"/>
              </w:rPr>
              <w:t>基本因子</w:t>
            </w:r>
            <w:r>
              <w:rPr>
                <w:sz w:val="21"/>
                <w:szCs w:val="21"/>
              </w:rPr>
              <w:t>+</w:t>
            </w:r>
            <w:r>
              <w:rPr>
                <w:sz w:val="21"/>
                <w:szCs w:val="21"/>
              </w:rPr>
              <w:t>特征因子</w:t>
            </w:r>
            <w:bookmarkEnd w:id="316"/>
          </w:p>
        </w:tc>
      </w:tr>
      <w:tr w:rsidR="00DB7CC8">
        <w:trPr>
          <w:trHeight w:val="392"/>
        </w:trPr>
        <w:tc>
          <w:tcPr>
            <w:tcW w:w="890" w:type="dxa"/>
            <w:vAlign w:val="center"/>
          </w:tcPr>
          <w:p w:rsidR="00DB7CC8" w:rsidRDefault="002B5250">
            <w:pPr>
              <w:spacing w:line="240" w:lineRule="auto"/>
              <w:ind w:firstLineChars="0" w:firstLine="0"/>
              <w:jc w:val="center"/>
              <w:rPr>
                <w:sz w:val="21"/>
                <w:szCs w:val="21"/>
              </w:rPr>
            </w:pPr>
            <w:bookmarkStart w:id="317" w:name="_Toc26995"/>
            <w:r>
              <w:rPr>
                <w:sz w:val="21"/>
                <w:szCs w:val="21"/>
              </w:rPr>
              <w:t>3#</w:t>
            </w:r>
            <w:bookmarkEnd w:id="317"/>
          </w:p>
        </w:tc>
        <w:tc>
          <w:tcPr>
            <w:tcW w:w="3673" w:type="dxa"/>
            <w:vAlign w:val="center"/>
          </w:tcPr>
          <w:p w:rsidR="00DB7CC8" w:rsidRDefault="002B5250">
            <w:pPr>
              <w:spacing w:line="240" w:lineRule="auto"/>
              <w:ind w:firstLineChars="0" w:firstLine="0"/>
              <w:jc w:val="center"/>
              <w:rPr>
                <w:sz w:val="21"/>
                <w:szCs w:val="21"/>
              </w:rPr>
            </w:pPr>
            <w:r>
              <w:rPr>
                <w:rFonts w:hint="eastAsia"/>
                <w:sz w:val="21"/>
                <w:szCs w:val="21"/>
              </w:rPr>
              <w:t>浓密池南侧</w:t>
            </w:r>
          </w:p>
        </w:tc>
        <w:tc>
          <w:tcPr>
            <w:tcW w:w="1656" w:type="dxa"/>
            <w:vAlign w:val="center"/>
          </w:tcPr>
          <w:p w:rsidR="00DB7CC8" w:rsidRDefault="002B5250">
            <w:pPr>
              <w:spacing w:line="240" w:lineRule="auto"/>
              <w:ind w:firstLineChars="0" w:firstLine="0"/>
              <w:jc w:val="center"/>
              <w:rPr>
                <w:sz w:val="21"/>
                <w:szCs w:val="21"/>
              </w:rPr>
            </w:pPr>
            <w:bookmarkStart w:id="318" w:name="_Toc6964"/>
            <w:r>
              <w:rPr>
                <w:sz w:val="21"/>
                <w:szCs w:val="21"/>
              </w:rPr>
              <w:t>表层样</w:t>
            </w:r>
            <w:bookmarkEnd w:id="318"/>
          </w:p>
        </w:tc>
        <w:tc>
          <w:tcPr>
            <w:tcW w:w="2457" w:type="dxa"/>
            <w:vAlign w:val="center"/>
          </w:tcPr>
          <w:p w:rsidR="00DB7CC8" w:rsidRDefault="002B5250">
            <w:pPr>
              <w:spacing w:line="240" w:lineRule="auto"/>
              <w:ind w:firstLineChars="0" w:firstLine="0"/>
              <w:jc w:val="center"/>
              <w:rPr>
                <w:sz w:val="21"/>
                <w:szCs w:val="21"/>
              </w:rPr>
            </w:pPr>
            <w:bookmarkStart w:id="319" w:name="_Toc3916"/>
            <w:r>
              <w:rPr>
                <w:sz w:val="21"/>
                <w:szCs w:val="21"/>
              </w:rPr>
              <w:t>基本因子</w:t>
            </w:r>
            <w:r>
              <w:rPr>
                <w:sz w:val="21"/>
                <w:szCs w:val="21"/>
              </w:rPr>
              <w:t>+</w:t>
            </w:r>
            <w:r>
              <w:rPr>
                <w:sz w:val="21"/>
                <w:szCs w:val="21"/>
              </w:rPr>
              <w:t>特征因子</w:t>
            </w:r>
            <w:bookmarkEnd w:id="319"/>
          </w:p>
        </w:tc>
      </w:tr>
    </w:tbl>
    <w:p w:rsidR="00DB7CC8" w:rsidRDefault="002B5250">
      <w:pPr>
        <w:pStyle w:val="29"/>
        <w:spacing w:line="480" w:lineRule="exact"/>
        <w:ind w:leftChars="0" w:left="0" w:firstLine="480"/>
        <w:rPr>
          <w:sz w:val="24"/>
        </w:rPr>
      </w:pPr>
      <w:r>
        <w:rPr>
          <w:sz w:val="24"/>
        </w:rPr>
        <w:t>（</w:t>
      </w:r>
      <w:r>
        <w:rPr>
          <w:sz w:val="24"/>
        </w:rPr>
        <w:t>3</w:t>
      </w:r>
      <w:r>
        <w:rPr>
          <w:sz w:val="24"/>
        </w:rPr>
        <w:t>）监测时间及频次</w:t>
      </w:r>
    </w:p>
    <w:p w:rsidR="00DB7CC8" w:rsidRDefault="002B5250">
      <w:pPr>
        <w:adjustRightInd w:val="0"/>
        <w:snapToGrid w:val="0"/>
        <w:spacing w:line="480" w:lineRule="exact"/>
        <w:ind w:firstLine="480"/>
        <w:rPr>
          <w:sz w:val="24"/>
          <w:szCs w:val="24"/>
        </w:rPr>
      </w:pPr>
      <w:r>
        <w:rPr>
          <w:sz w:val="24"/>
          <w:szCs w:val="24"/>
          <w:lang w:bidi="ar"/>
        </w:rPr>
        <w:t>202</w:t>
      </w:r>
      <w:r>
        <w:rPr>
          <w:rFonts w:hint="eastAsia"/>
          <w:sz w:val="24"/>
          <w:szCs w:val="24"/>
          <w:lang w:bidi="ar"/>
        </w:rPr>
        <w:t>3</w:t>
      </w:r>
      <w:r>
        <w:rPr>
          <w:sz w:val="24"/>
          <w:szCs w:val="24"/>
          <w:lang w:bidi="ar"/>
        </w:rPr>
        <w:t>年</w:t>
      </w:r>
      <w:r>
        <w:rPr>
          <w:rFonts w:hint="eastAsia"/>
          <w:sz w:val="24"/>
          <w:szCs w:val="24"/>
          <w:lang w:bidi="ar"/>
        </w:rPr>
        <w:t>4</w:t>
      </w:r>
      <w:r>
        <w:rPr>
          <w:sz w:val="24"/>
          <w:szCs w:val="24"/>
          <w:lang w:bidi="ar"/>
        </w:rPr>
        <w:t>月</w:t>
      </w:r>
      <w:r>
        <w:rPr>
          <w:rFonts w:hint="eastAsia"/>
          <w:sz w:val="24"/>
          <w:szCs w:val="24"/>
          <w:lang w:bidi="ar"/>
        </w:rPr>
        <w:t>28</w:t>
      </w:r>
      <w:r>
        <w:rPr>
          <w:sz w:val="24"/>
          <w:szCs w:val="24"/>
          <w:lang w:bidi="ar"/>
        </w:rPr>
        <w:t>日采样，每个点位采样监测一次。</w:t>
      </w:r>
    </w:p>
    <w:p w:rsidR="00DB7CC8" w:rsidRDefault="002B5250">
      <w:pPr>
        <w:numPr>
          <w:ilvl w:val="0"/>
          <w:numId w:val="5"/>
        </w:numPr>
        <w:spacing w:line="480" w:lineRule="exact"/>
        <w:ind w:firstLine="480"/>
        <w:rPr>
          <w:sz w:val="24"/>
          <w:szCs w:val="24"/>
        </w:rPr>
      </w:pPr>
      <w:r>
        <w:rPr>
          <w:sz w:val="24"/>
          <w:szCs w:val="24"/>
        </w:rPr>
        <w:t>采样及分析方法</w:t>
      </w:r>
    </w:p>
    <w:p w:rsidR="00DB7CC8" w:rsidRDefault="002B5250">
      <w:pPr>
        <w:spacing w:line="480" w:lineRule="exact"/>
        <w:ind w:firstLine="480"/>
        <w:rPr>
          <w:sz w:val="24"/>
          <w:szCs w:val="24"/>
        </w:rPr>
      </w:pPr>
      <w:r>
        <w:rPr>
          <w:sz w:val="24"/>
          <w:szCs w:val="24"/>
        </w:rPr>
        <w:t>表层样监测点及土壤剖面的土壤监测取样方法一般参照</w:t>
      </w:r>
      <w:r>
        <w:rPr>
          <w:sz w:val="24"/>
          <w:szCs w:val="24"/>
        </w:rPr>
        <w:t xml:space="preserve">HJ/T166 </w:t>
      </w:r>
      <w:r>
        <w:rPr>
          <w:sz w:val="24"/>
          <w:szCs w:val="24"/>
        </w:rPr>
        <w:t>执行。</w:t>
      </w:r>
    </w:p>
    <w:p w:rsidR="00DB7CC8" w:rsidRDefault="002B5250">
      <w:pPr>
        <w:pStyle w:val="29"/>
        <w:numPr>
          <w:ilvl w:val="0"/>
          <w:numId w:val="5"/>
        </w:numPr>
        <w:spacing w:line="480" w:lineRule="exact"/>
        <w:ind w:leftChars="0" w:left="0" w:firstLine="480"/>
        <w:rPr>
          <w:sz w:val="24"/>
        </w:rPr>
      </w:pPr>
      <w:r>
        <w:rPr>
          <w:sz w:val="24"/>
        </w:rPr>
        <w:t>土壤环境质量评价</w:t>
      </w:r>
    </w:p>
    <w:p w:rsidR="00DB7CC8" w:rsidRDefault="002B5250">
      <w:pPr>
        <w:pStyle w:val="29"/>
        <w:spacing w:line="480" w:lineRule="exact"/>
        <w:ind w:left="560" w:firstLineChars="0" w:firstLine="0"/>
        <w:rPr>
          <w:sz w:val="24"/>
        </w:rPr>
      </w:pPr>
      <w:r>
        <w:rPr>
          <w:sz w:val="24"/>
        </w:rPr>
        <w:t>评价方法：采用单因子标准指导法</w:t>
      </w:r>
    </w:p>
    <w:p w:rsidR="00DB7CC8" w:rsidRDefault="002B5250">
      <w:pPr>
        <w:pStyle w:val="29"/>
        <w:spacing w:line="480" w:lineRule="exact"/>
        <w:ind w:left="560" w:firstLineChars="500" w:firstLine="1200"/>
        <w:rPr>
          <w:sz w:val="24"/>
          <w:vertAlign w:val="subscript"/>
        </w:rPr>
      </w:pPr>
      <w:r>
        <w:rPr>
          <w:sz w:val="24"/>
        </w:rPr>
        <w:t>P</w:t>
      </w:r>
      <w:r>
        <w:rPr>
          <w:sz w:val="24"/>
          <w:vertAlign w:val="subscript"/>
        </w:rPr>
        <w:t>i</w:t>
      </w:r>
      <w:r>
        <w:rPr>
          <w:sz w:val="24"/>
        </w:rPr>
        <w:t>=C</w:t>
      </w:r>
      <w:r>
        <w:rPr>
          <w:sz w:val="24"/>
          <w:vertAlign w:val="subscript"/>
        </w:rPr>
        <w:t>i</w:t>
      </w:r>
      <w:r>
        <w:rPr>
          <w:sz w:val="24"/>
        </w:rPr>
        <w:t>/C</w:t>
      </w:r>
      <w:r>
        <w:rPr>
          <w:sz w:val="24"/>
          <w:vertAlign w:val="subscript"/>
        </w:rPr>
        <w:t>oi</w:t>
      </w:r>
    </w:p>
    <w:p w:rsidR="00DB7CC8" w:rsidRDefault="002B5250">
      <w:pPr>
        <w:pStyle w:val="29"/>
        <w:spacing w:line="480" w:lineRule="exact"/>
        <w:ind w:leftChars="0" w:left="0" w:firstLineChars="0" w:firstLine="0"/>
        <w:rPr>
          <w:sz w:val="24"/>
        </w:rPr>
      </w:pPr>
      <w:r>
        <w:rPr>
          <w:sz w:val="24"/>
        </w:rPr>
        <w:t>式中：</w:t>
      </w:r>
      <w:r>
        <w:rPr>
          <w:sz w:val="24"/>
        </w:rPr>
        <w:t>P</w:t>
      </w:r>
      <w:r>
        <w:rPr>
          <w:sz w:val="24"/>
          <w:vertAlign w:val="subscript"/>
        </w:rPr>
        <w:t>i</w:t>
      </w:r>
      <w:r>
        <w:rPr>
          <w:sz w:val="24"/>
        </w:rPr>
        <w:t>－</w:t>
      </w:r>
      <w:r>
        <w:rPr>
          <w:sz w:val="24"/>
        </w:rPr>
        <w:t>i</w:t>
      </w:r>
      <w:r>
        <w:rPr>
          <w:sz w:val="24"/>
        </w:rPr>
        <w:t>污染物标准指数；</w:t>
      </w:r>
    </w:p>
    <w:p w:rsidR="00DB7CC8" w:rsidRDefault="002B5250">
      <w:pPr>
        <w:pStyle w:val="29"/>
        <w:spacing w:line="480" w:lineRule="exact"/>
        <w:ind w:leftChars="0" w:left="0" w:firstLineChars="300" w:firstLine="720"/>
        <w:rPr>
          <w:sz w:val="24"/>
        </w:rPr>
      </w:pPr>
      <w:r>
        <w:rPr>
          <w:sz w:val="24"/>
        </w:rPr>
        <w:t>C</w:t>
      </w:r>
      <w:r>
        <w:rPr>
          <w:sz w:val="24"/>
          <w:vertAlign w:val="subscript"/>
        </w:rPr>
        <w:t>i</w:t>
      </w:r>
      <w:r>
        <w:rPr>
          <w:sz w:val="24"/>
        </w:rPr>
        <w:t>－</w:t>
      </w:r>
      <w:r>
        <w:rPr>
          <w:sz w:val="24"/>
        </w:rPr>
        <w:t>i</w:t>
      </w:r>
      <w:r>
        <w:rPr>
          <w:sz w:val="24"/>
        </w:rPr>
        <w:t>污染物现状监测浓度，</w:t>
      </w:r>
      <w:r>
        <w:rPr>
          <w:sz w:val="24"/>
        </w:rPr>
        <w:t>mg/L</w:t>
      </w:r>
      <w:r>
        <w:rPr>
          <w:sz w:val="24"/>
        </w:rPr>
        <w:t>；</w:t>
      </w:r>
    </w:p>
    <w:p w:rsidR="00DB7CC8" w:rsidRDefault="002B5250">
      <w:pPr>
        <w:pStyle w:val="29"/>
        <w:spacing w:line="480" w:lineRule="exact"/>
        <w:ind w:leftChars="0" w:left="0" w:firstLineChars="300" w:firstLine="720"/>
        <w:rPr>
          <w:sz w:val="24"/>
        </w:rPr>
      </w:pPr>
      <w:r>
        <w:rPr>
          <w:sz w:val="24"/>
        </w:rPr>
        <w:t>C</w:t>
      </w:r>
      <w:r>
        <w:rPr>
          <w:sz w:val="24"/>
          <w:vertAlign w:val="subscript"/>
        </w:rPr>
        <w:t>oi</w:t>
      </w:r>
      <w:r>
        <w:rPr>
          <w:sz w:val="24"/>
        </w:rPr>
        <w:t>－</w:t>
      </w:r>
      <w:r>
        <w:rPr>
          <w:sz w:val="24"/>
        </w:rPr>
        <w:t>i</w:t>
      </w:r>
      <w:r>
        <w:rPr>
          <w:sz w:val="24"/>
        </w:rPr>
        <w:t>污染物评价标准，</w:t>
      </w:r>
      <w:r>
        <w:rPr>
          <w:sz w:val="24"/>
        </w:rPr>
        <w:t>mg/L</w:t>
      </w:r>
      <w:r>
        <w:rPr>
          <w:sz w:val="24"/>
        </w:rPr>
        <w:t>。</w:t>
      </w:r>
    </w:p>
    <w:p w:rsidR="00DB7CC8" w:rsidRDefault="002B5250">
      <w:pPr>
        <w:pStyle w:val="29"/>
        <w:numPr>
          <w:ilvl w:val="0"/>
          <w:numId w:val="5"/>
        </w:numPr>
        <w:spacing w:line="480" w:lineRule="exact"/>
        <w:ind w:leftChars="0" w:left="0" w:firstLine="480"/>
        <w:rPr>
          <w:sz w:val="24"/>
        </w:rPr>
      </w:pPr>
      <w:r>
        <w:rPr>
          <w:sz w:val="24"/>
        </w:rPr>
        <w:t>评价标准</w:t>
      </w:r>
    </w:p>
    <w:p w:rsidR="00DB7CC8" w:rsidRDefault="002B5250">
      <w:pPr>
        <w:pStyle w:val="29"/>
        <w:spacing w:line="480" w:lineRule="exact"/>
        <w:ind w:leftChars="0" w:left="0" w:firstLine="480"/>
        <w:rPr>
          <w:sz w:val="24"/>
        </w:rPr>
      </w:pPr>
      <w:r>
        <w:rPr>
          <w:sz w:val="24"/>
        </w:rPr>
        <w:lastRenderedPageBreak/>
        <w:t>建设用地执行《土壤环境质量</w:t>
      </w:r>
      <w:r>
        <w:rPr>
          <w:sz w:val="24"/>
        </w:rPr>
        <w:t xml:space="preserve"> </w:t>
      </w:r>
      <w:r>
        <w:rPr>
          <w:sz w:val="24"/>
        </w:rPr>
        <w:t>建设用地土壤污染风险管控标准》（</w:t>
      </w:r>
      <w:r>
        <w:rPr>
          <w:sz w:val="24"/>
        </w:rPr>
        <w:t>GB36600-2018</w:t>
      </w:r>
      <w:r>
        <w:rPr>
          <w:sz w:val="24"/>
        </w:rPr>
        <w:t>）表二第二类用地筛选值。</w:t>
      </w:r>
    </w:p>
    <w:p w:rsidR="00DB7CC8" w:rsidRDefault="002B5250">
      <w:pPr>
        <w:pStyle w:val="29"/>
        <w:numPr>
          <w:ilvl w:val="0"/>
          <w:numId w:val="5"/>
        </w:numPr>
        <w:spacing w:line="480" w:lineRule="exact"/>
        <w:ind w:leftChars="0" w:left="0" w:firstLine="480"/>
        <w:rPr>
          <w:sz w:val="24"/>
        </w:rPr>
      </w:pPr>
      <w:r>
        <w:rPr>
          <w:sz w:val="24"/>
        </w:rPr>
        <w:t>监测与评价结果</w:t>
      </w:r>
    </w:p>
    <w:p w:rsidR="00DB7CC8" w:rsidRDefault="002B5250">
      <w:pPr>
        <w:pStyle w:val="29"/>
        <w:spacing w:line="480" w:lineRule="exact"/>
        <w:ind w:leftChars="0" w:left="0" w:firstLine="480"/>
        <w:rPr>
          <w:sz w:val="24"/>
        </w:rPr>
      </w:pPr>
      <w:r>
        <w:rPr>
          <w:sz w:val="24"/>
        </w:rPr>
        <w:t>根据评价方法及评价标准，对现状结果进行评价，并对评价结果进行分析。监测及评价结果见表</w:t>
      </w:r>
      <w:r>
        <w:rPr>
          <w:sz w:val="24"/>
        </w:rPr>
        <w:t>4.3-</w:t>
      </w:r>
      <w:r>
        <w:rPr>
          <w:rFonts w:hint="eastAsia"/>
          <w:sz w:val="24"/>
        </w:rPr>
        <w:t>9</w:t>
      </w:r>
    </w:p>
    <w:p w:rsidR="00DB7CC8" w:rsidRDefault="002B5250">
      <w:pPr>
        <w:adjustRightInd w:val="0"/>
        <w:snapToGrid w:val="0"/>
        <w:spacing w:line="240" w:lineRule="auto"/>
        <w:ind w:firstLineChars="0" w:firstLine="0"/>
        <w:jc w:val="center"/>
        <w:textAlignment w:val="auto"/>
        <w:rPr>
          <w:rFonts w:eastAsia="黑体"/>
          <w:bCs/>
          <w:kern w:val="2"/>
          <w:sz w:val="21"/>
          <w:szCs w:val="22"/>
        </w:rPr>
      </w:pPr>
      <w:r>
        <w:rPr>
          <w:rFonts w:eastAsia="黑体"/>
          <w:bCs/>
          <w:kern w:val="2"/>
          <w:sz w:val="21"/>
          <w:szCs w:val="22"/>
        </w:rPr>
        <w:t>表</w:t>
      </w:r>
      <w:r>
        <w:rPr>
          <w:rFonts w:eastAsia="黑体"/>
          <w:bCs/>
          <w:kern w:val="2"/>
          <w:sz w:val="21"/>
          <w:szCs w:val="22"/>
        </w:rPr>
        <w:t>4.3-</w:t>
      </w:r>
      <w:r>
        <w:rPr>
          <w:rFonts w:eastAsia="黑体" w:hint="eastAsia"/>
          <w:bCs/>
          <w:kern w:val="2"/>
          <w:sz w:val="21"/>
          <w:szCs w:val="22"/>
        </w:rPr>
        <w:t>9</w:t>
      </w:r>
      <w:r>
        <w:rPr>
          <w:rFonts w:eastAsia="黑体"/>
          <w:bCs/>
          <w:kern w:val="2"/>
          <w:sz w:val="21"/>
          <w:szCs w:val="22"/>
        </w:rPr>
        <w:t xml:space="preserve"> </w:t>
      </w:r>
      <w:r>
        <w:rPr>
          <w:rFonts w:eastAsia="黑体"/>
          <w:bCs/>
          <w:kern w:val="2"/>
          <w:sz w:val="21"/>
          <w:szCs w:val="22"/>
        </w:rPr>
        <w:t>土壤质量现状监测及评价结果一览表</w:t>
      </w:r>
      <w:r>
        <w:rPr>
          <w:rFonts w:eastAsia="黑体"/>
          <w:bCs/>
          <w:kern w:val="2"/>
          <w:sz w:val="21"/>
          <w:szCs w:val="22"/>
        </w:rPr>
        <w:t xml:space="preserve">   </w:t>
      </w:r>
      <w:r>
        <w:rPr>
          <w:rFonts w:eastAsia="黑体"/>
          <w:bCs/>
          <w:kern w:val="2"/>
          <w:sz w:val="21"/>
          <w:szCs w:val="22"/>
        </w:rPr>
        <w:t>单位：</w:t>
      </w:r>
      <w:r>
        <w:rPr>
          <w:rFonts w:eastAsia="黑体"/>
          <w:bCs/>
          <w:kern w:val="2"/>
          <w:sz w:val="21"/>
          <w:szCs w:val="22"/>
        </w:rPr>
        <w:t>mg/kg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4"/>
        <w:gridCol w:w="1282"/>
        <w:gridCol w:w="830"/>
        <w:gridCol w:w="1356"/>
        <w:gridCol w:w="1470"/>
        <w:gridCol w:w="1471"/>
        <w:gridCol w:w="878"/>
        <w:gridCol w:w="658"/>
      </w:tblGrid>
      <w:tr w:rsidR="00DB7CC8">
        <w:trPr>
          <w:trHeight w:val="454"/>
          <w:jc w:val="center"/>
        </w:trPr>
        <w:tc>
          <w:tcPr>
            <w:tcW w:w="664" w:type="dxa"/>
            <w:vMerge w:val="restart"/>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序号</w:t>
            </w:r>
          </w:p>
        </w:tc>
        <w:tc>
          <w:tcPr>
            <w:tcW w:w="1282" w:type="dxa"/>
            <w:vMerge w:val="restart"/>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污染物</w:t>
            </w:r>
          </w:p>
        </w:tc>
        <w:tc>
          <w:tcPr>
            <w:tcW w:w="830" w:type="dxa"/>
            <w:vMerge w:val="restart"/>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报告限</w:t>
            </w:r>
          </w:p>
        </w:tc>
        <w:tc>
          <w:tcPr>
            <w:tcW w:w="4297" w:type="dxa"/>
            <w:gridSpan w:val="3"/>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监测点位</w:t>
            </w:r>
          </w:p>
        </w:tc>
        <w:tc>
          <w:tcPr>
            <w:tcW w:w="878" w:type="dxa"/>
            <w:vMerge w:val="restart"/>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标准值</w:t>
            </w:r>
          </w:p>
        </w:tc>
        <w:tc>
          <w:tcPr>
            <w:tcW w:w="658" w:type="dxa"/>
            <w:vMerge w:val="restart"/>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是否超标</w:t>
            </w:r>
          </w:p>
        </w:tc>
      </w:tr>
      <w:tr w:rsidR="00DB7CC8">
        <w:trPr>
          <w:trHeight w:val="454"/>
          <w:jc w:val="center"/>
        </w:trPr>
        <w:tc>
          <w:tcPr>
            <w:tcW w:w="664" w:type="dxa"/>
            <w:vMerge/>
            <w:vAlign w:val="center"/>
          </w:tcPr>
          <w:p w:rsidR="00DB7CC8" w:rsidRDefault="00DB7CC8">
            <w:pPr>
              <w:tabs>
                <w:tab w:val="center" w:pos="4153"/>
                <w:tab w:val="right" w:pos="8306"/>
              </w:tabs>
              <w:autoSpaceDE w:val="0"/>
              <w:autoSpaceDN w:val="0"/>
              <w:adjustRightInd w:val="0"/>
              <w:snapToGrid w:val="0"/>
              <w:spacing w:line="240" w:lineRule="auto"/>
              <w:ind w:firstLineChars="0" w:firstLine="0"/>
              <w:jc w:val="center"/>
              <w:rPr>
                <w:sz w:val="21"/>
                <w:szCs w:val="21"/>
              </w:rPr>
            </w:pPr>
          </w:p>
        </w:tc>
        <w:tc>
          <w:tcPr>
            <w:tcW w:w="1282" w:type="dxa"/>
            <w:vMerge/>
            <w:vAlign w:val="center"/>
          </w:tcPr>
          <w:p w:rsidR="00DB7CC8" w:rsidRDefault="00DB7CC8">
            <w:pPr>
              <w:tabs>
                <w:tab w:val="center" w:pos="4153"/>
                <w:tab w:val="right" w:pos="8306"/>
              </w:tabs>
              <w:autoSpaceDE w:val="0"/>
              <w:autoSpaceDN w:val="0"/>
              <w:adjustRightInd w:val="0"/>
              <w:snapToGrid w:val="0"/>
              <w:spacing w:line="240" w:lineRule="auto"/>
              <w:ind w:firstLineChars="0" w:firstLine="0"/>
              <w:jc w:val="center"/>
              <w:rPr>
                <w:sz w:val="21"/>
                <w:szCs w:val="21"/>
              </w:rPr>
            </w:pPr>
          </w:p>
        </w:tc>
        <w:tc>
          <w:tcPr>
            <w:tcW w:w="830" w:type="dxa"/>
            <w:vMerge/>
            <w:vAlign w:val="center"/>
          </w:tcPr>
          <w:p w:rsidR="00DB7CC8" w:rsidRDefault="00DB7CC8">
            <w:pPr>
              <w:tabs>
                <w:tab w:val="center" w:pos="4153"/>
                <w:tab w:val="right" w:pos="8306"/>
              </w:tabs>
              <w:autoSpaceDE w:val="0"/>
              <w:autoSpaceDN w:val="0"/>
              <w:adjustRightInd w:val="0"/>
              <w:snapToGrid w:val="0"/>
              <w:spacing w:line="240" w:lineRule="auto"/>
              <w:ind w:firstLineChars="0" w:firstLine="0"/>
              <w:jc w:val="center"/>
              <w:rPr>
                <w:sz w:val="21"/>
                <w:szCs w:val="21"/>
              </w:rPr>
            </w:pP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厂区北侧</w:t>
            </w:r>
            <w:r>
              <w:rPr>
                <w:sz w:val="21"/>
                <w:szCs w:val="21"/>
              </w:rPr>
              <w:t>未受扰动区（</w:t>
            </w:r>
            <w:r>
              <w:rPr>
                <w:sz w:val="21"/>
                <w:szCs w:val="21"/>
              </w:rPr>
              <w:t>0</w:t>
            </w:r>
            <w:r>
              <w:rPr>
                <w:sz w:val="21"/>
                <w:szCs w:val="21"/>
              </w:rPr>
              <w:t>～</w:t>
            </w:r>
            <w:r>
              <w:rPr>
                <w:sz w:val="21"/>
                <w:szCs w:val="21"/>
              </w:rPr>
              <w:t>0.2m</w:t>
            </w:r>
            <w:r>
              <w:rPr>
                <w:sz w:val="21"/>
                <w:szCs w:val="21"/>
              </w:rPr>
              <w:t>）</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球磨车间西</w:t>
            </w:r>
            <w:r>
              <w:rPr>
                <w:sz w:val="21"/>
                <w:szCs w:val="21"/>
              </w:rPr>
              <w:t>侧（</w:t>
            </w:r>
            <w:r>
              <w:rPr>
                <w:sz w:val="21"/>
                <w:szCs w:val="21"/>
              </w:rPr>
              <w:t>0</w:t>
            </w:r>
            <w:r>
              <w:rPr>
                <w:sz w:val="21"/>
                <w:szCs w:val="21"/>
              </w:rPr>
              <w:t>～</w:t>
            </w:r>
            <w:r>
              <w:rPr>
                <w:sz w:val="21"/>
                <w:szCs w:val="21"/>
              </w:rPr>
              <w:t>0.2m</w:t>
            </w:r>
            <w:r>
              <w:rPr>
                <w:sz w:val="21"/>
                <w:szCs w:val="21"/>
              </w:rPr>
              <w:t>）</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浓密池南</w:t>
            </w:r>
            <w:r>
              <w:rPr>
                <w:sz w:val="21"/>
                <w:szCs w:val="21"/>
              </w:rPr>
              <w:t>侧（</w:t>
            </w:r>
            <w:r>
              <w:rPr>
                <w:sz w:val="21"/>
                <w:szCs w:val="21"/>
              </w:rPr>
              <w:t>0</w:t>
            </w:r>
            <w:r>
              <w:rPr>
                <w:sz w:val="21"/>
                <w:szCs w:val="21"/>
              </w:rPr>
              <w:t>～</w:t>
            </w:r>
            <w:r>
              <w:rPr>
                <w:sz w:val="21"/>
                <w:szCs w:val="21"/>
              </w:rPr>
              <w:t>0.2m</w:t>
            </w:r>
            <w:r>
              <w:rPr>
                <w:sz w:val="21"/>
                <w:szCs w:val="21"/>
              </w:rPr>
              <w:t>）</w:t>
            </w:r>
          </w:p>
        </w:tc>
        <w:tc>
          <w:tcPr>
            <w:tcW w:w="878" w:type="dxa"/>
            <w:vMerge/>
            <w:vAlign w:val="center"/>
          </w:tcPr>
          <w:p w:rsidR="00DB7CC8" w:rsidRDefault="00DB7CC8">
            <w:pPr>
              <w:tabs>
                <w:tab w:val="center" w:pos="4153"/>
                <w:tab w:val="right" w:pos="8306"/>
              </w:tabs>
              <w:autoSpaceDE w:val="0"/>
              <w:autoSpaceDN w:val="0"/>
              <w:adjustRightInd w:val="0"/>
              <w:snapToGrid w:val="0"/>
              <w:spacing w:line="240" w:lineRule="auto"/>
              <w:ind w:firstLineChars="0" w:firstLine="0"/>
              <w:jc w:val="center"/>
              <w:rPr>
                <w:sz w:val="21"/>
                <w:szCs w:val="21"/>
              </w:rPr>
            </w:pPr>
          </w:p>
        </w:tc>
        <w:tc>
          <w:tcPr>
            <w:tcW w:w="658" w:type="dxa"/>
            <w:vMerge/>
            <w:vAlign w:val="center"/>
          </w:tcPr>
          <w:p w:rsidR="00DB7CC8" w:rsidRDefault="00DB7CC8">
            <w:pPr>
              <w:tabs>
                <w:tab w:val="center" w:pos="4153"/>
                <w:tab w:val="right" w:pos="8306"/>
              </w:tabs>
              <w:autoSpaceDE w:val="0"/>
              <w:autoSpaceDN w:val="0"/>
              <w:adjustRightInd w:val="0"/>
              <w:snapToGrid w:val="0"/>
              <w:spacing w:line="240" w:lineRule="auto"/>
              <w:ind w:firstLineChars="0" w:firstLine="0"/>
              <w:jc w:val="center"/>
              <w:rPr>
                <w:sz w:val="21"/>
                <w:szCs w:val="21"/>
              </w:rPr>
            </w:pPr>
          </w:p>
        </w:tc>
      </w:tr>
      <w:tr w:rsidR="00DB7CC8">
        <w:trPr>
          <w:trHeight w:val="454"/>
          <w:jc w:val="center"/>
        </w:trPr>
        <w:tc>
          <w:tcPr>
            <w:tcW w:w="8609" w:type="dxa"/>
            <w:gridSpan w:val="8"/>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重金属</w:t>
            </w:r>
            <w:r>
              <w:rPr>
                <w:sz w:val="21"/>
                <w:szCs w:val="21"/>
              </w:rPr>
              <w:t xml:space="preserve">  </w:t>
            </w:r>
            <w:r>
              <w:rPr>
                <w:sz w:val="21"/>
                <w:szCs w:val="21"/>
              </w:rPr>
              <w:t>单位</w:t>
            </w:r>
            <w:r>
              <w:rPr>
                <w:sz w:val="21"/>
                <w:szCs w:val="21"/>
              </w:rPr>
              <w:t>mg/kg</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砷</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0.01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4.66</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1.78</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12.0</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60</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镉</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0.01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0.70</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0.87</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0.68</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65</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3</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铬（六价）</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0.5</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5.7</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4</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铜</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50</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70</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31</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18000</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5</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铅</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26</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21</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26</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800</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6</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汞</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0.002</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0.021</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0.014</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0.024</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38</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7</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镍</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5</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63</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69</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43</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900</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8</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铁</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0.079</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6.7</w:t>
            </w:r>
            <w:r>
              <w:rPr>
                <w:sz w:val="21"/>
                <w:szCs w:val="21"/>
              </w:rPr>
              <w:t>×</w:t>
            </w:r>
            <w:r>
              <w:rPr>
                <w:rFonts w:hint="eastAsia"/>
                <w:sz w:val="21"/>
                <w:szCs w:val="21"/>
              </w:rPr>
              <w:t>10</w:t>
            </w:r>
            <w:r>
              <w:rPr>
                <w:rFonts w:hint="eastAsia"/>
                <w:sz w:val="21"/>
                <w:szCs w:val="21"/>
                <w:vertAlign w:val="superscript"/>
              </w:rPr>
              <w:t>4</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7.44</w:t>
            </w:r>
            <w:r>
              <w:rPr>
                <w:sz w:val="21"/>
                <w:szCs w:val="21"/>
              </w:rPr>
              <w:t>×</w:t>
            </w:r>
            <w:r>
              <w:rPr>
                <w:rFonts w:hint="eastAsia"/>
                <w:sz w:val="21"/>
                <w:szCs w:val="21"/>
              </w:rPr>
              <w:t>10</w:t>
            </w:r>
            <w:r>
              <w:rPr>
                <w:rFonts w:hint="eastAsia"/>
                <w:sz w:val="21"/>
                <w:szCs w:val="21"/>
                <w:vertAlign w:val="superscript"/>
              </w:rPr>
              <w:t>4</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4.42</w:t>
            </w:r>
            <w:r>
              <w:rPr>
                <w:sz w:val="21"/>
                <w:szCs w:val="21"/>
              </w:rPr>
              <w:t>×</w:t>
            </w:r>
            <w:r>
              <w:rPr>
                <w:rFonts w:hint="eastAsia"/>
                <w:sz w:val="21"/>
                <w:szCs w:val="21"/>
              </w:rPr>
              <w:t>10</w:t>
            </w:r>
            <w:r>
              <w:rPr>
                <w:rFonts w:hint="eastAsia"/>
                <w:sz w:val="21"/>
                <w:szCs w:val="21"/>
                <w:vertAlign w:val="superscript"/>
              </w:rPr>
              <w:t>4</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w:t>
            </w:r>
          </w:p>
        </w:tc>
      </w:tr>
      <w:tr w:rsidR="00DB7CC8">
        <w:trPr>
          <w:trHeight w:val="454"/>
          <w:jc w:val="center"/>
        </w:trPr>
        <w:tc>
          <w:tcPr>
            <w:tcW w:w="8609" w:type="dxa"/>
            <w:gridSpan w:val="8"/>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挥发性有机物</w:t>
            </w:r>
            <w:r>
              <w:rPr>
                <w:sz w:val="21"/>
                <w:szCs w:val="21"/>
              </w:rPr>
              <w:t xml:space="preserve">  </w:t>
            </w:r>
            <w:r>
              <w:rPr>
                <w:sz w:val="21"/>
                <w:szCs w:val="21"/>
              </w:rPr>
              <w:t>标准值单位</w:t>
            </w:r>
            <w:r>
              <w:rPr>
                <w:sz w:val="21"/>
                <w:szCs w:val="21"/>
              </w:rPr>
              <w:t>mg/kg</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9</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四氯化碳</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1.3</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2.8</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10</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氯仿</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0.9</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11</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氯甲烷</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37</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1,1-</w:t>
            </w:r>
            <w:r>
              <w:rPr>
                <w:sz w:val="21"/>
                <w:szCs w:val="21"/>
              </w:rPr>
              <w:t>二氯乙烷</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9</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13</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w:t>
            </w:r>
            <w:r>
              <w:rPr>
                <w:sz w:val="21"/>
                <w:szCs w:val="21"/>
              </w:rPr>
              <w:t>二氯乙烷</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1.3</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5</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14</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1,1-</w:t>
            </w:r>
            <w:r>
              <w:rPr>
                <w:sz w:val="21"/>
                <w:szCs w:val="21"/>
              </w:rPr>
              <w:t>二氯乙烯</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66</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15</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顺</w:t>
            </w:r>
            <w:r>
              <w:rPr>
                <w:sz w:val="21"/>
                <w:szCs w:val="21"/>
              </w:rPr>
              <w:t>-1,2-</w:t>
            </w:r>
            <w:r>
              <w:rPr>
                <w:sz w:val="21"/>
                <w:szCs w:val="21"/>
              </w:rPr>
              <w:t>二氯乙烯</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1.3</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596</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16</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反</w:t>
            </w:r>
            <w:r>
              <w:rPr>
                <w:sz w:val="21"/>
                <w:szCs w:val="21"/>
              </w:rPr>
              <w:t>-1,2-</w:t>
            </w:r>
            <w:r>
              <w:rPr>
                <w:sz w:val="21"/>
                <w:szCs w:val="21"/>
              </w:rPr>
              <w:t>二氯乙烯</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1.4</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54</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17</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二氯甲烷</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1.5</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616</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lastRenderedPageBreak/>
              <w:t>18</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w:t>
            </w:r>
            <w:r>
              <w:rPr>
                <w:sz w:val="21"/>
                <w:szCs w:val="21"/>
              </w:rPr>
              <w:t>二氯丙烷</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5</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19</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1,1,1,2-</w:t>
            </w:r>
            <w:r>
              <w:rPr>
                <w:sz w:val="21"/>
                <w:szCs w:val="21"/>
              </w:rPr>
              <w:t>四氯乙烷</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10</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20</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1,1,2,2-</w:t>
            </w:r>
            <w:r>
              <w:rPr>
                <w:sz w:val="21"/>
                <w:szCs w:val="21"/>
              </w:rPr>
              <w:t>四氯乙烷</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6.8</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21</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四氯乙烯</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1.4</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53</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22</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1,1,1-</w:t>
            </w:r>
            <w:r>
              <w:rPr>
                <w:sz w:val="21"/>
                <w:szCs w:val="21"/>
              </w:rPr>
              <w:t>三氯乙烷</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1.3</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840</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23</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1,1,2-</w:t>
            </w:r>
            <w:r>
              <w:rPr>
                <w:sz w:val="21"/>
                <w:szCs w:val="21"/>
              </w:rPr>
              <w:t>三氯乙烷</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2.8</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24</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三氯乙烯</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2.8</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25</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1,2,3-</w:t>
            </w:r>
            <w:r>
              <w:rPr>
                <w:sz w:val="21"/>
                <w:szCs w:val="21"/>
              </w:rPr>
              <w:t>三氯丙烷</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0.5</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26</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氯乙烯</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0.43</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27</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苯</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1.9</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4</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28</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氯苯</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270</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29</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w:t>
            </w:r>
            <w:r>
              <w:rPr>
                <w:sz w:val="21"/>
                <w:szCs w:val="21"/>
              </w:rPr>
              <w:t>二氯苯</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1.5</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560</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30</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1,4-</w:t>
            </w:r>
            <w:r>
              <w:rPr>
                <w:sz w:val="21"/>
                <w:szCs w:val="21"/>
              </w:rPr>
              <w:t>二氯苯</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1.5</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20</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31</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乙苯</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28</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32</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苯乙烯</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1290</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33</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甲苯</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1.3</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1200</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34</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间二甲苯</w:t>
            </w:r>
            <w:r>
              <w:rPr>
                <w:sz w:val="21"/>
                <w:szCs w:val="21"/>
              </w:rPr>
              <w:t>+</w:t>
            </w:r>
            <w:r>
              <w:rPr>
                <w:sz w:val="21"/>
                <w:szCs w:val="21"/>
              </w:rPr>
              <w:t>对二甲苯</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570</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DB7CC8">
            <w:pPr>
              <w:tabs>
                <w:tab w:val="center" w:pos="4153"/>
                <w:tab w:val="right" w:pos="8306"/>
              </w:tabs>
              <w:autoSpaceDE w:val="0"/>
              <w:autoSpaceDN w:val="0"/>
              <w:adjustRightInd w:val="0"/>
              <w:snapToGrid w:val="0"/>
              <w:spacing w:line="240" w:lineRule="auto"/>
              <w:ind w:firstLineChars="0" w:firstLine="0"/>
              <w:jc w:val="center"/>
              <w:rPr>
                <w:sz w:val="21"/>
                <w:szCs w:val="21"/>
              </w:rPr>
            </w:pP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邻二甲苯</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640</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8609" w:type="dxa"/>
            <w:gridSpan w:val="8"/>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半挥发性有机物</w:t>
            </w:r>
            <w:r>
              <w:rPr>
                <w:sz w:val="21"/>
                <w:szCs w:val="21"/>
              </w:rPr>
              <w:t xml:space="preserve">  </w:t>
            </w:r>
            <w:r>
              <w:rPr>
                <w:sz w:val="21"/>
                <w:szCs w:val="21"/>
              </w:rPr>
              <w:t>单位</w:t>
            </w:r>
            <w:r>
              <w:rPr>
                <w:sz w:val="21"/>
                <w:szCs w:val="21"/>
              </w:rPr>
              <w:t>mg/kg</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35</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硝基苯</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0.09</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76</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36</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苯胺</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260</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37</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w:t>
            </w:r>
            <w:r>
              <w:rPr>
                <w:sz w:val="21"/>
                <w:szCs w:val="21"/>
              </w:rPr>
              <w:t>氯酚</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0.06</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2256</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38</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苯并</w:t>
            </w:r>
            <w:r>
              <w:rPr>
                <w:sz w:val="21"/>
                <w:szCs w:val="21"/>
              </w:rPr>
              <w:t>[a]</w:t>
            </w:r>
            <w:r>
              <w:rPr>
                <w:sz w:val="21"/>
                <w:szCs w:val="21"/>
              </w:rPr>
              <w:t>蒽</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15</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39</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苯并</w:t>
            </w:r>
            <w:r>
              <w:rPr>
                <w:sz w:val="21"/>
                <w:szCs w:val="21"/>
              </w:rPr>
              <w:t>[a]</w:t>
            </w:r>
            <w:r>
              <w:rPr>
                <w:sz w:val="21"/>
                <w:szCs w:val="21"/>
              </w:rPr>
              <w:t>芘</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1.5</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40</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苯并</w:t>
            </w:r>
            <w:r>
              <w:rPr>
                <w:sz w:val="21"/>
                <w:szCs w:val="21"/>
              </w:rPr>
              <w:t>[b]</w:t>
            </w:r>
            <w:r>
              <w:rPr>
                <w:sz w:val="21"/>
                <w:szCs w:val="21"/>
              </w:rPr>
              <w:t>荧蒽</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15</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41</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苯并</w:t>
            </w:r>
            <w:r>
              <w:rPr>
                <w:sz w:val="21"/>
                <w:szCs w:val="21"/>
              </w:rPr>
              <w:t>[k]</w:t>
            </w:r>
            <w:r>
              <w:rPr>
                <w:sz w:val="21"/>
                <w:szCs w:val="21"/>
              </w:rPr>
              <w:t>荧蒽</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151</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42</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䓛</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1293</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43</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二苯并</w:t>
            </w:r>
            <w:r>
              <w:rPr>
                <w:sz w:val="21"/>
                <w:szCs w:val="21"/>
              </w:rPr>
              <w:t>[a,h]</w:t>
            </w:r>
            <w:r>
              <w:rPr>
                <w:sz w:val="21"/>
                <w:szCs w:val="21"/>
              </w:rPr>
              <w:t>蒽</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1.5</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lastRenderedPageBreak/>
              <w:t>44</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茚并</w:t>
            </w:r>
            <w:r>
              <w:rPr>
                <w:sz w:val="21"/>
                <w:szCs w:val="21"/>
              </w:rPr>
              <w:t>[1,2,3-cd]</w:t>
            </w:r>
            <w:r>
              <w:rPr>
                <w:sz w:val="21"/>
                <w:szCs w:val="21"/>
              </w:rPr>
              <w:t>芘</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0.1</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15</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45</w:t>
            </w:r>
          </w:p>
        </w:tc>
        <w:tc>
          <w:tcPr>
            <w:tcW w:w="1282"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萘</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0.09</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ND</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70</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8609" w:type="dxa"/>
            <w:gridSpan w:val="8"/>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特征因子</w:t>
            </w:r>
          </w:p>
        </w:tc>
      </w:tr>
      <w:tr w:rsidR="00DB7CC8">
        <w:trPr>
          <w:trHeight w:val="454"/>
          <w:jc w:val="center"/>
        </w:trPr>
        <w:tc>
          <w:tcPr>
            <w:tcW w:w="664" w:type="dxa"/>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46</w:t>
            </w:r>
          </w:p>
        </w:tc>
        <w:tc>
          <w:tcPr>
            <w:tcW w:w="1282" w:type="dxa"/>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石油烃</w:t>
            </w:r>
            <w:r>
              <w:rPr>
                <w:sz w:val="21"/>
                <w:szCs w:val="21"/>
              </w:rPr>
              <w:t>C10-C40</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6</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60</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11</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16</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4500</w:t>
            </w:r>
          </w:p>
        </w:tc>
        <w:tc>
          <w:tcPr>
            <w:tcW w:w="658" w:type="dxa"/>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否</w:t>
            </w:r>
          </w:p>
        </w:tc>
      </w:tr>
      <w:tr w:rsidR="00DB7CC8">
        <w:trPr>
          <w:trHeight w:val="454"/>
          <w:jc w:val="center"/>
        </w:trPr>
        <w:tc>
          <w:tcPr>
            <w:tcW w:w="664" w:type="dxa"/>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47</w:t>
            </w:r>
          </w:p>
        </w:tc>
        <w:tc>
          <w:tcPr>
            <w:tcW w:w="1282" w:type="dxa"/>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pH</w:t>
            </w:r>
            <w:r>
              <w:rPr>
                <w:sz w:val="21"/>
                <w:szCs w:val="21"/>
              </w:rPr>
              <w:t>（无量纲）</w:t>
            </w:r>
          </w:p>
        </w:tc>
        <w:tc>
          <w:tcPr>
            <w:tcW w:w="83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w:t>
            </w:r>
          </w:p>
        </w:tc>
        <w:tc>
          <w:tcPr>
            <w:tcW w:w="1356"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9.37</w:t>
            </w:r>
          </w:p>
        </w:tc>
        <w:tc>
          <w:tcPr>
            <w:tcW w:w="1470"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9.39</w:t>
            </w:r>
          </w:p>
        </w:tc>
        <w:tc>
          <w:tcPr>
            <w:tcW w:w="1471"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rFonts w:hint="eastAsia"/>
                <w:sz w:val="21"/>
                <w:szCs w:val="21"/>
              </w:rPr>
              <w:t>9.16</w:t>
            </w:r>
          </w:p>
        </w:tc>
        <w:tc>
          <w:tcPr>
            <w:tcW w:w="87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w:t>
            </w:r>
          </w:p>
        </w:tc>
        <w:tc>
          <w:tcPr>
            <w:tcW w:w="658" w:type="dxa"/>
            <w:vAlign w:val="center"/>
          </w:tcPr>
          <w:p w:rsidR="00DB7CC8" w:rsidRDefault="002B5250">
            <w:pPr>
              <w:tabs>
                <w:tab w:val="center" w:pos="4153"/>
                <w:tab w:val="right" w:pos="8306"/>
              </w:tabs>
              <w:autoSpaceDE w:val="0"/>
              <w:autoSpaceDN w:val="0"/>
              <w:adjustRightInd w:val="0"/>
              <w:snapToGrid w:val="0"/>
              <w:spacing w:line="240" w:lineRule="auto"/>
              <w:ind w:firstLineChars="0" w:firstLine="0"/>
              <w:jc w:val="center"/>
              <w:rPr>
                <w:sz w:val="21"/>
                <w:szCs w:val="21"/>
              </w:rPr>
            </w:pPr>
            <w:r>
              <w:rPr>
                <w:sz w:val="21"/>
                <w:szCs w:val="21"/>
              </w:rPr>
              <w:t>-</w:t>
            </w:r>
          </w:p>
        </w:tc>
      </w:tr>
    </w:tbl>
    <w:p w:rsidR="00DB7CC8" w:rsidRDefault="00DB7CC8">
      <w:pPr>
        <w:pStyle w:val="a0"/>
        <w:ind w:firstLine="560"/>
      </w:pPr>
    </w:p>
    <w:p w:rsidR="00DB7CC8" w:rsidRDefault="002B5250">
      <w:pPr>
        <w:ind w:firstLine="480"/>
        <w:rPr>
          <w:kern w:val="2"/>
          <w:sz w:val="24"/>
          <w:szCs w:val="24"/>
        </w:rPr>
      </w:pPr>
      <w:r>
        <w:rPr>
          <w:kern w:val="2"/>
          <w:sz w:val="24"/>
          <w:szCs w:val="24"/>
        </w:rPr>
        <w:t>根据上表分析可知，项目厂区监测点位土壤各监测因子监测浓度均满足《土壤环境质量建设用地土壤污染风险管控标准（试行）》（</w:t>
      </w:r>
      <w:r>
        <w:rPr>
          <w:kern w:val="2"/>
          <w:sz w:val="24"/>
          <w:szCs w:val="24"/>
        </w:rPr>
        <w:t>GB36600-2018</w:t>
      </w:r>
      <w:r>
        <w:rPr>
          <w:kern w:val="2"/>
          <w:sz w:val="24"/>
          <w:szCs w:val="24"/>
        </w:rPr>
        <w:t>）中第二类用地筛选值限值要求。</w:t>
      </w:r>
    </w:p>
    <w:p w:rsidR="00DB7CC8" w:rsidRDefault="002B5250">
      <w:pPr>
        <w:pStyle w:val="3"/>
        <w:numPr>
          <w:ilvl w:val="2"/>
          <w:numId w:val="1"/>
        </w:numPr>
        <w:rPr>
          <w:szCs w:val="28"/>
        </w:rPr>
      </w:pPr>
      <w:r>
        <w:rPr>
          <w:rFonts w:hint="eastAsia"/>
          <w:szCs w:val="28"/>
        </w:rPr>
        <w:t>包气带环境质量</w:t>
      </w:r>
    </w:p>
    <w:p w:rsidR="00DB7CC8" w:rsidRDefault="002B5250">
      <w:pPr>
        <w:ind w:firstLine="480"/>
        <w:rPr>
          <w:kern w:val="2"/>
          <w:sz w:val="24"/>
          <w:szCs w:val="24"/>
        </w:rPr>
      </w:pPr>
      <w:r>
        <w:rPr>
          <w:rFonts w:hint="eastAsia"/>
          <w:kern w:val="2"/>
          <w:sz w:val="24"/>
          <w:szCs w:val="24"/>
        </w:rPr>
        <w:t>监测单位</w:t>
      </w:r>
      <w:r>
        <w:rPr>
          <w:kern w:val="2"/>
          <w:sz w:val="24"/>
          <w:szCs w:val="24"/>
        </w:rPr>
        <w:t>于</w:t>
      </w:r>
      <w:r>
        <w:rPr>
          <w:rFonts w:hint="eastAsia"/>
          <w:kern w:val="2"/>
          <w:sz w:val="24"/>
          <w:szCs w:val="24"/>
        </w:rPr>
        <w:t>2023</w:t>
      </w:r>
      <w:r>
        <w:rPr>
          <w:kern w:val="2"/>
          <w:sz w:val="24"/>
          <w:szCs w:val="24"/>
        </w:rPr>
        <w:t>年</w:t>
      </w:r>
      <w:r>
        <w:rPr>
          <w:rFonts w:hint="eastAsia"/>
          <w:kern w:val="2"/>
          <w:sz w:val="24"/>
          <w:szCs w:val="24"/>
        </w:rPr>
        <w:t>4</w:t>
      </w:r>
      <w:r>
        <w:rPr>
          <w:kern w:val="2"/>
          <w:sz w:val="24"/>
          <w:szCs w:val="24"/>
        </w:rPr>
        <w:t>月</w:t>
      </w:r>
      <w:r>
        <w:rPr>
          <w:rFonts w:hint="eastAsia"/>
          <w:kern w:val="2"/>
          <w:sz w:val="24"/>
          <w:szCs w:val="24"/>
        </w:rPr>
        <w:t>28</w:t>
      </w:r>
      <w:r>
        <w:rPr>
          <w:kern w:val="2"/>
          <w:sz w:val="24"/>
          <w:szCs w:val="24"/>
        </w:rPr>
        <w:t>日对本项目所在区域包气带进行了现状监测。</w:t>
      </w:r>
    </w:p>
    <w:p w:rsidR="00DB7CC8" w:rsidRDefault="002B5250">
      <w:pPr>
        <w:ind w:firstLine="480"/>
        <w:rPr>
          <w:kern w:val="2"/>
          <w:sz w:val="24"/>
          <w:szCs w:val="24"/>
        </w:rPr>
      </w:pPr>
      <w:r>
        <w:rPr>
          <w:rFonts w:hint="eastAsia"/>
          <w:kern w:val="2"/>
          <w:sz w:val="24"/>
          <w:szCs w:val="24"/>
        </w:rPr>
        <w:t>（</w:t>
      </w:r>
      <w:r>
        <w:rPr>
          <w:rFonts w:hint="eastAsia"/>
          <w:kern w:val="2"/>
          <w:sz w:val="24"/>
          <w:szCs w:val="24"/>
        </w:rPr>
        <w:t>1</w:t>
      </w:r>
      <w:r>
        <w:rPr>
          <w:rFonts w:hint="eastAsia"/>
          <w:kern w:val="2"/>
          <w:sz w:val="24"/>
          <w:szCs w:val="24"/>
        </w:rPr>
        <w:t>）</w:t>
      </w:r>
      <w:r>
        <w:rPr>
          <w:kern w:val="2"/>
          <w:sz w:val="24"/>
          <w:szCs w:val="24"/>
        </w:rPr>
        <w:t>监测点位</w:t>
      </w:r>
    </w:p>
    <w:p w:rsidR="00DB7CC8" w:rsidRDefault="002B5250">
      <w:pPr>
        <w:ind w:firstLine="480"/>
        <w:rPr>
          <w:kern w:val="2"/>
          <w:sz w:val="24"/>
          <w:szCs w:val="24"/>
        </w:rPr>
      </w:pPr>
      <w:r>
        <w:rPr>
          <w:kern w:val="2"/>
          <w:sz w:val="24"/>
          <w:szCs w:val="24"/>
        </w:rPr>
        <w:t>根据项目特点，本次包气带监测共布置了</w:t>
      </w:r>
      <w:r>
        <w:rPr>
          <w:rFonts w:hint="eastAsia"/>
          <w:kern w:val="2"/>
          <w:sz w:val="24"/>
          <w:szCs w:val="24"/>
        </w:rPr>
        <w:t>4</w:t>
      </w:r>
      <w:r>
        <w:rPr>
          <w:kern w:val="2"/>
          <w:sz w:val="24"/>
          <w:szCs w:val="24"/>
        </w:rPr>
        <w:t>个监测点，</w:t>
      </w:r>
      <w:r>
        <w:rPr>
          <w:rFonts w:hint="eastAsia"/>
          <w:kern w:val="2"/>
          <w:sz w:val="24"/>
          <w:szCs w:val="24"/>
        </w:rPr>
        <w:t>在</w:t>
      </w:r>
      <w:r>
        <w:rPr>
          <w:kern w:val="2"/>
          <w:sz w:val="24"/>
          <w:szCs w:val="24"/>
        </w:rPr>
        <w:t>厂区</w:t>
      </w:r>
      <w:r>
        <w:rPr>
          <w:rFonts w:hint="eastAsia"/>
          <w:kern w:val="2"/>
          <w:sz w:val="24"/>
          <w:szCs w:val="24"/>
        </w:rPr>
        <w:t>北侧边界</w:t>
      </w:r>
      <w:r>
        <w:rPr>
          <w:kern w:val="2"/>
          <w:sz w:val="24"/>
          <w:szCs w:val="24"/>
        </w:rPr>
        <w:t>以外采集</w:t>
      </w:r>
      <w:r>
        <w:rPr>
          <w:kern w:val="2"/>
          <w:sz w:val="24"/>
          <w:szCs w:val="24"/>
        </w:rPr>
        <w:t>1</w:t>
      </w:r>
      <w:r>
        <w:rPr>
          <w:kern w:val="2"/>
          <w:sz w:val="24"/>
          <w:szCs w:val="24"/>
        </w:rPr>
        <w:t>个背景对照样</w:t>
      </w:r>
      <w:r>
        <w:rPr>
          <w:rFonts w:hint="eastAsia"/>
          <w:kern w:val="2"/>
          <w:sz w:val="24"/>
          <w:szCs w:val="24"/>
        </w:rPr>
        <w:t>，</w:t>
      </w:r>
      <w:r>
        <w:rPr>
          <w:rFonts w:hint="eastAsia"/>
          <w:kern w:val="2"/>
          <w:sz w:val="24"/>
          <w:szCs w:val="24"/>
        </w:rPr>
        <w:t>其余</w:t>
      </w:r>
      <w:r>
        <w:rPr>
          <w:rFonts w:hint="eastAsia"/>
          <w:kern w:val="2"/>
          <w:sz w:val="24"/>
          <w:szCs w:val="24"/>
        </w:rPr>
        <w:t>3</w:t>
      </w:r>
      <w:r>
        <w:rPr>
          <w:rFonts w:hint="eastAsia"/>
          <w:kern w:val="2"/>
          <w:sz w:val="24"/>
          <w:szCs w:val="24"/>
        </w:rPr>
        <w:t>个</w:t>
      </w:r>
      <w:r>
        <w:rPr>
          <w:kern w:val="2"/>
          <w:sz w:val="24"/>
          <w:szCs w:val="24"/>
        </w:rPr>
        <w:t>取样点位于</w:t>
      </w:r>
      <w:r>
        <w:rPr>
          <w:rFonts w:hint="eastAsia"/>
          <w:kern w:val="2"/>
          <w:sz w:val="24"/>
          <w:szCs w:val="24"/>
        </w:rPr>
        <w:t>破碎车间</w:t>
      </w:r>
      <w:r>
        <w:rPr>
          <w:kern w:val="2"/>
          <w:sz w:val="24"/>
          <w:szCs w:val="24"/>
        </w:rPr>
        <w:t>、</w:t>
      </w:r>
      <w:r>
        <w:rPr>
          <w:rFonts w:hint="eastAsia"/>
          <w:kern w:val="2"/>
          <w:sz w:val="24"/>
          <w:szCs w:val="24"/>
        </w:rPr>
        <w:t>球磨车间</w:t>
      </w:r>
      <w:r>
        <w:rPr>
          <w:kern w:val="2"/>
          <w:sz w:val="24"/>
          <w:szCs w:val="24"/>
        </w:rPr>
        <w:t>附近。</w:t>
      </w:r>
    </w:p>
    <w:p w:rsidR="00DB7CC8" w:rsidRDefault="002B5250">
      <w:pPr>
        <w:ind w:firstLine="480"/>
        <w:rPr>
          <w:kern w:val="2"/>
          <w:sz w:val="24"/>
          <w:szCs w:val="24"/>
        </w:rPr>
      </w:pPr>
      <w:r>
        <w:rPr>
          <w:rFonts w:hint="eastAsia"/>
          <w:kern w:val="2"/>
          <w:sz w:val="24"/>
          <w:szCs w:val="24"/>
        </w:rPr>
        <w:t>（</w:t>
      </w:r>
      <w:r>
        <w:rPr>
          <w:rFonts w:hint="eastAsia"/>
          <w:kern w:val="2"/>
          <w:sz w:val="24"/>
          <w:szCs w:val="24"/>
        </w:rPr>
        <w:t>2</w:t>
      </w:r>
      <w:r>
        <w:rPr>
          <w:rFonts w:hint="eastAsia"/>
          <w:kern w:val="2"/>
          <w:sz w:val="24"/>
          <w:szCs w:val="24"/>
        </w:rPr>
        <w:t>）</w:t>
      </w:r>
      <w:r>
        <w:rPr>
          <w:kern w:val="2"/>
          <w:sz w:val="24"/>
          <w:szCs w:val="24"/>
        </w:rPr>
        <w:t>监测时间和频次</w:t>
      </w:r>
    </w:p>
    <w:p w:rsidR="00DB7CC8" w:rsidRDefault="002B5250">
      <w:pPr>
        <w:ind w:firstLine="480"/>
        <w:rPr>
          <w:kern w:val="2"/>
          <w:sz w:val="24"/>
          <w:szCs w:val="24"/>
        </w:rPr>
      </w:pPr>
      <w:r>
        <w:rPr>
          <w:kern w:val="2"/>
          <w:sz w:val="24"/>
          <w:szCs w:val="24"/>
        </w:rPr>
        <w:t>采样监测一次</w:t>
      </w:r>
      <w:r>
        <w:rPr>
          <w:rFonts w:hint="eastAsia"/>
          <w:kern w:val="2"/>
          <w:sz w:val="24"/>
          <w:szCs w:val="24"/>
        </w:rPr>
        <w:t>，</w:t>
      </w:r>
      <w:r>
        <w:rPr>
          <w:kern w:val="2"/>
          <w:sz w:val="24"/>
          <w:szCs w:val="24"/>
        </w:rPr>
        <w:t>采样深度</w:t>
      </w:r>
      <w:r>
        <w:rPr>
          <w:kern w:val="2"/>
          <w:sz w:val="24"/>
          <w:szCs w:val="24"/>
        </w:rPr>
        <w:t xml:space="preserve">20cm </w:t>
      </w:r>
      <w:r>
        <w:rPr>
          <w:kern w:val="2"/>
          <w:sz w:val="24"/>
          <w:szCs w:val="24"/>
        </w:rPr>
        <w:t>、</w:t>
      </w:r>
      <w:r>
        <w:rPr>
          <w:rFonts w:hint="eastAsia"/>
          <w:kern w:val="2"/>
          <w:sz w:val="24"/>
          <w:szCs w:val="24"/>
        </w:rPr>
        <w:t>8</w:t>
      </w:r>
      <w:r>
        <w:rPr>
          <w:kern w:val="2"/>
          <w:sz w:val="24"/>
          <w:szCs w:val="24"/>
        </w:rPr>
        <w:t xml:space="preserve">0cm </w:t>
      </w:r>
      <w:r>
        <w:rPr>
          <w:kern w:val="2"/>
          <w:sz w:val="24"/>
          <w:szCs w:val="24"/>
        </w:rPr>
        <w:t>各取</w:t>
      </w:r>
      <w:r>
        <w:rPr>
          <w:kern w:val="2"/>
          <w:sz w:val="24"/>
          <w:szCs w:val="24"/>
        </w:rPr>
        <w:t xml:space="preserve"> 1 </w:t>
      </w:r>
      <w:r>
        <w:rPr>
          <w:kern w:val="2"/>
          <w:sz w:val="24"/>
          <w:szCs w:val="24"/>
        </w:rPr>
        <w:t>个样品。</w:t>
      </w:r>
    </w:p>
    <w:p w:rsidR="00DB7CC8" w:rsidRDefault="002B5250">
      <w:pPr>
        <w:ind w:firstLine="480"/>
        <w:rPr>
          <w:kern w:val="2"/>
          <w:sz w:val="24"/>
          <w:szCs w:val="24"/>
        </w:rPr>
      </w:pPr>
      <w:r>
        <w:rPr>
          <w:rFonts w:hint="eastAsia"/>
          <w:kern w:val="2"/>
          <w:sz w:val="24"/>
          <w:szCs w:val="24"/>
        </w:rPr>
        <w:t>（</w:t>
      </w:r>
      <w:r>
        <w:rPr>
          <w:rFonts w:hint="eastAsia"/>
          <w:kern w:val="2"/>
          <w:sz w:val="24"/>
          <w:szCs w:val="24"/>
        </w:rPr>
        <w:t>3</w:t>
      </w:r>
      <w:r>
        <w:rPr>
          <w:rFonts w:hint="eastAsia"/>
          <w:kern w:val="2"/>
          <w:sz w:val="24"/>
          <w:szCs w:val="24"/>
        </w:rPr>
        <w:t>）</w:t>
      </w:r>
      <w:r>
        <w:rPr>
          <w:kern w:val="2"/>
          <w:sz w:val="24"/>
          <w:szCs w:val="24"/>
        </w:rPr>
        <w:t>包气带监测项目</w:t>
      </w:r>
    </w:p>
    <w:p w:rsidR="00DB7CC8" w:rsidRDefault="002B5250">
      <w:pPr>
        <w:ind w:firstLine="480"/>
        <w:rPr>
          <w:kern w:val="2"/>
          <w:sz w:val="24"/>
          <w:szCs w:val="24"/>
        </w:rPr>
      </w:pPr>
      <w:r>
        <w:rPr>
          <w:rFonts w:hint="eastAsia"/>
          <w:kern w:val="2"/>
          <w:sz w:val="24"/>
          <w:szCs w:val="24"/>
        </w:rPr>
        <w:t>石油类。</w:t>
      </w:r>
    </w:p>
    <w:p w:rsidR="00DB7CC8" w:rsidRDefault="002B5250">
      <w:pPr>
        <w:ind w:firstLine="480"/>
        <w:rPr>
          <w:kern w:val="2"/>
          <w:sz w:val="24"/>
          <w:szCs w:val="24"/>
        </w:rPr>
      </w:pPr>
      <w:r>
        <w:rPr>
          <w:rFonts w:hint="eastAsia"/>
          <w:kern w:val="2"/>
          <w:sz w:val="24"/>
          <w:szCs w:val="24"/>
        </w:rPr>
        <w:t>（</w:t>
      </w:r>
      <w:r>
        <w:rPr>
          <w:rFonts w:hint="eastAsia"/>
          <w:kern w:val="2"/>
          <w:sz w:val="24"/>
          <w:szCs w:val="24"/>
        </w:rPr>
        <w:t>4</w:t>
      </w:r>
      <w:r>
        <w:rPr>
          <w:rFonts w:hint="eastAsia"/>
          <w:kern w:val="2"/>
          <w:sz w:val="24"/>
          <w:szCs w:val="24"/>
        </w:rPr>
        <w:t>）</w:t>
      </w:r>
      <w:r>
        <w:rPr>
          <w:kern w:val="2"/>
          <w:sz w:val="24"/>
          <w:szCs w:val="24"/>
        </w:rPr>
        <w:t>浸溶液分析</w:t>
      </w:r>
    </w:p>
    <w:p w:rsidR="00DB7CC8" w:rsidRDefault="002B5250">
      <w:pPr>
        <w:ind w:firstLine="480"/>
        <w:rPr>
          <w:kern w:val="2"/>
          <w:sz w:val="24"/>
          <w:szCs w:val="24"/>
        </w:rPr>
      </w:pPr>
      <w:r>
        <w:rPr>
          <w:kern w:val="2"/>
          <w:sz w:val="24"/>
          <w:szCs w:val="24"/>
        </w:rPr>
        <w:t>对取样的土壤进行浸溶实验，样品参照《固体废物浸出毒性浸出方法</w:t>
      </w:r>
      <w:r>
        <w:rPr>
          <w:kern w:val="2"/>
          <w:sz w:val="24"/>
          <w:szCs w:val="24"/>
        </w:rPr>
        <w:t>-</w:t>
      </w:r>
      <w:r>
        <w:rPr>
          <w:kern w:val="2"/>
          <w:sz w:val="24"/>
          <w:szCs w:val="24"/>
        </w:rPr>
        <w:t>水平震荡法》</w:t>
      </w:r>
      <w:r>
        <w:rPr>
          <w:kern w:val="2"/>
          <w:sz w:val="24"/>
          <w:szCs w:val="24"/>
        </w:rPr>
        <w:t xml:space="preserve">(GB557-2010) </w:t>
      </w:r>
      <w:r>
        <w:rPr>
          <w:kern w:val="2"/>
          <w:sz w:val="24"/>
          <w:szCs w:val="24"/>
        </w:rPr>
        <w:t>浸溶处理。</w:t>
      </w:r>
    </w:p>
    <w:p w:rsidR="00DB7CC8" w:rsidRDefault="002B5250">
      <w:pPr>
        <w:ind w:firstLine="480"/>
        <w:rPr>
          <w:kern w:val="2"/>
          <w:sz w:val="24"/>
          <w:szCs w:val="24"/>
        </w:rPr>
      </w:pPr>
      <w:r>
        <w:rPr>
          <w:rFonts w:hint="eastAsia"/>
          <w:kern w:val="2"/>
          <w:sz w:val="24"/>
          <w:szCs w:val="24"/>
        </w:rPr>
        <w:t>（</w:t>
      </w:r>
      <w:r>
        <w:rPr>
          <w:rFonts w:hint="eastAsia"/>
          <w:kern w:val="2"/>
          <w:sz w:val="24"/>
          <w:szCs w:val="24"/>
        </w:rPr>
        <w:t>5</w:t>
      </w:r>
      <w:r>
        <w:rPr>
          <w:rFonts w:hint="eastAsia"/>
          <w:kern w:val="2"/>
          <w:sz w:val="24"/>
          <w:szCs w:val="24"/>
        </w:rPr>
        <w:t>）</w:t>
      </w:r>
      <w:r>
        <w:rPr>
          <w:kern w:val="2"/>
          <w:sz w:val="24"/>
          <w:szCs w:val="24"/>
        </w:rPr>
        <w:t>监测与评价结果</w:t>
      </w:r>
    </w:p>
    <w:p w:rsidR="00DB7CC8" w:rsidRDefault="002B5250">
      <w:pPr>
        <w:ind w:firstLine="480"/>
        <w:rPr>
          <w:kern w:val="2"/>
          <w:sz w:val="24"/>
          <w:szCs w:val="24"/>
        </w:rPr>
      </w:pPr>
      <w:r>
        <w:rPr>
          <w:rFonts w:hint="eastAsia"/>
          <w:kern w:val="2"/>
          <w:sz w:val="24"/>
          <w:szCs w:val="24"/>
        </w:rPr>
        <w:t>包气带浸出液石油类均未检出</w:t>
      </w:r>
      <w:r>
        <w:rPr>
          <w:rFonts w:hint="eastAsia"/>
          <w:kern w:val="2"/>
          <w:sz w:val="24"/>
          <w:szCs w:val="24"/>
        </w:rPr>
        <w:t>，</w:t>
      </w:r>
      <w:r>
        <w:rPr>
          <w:rFonts w:hint="eastAsia"/>
          <w:kern w:val="2"/>
          <w:sz w:val="24"/>
          <w:szCs w:val="24"/>
        </w:rPr>
        <w:t>包气带未受项目污染</w:t>
      </w:r>
      <w:r>
        <w:rPr>
          <w:kern w:val="2"/>
          <w:sz w:val="24"/>
          <w:szCs w:val="24"/>
        </w:rPr>
        <w:t>，对人体健康的风险可以忽略。</w:t>
      </w:r>
    </w:p>
    <w:p w:rsidR="00DB7CC8" w:rsidRDefault="00DB7CC8">
      <w:pPr>
        <w:adjustRightInd w:val="0"/>
        <w:snapToGrid w:val="0"/>
        <w:spacing w:beforeLines="50" w:before="120"/>
        <w:ind w:firstLineChars="0" w:firstLine="0"/>
        <w:jc w:val="both"/>
        <w:textAlignment w:val="auto"/>
        <w:sectPr w:rsidR="00DB7CC8">
          <w:footerReference w:type="default" r:id="rId59"/>
          <w:pgSz w:w="11905" w:h="16838"/>
          <w:pgMar w:top="1440" w:right="1803" w:bottom="1134" w:left="1803" w:header="850" w:footer="992" w:gutter="0"/>
          <w:cols w:space="0"/>
          <w:docGrid w:linePitch="312"/>
        </w:sectPr>
      </w:pPr>
    </w:p>
    <w:p w:rsidR="00DB7CC8" w:rsidRDefault="002B5250">
      <w:pPr>
        <w:pStyle w:val="1"/>
        <w:numPr>
          <w:ilvl w:val="0"/>
          <w:numId w:val="1"/>
        </w:numPr>
        <w:rPr>
          <w:rFonts w:ascii="Times New Roman"/>
          <w:sz w:val="36"/>
        </w:rPr>
      </w:pPr>
      <w:bookmarkStart w:id="320" w:name="_Toc375206181"/>
      <w:bookmarkStart w:id="321" w:name="_Toc499651414"/>
      <w:bookmarkStart w:id="322" w:name="_Toc12271"/>
      <w:bookmarkStart w:id="323" w:name="_Toc12145"/>
      <w:bookmarkStart w:id="324" w:name="_Toc13145"/>
      <w:bookmarkStart w:id="325" w:name="_Toc19670"/>
      <w:bookmarkStart w:id="326" w:name="_Toc521591789"/>
      <w:bookmarkStart w:id="327" w:name="_Toc524285108"/>
      <w:bookmarkStart w:id="328" w:name="_Toc503218113"/>
      <w:r>
        <w:rPr>
          <w:rFonts w:ascii="Times New Roman"/>
          <w:sz w:val="36"/>
        </w:rPr>
        <w:lastRenderedPageBreak/>
        <w:t>环境影响预测与</w:t>
      </w:r>
      <w:bookmarkEnd w:id="320"/>
      <w:r>
        <w:rPr>
          <w:rFonts w:ascii="Times New Roman"/>
          <w:sz w:val="36"/>
        </w:rPr>
        <w:t>评价</w:t>
      </w:r>
      <w:bookmarkEnd w:id="321"/>
      <w:bookmarkEnd w:id="322"/>
      <w:bookmarkEnd w:id="323"/>
      <w:bookmarkEnd w:id="324"/>
      <w:bookmarkEnd w:id="325"/>
      <w:bookmarkEnd w:id="326"/>
      <w:bookmarkEnd w:id="327"/>
      <w:bookmarkEnd w:id="328"/>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329" w:name="_Toc32139"/>
      <w:bookmarkStart w:id="330" w:name="_Toc15393"/>
      <w:bookmarkStart w:id="331" w:name="_Toc521591790"/>
      <w:bookmarkStart w:id="332" w:name="_Toc499651415"/>
      <w:bookmarkStart w:id="333" w:name="_Toc375206182"/>
      <w:bookmarkStart w:id="334" w:name="_Toc503218114"/>
      <w:bookmarkStart w:id="335" w:name="_Toc8328"/>
      <w:bookmarkStart w:id="336" w:name="_Toc524285109"/>
      <w:bookmarkStart w:id="337" w:name="_Toc23811"/>
      <w:r>
        <w:rPr>
          <w:rFonts w:ascii="Times New Roman" w:eastAsia="宋体" w:hAnsi="Times New Roman"/>
          <w:bCs w:val="0"/>
          <w:snapToGrid w:val="0"/>
          <w:kern w:val="0"/>
          <w:sz w:val="28"/>
          <w:szCs w:val="28"/>
        </w:rPr>
        <w:t>施工期环境影响分析</w:t>
      </w:r>
      <w:bookmarkEnd w:id="329"/>
      <w:bookmarkEnd w:id="330"/>
      <w:bookmarkEnd w:id="331"/>
      <w:bookmarkEnd w:id="332"/>
      <w:bookmarkEnd w:id="333"/>
      <w:bookmarkEnd w:id="334"/>
      <w:bookmarkEnd w:id="335"/>
      <w:bookmarkEnd w:id="336"/>
      <w:bookmarkEnd w:id="337"/>
    </w:p>
    <w:p w:rsidR="00DB7CC8" w:rsidRDefault="002B5250">
      <w:pPr>
        <w:snapToGrid w:val="0"/>
        <w:ind w:firstLine="480"/>
        <w:jc w:val="both"/>
      </w:pPr>
      <w:r>
        <w:rPr>
          <w:rFonts w:hint="eastAsia"/>
          <w:sz w:val="24"/>
          <w:szCs w:val="24"/>
        </w:rPr>
        <w:t>本项目施工内容主要包括场地平整，主体工程土建及附属设施的建设、设备安装等，施工期间对环境的影响主要是扬尘、废水、施工噪声、建筑垃圾以及生态影响等。</w:t>
      </w:r>
    </w:p>
    <w:p w:rsidR="00DB7CC8" w:rsidRDefault="002B5250">
      <w:pPr>
        <w:pStyle w:val="3"/>
        <w:numPr>
          <w:ilvl w:val="2"/>
          <w:numId w:val="1"/>
        </w:numPr>
        <w:rPr>
          <w:szCs w:val="28"/>
        </w:rPr>
      </w:pPr>
      <w:bookmarkStart w:id="338" w:name="_Toc28501"/>
      <w:bookmarkStart w:id="339" w:name="_Toc521591791"/>
      <w:bookmarkStart w:id="340" w:name="_Hlk527093731"/>
      <w:r>
        <w:rPr>
          <w:szCs w:val="28"/>
        </w:rPr>
        <w:t>施工期大气影响分析</w:t>
      </w:r>
      <w:bookmarkEnd w:id="338"/>
      <w:bookmarkEnd w:id="339"/>
    </w:p>
    <w:p w:rsidR="00DB7CC8" w:rsidRDefault="002B5250">
      <w:pPr>
        <w:snapToGrid w:val="0"/>
        <w:ind w:firstLine="480"/>
        <w:jc w:val="both"/>
        <w:rPr>
          <w:sz w:val="24"/>
          <w:szCs w:val="24"/>
        </w:rPr>
      </w:pPr>
      <w:bookmarkStart w:id="341" w:name="_Hlk9230128"/>
      <w:r>
        <w:rPr>
          <w:rFonts w:hint="eastAsia"/>
          <w:sz w:val="24"/>
          <w:szCs w:val="24"/>
        </w:rPr>
        <w:t>项目建设施工期污染源主要由施工机械噪声、施工扬尘、运输车辆施工机械产生废气、施工废水和建筑垃圾。分析工程施工期的环境影响并提出相应的污染防治措施和管理要求，可使项目建设造成的不利影响降到最低限度。</w:t>
      </w:r>
    </w:p>
    <w:p w:rsidR="00DB7CC8" w:rsidRDefault="002B5250">
      <w:pPr>
        <w:snapToGrid w:val="0"/>
        <w:ind w:firstLine="480"/>
        <w:jc w:val="both"/>
        <w:rPr>
          <w:sz w:val="24"/>
          <w:szCs w:val="24"/>
        </w:rPr>
      </w:pPr>
      <w:r>
        <w:rPr>
          <w:rFonts w:hint="eastAsia"/>
          <w:sz w:val="24"/>
          <w:szCs w:val="24"/>
        </w:rPr>
        <w:t>本项目在现有厂区内进行建设，项目厂区内原辅材料均已进行了清理，根据土壤环境现状监测结果，项目区域土壤无超标现象，土壤环境质量状况较好。</w:t>
      </w:r>
    </w:p>
    <w:p w:rsidR="00DB7CC8" w:rsidRDefault="002B5250">
      <w:pPr>
        <w:snapToGrid w:val="0"/>
        <w:ind w:firstLine="480"/>
        <w:jc w:val="both"/>
        <w:rPr>
          <w:sz w:val="24"/>
          <w:szCs w:val="24"/>
        </w:rPr>
      </w:pPr>
      <w:r>
        <w:rPr>
          <w:rFonts w:hint="eastAsia"/>
          <w:sz w:val="24"/>
          <w:szCs w:val="24"/>
        </w:rPr>
        <w:t>（</w:t>
      </w:r>
      <w:r>
        <w:rPr>
          <w:rFonts w:hint="eastAsia"/>
          <w:sz w:val="24"/>
          <w:szCs w:val="24"/>
        </w:rPr>
        <w:t>1</w:t>
      </w:r>
      <w:r>
        <w:rPr>
          <w:rFonts w:hint="eastAsia"/>
          <w:sz w:val="24"/>
          <w:szCs w:val="24"/>
        </w:rPr>
        <w:t>）作业扬尘</w:t>
      </w:r>
    </w:p>
    <w:p w:rsidR="00DB7CC8" w:rsidRDefault="002B5250">
      <w:pPr>
        <w:snapToGrid w:val="0"/>
        <w:ind w:firstLine="480"/>
        <w:jc w:val="both"/>
        <w:rPr>
          <w:sz w:val="24"/>
          <w:szCs w:val="24"/>
        </w:rPr>
      </w:pPr>
      <w:r>
        <w:rPr>
          <w:rFonts w:hint="eastAsia"/>
          <w:sz w:val="24"/>
          <w:szCs w:val="24"/>
        </w:rPr>
        <w:t>作业扬尘的多少及影响程度的大小与施工场地条件等诸多因素有关，是一个复杂且难以定量的问题。因此本次评价通过类比现场实测资料进行综合分析，施工扬尘情况类比不同施工现场所作的扬尘实测资料，由施工现场管理经验可知，施工期扬尘污染的程度，与施工现场条件、管理水平、机械化程度以及气象条件等诸多因素有关。施工场地的扬尘影响类比北京市环科所对施工扬尘所做的实测资料及石家庄市</w:t>
      </w:r>
      <w:r>
        <w:rPr>
          <w:rFonts w:hint="eastAsia"/>
          <w:sz w:val="24"/>
          <w:szCs w:val="24"/>
        </w:rPr>
        <w:t>环境监测中心对施工场地扬尘的实测资料进行分析，监测值详见表</w:t>
      </w:r>
      <w:r>
        <w:rPr>
          <w:rFonts w:hint="eastAsia"/>
          <w:sz w:val="24"/>
          <w:szCs w:val="24"/>
        </w:rPr>
        <w:t>5.1-1</w:t>
      </w:r>
      <w:r>
        <w:rPr>
          <w:rFonts w:hint="eastAsia"/>
          <w:sz w:val="24"/>
          <w:szCs w:val="24"/>
        </w:rPr>
        <w:t>和表</w:t>
      </w:r>
      <w:r>
        <w:rPr>
          <w:rFonts w:hint="eastAsia"/>
          <w:sz w:val="24"/>
          <w:szCs w:val="24"/>
        </w:rPr>
        <w:t>5.1-2</w:t>
      </w:r>
      <w:r>
        <w:rPr>
          <w:rFonts w:hint="eastAsia"/>
          <w:sz w:val="24"/>
          <w:szCs w:val="24"/>
        </w:rPr>
        <w:t>。</w:t>
      </w:r>
    </w:p>
    <w:p w:rsidR="00DB7CC8" w:rsidRDefault="002B5250">
      <w:pPr>
        <w:adjustRightInd w:val="0"/>
        <w:snapToGrid w:val="0"/>
        <w:spacing w:line="240" w:lineRule="auto"/>
        <w:ind w:firstLineChars="0" w:firstLine="0"/>
        <w:jc w:val="center"/>
        <w:textAlignment w:val="auto"/>
        <w:rPr>
          <w:rFonts w:eastAsia="黑体"/>
          <w:bCs/>
          <w:kern w:val="2"/>
          <w:sz w:val="21"/>
          <w:szCs w:val="22"/>
        </w:rPr>
      </w:pPr>
      <w:bookmarkStart w:id="342" w:name="_Ref6902005"/>
      <w:r>
        <w:rPr>
          <w:rFonts w:eastAsia="黑体" w:hint="eastAsia"/>
          <w:bCs/>
          <w:kern w:val="2"/>
          <w:sz w:val="21"/>
          <w:szCs w:val="22"/>
        </w:rPr>
        <w:t>表</w:t>
      </w:r>
      <w:r>
        <w:rPr>
          <w:rFonts w:eastAsia="黑体" w:hint="eastAsia"/>
          <w:bCs/>
          <w:kern w:val="2"/>
          <w:sz w:val="21"/>
          <w:szCs w:val="22"/>
        </w:rPr>
        <w:t>5.1-1</w:t>
      </w:r>
      <w:bookmarkEnd w:id="342"/>
      <w:r>
        <w:rPr>
          <w:rFonts w:eastAsia="黑体"/>
          <w:bCs/>
          <w:kern w:val="2"/>
          <w:sz w:val="21"/>
          <w:szCs w:val="22"/>
        </w:rPr>
        <w:t xml:space="preserve">    </w:t>
      </w:r>
      <w:r>
        <w:rPr>
          <w:rFonts w:eastAsia="黑体" w:hint="eastAsia"/>
          <w:bCs/>
          <w:kern w:val="2"/>
          <w:sz w:val="21"/>
          <w:szCs w:val="22"/>
        </w:rPr>
        <w:t>北京某建筑施工工地扬尘监测结果</w:t>
      </w:r>
      <w:r>
        <w:rPr>
          <w:rFonts w:eastAsia="黑体"/>
          <w:bCs/>
          <w:kern w:val="2"/>
          <w:sz w:val="21"/>
          <w:szCs w:val="22"/>
        </w:rPr>
        <w:t xml:space="preserve">    </w:t>
      </w:r>
      <w:r>
        <w:rPr>
          <w:rFonts w:eastAsia="黑体" w:hint="eastAsia"/>
          <w:bCs/>
          <w:kern w:val="2"/>
          <w:sz w:val="21"/>
          <w:szCs w:val="22"/>
        </w:rPr>
        <w:t>单位：</w:t>
      </w:r>
      <w:r>
        <w:rPr>
          <w:rFonts w:eastAsia="黑体"/>
          <w:bCs/>
          <w:kern w:val="2"/>
          <w:sz w:val="21"/>
          <w:szCs w:val="22"/>
        </w:rPr>
        <w:t>mg/m³</w:t>
      </w:r>
    </w:p>
    <w:tbl>
      <w:tblPr>
        <w:tblW w:w="8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5"/>
        <w:gridCol w:w="1261"/>
        <w:gridCol w:w="9"/>
        <w:gridCol w:w="1271"/>
        <w:gridCol w:w="1270"/>
        <w:gridCol w:w="1270"/>
        <w:gridCol w:w="1275"/>
        <w:gridCol w:w="972"/>
      </w:tblGrid>
      <w:tr w:rsidR="00DB7CC8">
        <w:trPr>
          <w:trHeight w:val="58"/>
        </w:trPr>
        <w:tc>
          <w:tcPr>
            <w:tcW w:w="1025" w:type="dxa"/>
            <w:vMerge w:val="restart"/>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监测</w:t>
            </w:r>
          </w:p>
          <w:p w:rsidR="00DB7CC8" w:rsidRDefault="002B5250">
            <w:pPr>
              <w:pStyle w:val="afffffffc"/>
              <w:spacing w:line="240" w:lineRule="auto"/>
            </w:pPr>
            <w:r>
              <w:rPr>
                <w:rFonts w:hint="eastAsia"/>
              </w:rPr>
              <w:t>位置</w:t>
            </w:r>
          </w:p>
        </w:tc>
        <w:tc>
          <w:tcPr>
            <w:tcW w:w="1261" w:type="dxa"/>
            <w:vMerge w:val="restart"/>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工</w:t>
            </w:r>
            <w:r>
              <w:rPr>
                <w:rFonts w:hint="eastAsia"/>
                <w:smallCaps/>
              </w:rPr>
              <w:t>地上风向</w:t>
            </w:r>
            <w:r>
              <w:rPr>
                <w:smallCaps/>
              </w:rPr>
              <w:t>50</w:t>
            </w:r>
            <w:r>
              <w:t>m</w:t>
            </w:r>
          </w:p>
        </w:tc>
        <w:tc>
          <w:tcPr>
            <w:tcW w:w="1280" w:type="dxa"/>
            <w:gridSpan w:val="2"/>
            <w:vMerge w:val="restart"/>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工地内</w:t>
            </w:r>
          </w:p>
        </w:tc>
        <w:tc>
          <w:tcPr>
            <w:tcW w:w="3815" w:type="dxa"/>
            <w:gridSpan w:val="3"/>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工地下风向</w:t>
            </w:r>
          </w:p>
        </w:tc>
        <w:tc>
          <w:tcPr>
            <w:tcW w:w="972" w:type="dxa"/>
            <w:vMerge w:val="restart"/>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备注</w:t>
            </w:r>
          </w:p>
        </w:tc>
      </w:tr>
      <w:tr w:rsidR="00DB7CC8">
        <w:trPr>
          <w:trHeight w:val="58"/>
        </w:trPr>
        <w:tc>
          <w:tcPr>
            <w:tcW w:w="1025" w:type="dxa"/>
            <w:vMerge/>
            <w:tcBorders>
              <w:top w:val="single" w:sz="4" w:space="0" w:color="auto"/>
              <w:left w:val="single" w:sz="4" w:space="0" w:color="auto"/>
              <w:bottom w:val="single" w:sz="4" w:space="0" w:color="auto"/>
              <w:right w:val="single" w:sz="4" w:space="0" w:color="auto"/>
            </w:tcBorders>
            <w:vAlign w:val="center"/>
          </w:tcPr>
          <w:p w:rsidR="00DB7CC8" w:rsidRDefault="00DB7CC8">
            <w:pPr>
              <w:pStyle w:val="afffffffc"/>
              <w:spacing w:line="240" w:lineRule="auto"/>
              <w:rPr>
                <w:lang w:val="zh-CN" w:bidi="zh-CN"/>
              </w:rPr>
            </w:pPr>
          </w:p>
        </w:tc>
        <w:tc>
          <w:tcPr>
            <w:tcW w:w="1261" w:type="dxa"/>
            <w:vMerge/>
            <w:tcBorders>
              <w:top w:val="single" w:sz="4" w:space="0" w:color="auto"/>
              <w:left w:val="single" w:sz="4" w:space="0" w:color="auto"/>
              <w:bottom w:val="single" w:sz="4" w:space="0" w:color="auto"/>
              <w:right w:val="single" w:sz="4" w:space="0" w:color="auto"/>
            </w:tcBorders>
            <w:vAlign w:val="center"/>
          </w:tcPr>
          <w:p w:rsidR="00DB7CC8" w:rsidRDefault="00DB7CC8">
            <w:pPr>
              <w:pStyle w:val="afffffffc"/>
              <w:spacing w:line="240" w:lineRule="auto"/>
              <w:rPr>
                <w:lang w:val="zh-CN" w:bidi="zh-CN"/>
              </w:rPr>
            </w:pPr>
          </w:p>
        </w:tc>
        <w:tc>
          <w:tcPr>
            <w:tcW w:w="1280" w:type="dxa"/>
            <w:gridSpan w:val="2"/>
            <w:vMerge/>
            <w:tcBorders>
              <w:top w:val="single" w:sz="4" w:space="0" w:color="auto"/>
              <w:left w:val="single" w:sz="4" w:space="0" w:color="auto"/>
              <w:bottom w:val="single" w:sz="4" w:space="0" w:color="auto"/>
              <w:right w:val="single" w:sz="4" w:space="0" w:color="auto"/>
            </w:tcBorders>
            <w:vAlign w:val="center"/>
          </w:tcPr>
          <w:p w:rsidR="00DB7CC8" w:rsidRDefault="00DB7CC8">
            <w:pPr>
              <w:pStyle w:val="afffffffc"/>
              <w:spacing w:line="240" w:lineRule="auto"/>
              <w:rPr>
                <w:lang w:val="zh-CN" w:bidi="zh-CN"/>
              </w:rPr>
            </w:pPr>
          </w:p>
        </w:tc>
        <w:tc>
          <w:tcPr>
            <w:tcW w:w="1270"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mallCaps/>
              </w:rPr>
            </w:pPr>
            <w:r>
              <w:rPr>
                <w:smallCaps/>
              </w:rPr>
              <w:t>50</w:t>
            </w:r>
            <w:r>
              <w:t>m</w:t>
            </w:r>
          </w:p>
        </w:tc>
        <w:tc>
          <w:tcPr>
            <w:tcW w:w="1270"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mallCaps/>
              </w:rPr>
            </w:pPr>
            <w:r>
              <w:rPr>
                <w:smallCaps/>
              </w:rPr>
              <w:t>100</w:t>
            </w:r>
            <w:r>
              <w:t>m</w:t>
            </w:r>
          </w:p>
        </w:tc>
        <w:tc>
          <w:tcPr>
            <w:tcW w:w="127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mallCaps/>
              </w:rPr>
            </w:pPr>
            <w:r>
              <w:rPr>
                <w:smallCaps/>
              </w:rPr>
              <w:t>150</w:t>
            </w:r>
            <w:r>
              <w:t>m</w:t>
            </w:r>
          </w:p>
        </w:tc>
        <w:tc>
          <w:tcPr>
            <w:tcW w:w="972" w:type="dxa"/>
            <w:vMerge/>
            <w:tcBorders>
              <w:top w:val="single" w:sz="4" w:space="0" w:color="auto"/>
              <w:left w:val="single" w:sz="4" w:space="0" w:color="auto"/>
              <w:bottom w:val="single" w:sz="4" w:space="0" w:color="auto"/>
              <w:right w:val="single" w:sz="4" w:space="0" w:color="auto"/>
            </w:tcBorders>
            <w:vAlign w:val="center"/>
          </w:tcPr>
          <w:p w:rsidR="00DB7CC8" w:rsidRDefault="00DB7CC8">
            <w:pPr>
              <w:pStyle w:val="afffffffc"/>
              <w:spacing w:line="240" w:lineRule="auto"/>
              <w:rPr>
                <w:lang w:val="zh-CN" w:bidi="zh-CN"/>
              </w:rPr>
            </w:pPr>
          </w:p>
        </w:tc>
      </w:tr>
      <w:tr w:rsidR="00DB7CC8">
        <w:trPr>
          <w:trHeight w:val="58"/>
        </w:trPr>
        <w:tc>
          <w:tcPr>
            <w:tcW w:w="102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范围</w:t>
            </w:r>
          </w:p>
        </w:tc>
        <w:tc>
          <w:tcPr>
            <w:tcW w:w="1270" w:type="dxa"/>
            <w:gridSpan w:val="2"/>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0.303-0.328</w:t>
            </w:r>
          </w:p>
        </w:tc>
        <w:tc>
          <w:tcPr>
            <w:tcW w:w="1271"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0.409-0.759</w:t>
            </w:r>
          </w:p>
        </w:tc>
        <w:tc>
          <w:tcPr>
            <w:tcW w:w="1270"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0.434-0.538</w:t>
            </w:r>
          </w:p>
        </w:tc>
        <w:tc>
          <w:tcPr>
            <w:tcW w:w="1270"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0.356-0.465</w:t>
            </w:r>
          </w:p>
        </w:tc>
        <w:tc>
          <w:tcPr>
            <w:tcW w:w="127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0.309-0.336</w:t>
            </w:r>
          </w:p>
        </w:tc>
        <w:tc>
          <w:tcPr>
            <w:tcW w:w="972" w:type="dxa"/>
            <w:vMerge w:val="restart"/>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mallCaps/>
              </w:rPr>
            </w:pPr>
            <w:r>
              <w:rPr>
                <w:rFonts w:hint="eastAsia"/>
                <w:smallCaps/>
              </w:rPr>
              <w:t>平均</w:t>
            </w:r>
          </w:p>
          <w:p w:rsidR="00DB7CC8" w:rsidRDefault="002B5250">
            <w:pPr>
              <w:pStyle w:val="afffffffc"/>
              <w:spacing w:line="240" w:lineRule="auto"/>
              <w:rPr>
                <w:smallCaps/>
              </w:rPr>
            </w:pPr>
            <w:r>
              <w:rPr>
                <w:rFonts w:hint="eastAsia"/>
                <w:smallCaps/>
              </w:rPr>
              <w:t>风速</w:t>
            </w:r>
          </w:p>
          <w:p w:rsidR="00DB7CC8" w:rsidRDefault="002B5250">
            <w:pPr>
              <w:pStyle w:val="afffffffc"/>
              <w:spacing w:line="240" w:lineRule="auto"/>
            </w:pPr>
            <w:r>
              <w:rPr>
                <w:smallCaps/>
              </w:rPr>
              <w:t>2.5</w:t>
            </w:r>
            <w:r>
              <w:t>m/s</w:t>
            </w:r>
          </w:p>
        </w:tc>
      </w:tr>
      <w:tr w:rsidR="00DB7CC8">
        <w:trPr>
          <w:trHeight w:val="58"/>
        </w:trPr>
        <w:tc>
          <w:tcPr>
            <w:tcW w:w="102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平均值</w:t>
            </w:r>
          </w:p>
        </w:tc>
        <w:tc>
          <w:tcPr>
            <w:tcW w:w="1270" w:type="dxa"/>
            <w:gridSpan w:val="2"/>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0.317</w:t>
            </w:r>
          </w:p>
        </w:tc>
        <w:tc>
          <w:tcPr>
            <w:tcW w:w="1271"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0.596</w:t>
            </w:r>
          </w:p>
        </w:tc>
        <w:tc>
          <w:tcPr>
            <w:tcW w:w="1270"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0.487</w:t>
            </w:r>
          </w:p>
        </w:tc>
        <w:tc>
          <w:tcPr>
            <w:tcW w:w="1270"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0.390</w:t>
            </w:r>
          </w:p>
        </w:tc>
        <w:tc>
          <w:tcPr>
            <w:tcW w:w="127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0.322</w:t>
            </w:r>
          </w:p>
        </w:tc>
        <w:tc>
          <w:tcPr>
            <w:tcW w:w="972" w:type="dxa"/>
            <w:vMerge/>
            <w:tcBorders>
              <w:top w:val="single" w:sz="4" w:space="0" w:color="auto"/>
              <w:left w:val="single" w:sz="4" w:space="0" w:color="auto"/>
              <w:bottom w:val="single" w:sz="4" w:space="0" w:color="auto"/>
              <w:right w:val="single" w:sz="4" w:space="0" w:color="auto"/>
            </w:tcBorders>
            <w:vAlign w:val="center"/>
          </w:tcPr>
          <w:p w:rsidR="00DB7CC8" w:rsidRDefault="00DB7CC8">
            <w:pPr>
              <w:pStyle w:val="afffffffc"/>
              <w:rPr>
                <w:highlight w:val="yellow"/>
                <w:lang w:val="zh-CN" w:bidi="zh-CN"/>
              </w:rPr>
            </w:pPr>
          </w:p>
        </w:tc>
      </w:tr>
    </w:tbl>
    <w:p w:rsidR="00DB7CC8" w:rsidRDefault="002B5250">
      <w:pPr>
        <w:adjustRightInd w:val="0"/>
        <w:snapToGrid w:val="0"/>
        <w:spacing w:line="240" w:lineRule="auto"/>
        <w:ind w:firstLineChars="0" w:firstLine="0"/>
        <w:jc w:val="center"/>
        <w:textAlignment w:val="auto"/>
        <w:rPr>
          <w:rFonts w:eastAsia="黑体"/>
          <w:bCs/>
          <w:kern w:val="2"/>
          <w:sz w:val="21"/>
          <w:szCs w:val="22"/>
          <w:lang w:val="zh-CN"/>
        </w:rPr>
      </w:pPr>
      <w:bookmarkStart w:id="343" w:name="_Ref6902009"/>
      <w:r>
        <w:rPr>
          <w:rFonts w:eastAsia="黑体" w:hint="eastAsia"/>
          <w:bCs/>
          <w:kern w:val="2"/>
          <w:sz w:val="21"/>
          <w:szCs w:val="22"/>
        </w:rPr>
        <w:t>表</w:t>
      </w:r>
      <w:r>
        <w:rPr>
          <w:rFonts w:eastAsia="黑体" w:hint="eastAsia"/>
          <w:bCs/>
          <w:kern w:val="2"/>
          <w:sz w:val="21"/>
          <w:szCs w:val="22"/>
        </w:rPr>
        <w:t xml:space="preserve">5.1-2 </w:t>
      </w:r>
      <w:bookmarkEnd w:id="343"/>
      <w:r>
        <w:rPr>
          <w:rFonts w:eastAsia="黑体" w:hint="eastAsia"/>
          <w:bCs/>
          <w:kern w:val="2"/>
          <w:sz w:val="21"/>
          <w:szCs w:val="22"/>
        </w:rPr>
        <w:t xml:space="preserve"> </w:t>
      </w:r>
      <w:r>
        <w:rPr>
          <w:rFonts w:eastAsia="黑体" w:hint="eastAsia"/>
          <w:bCs/>
          <w:kern w:val="2"/>
          <w:sz w:val="21"/>
          <w:szCs w:val="22"/>
        </w:rPr>
        <w:t>石家庄市某工地建筑施工工地洒水前、后扬尘监测结果</w:t>
      </w:r>
      <w:r>
        <w:rPr>
          <w:rFonts w:eastAsia="黑体" w:hint="eastAsia"/>
          <w:bCs/>
          <w:kern w:val="2"/>
          <w:sz w:val="21"/>
          <w:szCs w:val="22"/>
        </w:rPr>
        <w:t xml:space="preserve"> </w:t>
      </w:r>
      <w:r>
        <w:rPr>
          <w:rFonts w:eastAsia="黑体" w:hint="eastAsia"/>
          <w:bCs/>
          <w:kern w:val="2"/>
          <w:sz w:val="21"/>
          <w:szCs w:val="22"/>
        </w:rPr>
        <w:t>单位：</w:t>
      </w:r>
      <w:r>
        <w:rPr>
          <w:rFonts w:eastAsia="黑体" w:hint="eastAsia"/>
          <w:bCs/>
          <w:kern w:val="2"/>
          <w:sz w:val="21"/>
          <w:szCs w:val="22"/>
        </w:rPr>
        <w:t>mg/m</w:t>
      </w:r>
      <w:r>
        <w:rPr>
          <w:rFonts w:eastAsia="黑体" w:hint="eastAsia"/>
          <w:bCs/>
          <w:kern w:val="2"/>
          <w:sz w:val="21"/>
          <w:szCs w:val="22"/>
        </w:rPr>
        <w:t>³</w:t>
      </w:r>
    </w:p>
    <w:tbl>
      <w:tblPr>
        <w:tblW w:w="8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2"/>
        <w:gridCol w:w="859"/>
        <w:gridCol w:w="858"/>
        <w:gridCol w:w="858"/>
        <w:gridCol w:w="858"/>
        <w:gridCol w:w="858"/>
        <w:gridCol w:w="858"/>
        <w:gridCol w:w="792"/>
      </w:tblGrid>
      <w:tr w:rsidR="00DB7CC8">
        <w:trPr>
          <w:trHeight w:val="353"/>
        </w:trPr>
        <w:tc>
          <w:tcPr>
            <w:tcW w:w="2312"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距工地距离（</w:t>
            </w:r>
            <w:r>
              <w:t>m</w:t>
            </w:r>
            <w:r>
              <w:rPr>
                <w:rFonts w:hint="eastAsia"/>
              </w:rPr>
              <w:t>）</w:t>
            </w:r>
          </w:p>
        </w:tc>
        <w:tc>
          <w:tcPr>
            <w:tcW w:w="859"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10</w:t>
            </w:r>
          </w:p>
        </w:tc>
        <w:tc>
          <w:tcPr>
            <w:tcW w:w="858"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20</w:t>
            </w:r>
          </w:p>
        </w:tc>
        <w:tc>
          <w:tcPr>
            <w:tcW w:w="858"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30</w:t>
            </w:r>
          </w:p>
        </w:tc>
        <w:tc>
          <w:tcPr>
            <w:tcW w:w="858"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40</w:t>
            </w:r>
          </w:p>
        </w:tc>
        <w:tc>
          <w:tcPr>
            <w:tcW w:w="858"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50</w:t>
            </w:r>
          </w:p>
        </w:tc>
        <w:tc>
          <w:tcPr>
            <w:tcW w:w="858"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100</w:t>
            </w:r>
          </w:p>
        </w:tc>
        <w:tc>
          <w:tcPr>
            <w:tcW w:w="792"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pPr>
            <w:r>
              <w:rPr>
                <w:rFonts w:hint="eastAsia"/>
              </w:rPr>
              <w:t>备注</w:t>
            </w:r>
          </w:p>
        </w:tc>
      </w:tr>
      <w:tr w:rsidR="00DB7CC8">
        <w:trPr>
          <w:trHeight w:val="353"/>
        </w:trPr>
        <w:tc>
          <w:tcPr>
            <w:tcW w:w="2312"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洒水前</w:t>
            </w:r>
          </w:p>
        </w:tc>
        <w:tc>
          <w:tcPr>
            <w:tcW w:w="859"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lang w:val="de-DE"/>
              </w:rPr>
            </w:pPr>
            <w:r>
              <w:rPr>
                <w:lang w:val="de-DE"/>
              </w:rPr>
              <w:t>1.75</w:t>
            </w:r>
          </w:p>
        </w:tc>
        <w:tc>
          <w:tcPr>
            <w:tcW w:w="858"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lang w:val="zh-CN"/>
              </w:rPr>
            </w:pPr>
            <w:r>
              <w:t>1.30</w:t>
            </w:r>
          </w:p>
        </w:tc>
        <w:tc>
          <w:tcPr>
            <w:tcW w:w="858"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0.780</w:t>
            </w:r>
          </w:p>
        </w:tc>
        <w:tc>
          <w:tcPr>
            <w:tcW w:w="858"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0.365</w:t>
            </w:r>
          </w:p>
        </w:tc>
        <w:tc>
          <w:tcPr>
            <w:tcW w:w="858"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0.345</w:t>
            </w:r>
          </w:p>
        </w:tc>
        <w:tc>
          <w:tcPr>
            <w:tcW w:w="858"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0.330</w:t>
            </w:r>
          </w:p>
        </w:tc>
        <w:tc>
          <w:tcPr>
            <w:tcW w:w="792" w:type="dxa"/>
            <w:vMerge w:val="restart"/>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pPr>
            <w:r>
              <w:rPr>
                <w:rFonts w:hint="eastAsia"/>
              </w:rPr>
              <w:t>春季</w:t>
            </w:r>
          </w:p>
          <w:p w:rsidR="00DB7CC8" w:rsidRDefault="002B5250">
            <w:pPr>
              <w:pStyle w:val="afffffffc"/>
            </w:pPr>
            <w:r>
              <w:rPr>
                <w:rFonts w:hint="eastAsia"/>
              </w:rPr>
              <w:t>监测</w:t>
            </w:r>
          </w:p>
        </w:tc>
      </w:tr>
      <w:tr w:rsidR="00DB7CC8">
        <w:trPr>
          <w:trHeight w:val="353"/>
        </w:trPr>
        <w:tc>
          <w:tcPr>
            <w:tcW w:w="2312"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洒水后</w:t>
            </w:r>
          </w:p>
        </w:tc>
        <w:tc>
          <w:tcPr>
            <w:tcW w:w="859"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0.437</w:t>
            </w:r>
          </w:p>
        </w:tc>
        <w:tc>
          <w:tcPr>
            <w:tcW w:w="858"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0.350</w:t>
            </w:r>
          </w:p>
        </w:tc>
        <w:tc>
          <w:tcPr>
            <w:tcW w:w="858"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0.310</w:t>
            </w:r>
          </w:p>
        </w:tc>
        <w:tc>
          <w:tcPr>
            <w:tcW w:w="858"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0.265</w:t>
            </w:r>
          </w:p>
        </w:tc>
        <w:tc>
          <w:tcPr>
            <w:tcW w:w="858"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0.250</w:t>
            </w:r>
          </w:p>
        </w:tc>
        <w:tc>
          <w:tcPr>
            <w:tcW w:w="858"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0.238</w:t>
            </w:r>
          </w:p>
        </w:tc>
        <w:tc>
          <w:tcPr>
            <w:tcW w:w="792" w:type="dxa"/>
            <w:vMerge/>
            <w:tcBorders>
              <w:top w:val="single" w:sz="4" w:space="0" w:color="auto"/>
              <w:left w:val="single" w:sz="4" w:space="0" w:color="auto"/>
              <w:bottom w:val="single" w:sz="4" w:space="0" w:color="auto"/>
              <w:right w:val="single" w:sz="4" w:space="0" w:color="auto"/>
            </w:tcBorders>
            <w:vAlign w:val="center"/>
          </w:tcPr>
          <w:p w:rsidR="00DB7CC8" w:rsidRDefault="00DB7CC8">
            <w:pPr>
              <w:pStyle w:val="afffffffc"/>
              <w:rPr>
                <w:highlight w:val="yellow"/>
                <w:lang w:val="zh-CN" w:bidi="zh-CN"/>
              </w:rPr>
            </w:pPr>
          </w:p>
        </w:tc>
      </w:tr>
    </w:tbl>
    <w:p w:rsidR="00DB7CC8" w:rsidRDefault="002B5250">
      <w:pPr>
        <w:snapToGrid w:val="0"/>
        <w:ind w:firstLine="480"/>
        <w:jc w:val="both"/>
        <w:rPr>
          <w:sz w:val="24"/>
          <w:szCs w:val="24"/>
          <w:lang w:val="zh-CN"/>
        </w:rPr>
      </w:pPr>
      <w:r>
        <w:rPr>
          <w:rFonts w:hint="eastAsia"/>
          <w:sz w:val="24"/>
          <w:szCs w:val="24"/>
        </w:rPr>
        <w:t>由以上两表可以看出，距离施工场地越近，空气中扬尘浓度越大，当风力在</w:t>
      </w:r>
      <w:r>
        <w:rPr>
          <w:rFonts w:hint="eastAsia"/>
          <w:sz w:val="24"/>
          <w:szCs w:val="24"/>
        </w:rPr>
        <w:t>2.5m/s</w:t>
      </w:r>
      <w:r>
        <w:rPr>
          <w:rFonts w:hint="eastAsia"/>
          <w:sz w:val="24"/>
          <w:szCs w:val="24"/>
        </w:rPr>
        <w:t>时，工地内的</w:t>
      </w:r>
      <w:r>
        <w:rPr>
          <w:rFonts w:hint="eastAsia"/>
          <w:sz w:val="24"/>
          <w:szCs w:val="24"/>
        </w:rPr>
        <w:t>TSP</w:t>
      </w:r>
      <w:r>
        <w:rPr>
          <w:rFonts w:hint="eastAsia"/>
          <w:sz w:val="24"/>
          <w:szCs w:val="24"/>
        </w:rPr>
        <w:t>浓度为上风向对照点的</w:t>
      </w:r>
      <w:r>
        <w:rPr>
          <w:rFonts w:hint="eastAsia"/>
          <w:sz w:val="24"/>
          <w:szCs w:val="24"/>
        </w:rPr>
        <w:t>1.85</w:t>
      </w:r>
      <w:r>
        <w:rPr>
          <w:rFonts w:hint="eastAsia"/>
          <w:sz w:val="24"/>
          <w:szCs w:val="24"/>
        </w:rPr>
        <w:t>倍，</w:t>
      </w:r>
      <w:r>
        <w:rPr>
          <w:rFonts w:hint="eastAsia"/>
          <w:sz w:val="24"/>
          <w:szCs w:val="24"/>
        </w:rPr>
        <w:t>150</w:t>
      </w:r>
      <w:r>
        <w:rPr>
          <w:rFonts w:hint="eastAsia"/>
          <w:sz w:val="24"/>
          <w:szCs w:val="24"/>
        </w:rPr>
        <w:t>米以外的环境受影响程度较低。对施工场地实施洒水降尘措施后，可明显地降低施工场地周围环</w:t>
      </w:r>
      <w:r>
        <w:rPr>
          <w:rFonts w:hint="eastAsia"/>
          <w:sz w:val="24"/>
          <w:szCs w:val="24"/>
        </w:rPr>
        <w:lastRenderedPageBreak/>
        <w:t>境空气的粉尘浓度。</w:t>
      </w:r>
    </w:p>
    <w:p w:rsidR="00DB7CC8" w:rsidRDefault="002B5250">
      <w:pPr>
        <w:snapToGrid w:val="0"/>
        <w:ind w:firstLine="480"/>
        <w:jc w:val="both"/>
        <w:rPr>
          <w:sz w:val="24"/>
          <w:szCs w:val="24"/>
        </w:rPr>
      </w:pPr>
      <w:r>
        <w:rPr>
          <w:rFonts w:hint="eastAsia"/>
          <w:sz w:val="24"/>
          <w:szCs w:val="24"/>
        </w:rPr>
        <w:t>本项目</w:t>
      </w:r>
      <w:r>
        <w:rPr>
          <w:rFonts w:hint="eastAsia"/>
          <w:sz w:val="24"/>
          <w:szCs w:val="24"/>
        </w:rPr>
        <w:t>150m</w:t>
      </w:r>
      <w:r>
        <w:rPr>
          <w:rFonts w:hint="eastAsia"/>
          <w:sz w:val="24"/>
          <w:szCs w:val="24"/>
        </w:rPr>
        <w:t>范围内没有居民住宅等敏感点，结合《国务院关于印发大气污染防治行动计划的通知》</w:t>
      </w:r>
      <w:r>
        <w:rPr>
          <w:rFonts w:hint="eastAsia"/>
          <w:sz w:val="24"/>
          <w:szCs w:val="24"/>
        </w:rPr>
        <w:t>(</w:t>
      </w:r>
      <w:r>
        <w:rPr>
          <w:rFonts w:hint="eastAsia"/>
          <w:sz w:val="24"/>
          <w:szCs w:val="24"/>
        </w:rPr>
        <w:t>国发</w:t>
      </w:r>
      <w:r>
        <w:rPr>
          <w:rFonts w:hint="eastAsia"/>
          <w:sz w:val="24"/>
          <w:szCs w:val="24"/>
        </w:rPr>
        <w:t>[2013]37</w:t>
      </w:r>
      <w:r>
        <w:rPr>
          <w:rFonts w:hint="eastAsia"/>
          <w:sz w:val="24"/>
          <w:szCs w:val="24"/>
        </w:rPr>
        <w:t>号</w:t>
      </w:r>
      <w:r>
        <w:rPr>
          <w:rFonts w:hint="eastAsia"/>
          <w:sz w:val="24"/>
          <w:szCs w:val="24"/>
        </w:rPr>
        <w:t>)</w:t>
      </w:r>
      <w:r>
        <w:rPr>
          <w:rFonts w:hint="eastAsia"/>
          <w:sz w:val="24"/>
          <w:szCs w:val="24"/>
        </w:rPr>
        <w:t>、《河北省大气污染防治行动计划实施方案》、《河北省住房和城乡建设厅关于印发全省建筑施工扬尘治理实施意见的</w:t>
      </w:r>
      <w:r>
        <w:rPr>
          <w:rFonts w:hint="eastAsia"/>
          <w:sz w:val="24"/>
          <w:szCs w:val="24"/>
        </w:rPr>
        <w:t>通知》</w:t>
      </w:r>
      <w:r>
        <w:rPr>
          <w:rFonts w:hint="eastAsia"/>
          <w:sz w:val="24"/>
          <w:szCs w:val="24"/>
        </w:rPr>
        <w:t>(</w:t>
      </w:r>
      <w:r>
        <w:rPr>
          <w:rFonts w:hint="eastAsia"/>
          <w:sz w:val="24"/>
          <w:szCs w:val="24"/>
        </w:rPr>
        <w:t>冀建办安</w:t>
      </w:r>
      <w:r>
        <w:rPr>
          <w:rFonts w:hint="eastAsia"/>
          <w:sz w:val="24"/>
          <w:szCs w:val="24"/>
        </w:rPr>
        <w:t>[2013]33</w:t>
      </w:r>
      <w:r>
        <w:rPr>
          <w:rFonts w:hint="eastAsia"/>
          <w:sz w:val="24"/>
          <w:szCs w:val="24"/>
        </w:rPr>
        <w:t>号</w:t>
      </w:r>
      <w:r>
        <w:rPr>
          <w:rFonts w:hint="eastAsia"/>
          <w:sz w:val="24"/>
          <w:szCs w:val="24"/>
        </w:rPr>
        <w:t>)</w:t>
      </w:r>
      <w:r>
        <w:rPr>
          <w:rFonts w:hint="eastAsia"/>
          <w:sz w:val="24"/>
          <w:szCs w:val="24"/>
        </w:rPr>
        <w:t>、《河北省建筑施工</w:t>
      </w:r>
      <w:r>
        <w:rPr>
          <w:rFonts w:hint="eastAsia"/>
          <w:sz w:val="24"/>
          <w:szCs w:val="24"/>
        </w:rPr>
        <w:t>扬尘防治新</w:t>
      </w:r>
      <w:r>
        <w:rPr>
          <w:rFonts w:hint="eastAsia"/>
          <w:sz w:val="24"/>
          <w:szCs w:val="24"/>
        </w:rPr>
        <w:t>18</w:t>
      </w:r>
      <w:r>
        <w:rPr>
          <w:rFonts w:hint="eastAsia"/>
          <w:sz w:val="24"/>
          <w:szCs w:val="24"/>
        </w:rPr>
        <w:t>条标准》、</w:t>
      </w:r>
      <w:r>
        <w:rPr>
          <w:sz w:val="24"/>
          <w:szCs w:val="24"/>
        </w:rPr>
        <w:t>《</w:t>
      </w:r>
      <w:r>
        <w:rPr>
          <w:rFonts w:hint="eastAsia"/>
          <w:sz w:val="24"/>
          <w:szCs w:val="24"/>
        </w:rPr>
        <w:t>河北省</w:t>
      </w:r>
      <w:r>
        <w:rPr>
          <w:rFonts w:hint="eastAsia"/>
          <w:sz w:val="24"/>
          <w:szCs w:val="24"/>
        </w:rPr>
        <w:t>2022</w:t>
      </w:r>
      <w:r>
        <w:rPr>
          <w:rFonts w:hint="eastAsia"/>
          <w:sz w:val="24"/>
          <w:szCs w:val="24"/>
        </w:rPr>
        <w:t>年建筑施工扬尘污染防治工作方案</w:t>
      </w:r>
      <w:r>
        <w:rPr>
          <w:sz w:val="24"/>
          <w:szCs w:val="24"/>
        </w:rPr>
        <w:t>》</w:t>
      </w:r>
      <w:r>
        <w:rPr>
          <w:sz w:val="24"/>
          <w:szCs w:val="24"/>
        </w:rPr>
        <w:t>(</w:t>
      </w:r>
      <w:r>
        <w:rPr>
          <w:rFonts w:hint="eastAsia"/>
          <w:sz w:val="24"/>
          <w:szCs w:val="24"/>
        </w:rPr>
        <w:t>冀建质安</w:t>
      </w:r>
      <w:r>
        <w:rPr>
          <w:sz w:val="24"/>
          <w:szCs w:val="24"/>
        </w:rPr>
        <w:t>函</w:t>
      </w:r>
      <w:r>
        <w:rPr>
          <w:sz w:val="24"/>
          <w:szCs w:val="24"/>
        </w:rPr>
        <w:t>[20</w:t>
      </w:r>
      <w:r>
        <w:rPr>
          <w:rFonts w:hint="eastAsia"/>
          <w:sz w:val="24"/>
          <w:szCs w:val="24"/>
        </w:rPr>
        <w:t>22</w:t>
      </w:r>
      <w:r>
        <w:rPr>
          <w:sz w:val="24"/>
          <w:szCs w:val="24"/>
        </w:rPr>
        <w:t>]</w:t>
      </w:r>
      <w:r>
        <w:rPr>
          <w:rFonts w:hint="eastAsia"/>
          <w:sz w:val="24"/>
          <w:szCs w:val="24"/>
        </w:rPr>
        <w:t>149</w:t>
      </w:r>
      <w:r>
        <w:rPr>
          <w:sz w:val="24"/>
          <w:szCs w:val="24"/>
        </w:rPr>
        <w:t>号</w:t>
      </w:r>
      <w:r>
        <w:rPr>
          <w:sz w:val="24"/>
          <w:szCs w:val="24"/>
        </w:rPr>
        <w:t>)</w:t>
      </w:r>
      <w:r>
        <w:rPr>
          <w:rFonts w:hint="eastAsia"/>
          <w:sz w:val="24"/>
          <w:szCs w:val="24"/>
        </w:rPr>
        <w:t>、</w:t>
      </w:r>
      <w:r>
        <w:rPr>
          <w:rFonts w:hint="eastAsia"/>
          <w:sz w:val="24"/>
          <w:szCs w:val="24"/>
        </w:rPr>
        <w:t>《唐山市大气污染防治攻坚行动实施方</w:t>
      </w:r>
      <w:r>
        <w:rPr>
          <w:rFonts w:hint="eastAsia"/>
          <w:sz w:val="24"/>
          <w:szCs w:val="24"/>
        </w:rPr>
        <w:t>案》（</w:t>
      </w:r>
      <w:r>
        <w:rPr>
          <w:rFonts w:hint="eastAsia"/>
          <w:sz w:val="24"/>
          <w:szCs w:val="24"/>
        </w:rPr>
        <w:t>2013-2017</w:t>
      </w:r>
      <w:r>
        <w:rPr>
          <w:rFonts w:hint="eastAsia"/>
          <w:sz w:val="24"/>
          <w:szCs w:val="24"/>
        </w:rPr>
        <w:t>年）等有关文件要求，为减轻项目施工对周围环境的影响，拟采取如下措施：</w:t>
      </w:r>
    </w:p>
    <w:p w:rsidR="00DB7CC8" w:rsidRDefault="002B5250">
      <w:pPr>
        <w:snapToGrid w:val="0"/>
        <w:ind w:firstLine="480"/>
        <w:jc w:val="both"/>
        <w:rPr>
          <w:sz w:val="24"/>
          <w:szCs w:val="24"/>
        </w:rPr>
      </w:pPr>
      <w:r>
        <w:rPr>
          <w:rFonts w:hint="eastAsia"/>
          <w:sz w:val="24"/>
          <w:szCs w:val="24"/>
        </w:rPr>
        <w:t>a.</w:t>
      </w:r>
      <w:r>
        <w:rPr>
          <w:rFonts w:hint="eastAsia"/>
          <w:sz w:val="24"/>
          <w:szCs w:val="24"/>
        </w:rPr>
        <w:t>强化施工工地监管，施工现场全封闭设置围挡墙，严禁敞开式作业，施工现场道路、作业区、生活区进行地面硬化，堆场封闭储存或建设防风抑尘设施。</w:t>
      </w:r>
    </w:p>
    <w:p w:rsidR="00DB7CC8" w:rsidRDefault="002B5250">
      <w:pPr>
        <w:snapToGrid w:val="0"/>
        <w:ind w:firstLine="480"/>
        <w:jc w:val="both"/>
        <w:rPr>
          <w:sz w:val="24"/>
          <w:szCs w:val="24"/>
        </w:rPr>
      </w:pPr>
      <w:r>
        <w:rPr>
          <w:rFonts w:hint="eastAsia"/>
          <w:sz w:val="24"/>
          <w:szCs w:val="24"/>
        </w:rPr>
        <w:t>b.</w:t>
      </w:r>
      <w:r>
        <w:rPr>
          <w:rFonts w:hint="eastAsia"/>
          <w:sz w:val="24"/>
          <w:szCs w:val="24"/>
        </w:rPr>
        <w:t>施工现场必须设置硬质围挡，严禁围挡不严或敞开式施工。</w:t>
      </w:r>
    </w:p>
    <w:p w:rsidR="00DB7CC8" w:rsidRDefault="002B5250">
      <w:pPr>
        <w:snapToGrid w:val="0"/>
        <w:ind w:firstLine="480"/>
        <w:jc w:val="both"/>
        <w:rPr>
          <w:sz w:val="24"/>
          <w:szCs w:val="24"/>
        </w:rPr>
      </w:pPr>
      <w:r>
        <w:rPr>
          <w:rFonts w:hint="eastAsia"/>
          <w:sz w:val="24"/>
          <w:szCs w:val="24"/>
        </w:rPr>
        <w:t>c.</w:t>
      </w:r>
      <w:r>
        <w:rPr>
          <w:rFonts w:hint="eastAsia"/>
          <w:sz w:val="24"/>
          <w:szCs w:val="24"/>
        </w:rPr>
        <w:t>施工现场出入口和场内主要道路混凝土硬化，硬化后的地面应清扫整洁无浮土、积土，严禁使用其他软质材料铺设。施工现场出入口必须配备车辆冲洗设施，建立冲洗制度并设专人管理，严禁车辆带泥上路。</w:t>
      </w:r>
    </w:p>
    <w:p w:rsidR="00DB7CC8" w:rsidRDefault="002B5250">
      <w:pPr>
        <w:snapToGrid w:val="0"/>
        <w:ind w:firstLine="480"/>
        <w:jc w:val="both"/>
        <w:rPr>
          <w:sz w:val="24"/>
          <w:szCs w:val="24"/>
        </w:rPr>
      </w:pPr>
      <w:r>
        <w:rPr>
          <w:rFonts w:hint="eastAsia"/>
          <w:sz w:val="24"/>
          <w:szCs w:val="24"/>
        </w:rPr>
        <w:t>d.</w:t>
      </w:r>
      <w:r>
        <w:rPr>
          <w:rFonts w:hint="eastAsia"/>
          <w:sz w:val="24"/>
          <w:szCs w:val="24"/>
        </w:rPr>
        <w:t>施工现场集中堆放的土方和裸露场地采取覆盖、固化或绿化等降尘措施，严禁裸露。</w:t>
      </w:r>
    </w:p>
    <w:p w:rsidR="00DB7CC8" w:rsidRDefault="002B5250">
      <w:pPr>
        <w:snapToGrid w:val="0"/>
        <w:ind w:firstLine="480"/>
        <w:jc w:val="both"/>
        <w:rPr>
          <w:sz w:val="24"/>
          <w:szCs w:val="24"/>
        </w:rPr>
      </w:pPr>
      <w:r>
        <w:rPr>
          <w:rFonts w:hint="eastAsia"/>
          <w:sz w:val="24"/>
          <w:szCs w:val="24"/>
        </w:rPr>
        <w:t>e.</w:t>
      </w:r>
      <w:r>
        <w:rPr>
          <w:rFonts w:hint="eastAsia"/>
          <w:sz w:val="24"/>
          <w:szCs w:val="24"/>
        </w:rPr>
        <w:t>施工现场运送土方、渣土的车辆封闭或遮盖严密，严禁使用未办理相关手续的渣土等运输车辆，严禁沿路遗洒和随意倾倒。</w:t>
      </w:r>
    </w:p>
    <w:p w:rsidR="00DB7CC8" w:rsidRDefault="002B5250">
      <w:pPr>
        <w:snapToGrid w:val="0"/>
        <w:ind w:firstLine="480"/>
        <w:jc w:val="both"/>
        <w:rPr>
          <w:sz w:val="24"/>
          <w:szCs w:val="24"/>
        </w:rPr>
      </w:pPr>
      <w:r>
        <w:rPr>
          <w:rFonts w:hint="eastAsia"/>
          <w:sz w:val="24"/>
          <w:szCs w:val="24"/>
        </w:rPr>
        <w:t>f.</w:t>
      </w:r>
      <w:r>
        <w:rPr>
          <w:rFonts w:hint="eastAsia"/>
          <w:sz w:val="24"/>
          <w:szCs w:val="24"/>
        </w:rPr>
        <w:t>施工现场的建筑垃圾设置垃圾存放点</w:t>
      </w:r>
      <w:r>
        <w:rPr>
          <w:rFonts w:hint="eastAsia"/>
          <w:sz w:val="24"/>
          <w:szCs w:val="24"/>
        </w:rPr>
        <w:t>,</w:t>
      </w:r>
      <w:r>
        <w:rPr>
          <w:rFonts w:hint="eastAsia"/>
          <w:sz w:val="24"/>
          <w:szCs w:val="24"/>
        </w:rPr>
        <w:t>集中堆放并严密覆盖，及时清运。生活垃圾应用封闭式容器存放，日产日清，严禁随意丢弃。</w:t>
      </w:r>
    </w:p>
    <w:p w:rsidR="00DB7CC8" w:rsidRDefault="002B5250">
      <w:pPr>
        <w:snapToGrid w:val="0"/>
        <w:ind w:firstLine="480"/>
        <w:jc w:val="both"/>
        <w:rPr>
          <w:highlight w:val="yellow"/>
        </w:rPr>
      </w:pPr>
      <w:r>
        <w:rPr>
          <w:rFonts w:hint="eastAsia"/>
          <w:sz w:val="24"/>
          <w:szCs w:val="24"/>
        </w:rPr>
        <w:t>g.</w:t>
      </w:r>
      <w:r>
        <w:rPr>
          <w:rFonts w:hint="eastAsia"/>
          <w:sz w:val="24"/>
          <w:szCs w:val="24"/>
        </w:rPr>
        <w:t>施工</w:t>
      </w:r>
      <w:r>
        <w:rPr>
          <w:rFonts w:hint="eastAsia"/>
          <w:sz w:val="24"/>
          <w:szCs w:val="24"/>
        </w:rPr>
        <w:t>现场易飞扬的细颗粒建筑材料密闭存放或严密覆盖，严禁露天放置；搬运时应有降尘措施，余料及时回收。施工现场必须建立洒水清扫抑尘制度，配备洒水设备。每天洒水不少于</w:t>
      </w:r>
      <w:r>
        <w:rPr>
          <w:rFonts w:hint="eastAsia"/>
          <w:sz w:val="24"/>
          <w:szCs w:val="24"/>
        </w:rPr>
        <w:t>2</w:t>
      </w:r>
      <w:r>
        <w:rPr>
          <w:rFonts w:hint="eastAsia"/>
          <w:sz w:val="24"/>
          <w:szCs w:val="24"/>
        </w:rPr>
        <w:t>次，并有专人负责。重污染天气时相应增加洒水频次。</w:t>
      </w:r>
    </w:p>
    <w:p w:rsidR="00DB7CC8" w:rsidRDefault="002B5250">
      <w:pPr>
        <w:snapToGrid w:val="0"/>
        <w:ind w:firstLine="480"/>
        <w:jc w:val="both"/>
        <w:rPr>
          <w:sz w:val="24"/>
          <w:szCs w:val="24"/>
        </w:rPr>
      </w:pPr>
      <w:r>
        <w:rPr>
          <w:rFonts w:hint="eastAsia"/>
          <w:sz w:val="24"/>
          <w:szCs w:val="24"/>
        </w:rPr>
        <w:t>h.</w:t>
      </w:r>
      <w:r>
        <w:rPr>
          <w:rFonts w:hint="eastAsia"/>
          <w:sz w:val="24"/>
          <w:szCs w:val="24"/>
        </w:rPr>
        <w:t>施工现场必须使用商品混凝土、预拌砂浆，严禁现场搅拌。</w:t>
      </w:r>
    </w:p>
    <w:p w:rsidR="00DB7CC8" w:rsidRDefault="002B5250">
      <w:pPr>
        <w:snapToGrid w:val="0"/>
        <w:ind w:firstLine="480"/>
        <w:jc w:val="both"/>
        <w:rPr>
          <w:sz w:val="24"/>
          <w:szCs w:val="24"/>
        </w:rPr>
      </w:pPr>
      <w:r>
        <w:rPr>
          <w:rFonts w:hint="eastAsia"/>
          <w:sz w:val="24"/>
          <w:szCs w:val="24"/>
        </w:rPr>
        <w:t>i.</w:t>
      </w:r>
      <w:r>
        <w:rPr>
          <w:rFonts w:hint="eastAsia"/>
          <w:sz w:val="24"/>
          <w:szCs w:val="24"/>
        </w:rPr>
        <w:t>建筑物内清扫垃圾时要洒水抑尘，施工层建筑垃圾必须采用封闭式管道或装袋用垂直升降机械清运，严禁凌空抛掷和焚烧垃圾。遇有</w:t>
      </w:r>
      <w:r>
        <w:rPr>
          <w:rFonts w:hint="eastAsia"/>
          <w:sz w:val="24"/>
          <w:szCs w:val="24"/>
        </w:rPr>
        <w:t>4</w:t>
      </w:r>
      <w:r>
        <w:rPr>
          <w:rFonts w:hint="eastAsia"/>
          <w:sz w:val="24"/>
          <w:szCs w:val="24"/>
        </w:rPr>
        <w:t>级以上大风或重度污染天气时，必须采取扬尘应急措施，严禁土方开挖、土方回填等作业。</w:t>
      </w:r>
    </w:p>
    <w:p w:rsidR="00DB7CC8" w:rsidRDefault="002B5250">
      <w:pPr>
        <w:snapToGrid w:val="0"/>
        <w:ind w:firstLine="480"/>
        <w:jc w:val="both"/>
        <w:rPr>
          <w:sz w:val="24"/>
          <w:szCs w:val="24"/>
        </w:rPr>
      </w:pPr>
      <w:r>
        <w:rPr>
          <w:rFonts w:hint="eastAsia"/>
          <w:sz w:val="24"/>
          <w:szCs w:val="24"/>
        </w:rPr>
        <w:t>在采取上述措施的前提下，施工扬尘对周围环境</w:t>
      </w:r>
      <w:r>
        <w:rPr>
          <w:rFonts w:hint="eastAsia"/>
          <w:sz w:val="24"/>
          <w:szCs w:val="24"/>
        </w:rPr>
        <w:t>的影响可降至最低程度。建设单位在落实上述扬尘防治达标措施前，不得开工建设。</w:t>
      </w:r>
    </w:p>
    <w:p w:rsidR="00DB7CC8" w:rsidRDefault="002B5250">
      <w:pPr>
        <w:snapToGrid w:val="0"/>
        <w:ind w:firstLine="480"/>
        <w:jc w:val="both"/>
        <w:rPr>
          <w:sz w:val="24"/>
          <w:szCs w:val="24"/>
        </w:rPr>
      </w:pPr>
      <w:r>
        <w:rPr>
          <w:rFonts w:hint="eastAsia"/>
          <w:sz w:val="24"/>
          <w:szCs w:val="24"/>
        </w:rPr>
        <w:lastRenderedPageBreak/>
        <w:t>（</w:t>
      </w:r>
      <w:r>
        <w:rPr>
          <w:rFonts w:hint="eastAsia"/>
          <w:sz w:val="24"/>
          <w:szCs w:val="24"/>
        </w:rPr>
        <w:t>2</w:t>
      </w:r>
      <w:r>
        <w:rPr>
          <w:rFonts w:hint="eastAsia"/>
          <w:sz w:val="24"/>
          <w:szCs w:val="24"/>
        </w:rPr>
        <w:t>）运输车辆扬尘</w:t>
      </w:r>
    </w:p>
    <w:p w:rsidR="00DB7CC8" w:rsidRDefault="002B5250">
      <w:pPr>
        <w:snapToGrid w:val="0"/>
        <w:ind w:firstLine="480"/>
        <w:jc w:val="both"/>
        <w:rPr>
          <w:highlight w:val="yellow"/>
        </w:rPr>
      </w:pPr>
      <w:r>
        <w:rPr>
          <w:rFonts w:hint="eastAsia"/>
          <w:sz w:val="24"/>
          <w:szCs w:val="24"/>
        </w:rPr>
        <w:t>在建筑材料、建筑垃圾等的运输过程中，会产生运输扬尘，且如果施工场地未加硬化，施工场地泥土被运输车辆轮胎带到其他地方及公路上，泥土风干后会随着车辆的碾压和行驶，在场区院内和公路上形成二次扬尘，污染环境。表</w:t>
      </w:r>
      <w:r>
        <w:rPr>
          <w:rFonts w:hint="eastAsia"/>
          <w:sz w:val="24"/>
          <w:szCs w:val="24"/>
        </w:rPr>
        <w:t>5.1-3</w:t>
      </w:r>
      <w:r>
        <w:rPr>
          <w:rFonts w:hint="eastAsia"/>
          <w:sz w:val="24"/>
          <w:szCs w:val="24"/>
        </w:rPr>
        <w:t>为一辆载重</w:t>
      </w:r>
      <w:r>
        <w:rPr>
          <w:rFonts w:hint="eastAsia"/>
          <w:sz w:val="24"/>
          <w:szCs w:val="24"/>
        </w:rPr>
        <w:t>5t</w:t>
      </w:r>
      <w:r>
        <w:rPr>
          <w:rFonts w:hint="eastAsia"/>
          <w:sz w:val="24"/>
          <w:szCs w:val="24"/>
        </w:rPr>
        <w:t>的卡车，通过一段长度为</w:t>
      </w:r>
      <w:r>
        <w:rPr>
          <w:rFonts w:hint="eastAsia"/>
          <w:sz w:val="24"/>
          <w:szCs w:val="24"/>
        </w:rPr>
        <w:t>500m</w:t>
      </w:r>
      <w:r>
        <w:rPr>
          <w:rFonts w:hint="eastAsia"/>
          <w:sz w:val="24"/>
          <w:szCs w:val="24"/>
        </w:rPr>
        <w:t>的路面时，不同路面清洁程度，不同行驶速度情况下产生的扬尘量。</w:t>
      </w:r>
    </w:p>
    <w:p w:rsidR="00DB7CC8" w:rsidRDefault="002B5250">
      <w:pPr>
        <w:adjustRightInd w:val="0"/>
        <w:snapToGrid w:val="0"/>
        <w:spacing w:line="240" w:lineRule="auto"/>
        <w:ind w:firstLineChars="0" w:firstLine="0"/>
        <w:jc w:val="center"/>
        <w:textAlignment w:val="auto"/>
        <w:rPr>
          <w:rFonts w:eastAsia="黑体"/>
          <w:bCs/>
          <w:kern w:val="2"/>
          <w:sz w:val="21"/>
          <w:szCs w:val="22"/>
        </w:rPr>
      </w:pPr>
      <w:bookmarkStart w:id="344" w:name="_Ref9214300"/>
      <w:r>
        <w:rPr>
          <w:rFonts w:eastAsia="黑体" w:hint="eastAsia"/>
          <w:bCs/>
          <w:kern w:val="2"/>
          <w:sz w:val="21"/>
          <w:szCs w:val="22"/>
        </w:rPr>
        <w:t>表</w:t>
      </w:r>
      <w:r>
        <w:rPr>
          <w:rFonts w:eastAsia="黑体" w:hint="eastAsia"/>
          <w:bCs/>
          <w:kern w:val="2"/>
          <w:sz w:val="21"/>
          <w:szCs w:val="22"/>
        </w:rPr>
        <w:t xml:space="preserve">5.1-3 </w:t>
      </w:r>
      <w:bookmarkEnd w:id="344"/>
      <w:r>
        <w:rPr>
          <w:rFonts w:eastAsia="黑体" w:hint="eastAsia"/>
          <w:bCs/>
          <w:kern w:val="2"/>
          <w:sz w:val="21"/>
          <w:szCs w:val="22"/>
        </w:rPr>
        <w:t xml:space="preserve">  </w:t>
      </w:r>
      <w:r>
        <w:rPr>
          <w:rFonts w:eastAsia="黑体" w:hint="eastAsia"/>
          <w:bCs/>
          <w:kern w:val="2"/>
          <w:sz w:val="21"/>
          <w:szCs w:val="22"/>
        </w:rPr>
        <w:t>不同车速和地面清洁程度时的汽车扬尘</w:t>
      </w:r>
      <w:r>
        <w:rPr>
          <w:rFonts w:eastAsia="黑体" w:hint="eastAsia"/>
          <w:bCs/>
          <w:kern w:val="2"/>
          <w:sz w:val="21"/>
          <w:szCs w:val="22"/>
        </w:rPr>
        <w:t xml:space="preserve"> </w:t>
      </w:r>
      <w:r>
        <w:rPr>
          <w:rFonts w:eastAsia="黑体" w:hint="eastAsia"/>
          <w:bCs/>
          <w:kern w:val="2"/>
          <w:sz w:val="21"/>
          <w:szCs w:val="22"/>
        </w:rPr>
        <w:t>单位：</w:t>
      </w:r>
      <w:r>
        <w:rPr>
          <w:rFonts w:eastAsia="黑体" w:hint="eastAsia"/>
          <w:bCs/>
          <w:kern w:val="2"/>
          <w:sz w:val="21"/>
          <w:szCs w:val="22"/>
        </w:rPr>
        <w:t xml:space="preserve"> Kg/</w:t>
      </w:r>
      <w:r>
        <w:rPr>
          <w:rFonts w:eastAsia="黑体" w:hint="eastAsia"/>
          <w:bCs/>
          <w:kern w:val="2"/>
          <w:sz w:val="21"/>
          <w:szCs w:val="22"/>
        </w:rPr>
        <w:t>辆·</w:t>
      </w:r>
      <w:r>
        <w:rPr>
          <w:rFonts w:eastAsia="黑体" w:hint="eastAsia"/>
          <w:bCs/>
          <w:kern w:val="2"/>
          <w:sz w:val="21"/>
          <w:szCs w:val="22"/>
        </w:rPr>
        <w:t>km</w:t>
      </w: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335"/>
        <w:gridCol w:w="1155"/>
        <w:gridCol w:w="1170"/>
        <w:gridCol w:w="1155"/>
        <w:gridCol w:w="1155"/>
        <w:gridCol w:w="1170"/>
        <w:gridCol w:w="1155"/>
      </w:tblGrid>
      <w:tr w:rsidR="00DB7CC8">
        <w:trPr>
          <w:jc w:val="center"/>
        </w:trPr>
        <w:tc>
          <w:tcPr>
            <w:tcW w:w="133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t>车速</w:t>
            </w:r>
            <w:r>
              <w:t xml:space="preserve"> </w:t>
            </w:r>
            <w:r>
              <w:rPr>
                <w:rFonts w:ascii="TimesNewRomanPSMT" w:hAnsi="TimesNewRomanPSMT"/>
              </w:rPr>
              <w:t xml:space="preserve">P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0.1(kg/</w:t>
            </w:r>
            <w:r>
              <w:rPr>
                <w:rFonts w:ascii="TimesNewRomanPSMT" w:hAnsi="TimesNewRomanPSMT"/>
              </w:rPr>
              <w:t>㎡</w:t>
            </w:r>
            <w:r>
              <w:rPr>
                <w:rFonts w:ascii="TimesNewRomanPSMT" w:hAnsi="TimesNewRomanPSMT"/>
              </w:rPr>
              <w:t xml:space="preserve">) </w:t>
            </w:r>
          </w:p>
        </w:tc>
        <w:tc>
          <w:tcPr>
            <w:tcW w:w="1170"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0.2(kg/</w:t>
            </w:r>
            <w:r>
              <w:rPr>
                <w:rFonts w:ascii="TimesNewRomanPSMT" w:hAnsi="TimesNewRomanPSMT"/>
              </w:rPr>
              <w:t>㎡</w:t>
            </w:r>
            <w:r>
              <w:rPr>
                <w:rFonts w:ascii="TimesNewRomanPSMT" w:hAnsi="TimesNewRomanPSMT"/>
              </w:rPr>
              <w:t xml:space="preserve">)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0.3(kg/</w:t>
            </w:r>
            <w:r>
              <w:rPr>
                <w:rFonts w:ascii="TimesNewRomanPSMT" w:hAnsi="TimesNewRomanPSMT"/>
              </w:rPr>
              <w:t>㎡</w:t>
            </w:r>
            <w:r>
              <w:rPr>
                <w:rFonts w:ascii="TimesNewRomanPSMT" w:hAnsi="TimesNewRomanPSMT"/>
              </w:rPr>
              <w:t xml:space="preserve">)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0.4(kg/</w:t>
            </w:r>
            <w:r>
              <w:rPr>
                <w:rFonts w:ascii="TimesNewRomanPSMT" w:hAnsi="TimesNewRomanPSMT"/>
              </w:rPr>
              <w:t>㎡</w:t>
            </w:r>
            <w:r>
              <w:rPr>
                <w:rFonts w:ascii="TimesNewRomanPSMT" w:hAnsi="TimesNewRomanPSMT"/>
              </w:rPr>
              <w:t xml:space="preserve">) </w:t>
            </w:r>
          </w:p>
        </w:tc>
        <w:tc>
          <w:tcPr>
            <w:tcW w:w="1170"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0.5(kg/</w:t>
            </w:r>
            <w:r>
              <w:rPr>
                <w:rFonts w:ascii="TimesNewRomanPSMT" w:hAnsi="TimesNewRomanPSMT"/>
              </w:rPr>
              <w:t>㎡</w:t>
            </w:r>
            <w:r>
              <w:rPr>
                <w:rFonts w:ascii="TimesNewRomanPSMT" w:hAnsi="TimesNewRomanPSMT"/>
              </w:rPr>
              <w:t xml:space="preserve">)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1.0(kg/</w:t>
            </w:r>
            <w:r>
              <w:rPr>
                <w:rFonts w:ascii="TimesNewRomanPSMT" w:hAnsi="TimesNewRomanPSMT"/>
              </w:rPr>
              <w:t>㎡</w:t>
            </w:r>
            <w:r>
              <w:rPr>
                <w:rFonts w:ascii="TimesNewRomanPSMT" w:hAnsi="TimesNewRomanPSMT"/>
              </w:rPr>
              <w:t>)</w:t>
            </w:r>
          </w:p>
        </w:tc>
      </w:tr>
      <w:tr w:rsidR="00DB7CC8">
        <w:trPr>
          <w:jc w:val="center"/>
        </w:trPr>
        <w:tc>
          <w:tcPr>
            <w:tcW w:w="133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5</w:t>
            </w:r>
            <w:r>
              <w:t>（</w:t>
            </w:r>
            <w:r>
              <w:rPr>
                <w:rFonts w:ascii="TimesNewRomanPSMT" w:hAnsi="TimesNewRomanPSMT"/>
              </w:rPr>
              <w:t>km/h</w:t>
            </w:r>
            <w:r>
              <w:t>）</w:t>
            </w:r>
            <w:r>
              <w:t xml:space="preserve">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0.0283 </w:t>
            </w:r>
          </w:p>
        </w:tc>
        <w:tc>
          <w:tcPr>
            <w:tcW w:w="1170"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0.0476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0.0646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0.0801 </w:t>
            </w:r>
          </w:p>
        </w:tc>
        <w:tc>
          <w:tcPr>
            <w:tcW w:w="1170"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0.0947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0.1593</w:t>
            </w:r>
          </w:p>
        </w:tc>
      </w:tr>
      <w:tr w:rsidR="00DB7CC8">
        <w:trPr>
          <w:jc w:val="center"/>
        </w:trPr>
        <w:tc>
          <w:tcPr>
            <w:tcW w:w="133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10</w:t>
            </w:r>
            <w:r>
              <w:t>（</w:t>
            </w:r>
            <w:r>
              <w:rPr>
                <w:rFonts w:ascii="TimesNewRomanPSMT" w:hAnsi="TimesNewRomanPSMT"/>
              </w:rPr>
              <w:t>km/h</w:t>
            </w:r>
            <w:r>
              <w:t>）</w:t>
            </w:r>
            <w:r>
              <w:t xml:space="preserve">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0.0566 </w:t>
            </w:r>
          </w:p>
        </w:tc>
        <w:tc>
          <w:tcPr>
            <w:tcW w:w="1170"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0.0953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0.1291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0.1602 </w:t>
            </w:r>
          </w:p>
        </w:tc>
        <w:tc>
          <w:tcPr>
            <w:tcW w:w="1170"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0.1894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0.3186</w:t>
            </w:r>
          </w:p>
        </w:tc>
      </w:tr>
      <w:tr w:rsidR="00DB7CC8">
        <w:trPr>
          <w:jc w:val="center"/>
        </w:trPr>
        <w:tc>
          <w:tcPr>
            <w:tcW w:w="133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15</w:t>
            </w:r>
            <w:r>
              <w:t>（</w:t>
            </w:r>
            <w:r>
              <w:rPr>
                <w:rFonts w:ascii="TimesNewRomanPSMT" w:hAnsi="TimesNewRomanPSMT"/>
              </w:rPr>
              <w:t>km/h</w:t>
            </w:r>
            <w:r>
              <w:t>）</w:t>
            </w:r>
            <w:r>
              <w:t xml:space="preserve">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0.0850 </w:t>
            </w:r>
          </w:p>
        </w:tc>
        <w:tc>
          <w:tcPr>
            <w:tcW w:w="1170"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0.1429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0.1937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0.2403 </w:t>
            </w:r>
          </w:p>
        </w:tc>
        <w:tc>
          <w:tcPr>
            <w:tcW w:w="1170"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0.2841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0.4778</w:t>
            </w:r>
          </w:p>
        </w:tc>
      </w:tr>
      <w:tr w:rsidR="00DB7CC8">
        <w:trPr>
          <w:jc w:val="center"/>
        </w:trPr>
        <w:tc>
          <w:tcPr>
            <w:tcW w:w="133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20</w:t>
            </w:r>
            <w:r>
              <w:t>（</w:t>
            </w:r>
            <w:r>
              <w:rPr>
                <w:rFonts w:ascii="TimesNewRomanPSMT" w:hAnsi="TimesNewRomanPSMT"/>
              </w:rPr>
              <w:t>km/h</w:t>
            </w:r>
            <w:r>
              <w:t>）</w:t>
            </w:r>
            <w:r>
              <w:t xml:space="preserve">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0.1133 </w:t>
            </w:r>
          </w:p>
        </w:tc>
        <w:tc>
          <w:tcPr>
            <w:tcW w:w="1170"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0.1905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0.2538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0.3204 </w:t>
            </w:r>
          </w:p>
        </w:tc>
        <w:tc>
          <w:tcPr>
            <w:tcW w:w="1170"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 xml:space="preserve">0.3788 </w:t>
            </w:r>
          </w:p>
        </w:tc>
        <w:tc>
          <w:tcPr>
            <w:tcW w:w="1155"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4"/>
              </w:rPr>
            </w:pPr>
            <w:r>
              <w:rPr>
                <w:rFonts w:ascii="TimesNewRomanPSMT" w:hAnsi="TimesNewRomanPSMT"/>
              </w:rPr>
              <w:t>0.6371</w:t>
            </w:r>
          </w:p>
        </w:tc>
      </w:tr>
    </w:tbl>
    <w:p w:rsidR="00DB7CC8" w:rsidRDefault="002B5250">
      <w:pPr>
        <w:snapToGrid w:val="0"/>
        <w:ind w:firstLine="480"/>
        <w:jc w:val="both"/>
        <w:rPr>
          <w:sz w:val="24"/>
          <w:szCs w:val="24"/>
        </w:rPr>
      </w:pPr>
      <w:r>
        <w:rPr>
          <w:rFonts w:hint="eastAsia"/>
          <w:sz w:val="24"/>
          <w:szCs w:val="24"/>
        </w:rPr>
        <w:t>由上表可见，在同样路面清洁情况下，车速快，扬尘量越大；而在同样车速情况下，路面清洁程度越差，扬尘量越大。因此，硬化施工场地并及时清扫，防止泥土被运输车辆轮胎带到场区其它地方及公路上，限制运输车辆的行驶速度等是减少运输扬尘的有效手段。</w:t>
      </w:r>
    </w:p>
    <w:p w:rsidR="00DB7CC8" w:rsidRDefault="002B5250">
      <w:pPr>
        <w:snapToGrid w:val="0"/>
        <w:ind w:firstLine="480"/>
        <w:jc w:val="both"/>
        <w:rPr>
          <w:bCs/>
          <w:sz w:val="24"/>
        </w:rPr>
      </w:pPr>
      <w:r>
        <w:rPr>
          <w:rFonts w:hint="eastAsia"/>
          <w:sz w:val="24"/>
          <w:szCs w:val="24"/>
        </w:rPr>
        <w:t>本项目通过场地的硬化、限制运输车辆行驶速度等措施，减少运输扬尘对周围的影响。</w:t>
      </w:r>
      <w:bookmarkEnd w:id="341"/>
    </w:p>
    <w:p w:rsidR="00DB7CC8" w:rsidRDefault="002B5250">
      <w:pPr>
        <w:pStyle w:val="3"/>
        <w:numPr>
          <w:ilvl w:val="2"/>
          <w:numId w:val="1"/>
        </w:numPr>
        <w:rPr>
          <w:szCs w:val="28"/>
        </w:rPr>
      </w:pPr>
      <w:bookmarkStart w:id="345" w:name="_Toc521591792"/>
      <w:bookmarkStart w:id="346" w:name="_Toc17054"/>
      <w:r>
        <w:rPr>
          <w:szCs w:val="28"/>
        </w:rPr>
        <w:t>施工期水环境影响分析</w:t>
      </w:r>
      <w:bookmarkEnd w:id="345"/>
      <w:bookmarkEnd w:id="346"/>
    </w:p>
    <w:p w:rsidR="00DB7CC8" w:rsidRDefault="002B5250">
      <w:pPr>
        <w:autoSpaceDE w:val="0"/>
        <w:autoSpaceDN w:val="0"/>
        <w:ind w:firstLine="480"/>
        <w:jc w:val="both"/>
        <w:textAlignment w:val="auto"/>
        <w:rPr>
          <w:bCs/>
          <w:sz w:val="24"/>
        </w:rPr>
      </w:pPr>
      <w:r>
        <w:rPr>
          <w:rFonts w:hint="eastAsia"/>
          <w:sz w:val="24"/>
          <w:szCs w:val="24"/>
        </w:rPr>
        <w:t>施工期废水主要是施工人员生活污水和施工作业产生的废水。其中，施工作业产生的废水主要为混凝土养护废水、工地清洗废水等</w:t>
      </w:r>
      <w:r>
        <w:rPr>
          <w:bCs/>
          <w:sz w:val="24"/>
        </w:rPr>
        <w:t>。</w:t>
      </w:r>
    </w:p>
    <w:p w:rsidR="00DB7CC8" w:rsidRDefault="002B5250">
      <w:pPr>
        <w:pStyle w:val="4"/>
        <w:numPr>
          <w:ilvl w:val="3"/>
          <w:numId w:val="1"/>
        </w:numPr>
        <w:spacing w:afterLines="50" w:after="120"/>
        <w:ind w:left="709" w:hanging="709"/>
        <w:rPr>
          <w:rFonts w:eastAsia="宋体"/>
          <w:b/>
        </w:rPr>
      </w:pPr>
      <w:bookmarkStart w:id="347" w:name="_Toc430288841"/>
      <w:bookmarkStart w:id="348" w:name="_Toc395710428"/>
      <w:bookmarkStart w:id="349" w:name="_Toc394392754"/>
      <w:bookmarkStart w:id="350" w:name="_Toc364088548"/>
      <w:bookmarkStart w:id="351" w:name="_Toc368051307"/>
      <w:bookmarkStart w:id="352" w:name="_Toc372800405"/>
      <w:bookmarkStart w:id="353" w:name="_Toc376502771"/>
      <w:r>
        <w:rPr>
          <w:rFonts w:eastAsia="宋体" w:hint="eastAsia"/>
          <w:b/>
        </w:rPr>
        <w:t>施工废水</w:t>
      </w:r>
      <w:bookmarkEnd w:id="347"/>
      <w:bookmarkEnd w:id="348"/>
      <w:bookmarkEnd w:id="349"/>
      <w:bookmarkEnd w:id="350"/>
      <w:bookmarkEnd w:id="351"/>
      <w:bookmarkEnd w:id="352"/>
      <w:bookmarkEnd w:id="353"/>
    </w:p>
    <w:p w:rsidR="00DB7CC8" w:rsidRDefault="002B5250">
      <w:pPr>
        <w:snapToGrid w:val="0"/>
        <w:ind w:firstLine="480"/>
        <w:jc w:val="both"/>
        <w:rPr>
          <w:sz w:val="24"/>
          <w:szCs w:val="24"/>
        </w:rPr>
      </w:pPr>
      <w:r>
        <w:rPr>
          <w:rFonts w:hint="eastAsia"/>
          <w:sz w:val="24"/>
          <w:szCs w:val="24"/>
        </w:rPr>
        <w:t>根据工程分析，</w:t>
      </w:r>
      <w:r>
        <w:rPr>
          <w:sz w:val="24"/>
          <w:szCs w:val="24"/>
        </w:rPr>
        <w:t>施工废水中的主要水质污染指标为</w:t>
      </w:r>
      <w:r>
        <w:rPr>
          <w:sz w:val="24"/>
          <w:szCs w:val="24"/>
        </w:rPr>
        <w:t>SS</w:t>
      </w:r>
      <w:r>
        <w:rPr>
          <w:sz w:val="24"/>
          <w:szCs w:val="24"/>
        </w:rPr>
        <w:t>，不含有害物质和其他有机物。</w:t>
      </w:r>
      <w:r>
        <w:rPr>
          <w:rFonts w:hint="eastAsia"/>
          <w:sz w:val="24"/>
          <w:szCs w:val="24"/>
        </w:rPr>
        <w:t>由于</w:t>
      </w:r>
      <w:r>
        <w:rPr>
          <w:sz w:val="24"/>
          <w:szCs w:val="24"/>
        </w:rPr>
        <w:t>废水水质单一，采用</w:t>
      </w:r>
      <w:r>
        <w:rPr>
          <w:rFonts w:hint="eastAsia"/>
          <w:sz w:val="24"/>
          <w:szCs w:val="24"/>
        </w:rPr>
        <w:t>沉淀池</w:t>
      </w:r>
      <w:r>
        <w:rPr>
          <w:sz w:val="24"/>
          <w:szCs w:val="24"/>
        </w:rPr>
        <w:t>预处理后</w:t>
      </w:r>
      <w:r>
        <w:rPr>
          <w:rFonts w:hint="eastAsia"/>
          <w:sz w:val="24"/>
          <w:szCs w:val="24"/>
        </w:rPr>
        <w:t>可</w:t>
      </w:r>
      <w:r>
        <w:rPr>
          <w:sz w:val="24"/>
          <w:szCs w:val="24"/>
        </w:rPr>
        <w:t>重复使用</w:t>
      </w:r>
      <w:r>
        <w:rPr>
          <w:rFonts w:hint="eastAsia"/>
          <w:sz w:val="24"/>
          <w:szCs w:val="24"/>
        </w:rPr>
        <w:t>，不外排</w:t>
      </w:r>
      <w:r>
        <w:rPr>
          <w:sz w:val="24"/>
          <w:szCs w:val="24"/>
        </w:rPr>
        <w:t>。</w:t>
      </w:r>
    </w:p>
    <w:p w:rsidR="00DB7CC8" w:rsidRDefault="002B5250">
      <w:pPr>
        <w:snapToGrid w:val="0"/>
        <w:ind w:firstLine="480"/>
        <w:jc w:val="both"/>
        <w:rPr>
          <w:sz w:val="24"/>
          <w:szCs w:val="24"/>
        </w:rPr>
      </w:pPr>
      <w:r>
        <w:rPr>
          <w:rFonts w:hint="eastAsia"/>
          <w:sz w:val="24"/>
          <w:szCs w:val="24"/>
        </w:rPr>
        <w:t>此外，动力、运输设备的清洗废水主要含有石油类和悬浮物，施工场地设置简易防渗沉淀池和隔油池，将废水引入沉淀池和隔油池内沉淀、隔油后，上层清水可用于施工现场降尘、车辆清洗等作业，不外排，回收浮油进行无害化集中处理。沉淀下的泥浆或固体废物，应与建筑垃圾一起处置，不得混入生活垃圾中，经过处理后，不会对周围环境产生影响。</w:t>
      </w:r>
    </w:p>
    <w:p w:rsidR="00DB7CC8" w:rsidRDefault="002B5250">
      <w:pPr>
        <w:pStyle w:val="4"/>
        <w:keepNext w:val="0"/>
        <w:keepLines w:val="0"/>
        <w:numPr>
          <w:ilvl w:val="3"/>
          <w:numId w:val="1"/>
        </w:numPr>
        <w:spacing w:afterLines="50" w:after="120"/>
        <w:ind w:left="709" w:hanging="709"/>
        <w:rPr>
          <w:rFonts w:eastAsia="宋体"/>
          <w:b/>
        </w:rPr>
      </w:pPr>
      <w:r>
        <w:rPr>
          <w:rFonts w:eastAsia="宋体" w:hint="eastAsia"/>
          <w:b/>
        </w:rPr>
        <w:t>施工人员生活污水</w:t>
      </w:r>
    </w:p>
    <w:p w:rsidR="00DB7CC8" w:rsidRDefault="002B5250">
      <w:pPr>
        <w:snapToGrid w:val="0"/>
        <w:ind w:firstLine="480"/>
        <w:jc w:val="both"/>
        <w:rPr>
          <w:sz w:val="24"/>
          <w:szCs w:val="24"/>
        </w:rPr>
      </w:pPr>
      <w:r>
        <w:rPr>
          <w:rFonts w:hint="eastAsia"/>
          <w:sz w:val="24"/>
          <w:szCs w:val="24"/>
        </w:rPr>
        <w:t>根据工程分析，施工人员</w:t>
      </w:r>
      <w:r>
        <w:rPr>
          <w:sz w:val="24"/>
          <w:szCs w:val="24"/>
        </w:rPr>
        <w:t>生活污水主要水污染物为</w:t>
      </w:r>
      <w:r>
        <w:rPr>
          <w:sz w:val="24"/>
          <w:szCs w:val="24"/>
        </w:rPr>
        <w:t>COD</w:t>
      </w:r>
      <w:r>
        <w:rPr>
          <w:sz w:val="24"/>
          <w:szCs w:val="24"/>
          <w:vertAlign w:val="subscript"/>
        </w:rPr>
        <w:t>Cr</w:t>
      </w:r>
      <w:r>
        <w:rPr>
          <w:sz w:val="24"/>
          <w:szCs w:val="24"/>
        </w:rPr>
        <w:t>、</w:t>
      </w:r>
      <w:r>
        <w:rPr>
          <w:sz w:val="24"/>
          <w:szCs w:val="24"/>
        </w:rPr>
        <w:t>BOD</w:t>
      </w:r>
      <w:r>
        <w:rPr>
          <w:sz w:val="24"/>
          <w:szCs w:val="24"/>
          <w:vertAlign w:val="subscript"/>
        </w:rPr>
        <w:t>5</w:t>
      </w:r>
      <w:r>
        <w:rPr>
          <w:sz w:val="24"/>
          <w:szCs w:val="24"/>
        </w:rPr>
        <w:t>、</w:t>
      </w:r>
      <w:r>
        <w:rPr>
          <w:sz w:val="24"/>
          <w:szCs w:val="24"/>
        </w:rPr>
        <w:t>SS</w:t>
      </w:r>
      <w:r>
        <w:rPr>
          <w:sz w:val="24"/>
          <w:szCs w:val="24"/>
        </w:rPr>
        <w:t>、</w:t>
      </w:r>
      <w:r>
        <w:rPr>
          <w:sz w:val="24"/>
          <w:szCs w:val="24"/>
        </w:rPr>
        <w:t>NH</w:t>
      </w:r>
      <w:r>
        <w:rPr>
          <w:sz w:val="24"/>
          <w:szCs w:val="24"/>
          <w:vertAlign w:val="subscript"/>
        </w:rPr>
        <w:t>3</w:t>
      </w:r>
      <w:r>
        <w:rPr>
          <w:sz w:val="24"/>
          <w:szCs w:val="24"/>
        </w:rPr>
        <w:t>-N</w:t>
      </w:r>
      <w:r>
        <w:rPr>
          <w:rFonts w:hint="eastAsia"/>
          <w:sz w:val="24"/>
          <w:szCs w:val="24"/>
        </w:rPr>
        <w:t>，</w:t>
      </w:r>
      <w:r>
        <w:rPr>
          <w:sz w:val="24"/>
          <w:szCs w:val="24"/>
        </w:rPr>
        <w:t>浓度</w:t>
      </w:r>
      <w:r>
        <w:rPr>
          <w:rFonts w:hint="eastAsia"/>
          <w:sz w:val="24"/>
          <w:szCs w:val="24"/>
        </w:rPr>
        <w:t>分别</w:t>
      </w:r>
      <w:r>
        <w:rPr>
          <w:sz w:val="24"/>
          <w:szCs w:val="24"/>
        </w:rPr>
        <w:t>为</w:t>
      </w:r>
      <w:r>
        <w:rPr>
          <w:sz w:val="24"/>
          <w:szCs w:val="24"/>
        </w:rPr>
        <w:t>COD</w:t>
      </w:r>
      <w:r>
        <w:rPr>
          <w:sz w:val="24"/>
          <w:szCs w:val="24"/>
          <w:vertAlign w:val="subscript"/>
        </w:rPr>
        <w:t>Cr</w:t>
      </w:r>
      <w:r>
        <w:rPr>
          <w:rFonts w:hint="eastAsia"/>
          <w:sz w:val="24"/>
          <w:szCs w:val="24"/>
        </w:rPr>
        <w:t xml:space="preserve"> 400</w:t>
      </w:r>
      <w:r>
        <w:rPr>
          <w:sz w:val="24"/>
          <w:szCs w:val="24"/>
        </w:rPr>
        <w:t>mg/L</w:t>
      </w:r>
      <w:r>
        <w:rPr>
          <w:sz w:val="24"/>
          <w:szCs w:val="24"/>
        </w:rPr>
        <w:t>、</w:t>
      </w:r>
      <w:r>
        <w:rPr>
          <w:sz w:val="24"/>
          <w:szCs w:val="24"/>
        </w:rPr>
        <w:t>BOD</w:t>
      </w:r>
      <w:r>
        <w:rPr>
          <w:sz w:val="24"/>
          <w:szCs w:val="24"/>
          <w:vertAlign w:val="subscript"/>
        </w:rPr>
        <w:t>5</w:t>
      </w:r>
      <w:r>
        <w:rPr>
          <w:rFonts w:hint="eastAsia"/>
          <w:sz w:val="24"/>
          <w:szCs w:val="24"/>
        </w:rPr>
        <w:t xml:space="preserve"> </w:t>
      </w:r>
      <w:r>
        <w:rPr>
          <w:sz w:val="24"/>
          <w:szCs w:val="24"/>
        </w:rPr>
        <w:t>2</w:t>
      </w:r>
      <w:r>
        <w:rPr>
          <w:rFonts w:hint="eastAsia"/>
          <w:sz w:val="24"/>
          <w:szCs w:val="24"/>
        </w:rPr>
        <w:t>20</w:t>
      </w:r>
      <w:r>
        <w:rPr>
          <w:sz w:val="24"/>
          <w:szCs w:val="24"/>
        </w:rPr>
        <w:t>mg/L</w:t>
      </w:r>
      <w:r>
        <w:rPr>
          <w:sz w:val="24"/>
          <w:szCs w:val="24"/>
        </w:rPr>
        <w:t>、</w:t>
      </w:r>
      <w:r>
        <w:rPr>
          <w:sz w:val="24"/>
          <w:szCs w:val="24"/>
        </w:rPr>
        <w:t>SS</w:t>
      </w:r>
      <w:r>
        <w:rPr>
          <w:rFonts w:hint="eastAsia"/>
          <w:sz w:val="24"/>
          <w:szCs w:val="24"/>
        </w:rPr>
        <w:t xml:space="preserve"> 200</w:t>
      </w:r>
      <w:r>
        <w:rPr>
          <w:sz w:val="24"/>
          <w:szCs w:val="24"/>
        </w:rPr>
        <w:t>mg/L</w:t>
      </w:r>
      <w:r>
        <w:rPr>
          <w:sz w:val="24"/>
          <w:szCs w:val="24"/>
        </w:rPr>
        <w:t>、氨氮</w:t>
      </w:r>
      <w:r>
        <w:rPr>
          <w:rFonts w:hint="eastAsia"/>
          <w:sz w:val="24"/>
          <w:szCs w:val="24"/>
        </w:rPr>
        <w:t xml:space="preserve"> 40</w:t>
      </w:r>
      <w:r>
        <w:rPr>
          <w:sz w:val="24"/>
          <w:szCs w:val="24"/>
        </w:rPr>
        <w:t>mg/L</w:t>
      </w:r>
      <w:r>
        <w:rPr>
          <w:rFonts w:hint="eastAsia"/>
          <w:sz w:val="24"/>
          <w:szCs w:val="24"/>
        </w:rPr>
        <w:t>，产生</w:t>
      </w:r>
      <w:r>
        <w:rPr>
          <w:sz w:val="24"/>
          <w:szCs w:val="24"/>
        </w:rPr>
        <w:lastRenderedPageBreak/>
        <w:t>量为</w:t>
      </w:r>
      <w:r>
        <w:rPr>
          <w:sz w:val="24"/>
          <w:szCs w:val="24"/>
        </w:rPr>
        <w:t>COD</w:t>
      </w:r>
      <w:r>
        <w:rPr>
          <w:sz w:val="24"/>
          <w:szCs w:val="24"/>
          <w:vertAlign w:val="subscript"/>
        </w:rPr>
        <w:t>Cr</w:t>
      </w:r>
      <w:r>
        <w:rPr>
          <w:rFonts w:hint="eastAsia"/>
          <w:sz w:val="24"/>
          <w:szCs w:val="24"/>
        </w:rPr>
        <w:t xml:space="preserve"> 0.0086</w:t>
      </w:r>
      <w:r>
        <w:rPr>
          <w:sz w:val="24"/>
          <w:szCs w:val="24"/>
        </w:rPr>
        <w:t>t</w:t>
      </w:r>
      <w:r>
        <w:rPr>
          <w:rFonts w:hint="eastAsia"/>
          <w:sz w:val="24"/>
          <w:szCs w:val="24"/>
        </w:rPr>
        <w:t>、</w:t>
      </w:r>
      <w:r>
        <w:rPr>
          <w:sz w:val="24"/>
          <w:szCs w:val="24"/>
        </w:rPr>
        <w:t>BOD</w:t>
      </w:r>
      <w:r>
        <w:rPr>
          <w:sz w:val="24"/>
          <w:szCs w:val="24"/>
          <w:vertAlign w:val="subscript"/>
        </w:rPr>
        <w:t>5</w:t>
      </w:r>
      <w:r>
        <w:rPr>
          <w:rFonts w:hint="eastAsia"/>
          <w:sz w:val="24"/>
          <w:szCs w:val="24"/>
        </w:rPr>
        <w:t xml:space="preserve"> 0.0048</w:t>
      </w:r>
      <w:r>
        <w:rPr>
          <w:sz w:val="24"/>
          <w:szCs w:val="24"/>
        </w:rPr>
        <w:t>t</w:t>
      </w:r>
      <w:r>
        <w:rPr>
          <w:rFonts w:hint="eastAsia"/>
          <w:sz w:val="24"/>
          <w:szCs w:val="24"/>
        </w:rPr>
        <w:t>、</w:t>
      </w:r>
      <w:r>
        <w:rPr>
          <w:sz w:val="24"/>
          <w:szCs w:val="24"/>
        </w:rPr>
        <w:t>SS</w:t>
      </w:r>
      <w:r>
        <w:rPr>
          <w:rFonts w:hint="eastAsia"/>
          <w:sz w:val="24"/>
          <w:szCs w:val="24"/>
        </w:rPr>
        <w:t xml:space="preserve"> </w:t>
      </w:r>
      <w:r>
        <w:rPr>
          <w:sz w:val="24"/>
          <w:szCs w:val="24"/>
        </w:rPr>
        <w:t>0.</w:t>
      </w:r>
      <w:r>
        <w:rPr>
          <w:rFonts w:hint="eastAsia"/>
          <w:sz w:val="24"/>
          <w:szCs w:val="24"/>
        </w:rPr>
        <w:t>0043</w:t>
      </w:r>
      <w:r>
        <w:rPr>
          <w:sz w:val="24"/>
          <w:szCs w:val="24"/>
        </w:rPr>
        <w:t>t</w:t>
      </w:r>
      <w:r>
        <w:rPr>
          <w:rFonts w:hint="eastAsia"/>
          <w:sz w:val="24"/>
          <w:szCs w:val="24"/>
        </w:rPr>
        <w:t>、</w:t>
      </w:r>
      <w:r>
        <w:rPr>
          <w:sz w:val="24"/>
          <w:szCs w:val="24"/>
        </w:rPr>
        <w:t>氨氮</w:t>
      </w:r>
      <w:r>
        <w:rPr>
          <w:rFonts w:hint="eastAsia"/>
          <w:sz w:val="24"/>
          <w:szCs w:val="24"/>
        </w:rPr>
        <w:t xml:space="preserve"> 0.00086</w:t>
      </w:r>
      <w:r>
        <w:rPr>
          <w:sz w:val="24"/>
          <w:szCs w:val="24"/>
        </w:rPr>
        <w:t>t</w:t>
      </w:r>
      <w:r>
        <w:rPr>
          <w:sz w:val="24"/>
          <w:szCs w:val="24"/>
        </w:rPr>
        <w:t>。</w:t>
      </w:r>
    </w:p>
    <w:p w:rsidR="00DB7CC8" w:rsidRDefault="002B5250">
      <w:pPr>
        <w:snapToGrid w:val="0"/>
        <w:ind w:firstLine="480"/>
        <w:jc w:val="both"/>
        <w:textAlignment w:val="auto"/>
        <w:rPr>
          <w:sz w:val="24"/>
          <w:szCs w:val="24"/>
        </w:rPr>
      </w:pPr>
      <w:r>
        <w:rPr>
          <w:rFonts w:hint="eastAsia"/>
          <w:sz w:val="24"/>
          <w:szCs w:val="24"/>
        </w:rPr>
        <w:t>生活污水中污染物较为简单，且浓度较低，生活污水排入旱厕，定期清掏，用作农肥，</w:t>
      </w:r>
      <w:r>
        <w:rPr>
          <w:sz w:val="24"/>
          <w:szCs w:val="24"/>
        </w:rPr>
        <w:t>不直接向地表水体排放，不会对地表水体产生污染。</w:t>
      </w:r>
    </w:p>
    <w:p w:rsidR="00DB7CC8" w:rsidRDefault="002B5250">
      <w:pPr>
        <w:pStyle w:val="4"/>
        <w:numPr>
          <w:ilvl w:val="3"/>
          <w:numId w:val="1"/>
        </w:numPr>
        <w:spacing w:afterLines="50" w:after="120"/>
        <w:ind w:left="709" w:hanging="709"/>
        <w:rPr>
          <w:rFonts w:eastAsia="宋体"/>
          <w:b/>
        </w:rPr>
      </w:pPr>
      <w:bookmarkStart w:id="354" w:name="_Toc395710430"/>
      <w:bookmarkStart w:id="355" w:name="_Toc364088550"/>
      <w:bookmarkStart w:id="356" w:name="_Toc430288843"/>
      <w:bookmarkStart w:id="357" w:name="_Toc376502773"/>
      <w:bookmarkStart w:id="358" w:name="_Toc368051309"/>
      <w:bookmarkStart w:id="359" w:name="_Toc394392756"/>
      <w:bookmarkStart w:id="360" w:name="_Toc372800407"/>
      <w:r>
        <w:rPr>
          <w:rFonts w:eastAsia="宋体" w:hint="eastAsia"/>
          <w:b/>
        </w:rPr>
        <w:t>地下水影响分析</w:t>
      </w:r>
      <w:bookmarkEnd w:id="354"/>
      <w:bookmarkEnd w:id="355"/>
      <w:bookmarkEnd w:id="356"/>
      <w:bookmarkEnd w:id="357"/>
      <w:bookmarkEnd w:id="358"/>
      <w:bookmarkEnd w:id="359"/>
      <w:bookmarkEnd w:id="360"/>
    </w:p>
    <w:p w:rsidR="00DB7CC8" w:rsidRDefault="002B5250">
      <w:pPr>
        <w:snapToGrid w:val="0"/>
        <w:ind w:firstLine="480"/>
        <w:jc w:val="both"/>
        <w:rPr>
          <w:sz w:val="24"/>
          <w:szCs w:val="24"/>
        </w:rPr>
      </w:pPr>
      <w:r>
        <w:rPr>
          <w:sz w:val="24"/>
          <w:szCs w:val="24"/>
        </w:rPr>
        <w:t>从项目的</w:t>
      </w:r>
      <w:r>
        <w:rPr>
          <w:rFonts w:hint="eastAsia"/>
          <w:sz w:val="24"/>
          <w:szCs w:val="24"/>
        </w:rPr>
        <w:t>施工</w:t>
      </w:r>
      <w:r>
        <w:rPr>
          <w:sz w:val="24"/>
          <w:szCs w:val="24"/>
        </w:rPr>
        <w:t>过程来看，</w:t>
      </w:r>
      <w:r>
        <w:rPr>
          <w:rFonts w:hint="eastAsia"/>
          <w:sz w:val="24"/>
          <w:szCs w:val="24"/>
        </w:rPr>
        <w:t>施工期渗漏污染是导致地下水污染的主要方式，施工废水和生活污水的跑、冒、滴、漏都可能导致地下水污染事故的发生。</w:t>
      </w:r>
      <w:r>
        <w:rPr>
          <w:sz w:val="24"/>
          <w:szCs w:val="24"/>
        </w:rPr>
        <w:t>若沉淀池</w:t>
      </w:r>
      <w:r>
        <w:rPr>
          <w:rFonts w:hint="eastAsia"/>
          <w:sz w:val="24"/>
          <w:szCs w:val="24"/>
        </w:rPr>
        <w:t>、</w:t>
      </w:r>
      <w:r>
        <w:rPr>
          <w:sz w:val="24"/>
          <w:szCs w:val="24"/>
        </w:rPr>
        <w:t>隔油池</w:t>
      </w:r>
      <w:r>
        <w:rPr>
          <w:rFonts w:hint="eastAsia"/>
          <w:sz w:val="24"/>
          <w:szCs w:val="24"/>
        </w:rPr>
        <w:t>、旱厕</w:t>
      </w:r>
      <w:r>
        <w:rPr>
          <w:sz w:val="24"/>
          <w:szCs w:val="24"/>
        </w:rPr>
        <w:t>发生泄漏，</w:t>
      </w:r>
      <w:r>
        <w:rPr>
          <w:rFonts w:hint="eastAsia"/>
          <w:sz w:val="24"/>
          <w:szCs w:val="24"/>
        </w:rPr>
        <w:t>建筑垃圾和</w:t>
      </w:r>
      <w:r>
        <w:rPr>
          <w:sz w:val="24"/>
          <w:szCs w:val="24"/>
        </w:rPr>
        <w:t>生活垃圾未及时清运，泄漏的污水和渗滤液可能会对地下水造成影响。本项目可能对地下水</w:t>
      </w:r>
      <w:r>
        <w:rPr>
          <w:sz w:val="24"/>
          <w:szCs w:val="24"/>
        </w:rPr>
        <w:t>造成污染的途径主要有：</w:t>
      </w:r>
    </w:p>
    <w:p w:rsidR="00DB7CC8" w:rsidRDefault="002B5250">
      <w:pPr>
        <w:snapToGrid w:val="0"/>
        <w:ind w:firstLine="480"/>
        <w:jc w:val="both"/>
        <w:rPr>
          <w:sz w:val="24"/>
          <w:szCs w:val="24"/>
        </w:rPr>
      </w:pPr>
      <w:r>
        <w:rPr>
          <w:sz w:val="24"/>
          <w:szCs w:val="24"/>
        </w:rPr>
        <w:t>（</w:t>
      </w:r>
      <w:r>
        <w:rPr>
          <w:sz w:val="24"/>
          <w:szCs w:val="24"/>
        </w:rPr>
        <w:t>1</w:t>
      </w:r>
      <w:r>
        <w:rPr>
          <w:sz w:val="24"/>
          <w:szCs w:val="24"/>
        </w:rPr>
        <w:t>）沉淀池</w:t>
      </w:r>
      <w:r>
        <w:rPr>
          <w:rFonts w:hint="eastAsia"/>
          <w:sz w:val="24"/>
          <w:szCs w:val="24"/>
        </w:rPr>
        <w:t>、</w:t>
      </w:r>
      <w:r>
        <w:rPr>
          <w:sz w:val="24"/>
          <w:szCs w:val="24"/>
        </w:rPr>
        <w:t>隔油池</w:t>
      </w:r>
      <w:r>
        <w:rPr>
          <w:rFonts w:hint="eastAsia"/>
          <w:sz w:val="24"/>
          <w:szCs w:val="24"/>
        </w:rPr>
        <w:t>、旱厕发生渗漏，污水</w:t>
      </w:r>
      <w:r>
        <w:rPr>
          <w:sz w:val="24"/>
          <w:szCs w:val="24"/>
        </w:rPr>
        <w:t>渗入地下；</w:t>
      </w:r>
    </w:p>
    <w:p w:rsidR="00DB7CC8" w:rsidRDefault="002B5250">
      <w:pPr>
        <w:snapToGrid w:val="0"/>
        <w:ind w:firstLine="480"/>
        <w:jc w:val="both"/>
        <w:rPr>
          <w:sz w:val="24"/>
          <w:szCs w:val="24"/>
        </w:rPr>
      </w:pPr>
      <w:r>
        <w:rPr>
          <w:sz w:val="24"/>
          <w:szCs w:val="24"/>
        </w:rPr>
        <w:t>（</w:t>
      </w:r>
      <w:r>
        <w:rPr>
          <w:sz w:val="24"/>
          <w:szCs w:val="24"/>
        </w:rPr>
        <w:t>2</w:t>
      </w:r>
      <w:r>
        <w:rPr>
          <w:sz w:val="24"/>
          <w:szCs w:val="24"/>
        </w:rPr>
        <w:t>）项目</w:t>
      </w:r>
      <w:r>
        <w:rPr>
          <w:rFonts w:hint="eastAsia"/>
          <w:sz w:val="24"/>
          <w:szCs w:val="24"/>
        </w:rPr>
        <w:t>建筑垃圾、</w:t>
      </w:r>
      <w:r>
        <w:rPr>
          <w:sz w:val="24"/>
          <w:szCs w:val="24"/>
        </w:rPr>
        <w:t>生活垃圾未及时清运，渗滤液下渗污染地下水</w:t>
      </w:r>
      <w:r>
        <w:rPr>
          <w:rFonts w:hint="eastAsia"/>
          <w:sz w:val="24"/>
          <w:szCs w:val="24"/>
        </w:rPr>
        <w:t>；</w:t>
      </w:r>
    </w:p>
    <w:p w:rsidR="00DB7CC8" w:rsidRDefault="002B5250">
      <w:pPr>
        <w:snapToGrid w:val="0"/>
        <w:ind w:firstLine="480"/>
        <w:jc w:val="both"/>
        <w:rPr>
          <w:sz w:val="24"/>
          <w:szCs w:val="24"/>
        </w:rPr>
      </w:pPr>
      <w:r>
        <w:rPr>
          <w:rFonts w:hint="eastAsia"/>
          <w:sz w:val="24"/>
          <w:szCs w:val="24"/>
        </w:rPr>
        <w:t>（</w:t>
      </w:r>
      <w:r>
        <w:rPr>
          <w:rFonts w:hint="eastAsia"/>
          <w:sz w:val="24"/>
          <w:szCs w:val="24"/>
        </w:rPr>
        <w:t>3</w:t>
      </w:r>
      <w:r>
        <w:rPr>
          <w:rFonts w:hint="eastAsia"/>
          <w:sz w:val="24"/>
          <w:szCs w:val="24"/>
        </w:rPr>
        <w:t>）</w:t>
      </w:r>
      <w:r>
        <w:rPr>
          <w:sz w:val="24"/>
          <w:szCs w:val="24"/>
        </w:rPr>
        <w:t>对于施工车辆和设备发生漏油事故</w:t>
      </w:r>
      <w:r>
        <w:rPr>
          <w:rFonts w:hint="eastAsia"/>
          <w:sz w:val="24"/>
          <w:szCs w:val="24"/>
        </w:rPr>
        <w:t>，下渗</w:t>
      </w:r>
      <w:r>
        <w:rPr>
          <w:sz w:val="24"/>
          <w:szCs w:val="24"/>
        </w:rPr>
        <w:t>对地下水造成</w:t>
      </w:r>
      <w:r>
        <w:rPr>
          <w:rFonts w:hint="eastAsia"/>
          <w:sz w:val="24"/>
          <w:szCs w:val="24"/>
        </w:rPr>
        <w:t>污染。</w:t>
      </w:r>
    </w:p>
    <w:p w:rsidR="00DB7CC8" w:rsidRDefault="002B5250">
      <w:pPr>
        <w:snapToGrid w:val="0"/>
        <w:ind w:firstLine="480"/>
        <w:jc w:val="both"/>
        <w:textAlignment w:val="auto"/>
        <w:rPr>
          <w:sz w:val="24"/>
          <w:szCs w:val="24"/>
        </w:rPr>
      </w:pPr>
      <w:r>
        <w:rPr>
          <w:sz w:val="24"/>
          <w:szCs w:val="24"/>
        </w:rPr>
        <w:t>因此，须针对以上可能污染地下水的源项，采取必要的</w:t>
      </w:r>
      <w:r>
        <w:rPr>
          <w:rFonts w:hint="eastAsia"/>
          <w:sz w:val="24"/>
          <w:szCs w:val="24"/>
        </w:rPr>
        <w:t>防护</w:t>
      </w:r>
      <w:r>
        <w:rPr>
          <w:sz w:val="24"/>
          <w:szCs w:val="24"/>
        </w:rPr>
        <w:t>措施防止地下水的污染。</w:t>
      </w:r>
    </w:p>
    <w:p w:rsidR="00DB7CC8" w:rsidRDefault="002B5250">
      <w:pPr>
        <w:pStyle w:val="3"/>
        <w:numPr>
          <w:ilvl w:val="2"/>
          <w:numId w:val="1"/>
        </w:numPr>
        <w:rPr>
          <w:szCs w:val="28"/>
        </w:rPr>
      </w:pPr>
      <w:bookmarkStart w:id="361" w:name="_Toc264985248"/>
      <w:bookmarkStart w:id="362" w:name="_Toc521591793"/>
      <w:bookmarkStart w:id="363" w:name="_Toc298705393"/>
      <w:bookmarkStart w:id="364" w:name="_Toc16757"/>
      <w:bookmarkStart w:id="365" w:name="_Toc303632178"/>
      <w:r>
        <w:rPr>
          <w:szCs w:val="28"/>
        </w:rPr>
        <w:t>施工声环境影响分析</w:t>
      </w:r>
      <w:bookmarkEnd w:id="361"/>
      <w:bookmarkEnd w:id="362"/>
      <w:bookmarkEnd w:id="363"/>
      <w:bookmarkEnd w:id="364"/>
      <w:bookmarkEnd w:id="365"/>
    </w:p>
    <w:p w:rsidR="00DB7CC8" w:rsidRDefault="002B5250">
      <w:pPr>
        <w:pStyle w:val="4"/>
        <w:numPr>
          <w:ilvl w:val="3"/>
          <w:numId w:val="1"/>
        </w:numPr>
        <w:spacing w:afterLines="50" w:after="120"/>
        <w:ind w:left="709" w:hanging="709"/>
        <w:jc w:val="both"/>
        <w:rPr>
          <w:rFonts w:eastAsia="宋体"/>
          <w:b/>
        </w:rPr>
      </w:pPr>
      <w:r>
        <w:rPr>
          <w:rFonts w:eastAsia="宋体" w:hint="eastAsia"/>
          <w:b/>
        </w:rPr>
        <w:t>噪声源强</w:t>
      </w:r>
    </w:p>
    <w:p w:rsidR="00DB7CC8" w:rsidRDefault="002B5250">
      <w:pPr>
        <w:ind w:firstLine="480"/>
        <w:jc w:val="both"/>
        <w:rPr>
          <w:bCs/>
          <w:sz w:val="24"/>
        </w:rPr>
      </w:pPr>
      <w:r>
        <w:rPr>
          <w:bCs/>
          <w:sz w:val="24"/>
        </w:rPr>
        <w:t>施工期的噪声主要可分为机械噪声、施工作业噪声和施工车辆噪声。机械噪声主要由施工机械所造成，多为点声源；施工作业噪声主要指一些零星的敲打声、装卸车辆的撞击声、吆喝声等，多为瞬间噪声；施工车辆的噪声属于交通噪声。在这些施工噪声中对周围声环境影响最大的是机械噪声。主要施工机械的噪声源强见表</w:t>
      </w:r>
      <w:r>
        <w:rPr>
          <w:bCs/>
          <w:sz w:val="24"/>
        </w:rPr>
        <w:t>5.1-</w:t>
      </w:r>
      <w:r>
        <w:rPr>
          <w:rFonts w:hint="eastAsia"/>
          <w:bCs/>
          <w:sz w:val="24"/>
        </w:rPr>
        <w:t>4</w:t>
      </w:r>
      <w:r>
        <w:rPr>
          <w:bCs/>
          <w:sz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5.1-</w:t>
      </w:r>
      <w:r>
        <w:rPr>
          <w:rFonts w:eastAsia="黑体" w:hint="eastAsia"/>
          <w:kern w:val="2"/>
          <w:sz w:val="21"/>
          <w:szCs w:val="21"/>
        </w:rPr>
        <w:t xml:space="preserve">4   </w:t>
      </w:r>
      <w:r>
        <w:rPr>
          <w:rFonts w:eastAsia="黑体"/>
          <w:kern w:val="2"/>
          <w:sz w:val="21"/>
          <w:szCs w:val="21"/>
        </w:rPr>
        <w:t>主要施工机械设备的噪声声级</w:t>
      </w:r>
    </w:p>
    <w:tbl>
      <w:tblPr>
        <w:tblW w:w="8528"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591"/>
        <w:gridCol w:w="2628"/>
        <w:gridCol w:w="2168"/>
        <w:gridCol w:w="2141"/>
      </w:tblGrid>
      <w:tr w:rsidR="00DB7CC8">
        <w:trPr>
          <w:trHeight w:val="283"/>
          <w:jc w:val="center"/>
        </w:trPr>
        <w:tc>
          <w:tcPr>
            <w:tcW w:w="1591"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序号</w:t>
            </w:r>
          </w:p>
        </w:tc>
        <w:tc>
          <w:tcPr>
            <w:tcW w:w="2628" w:type="dxa"/>
            <w:vAlign w:val="center"/>
          </w:tcPr>
          <w:p w:rsidR="00DB7CC8" w:rsidRDefault="002B5250">
            <w:pPr>
              <w:spacing w:line="240" w:lineRule="auto"/>
              <w:ind w:firstLineChars="0" w:firstLine="0"/>
              <w:jc w:val="center"/>
              <w:rPr>
                <w:sz w:val="21"/>
                <w:szCs w:val="21"/>
              </w:rPr>
            </w:pPr>
            <w:r>
              <w:rPr>
                <w:sz w:val="21"/>
                <w:szCs w:val="21"/>
              </w:rPr>
              <w:t>声源名称</w:t>
            </w:r>
          </w:p>
        </w:tc>
        <w:tc>
          <w:tcPr>
            <w:tcW w:w="2168" w:type="dxa"/>
            <w:vAlign w:val="center"/>
          </w:tcPr>
          <w:p w:rsidR="00DB7CC8" w:rsidRDefault="002B5250">
            <w:pPr>
              <w:spacing w:line="240" w:lineRule="auto"/>
              <w:ind w:firstLineChars="0" w:firstLine="0"/>
              <w:jc w:val="center"/>
              <w:rPr>
                <w:sz w:val="21"/>
                <w:szCs w:val="21"/>
              </w:rPr>
            </w:pPr>
            <w:r>
              <w:rPr>
                <w:sz w:val="21"/>
                <w:szCs w:val="21"/>
              </w:rPr>
              <w:t>噪声级</w:t>
            </w:r>
            <w:r>
              <w:rPr>
                <w:sz w:val="21"/>
                <w:szCs w:val="21"/>
              </w:rPr>
              <w:t>dB(A)</w:t>
            </w:r>
          </w:p>
        </w:tc>
        <w:tc>
          <w:tcPr>
            <w:tcW w:w="2141"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备注</w:t>
            </w:r>
          </w:p>
        </w:tc>
      </w:tr>
      <w:tr w:rsidR="00DB7CC8">
        <w:trPr>
          <w:trHeight w:val="283"/>
          <w:jc w:val="center"/>
        </w:trPr>
        <w:tc>
          <w:tcPr>
            <w:tcW w:w="1591"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1</w:t>
            </w:r>
          </w:p>
        </w:tc>
        <w:tc>
          <w:tcPr>
            <w:tcW w:w="2628" w:type="dxa"/>
            <w:vAlign w:val="center"/>
          </w:tcPr>
          <w:p w:rsidR="00DB7CC8" w:rsidRDefault="002B5250">
            <w:pPr>
              <w:spacing w:line="240" w:lineRule="auto"/>
              <w:ind w:firstLineChars="0" w:firstLine="0"/>
              <w:jc w:val="center"/>
              <w:rPr>
                <w:sz w:val="21"/>
                <w:szCs w:val="21"/>
              </w:rPr>
            </w:pPr>
            <w:r>
              <w:rPr>
                <w:sz w:val="21"/>
                <w:szCs w:val="21"/>
              </w:rPr>
              <w:t>推土机</w:t>
            </w:r>
          </w:p>
        </w:tc>
        <w:tc>
          <w:tcPr>
            <w:tcW w:w="2168" w:type="dxa"/>
            <w:vAlign w:val="center"/>
          </w:tcPr>
          <w:p w:rsidR="00DB7CC8" w:rsidRDefault="002B5250">
            <w:pPr>
              <w:spacing w:line="240" w:lineRule="auto"/>
              <w:ind w:firstLineChars="0" w:firstLine="0"/>
              <w:jc w:val="center"/>
              <w:rPr>
                <w:sz w:val="21"/>
                <w:szCs w:val="21"/>
              </w:rPr>
            </w:pPr>
            <w:r>
              <w:rPr>
                <w:sz w:val="21"/>
                <w:szCs w:val="21"/>
              </w:rPr>
              <w:t>90</w:t>
            </w:r>
          </w:p>
        </w:tc>
        <w:tc>
          <w:tcPr>
            <w:tcW w:w="2141"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距声源</w:t>
            </w:r>
            <w:r>
              <w:rPr>
                <w:sz w:val="21"/>
                <w:szCs w:val="21"/>
              </w:rPr>
              <w:t>1m</w:t>
            </w:r>
          </w:p>
        </w:tc>
      </w:tr>
      <w:tr w:rsidR="00DB7CC8">
        <w:trPr>
          <w:trHeight w:val="283"/>
          <w:jc w:val="center"/>
        </w:trPr>
        <w:tc>
          <w:tcPr>
            <w:tcW w:w="1591"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2</w:t>
            </w:r>
          </w:p>
        </w:tc>
        <w:tc>
          <w:tcPr>
            <w:tcW w:w="2628" w:type="dxa"/>
            <w:vAlign w:val="center"/>
          </w:tcPr>
          <w:p w:rsidR="00DB7CC8" w:rsidRDefault="002B5250">
            <w:pPr>
              <w:spacing w:line="240" w:lineRule="auto"/>
              <w:ind w:firstLineChars="0" w:firstLine="0"/>
              <w:jc w:val="center"/>
              <w:rPr>
                <w:sz w:val="21"/>
                <w:szCs w:val="21"/>
              </w:rPr>
            </w:pPr>
            <w:r>
              <w:rPr>
                <w:sz w:val="21"/>
                <w:szCs w:val="21"/>
              </w:rPr>
              <w:t>电钻</w:t>
            </w:r>
          </w:p>
        </w:tc>
        <w:tc>
          <w:tcPr>
            <w:tcW w:w="2168" w:type="dxa"/>
            <w:vAlign w:val="center"/>
          </w:tcPr>
          <w:p w:rsidR="00DB7CC8" w:rsidRDefault="002B5250">
            <w:pPr>
              <w:spacing w:line="240" w:lineRule="auto"/>
              <w:ind w:firstLineChars="0" w:firstLine="0"/>
              <w:jc w:val="center"/>
              <w:rPr>
                <w:sz w:val="21"/>
                <w:szCs w:val="21"/>
              </w:rPr>
            </w:pPr>
            <w:r>
              <w:rPr>
                <w:sz w:val="21"/>
                <w:szCs w:val="21"/>
              </w:rPr>
              <w:t>92</w:t>
            </w:r>
          </w:p>
        </w:tc>
        <w:tc>
          <w:tcPr>
            <w:tcW w:w="2141"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距声源</w:t>
            </w:r>
            <w:r>
              <w:rPr>
                <w:sz w:val="21"/>
                <w:szCs w:val="21"/>
              </w:rPr>
              <w:t>1m</w:t>
            </w:r>
          </w:p>
        </w:tc>
      </w:tr>
      <w:tr w:rsidR="00DB7CC8">
        <w:trPr>
          <w:trHeight w:val="283"/>
          <w:jc w:val="center"/>
        </w:trPr>
        <w:tc>
          <w:tcPr>
            <w:tcW w:w="1591"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3</w:t>
            </w:r>
          </w:p>
        </w:tc>
        <w:tc>
          <w:tcPr>
            <w:tcW w:w="2628" w:type="dxa"/>
            <w:vAlign w:val="center"/>
          </w:tcPr>
          <w:p w:rsidR="00DB7CC8" w:rsidRDefault="002B5250">
            <w:pPr>
              <w:spacing w:line="240" w:lineRule="auto"/>
              <w:ind w:firstLineChars="0" w:firstLine="0"/>
              <w:jc w:val="center"/>
              <w:rPr>
                <w:sz w:val="21"/>
                <w:szCs w:val="21"/>
              </w:rPr>
            </w:pPr>
            <w:r>
              <w:rPr>
                <w:sz w:val="21"/>
                <w:szCs w:val="21"/>
              </w:rPr>
              <w:t>载重汽车</w:t>
            </w:r>
          </w:p>
        </w:tc>
        <w:tc>
          <w:tcPr>
            <w:tcW w:w="2168" w:type="dxa"/>
            <w:vAlign w:val="center"/>
          </w:tcPr>
          <w:p w:rsidR="00DB7CC8" w:rsidRDefault="002B5250">
            <w:pPr>
              <w:spacing w:line="240" w:lineRule="auto"/>
              <w:ind w:firstLineChars="0" w:firstLine="0"/>
              <w:jc w:val="center"/>
              <w:rPr>
                <w:sz w:val="21"/>
                <w:szCs w:val="21"/>
              </w:rPr>
            </w:pPr>
            <w:r>
              <w:rPr>
                <w:sz w:val="21"/>
                <w:szCs w:val="21"/>
              </w:rPr>
              <w:t>85</w:t>
            </w:r>
          </w:p>
        </w:tc>
        <w:tc>
          <w:tcPr>
            <w:tcW w:w="2141"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距声源</w:t>
            </w:r>
            <w:r>
              <w:rPr>
                <w:sz w:val="21"/>
                <w:szCs w:val="21"/>
              </w:rPr>
              <w:t>1m</w:t>
            </w:r>
          </w:p>
        </w:tc>
      </w:tr>
    </w:tbl>
    <w:p w:rsidR="00DB7CC8" w:rsidRDefault="002B5250">
      <w:pPr>
        <w:pStyle w:val="4"/>
        <w:numPr>
          <w:ilvl w:val="3"/>
          <w:numId w:val="1"/>
        </w:numPr>
        <w:autoSpaceDE w:val="0"/>
        <w:autoSpaceDN w:val="0"/>
        <w:spacing w:afterLines="50" w:after="120"/>
        <w:ind w:left="709" w:hanging="709"/>
        <w:jc w:val="both"/>
        <w:textAlignment w:val="auto"/>
        <w:rPr>
          <w:rFonts w:eastAsia="宋体"/>
          <w:b/>
        </w:rPr>
      </w:pPr>
      <w:r>
        <w:rPr>
          <w:rFonts w:eastAsia="宋体" w:hint="eastAsia"/>
          <w:b/>
        </w:rPr>
        <w:t>预测计算</w:t>
      </w:r>
    </w:p>
    <w:p w:rsidR="00DB7CC8" w:rsidRDefault="002B5250">
      <w:pPr>
        <w:autoSpaceDE w:val="0"/>
        <w:autoSpaceDN w:val="0"/>
        <w:ind w:firstLine="480"/>
        <w:textAlignment w:val="auto"/>
        <w:rPr>
          <w:bCs/>
          <w:sz w:val="24"/>
        </w:rPr>
      </w:pPr>
      <w:r>
        <w:rPr>
          <w:bCs/>
          <w:sz w:val="24"/>
        </w:rPr>
        <w:t>施工期间施工机械产生的噪声对环境的影响可采用点源预测模式计算，预测公式噪声传播衰减模式为：</w:t>
      </w:r>
    </w:p>
    <w:p w:rsidR="00DB7CC8" w:rsidRDefault="002B5250">
      <w:pPr>
        <w:autoSpaceDE w:val="0"/>
        <w:autoSpaceDN w:val="0"/>
        <w:ind w:firstLine="480"/>
        <w:textAlignment w:val="auto"/>
        <w:rPr>
          <w:sz w:val="24"/>
          <w:szCs w:val="24"/>
          <w:lang w:val="pt-PT"/>
        </w:rPr>
      </w:pPr>
      <w:r>
        <w:rPr>
          <w:sz w:val="24"/>
          <w:szCs w:val="24"/>
          <w:lang w:val="pt-PT"/>
        </w:rPr>
        <w:t>L</w:t>
      </w:r>
      <w:r>
        <w:rPr>
          <w:sz w:val="24"/>
          <w:szCs w:val="24"/>
          <w:vertAlign w:val="subscript"/>
          <w:lang w:val="pt-PT"/>
        </w:rPr>
        <w:t>A</w:t>
      </w:r>
      <w:r>
        <w:rPr>
          <w:sz w:val="24"/>
          <w:szCs w:val="24"/>
          <w:lang w:val="pt-PT"/>
        </w:rPr>
        <w:t>(r)=L</w:t>
      </w:r>
      <w:r>
        <w:rPr>
          <w:sz w:val="24"/>
          <w:szCs w:val="24"/>
          <w:vertAlign w:val="subscript"/>
          <w:lang w:val="pt-PT"/>
        </w:rPr>
        <w:t>A</w:t>
      </w:r>
      <w:r>
        <w:rPr>
          <w:sz w:val="24"/>
          <w:szCs w:val="24"/>
          <w:lang w:val="pt-PT"/>
        </w:rPr>
        <w:t>(r</w:t>
      </w:r>
      <w:r>
        <w:rPr>
          <w:sz w:val="24"/>
          <w:szCs w:val="24"/>
          <w:vertAlign w:val="subscript"/>
          <w:lang w:val="pt-PT"/>
        </w:rPr>
        <w:t>0</w:t>
      </w:r>
      <w:r>
        <w:rPr>
          <w:sz w:val="24"/>
          <w:szCs w:val="24"/>
          <w:lang w:val="pt-PT"/>
        </w:rPr>
        <w:t>)-20lg(r/r</w:t>
      </w:r>
      <w:r>
        <w:rPr>
          <w:sz w:val="24"/>
          <w:szCs w:val="24"/>
          <w:vertAlign w:val="subscript"/>
          <w:lang w:val="pt-PT"/>
        </w:rPr>
        <w:t>0</w:t>
      </w:r>
      <w:r>
        <w:rPr>
          <w:sz w:val="24"/>
          <w:szCs w:val="24"/>
          <w:lang w:val="pt-PT"/>
        </w:rPr>
        <w:t>)</w:t>
      </w:r>
    </w:p>
    <w:p w:rsidR="00DB7CC8" w:rsidRDefault="002B5250">
      <w:pPr>
        <w:autoSpaceDE w:val="0"/>
        <w:autoSpaceDN w:val="0"/>
        <w:ind w:firstLine="480"/>
        <w:textAlignment w:val="auto"/>
        <w:rPr>
          <w:sz w:val="24"/>
          <w:szCs w:val="24"/>
          <w:lang w:val="pt-PT"/>
        </w:rPr>
      </w:pPr>
      <w:r>
        <w:rPr>
          <w:sz w:val="24"/>
          <w:szCs w:val="24"/>
          <w:lang w:val="zh-CN"/>
        </w:rPr>
        <w:t>式中</w:t>
      </w:r>
      <w:r>
        <w:rPr>
          <w:sz w:val="24"/>
          <w:szCs w:val="24"/>
          <w:lang w:val="pt-PT"/>
        </w:rPr>
        <w:t>：</w:t>
      </w:r>
      <w:r>
        <w:rPr>
          <w:sz w:val="24"/>
          <w:szCs w:val="24"/>
          <w:lang w:val="pt-PT"/>
        </w:rPr>
        <w:t>L</w:t>
      </w:r>
      <w:r>
        <w:rPr>
          <w:sz w:val="24"/>
          <w:szCs w:val="24"/>
          <w:vertAlign w:val="subscript"/>
          <w:lang w:val="pt-PT"/>
        </w:rPr>
        <w:t>A</w:t>
      </w:r>
      <w:r>
        <w:rPr>
          <w:sz w:val="24"/>
          <w:szCs w:val="24"/>
          <w:lang w:val="pt-PT"/>
        </w:rPr>
        <w:t>(r)-</w:t>
      </w:r>
      <w:r>
        <w:rPr>
          <w:sz w:val="24"/>
          <w:szCs w:val="24"/>
          <w:lang w:val="zh-CN"/>
        </w:rPr>
        <w:t>距声源</w:t>
      </w:r>
      <w:r>
        <w:rPr>
          <w:sz w:val="24"/>
          <w:szCs w:val="24"/>
          <w:lang w:val="pt-PT"/>
        </w:rPr>
        <w:t>r</w:t>
      </w:r>
      <w:r>
        <w:rPr>
          <w:sz w:val="24"/>
          <w:szCs w:val="24"/>
          <w:lang w:val="zh-CN"/>
        </w:rPr>
        <w:t>处的</w:t>
      </w:r>
      <w:r>
        <w:rPr>
          <w:sz w:val="24"/>
          <w:szCs w:val="24"/>
          <w:lang w:val="pt-PT"/>
        </w:rPr>
        <w:t>A</w:t>
      </w:r>
      <w:r>
        <w:rPr>
          <w:sz w:val="24"/>
          <w:szCs w:val="24"/>
          <w:lang w:val="zh-CN"/>
        </w:rPr>
        <w:t>声级</w:t>
      </w:r>
      <w:r>
        <w:rPr>
          <w:sz w:val="24"/>
          <w:szCs w:val="24"/>
          <w:lang w:val="pt-PT"/>
        </w:rPr>
        <w:t>，</w:t>
      </w:r>
      <w:r>
        <w:rPr>
          <w:sz w:val="24"/>
          <w:szCs w:val="24"/>
          <w:lang w:val="pt-PT"/>
        </w:rPr>
        <w:t>dB(A)</w:t>
      </w:r>
    </w:p>
    <w:p w:rsidR="00DB7CC8" w:rsidRDefault="002B5250">
      <w:pPr>
        <w:autoSpaceDE w:val="0"/>
        <w:autoSpaceDN w:val="0"/>
        <w:ind w:firstLine="480"/>
        <w:textAlignment w:val="auto"/>
        <w:rPr>
          <w:sz w:val="24"/>
          <w:szCs w:val="24"/>
          <w:lang w:val="pt-PT"/>
        </w:rPr>
      </w:pPr>
      <w:r>
        <w:rPr>
          <w:sz w:val="24"/>
          <w:szCs w:val="24"/>
          <w:lang w:val="pt-PT"/>
        </w:rPr>
        <w:t xml:space="preserve">      L</w:t>
      </w:r>
      <w:r>
        <w:rPr>
          <w:sz w:val="24"/>
          <w:szCs w:val="24"/>
          <w:vertAlign w:val="subscript"/>
          <w:lang w:val="pt-PT"/>
        </w:rPr>
        <w:t>A</w:t>
      </w:r>
      <w:r>
        <w:rPr>
          <w:sz w:val="24"/>
          <w:szCs w:val="24"/>
          <w:lang w:val="pt-PT"/>
        </w:rPr>
        <w:t>(r</w:t>
      </w:r>
      <w:r>
        <w:rPr>
          <w:sz w:val="24"/>
          <w:szCs w:val="24"/>
          <w:vertAlign w:val="subscript"/>
          <w:lang w:val="pt-PT"/>
        </w:rPr>
        <w:t>0</w:t>
      </w:r>
      <w:r>
        <w:rPr>
          <w:sz w:val="24"/>
          <w:szCs w:val="24"/>
          <w:lang w:val="pt-PT"/>
        </w:rPr>
        <w:t>)-</w:t>
      </w:r>
      <w:r>
        <w:rPr>
          <w:sz w:val="24"/>
          <w:szCs w:val="24"/>
          <w:lang w:val="zh-CN"/>
        </w:rPr>
        <w:t>距声源</w:t>
      </w:r>
      <w:r>
        <w:rPr>
          <w:sz w:val="24"/>
          <w:szCs w:val="24"/>
          <w:lang w:val="pt-PT"/>
        </w:rPr>
        <w:t>r</w:t>
      </w:r>
      <w:r>
        <w:rPr>
          <w:sz w:val="24"/>
          <w:szCs w:val="24"/>
          <w:vertAlign w:val="subscript"/>
          <w:lang w:val="pt-PT"/>
        </w:rPr>
        <w:t>0</w:t>
      </w:r>
      <w:r>
        <w:rPr>
          <w:sz w:val="24"/>
          <w:szCs w:val="24"/>
          <w:lang w:val="zh-CN"/>
        </w:rPr>
        <w:t>处的</w:t>
      </w:r>
      <w:r>
        <w:rPr>
          <w:sz w:val="24"/>
          <w:szCs w:val="24"/>
          <w:lang w:val="pt-PT"/>
        </w:rPr>
        <w:t>A</w:t>
      </w:r>
      <w:r>
        <w:rPr>
          <w:sz w:val="24"/>
          <w:szCs w:val="24"/>
          <w:lang w:val="zh-CN"/>
        </w:rPr>
        <w:t>声级</w:t>
      </w:r>
      <w:r>
        <w:rPr>
          <w:sz w:val="24"/>
          <w:szCs w:val="24"/>
          <w:lang w:val="pt-PT"/>
        </w:rPr>
        <w:t>，</w:t>
      </w:r>
      <w:r>
        <w:rPr>
          <w:sz w:val="24"/>
          <w:szCs w:val="24"/>
          <w:lang w:val="pt-PT"/>
        </w:rPr>
        <w:t>dB(A)</w:t>
      </w:r>
    </w:p>
    <w:p w:rsidR="00DB7CC8" w:rsidRDefault="002B5250">
      <w:pPr>
        <w:autoSpaceDE w:val="0"/>
        <w:autoSpaceDN w:val="0"/>
        <w:ind w:firstLineChars="500" w:firstLine="1200"/>
        <w:textAlignment w:val="auto"/>
        <w:rPr>
          <w:sz w:val="24"/>
          <w:szCs w:val="24"/>
        </w:rPr>
      </w:pPr>
      <w:r>
        <w:rPr>
          <w:sz w:val="24"/>
          <w:szCs w:val="24"/>
        </w:rPr>
        <w:lastRenderedPageBreak/>
        <w:t>r-</w:t>
      </w:r>
      <w:r>
        <w:rPr>
          <w:sz w:val="24"/>
          <w:szCs w:val="24"/>
          <w:lang w:val="zh-CN"/>
        </w:rPr>
        <w:t>预测点距噪声源距离，</w:t>
      </w:r>
      <w:r>
        <w:rPr>
          <w:sz w:val="24"/>
          <w:szCs w:val="24"/>
        </w:rPr>
        <w:t>m</w:t>
      </w:r>
    </w:p>
    <w:p w:rsidR="00DB7CC8" w:rsidRDefault="002B5250">
      <w:pPr>
        <w:autoSpaceDE w:val="0"/>
        <w:autoSpaceDN w:val="0"/>
        <w:ind w:firstLine="480"/>
        <w:textAlignment w:val="auto"/>
        <w:rPr>
          <w:sz w:val="24"/>
          <w:szCs w:val="24"/>
        </w:rPr>
      </w:pPr>
      <w:r>
        <w:rPr>
          <w:sz w:val="24"/>
          <w:szCs w:val="24"/>
        </w:rPr>
        <w:t xml:space="preserve">      r</w:t>
      </w:r>
      <w:r>
        <w:rPr>
          <w:sz w:val="24"/>
          <w:szCs w:val="24"/>
          <w:vertAlign w:val="subscript"/>
        </w:rPr>
        <w:t>0</w:t>
      </w:r>
      <w:r>
        <w:rPr>
          <w:sz w:val="24"/>
          <w:szCs w:val="24"/>
        </w:rPr>
        <w:t>-</w:t>
      </w:r>
      <w:r>
        <w:rPr>
          <w:sz w:val="24"/>
          <w:szCs w:val="24"/>
          <w:lang w:val="zh-CN"/>
        </w:rPr>
        <w:t>距噪声源的参照距离，</w:t>
      </w:r>
      <w:r>
        <w:rPr>
          <w:sz w:val="24"/>
          <w:szCs w:val="24"/>
        </w:rPr>
        <w:t>m</w:t>
      </w:r>
    </w:p>
    <w:p w:rsidR="00DB7CC8" w:rsidRDefault="002B5250">
      <w:pPr>
        <w:autoSpaceDE w:val="0"/>
        <w:autoSpaceDN w:val="0"/>
        <w:ind w:firstLineChars="0" w:firstLine="480"/>
        <w:textAlignment w:val="auto"/>
        <w:rPr>
          <w:rFonts w:eastAsia="黑体"/>
          <w:kern w:val="2"/>
          <w:sz w:val="21"/>
          <w:szCs w:val="21"/>
        </w:rPr>
      </w:pPr>
      <w:r>
        <w:rPr>
          <w:sz w:val="24"/>
          <w:szCs w:val="24"/>
        </w:rPr>
        <w:t>主要施工机械噪声随距离的衰减情况见表</w:t>
      </w:r>
      <w:r>
        <w:rPr>
          <w:rFonts w:eastAsia="黑体"/>
          <w:sz w:val="24"/>
          <w:szCs w:val="24"/>
        </w:rPr>
        <w:t>5.1-</w:t>
      </w:r>
      <w:r>
        <w:rPr>
          <w:rFonts w:eastAsia="黑体" w:hint="eastAsia"/>
          <w:sz w:val="24"/>
          <w:szCs w:val="24"/>
        </w:rPr>
        <w:t>5</w:t>
      </w:r>
      <w:r>
        <w:rPr>
          <w:rFonts w:eastAsia="黑体"/>
          <w:sz w:val="24"/>
          <w:szCs w:val="24"/>
        </w:rPr>
        <w:t>。</w:t>
      </w:r>
    </w:p>
    <w:p w:rsidR="00DB7CC8" w:rsidRDefault="002B5250">
      <w:pPr>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5.1-</w:t>
      </w:r>
      <w:r>
        <w:rPr>
          <w:rFonts w:eastAsia="黑体" w:hint="eastAsia"/>
          <w:kern w:val="2"/>
          <w:sz w:val="21"/>
          <w:szCs w:val="21"/>
        </w:rPr>
        <w:t>5</w:t>
      </w:r>
      <w:r>
        <w:rPr>
          <w:rFonts w:eastAsia="黑体"/>
          <w:kern w:val="2"/>
          <w:sz w:val="21"/>
          <w:szCs w:val="21"/>
        </w:rPr>
        <w:t xml:space="preserve">   </w:t>
      </w:r>
      <w:r>
        <w:rPr>
          <w:rFonts w:eastAsia="黑体"/>
          <w:kern w:val="2"/>
          <w:sz w:val="21"/>
          <w:szCs w:val="21"/>
        </w:rPr>
        <w:t>本项目施工期噪声源强及达标情况一览表单位：</w:t>
      </w:r>
      <w:r>
        <w:rPr>
          <w:rFonts w:eastAsia="黑体"/>
          <w:kern w:val="2"/>
          <w:sz w:val="21"/>
          <w:szCs w:val="21"/>
        </w:rPr>
        <w:t>dB</w:t>
      </w:r>
      <w:r>
        <w:rPr>
          <w:rFonts w:eastAsia="黑体"/>
          <w:kern w:val="2"/>
          <w:sz w:val="21"/>
          <w:szCs w:val="21"/>
        </w:rPr>
        <w:t>（</w:t>
      </w:r>
      <w:r>
        <w:rPr>
          <w:rFonts w:eastAsia="黑体"/>
          <w:kern w:val="2"/>
          <w:sz w:val="21"/>
          <w:szCs w:val="21"/>
        </w:rPr>
        <w:t>A</w:t>
      </w:r>
      <w:r>
        <w:rPr>
          <w:rFonts w:eastAsia="黑体"/>
          <w:kern w:val="2"/>
          <w:sz w:val="21"/>
          <w:szCs w:val="21"/>
        </w:rPr>
        <w:t>）</w:t>
      </w:r>
    </w:p>
    <w:tbl>
      <w:tblPr>
        <w:tblW w:w="8528"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637"/>
        <w:gridCol w:w="2615"/>
        <w:gridCol w:w="1668"/>
        <w:gridCol w:w="1608"/>
      </w:tblGrid>
      <w:tr w:rsidR="00DB7CC8">
        <w:trPr>
          <w:trHeight w:val="283"/>
          <w:jc w:val="center"/>
        </w:trPr>
        <w:tc>
          <w:tcPr>
            <w:tcW w:w="2637" w:type="dxa"/>
            <w:vMerge w:val="restart"/>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噪声设备</w:t>
            </w:r>
          </w:p>
        </w:tc>
        <w:tc>
          <w:tcPr>
            <w:tcW w:w="2615" w:type="dxa"/>
            <w:vMerge w:val="restart"/>
            <w:vAlign w:val="center"/>
          </w:tcPr>
          <w:p w:rsidR="00DB7CC8" w:rsidRDefault="002B5250">
            <w:pPr>
              <w:spacing w:line="240" w:lineRule="auto"/>
              <w:ind w:firstLineChars="0" w:firstLine="0"/>
              <w:jc w:val="center"/>
              <w:rPr>
                <w:sz w:val="21"/>
                <w:szCs w:val="21"/>
              </w:rPr>
            </w:pPr>
            <w:r>
              <w:rPr>
                <w:sz w:val="21"/>
                <w:szCs w:val="21"/>
              </w:rPr>
              <w:t>设备噪声源强</w:t>
            </w:r>
            <w:r>
              <w:rPr>
                <w:sz w:val="21"/>
                <w:szCs w:val="21"/>
              </w:rPr>
              <w:t>dB</w:t>
            </w:r>
            <w:r>
              <w:rPr>
                <w:sz w:val="21"/>
                <w:szCs w:val="21"/>
              </w:rPr>
              <w:t>（</w:t>
            </w:r>
            <w:r>
              <w:rPr>
                <w:sz w:val="21"/>
                <w:szCs w:val="21"/>
              </w:rPr>
              <w:t>A</w:t>
            </w:r>
            <w:r>
              <w:rPr>
                <w:sz w:val="21"/>
                <w:szCs w:val="21"/>
              </w:rPr>
              <w:t>）</w:t>
            </w:r>
          </w:p>
        </w:tc>
        <w:tc>
          <w:tcPr>
            <w:tcW w:w="3276" w:type="dxa"/>
            <w:gridSpan w:val="2"/>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达标距离</w:t>
            </w:r>
            <w:r>
              <w:rPr>
                <w:sz w:val="21"/>
                <w:szCs w:val="21"/>
              </w:rPr>
              <w:t>m</w:t>
            </w:r>
          </w:p>
        </w:tc>
      </w:tr>
      <w:tr w:rsidR="00DB7CC8">
        <w:trPr>
          <w:trHeight w:val="283"/>
          <w:jc w:val="center"/>
        </w:trPr>
        <w:tc>
          <w:tcPr>
            <w:tcW w:w="2637" w:type="dxa"/>
            <w:vMerge/>
            <w:tcBorders>
              <w:left w:val="single" w:sz="4" w:space="0" w:color="auto"/>
            </w:tcBorders>
            <w:vAlign w:val="center"/>
          </w:tcPr>
          <w:p w:rsidR="00DB7CC8" w:rsidRDefault="00DB7CC8">
            <w:pPr>
              <w:spacing w:line="240" w:lineRule="auto"/>
              <w:ind w:firstLineChars="0" w:firstLine="0"/>
              <w:jc w:val="center"/>
              <w:rPr>
                <w:sz w:val="21"/>
                <w:szCs w:val="21"/>
              </w:rPr>
            </w:pPr>
          </w:p>
        </w:tc>
        <w:tc>
          <w:tcPr>
            <w:tcW w:w="2615" w:type="dxa"/>
            <w:vMerge/>
            <w:vAlign w:val="center"/>
          </w:tcPr>
          <w:p w:rsidR="00DB7CC8" w:rsidRDefault="00DB7CC8">
            <w:pPr>
              <w:spacing w:line="240" w:lineRule="auto"/>
              <w:ind w:firstLineChars="0" w:firstLine="0"/>
              <w:jc w:val="center"/>
              <w:rPr>
                <w:sz w:val="21"/>
                <w:szCs w:val="21"/>
              </w:rPr>
            </w:pPr>
          </w:p>
        </w:tc>
        <w:tc>
          <w:tcPr>
            <w:tcW w:w="1668" w:type="dxa"/>
            <w:vAlign w:val="center"/>
          </w:tcPr>
          <w:p w:rsidR="00DB7CC8" w:rsidRDefault="002B5250">
            <w:pPr>
              <w:spacing w:line="240" w:lineRule="auto"/>
              <w:ind w:firstLineChars="0" w:firstLine="0"/>
              <w:jc w:val="center"/>
              <w:rPr>
                <w:sz w:val="21"/>
                <w:szCs w:val="21"/>
              </w:rPr>
            </w:pPr>
            <w:r>
              <w:rPr>
                <w:sz w:val="21"/>
                <w:szCs w:val="21"/>
              </w:rPr>
              <w:t>昼间</w:t>
            </w:r>
          </w:p>
        </w:tc>
        <w:tc>
          <w:tcPr>
            <w:tcW w:w="1608"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夜间</w:t>
            </w:r>
          </w:p>
        </w:tc>
      </w:tr>
      <w:tr w:rsidR="00DB7CC8">
        <w:trPr>
          <w:trHeight w:val="283"/>
          <w:jc w:val="center"/>
        </w:trPr>
        <w:tc>
          <w:tcPr>
            <w:tcW w:w="2637"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推土机</w:t>
            </w:r>
          </w:p>
        </w:tc>
        <w:tc>
          <w:tcPr>
            <w:tcW w:w="2615" w:type="dxa"/>
            <w:vAlign w:val="center"/>
          </w:tcPr>
          <w:p w:rsidR="00DB7CC8" w:rsidRDefault="002B5250">
            <w:pPr>
              <w:spacing w:line="240" w:lineRule="auto"/>
              <w:ind w:firstLineChars="0" w:firstLine="0"/>
              <w:jc w:val="center"/>
              <w:rPr>
                <w:sz w:val="21"/>
                <w:szCs w:val="21"/>
              </w:rPr>
            </w:pPr>
            <w:r>
              <w:rPr>
                <w:sz w:val="21"/>
                <w:szCs w:val="21"/>
              </w:rPr>
              <w:t>90</w:t>
            </w:r>
          </w:p>
        </w:tc>
        <w:tc>
          <w:tcPr>
            <w:tcW w:w="1668" w:type="dxa"/>
            <w:vAlign w:val="center"/>
          </w:tcPr>
          <w:p w:rsidR="00DB7CC8" w:rsidRDefault="002B5250">
            <w:pPr>
              <w:spacing w:line="240" w:lineRule="auto"/>
              <w:ind w:firstLineChars="0" w:firstLine="0"/>
              <w:jc w:val="center"/>
              <w:rPr>
                <w:sz w:val="21"/>
                <w:szCs w:val="21"/>
              </w:rPr>
            </w:pPr>
            <w:r>
              <w:rPr>
                <w:sz w:val="21"/>
                <w:szCs w:val="21"/>
              </w:rPr>
              <w:t>10</w:t>
            </w:r>
          </w:p>
        </w:tc>
        <w:tc>
          <w:tcPr>
            <w:tcW w:w="1608"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56</w:t>
            </w:r>
          </w:p>
        </w:tc>
      </w:tr>
      <w:tr w:rsidR="00DB7CC8">
        <w:trPr>
          <w:trHeight w:val="283"/>
          <w:jc w:val="center"/>
        </w:trPr>
        <w:tc>
          <w:tcPr>
            <w:tcW w:w="2637"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电钻</w:t>
            </w:r>
          </w:p>
        </w:tc>
        <w:tc>
          <w:tcPr>
            <w:tcW w:w="2615" w:type="dxa"/>
            <w:vAlign w:val="center"/>
          </w:tcPr>
          <w:p w:rsidR="00DB7CC8" w:rsidRDefault="002B5250">
            <w:pPr>
              <w:spacing w:line="240" w:lineRule="auto"/>
              <w:ind w:firstLineChars="0" w:firstLine="0"/>
              <w:jc w:val="center"/>
              <w:rPr>
                <w:sz w:val="21"/>
                <w:szCs w:val="21"/>
              </w:rPr>
            </w:pPr>
            <w:r>
              <w:rPr>
                <w:sz w:val="21"/>
                <w:szCs w:val="21"/>
              </w:rPr>
              <w:t>92</w:t>
            </w:r>
          </w:p>
        </w:tc>
        <w:tc>
          <w:tcPr>
            <w:tcW w:w="1668" w:type="dxa"/>
            <w:vAlign w:val="center"/>
          </w:tcPr>
          <w:p w:rsidR="00DB7CC8" w:rsidRDefault="002B5250">
            <w:pPr>
              <w:spacing w:line="240" w:lineRule="auto"/>
              <w:ind w:firstLineChars="0" w:firstLine="0"/>
              <w:jc w:val="center"/>
              <w:rPr>
                <w:sz w:val="21"/>
                <w:szCs w:val="21"/>
              </w:rPr>
            </w:pPr>
            <w:r>
              <w:rPr>
                <w:sz w:val="21"/>
                <w:szCs w:val="21"/>
              </w:rPr>
              <w:t>12.6</w:t>
            </w:r>
          </w:p>
        </w:tc>
        <w:tc>
          <w:tcPr>
            <w:tcW w:w="1608"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70.8</w:t>
            </w:r>
          </w:p>
        </w:tc>
      </w:tr>
      <w:tr w:rsidR="00DB7CC8">
        <w:trPr>
          <w:trHeight w:val="283"/>
          <w:jc w:val="center"/>
        </w:trPr>
        <w:tc>
          <w:tcPr>
            <w:tcW w:w="2637"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载重卡车</w:t>
            </w:r>
          </w:p>
        </w:tc>
        <w:tc>
          <w:tcPr>
            <w:tcW w:w="2615" w:type="dxa"/>
            <w:vAlign w:val="center"/>
          </w:tcPr>
          <w:p w:rsidR="00DB7CC8" w:rsidRDefault="002B5250">
            <w:pPr>
              <w:spacing w:line="240" w:lineRule="auto"/>
              <w:ind w:firstLineChars="0" w:firstLine="0"/>
              <w:jc w:val="center"/>
              <w:rPr>
                <w:sz w:val="21"/>
                <w:szCs w:val="21"/>
              </w:rPr>
            </w:pPr>
            <w:r>
              <w:rPr>
                <w:sz w:val="21"/>
                <w:szCs w:val="21"/>
              </w:rPr>
              <w:t>85</w:t>
            </w:r>
          </w:p>
        </w:tc>
        <w:tc>
          <w:tcPr>
            <w:tcW w:w="1668" w:type="dxa"/>
            <w:vAlign w:val="center"/>
          </w:tcPr>
          <w:p w:rsidR="00DB7CC8" w:rsidRDefault="002B5250">
            <w:pPr>
              <w:spacing w:line="240" w:lineRule="auto"/>
              <w:ind w:firstLineChars="0" w:firstLine="0"/>
              <w:jc w:val="center"/>
              <w:rPr>
                <w:sz w:val="21"/>
                <w:szCs w:val="21"/>
              </w:rPr>
            </w:pPr>
            <w:r>
              <w:rPr>
                <w:sz w:val="21"/>
                <w:szCs w:val="21"/>
              </w:rPr>
              <w:t>5.6</w:t>
            </w:r>
          </w:p>
        </w:tc>
        <w:tc>
          <w:tcPr>
            <w:tcW w:w="1608"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31.6</w:t>
            </w:r>
          </w:p>
        </w:tc>
      </w:tr>
      <w:tr w:rsidR="00DB7CC8">
        <w:trPr>
          <w:trHeight w:val="283"/>
          <w:jc w:val="center"/>
        </w:trPr>
        <w:tc>
          <w:tcPr>
            <w:tcW w:w="2637"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设备叠加噪声值</w:t>
            </w:r>
          </w:p>
        </w:tc>
        <w:tc>
          <w:tcPr>
            <w:tcW w:w="2615" w:type="dxa"/>
            <w:vAlign w:val="center"/>
          </w:tcPr>
          <w:p w:rsidR="00DB7CC8" w:rsidRDefault="002B5250">
            <w:pPr>
              <w:spacing w:line="240" w:lineRule="auto"/>
              <w:ind w:firstLineChars="0" w:firstLine="0"/>
              <w:jc w:val="center"/>
              <w:rPr>
                <w:sz w:val="21"/>
                <w:szCs w:val="21"/>
              </w:rPr>
            </w:pPr>
            <w:r>
              <w:rPr>
                <w:sz w:val="21"/>
                <w:szCs w:val="21"/>
              </w:rPr>
              <w:t>96</w:t>
            </w:r>
          </w:p>
        </w:tc>
        <w:tc>
          <w:tcPr>
            <w:tcW w:w="1668" w:type="dxa"/>
            <w:vAlign w:val="center"/>
          </w:tcPr>
          <w:p w:rsidR="00DB7CC8" w:rsidRDefault="002B5250">
            <w:pPr>
              <w:spacing w:line="240" w:lineRule="auto"/>
              <w:ind w:firstLineChars="0" w:firstLine="0"/>
              <w:jc w:val="center"/>
              <w:rPr>
                <w:sz w:val="21"/>
                <w:szCs w:val="21"/>
              </w:rPr>
            </w:pPr>
            <w:r>
              <w:rPr>
                <w:sz w:val="21"/>
                <w:szCs w:val="21"/>
              </w:rPr>
              <w:t>20</w:t>
            </w:r>
          </w:p>
        </w:tc>
        <w:tc>
          <w:tcPr>
            <w:tcW w:w="1608"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113</w:t>
            </w:r>
          </w:p>
        </w:tc>
      </w:tr>
      <w:tr w:rsidR="00DB7CC8">
        <w:trPr>
          <w:trHeight w:val="283"/>
          <w:jc w:val="center"/>
        </w:trPr>
        <w:tc>
          <w:tcPr>
            <w:tcW w:w="8528" w:type="dxa"/>
            <w:gridSpan w:val="4"/>
            <w:tcBorders>
              <w:left w:val="single" w:sz="4" w:space="0" w:color="auto"/>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《建筑施工场界环境噪声排放标准》（</w:t>
            </w:r>
            <w:r>
              <w:rPr>
                <w:sz w:val="21"/>
                <w:szCs w:val="21"/>
              </w:rPr>
              <w:t>GB12523-2011</w:t>
            </w:r>
            <w:r>
              <w:rPr>
                <w:sz w:val="21"/>
                <w:szCs w:val="21"/>
              </w:rPr>
              <w:t>）（昼间</w:t>
            </w:r>
            <w:r>
              <w:rPr>
                <w:sz w:val="21"/>
                <w:szCs w:val="21"/>
              </w:rPr>
              <w:t>70dB(A)</w:t>
            </w:r>
            <w:r>
              <w:rPr>
                <w:sz w:val="21"/>
                <w:szCs w:val="21"/>
              </w:rPr>
              <w:t>、夜间</w:t>
            </w:r>
            <w:r>
              <w:rPr>
                <w:sz w:val="21"/>
                <w:szCs w:val="21"/>
              </w:rPr>
              <w:t>55dB(A)</w:t>
            </w:r>
            <w:r>
              <w:rPr>
                <w:sz w:val="21"/>
                <w:szCs w:val="21"/>
              </w:rPr>
              <w:t>）</w:t>
            </w:r>
          </w:p>
        </w:tc>
      </w:tr>
      <w:tr w:rsidR="00DB7CC8">
        <w:trPr>
          <w:trHeight w:val="283"/>
          <w:jc w:val="center"/>
        </w:trPr>
        <w:tc>
          <w:tcPr>
            <w:tcW w:w="8528" w:type="dxa"/>
            <w:gridSpan w:val="4"/>
            <w:tcBorders>
              <w:left w:val="single" w:sz="4" w:space="0" w:color="auto"/>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备注：本项目只在昼间施工，夜间不施工。</w:t>
            </w:r>
          </w:p>
        </w:tc>
      </w:tr>
    </w:tbl>
    <w:p w:rsidR="00DB7CC8" w:rsidRDefault="002B5250">
      <w:pPr>
        <w:pStyle w:val="4"/>
        <w:numPr>
          <w:ilvl w:val="3"/>
          <w:numId w:val="1"/>
        </w:numPr>
        <w:spacing w:afterLines="50" w:after="120"/>
        <w:ind w:left="709" w:hanging="709"/>
        <w:rPr>
          <w:rFonts w:eastAsia="宋体"/>
          <w:b/>
        </w:rPr>
      </w:pPr>
      <w:r>
        <w:rPr>
          <w:rFonts w:eastAsia="宋体" w:hint="eastAsia"/>
          <w:b/>
        </w:rPr>
        <w:t>施工期噪声影响分析</w:t>
      </w:r>
    </w:p>
    <w:p w:rsidR="00DB7CC8" w:rsidRDefault="002B5250">
      <w:pPr>
        <w:autoSpaceDE w:val="0"/>
        <w:autoSpaceDN w:val="0"/>
        <w:ind w:firstLine="480"/>
        <w:jc w:val="both"/>
        <w:textAlignment w:val="auto"/>
        <w:rPr>
          <w:bCs/>
          <w:sz w:val="24"/>
        </w:rPr>
      </w:pPr>
      <w:r>
        <w:rPr>
          <w:bCs/>
          <w:sz w:val="24"/>
        </w:rPr>
        <w:t>项目施工期噪声执行《建筑施工场界环境噪声排放标准》（</w:t>
      </w:r>
      <w:r>
        <w:rPr>
          <w:bCs/>
          <w:sz w:val="24"/>
        </w:rPr>
        <w:t>GB12523-2011</w:t>
      </w:r>
      <w:r>
        <w:rPr>
          <w:bCs/>
          <w:sz w:val="24"/>
        </w:rPr>
        <w:t>），从表</w:t>
      </w:r>
      <w:r>
        <w:rPr>
          <w:bCs/>
          <w:sz w:val="24"/>
        </w:rPr>
        <w:t>5.1-</w:t>
      </w:r>
      <w:r>
        <w:rPr>
          <w:rFonts w:hint="eastAsia"/>
          <w:bCs/>
          <w:sz w:val="24"/>
        </w:rPr>
        <w:t>5</w:t>
      </w:r>
      <w:r>
        <w:rPr>
          <w:bCs/>
          <w:sz w:val="24"/>
        </w:rPr>
        <w:t>中可看出，推土机昼间噪声超标的情况出现在距声源</w:t>
      </w:r>
      <w:r>
        <w:rPr>
          <w:bCs/>
          <w:sz w:val="24"/>
        </w:rPr>
        <w:t>40m</w:t>
      </w:r>
      <w:r>
        <w:rPr>
          <w:bCs/>
          <w:sz w:val="24"/>
        </w:rPr>
        <w:t>范围内，夜间施工噪声超标情况出现在</w:t>
      </w:r>
      <w:r>
        <w:rPr>
          <w:bCs/>
          <w:sz w:val="24"/>
        </w:rPr>
        <w:t>113m</w:t>
      </w:r>
      <w:r>
        <w:rPr>
          <w:bCs/>
          <w:sz w:val="24"/>
        </w:rPr>
        <w:t>范围内；本项目夜间不施工，昼间施工时评价要求高噪声施工设备要合理安排施工位置，远离场界，使场界昼间噪声达标。</w:t>
      </w:r>
    </w:p>
    <w:p w:rsidR="00DB7CC8" w:rsidRDefault="002B5250">
      <w:pPr>
        <w:spacing w:line="460" w:lineRule="exact"/>
        <w:ind w:firstLine="480"/>
        <w:jc w:val="both"/>
        <w:rPr>
          <w:bCs/>
          <w:sz w:val="24"/>
        </w:rPr>
      </w:pPr>
      <w:r>
        <w:rPr>
          <w:bCs/>
          <w:sz w:val="24"/>
        </w:rPr>
        <w:t>距厂址最近的居民点为北侧</w:t>
      </w:r>
      <w:r>
        <w:rPr>
          <w:bCs/>
          <w:sz w:val="24"/>
        </w:rPr>
        <w:t>330m</w:t>
      </w:r>
      <w:r>
        <w:rPr>
          <w:bCs/>
          <w:sz w:val="24"/>
        </w:rPr>
        <w:t>处的靠山庄村。施工期噪声对周围敏感点影响较小。</w:t>
      </w:r>
    </w:p>
    <w:p w:rsidR="00DB7CC8" w:rsidRDefault="002B5250">
      <w:pPr>
        <w:spacing w:line="460" w:lineRule="exact"/>
        <w:ind w:firstLine="480"/>
        <w:jc w:val="both"/>
        <w:rPr>
          <w:bCs/>
          <w:sz w:val="24"/>
        </w:rPr>
      </w:pPr>
      <w:r>
        <w:rPr>
          <w:bCs/>
          <w:sz w:val="24"/>
        </w:rPr>
        <w:t>评价建议施工单位应合理安排施工时间，禁止夜间施工；采取合理的施工方式，优先选用低噪声的施工设备，减少高噪声设备机械的同时运行。</w:t>
      </w:r>
    </w:p>
    <w:p w:rsidR="00DB7CC8" w:rsidRDefault="002B5250">
      <w:pPr>
        <w:spacing w:line="460" w:lineRule="exact"/>
        <w:ind w:firstLine="480"/>
        <w:jc w:val="both"/>
        <w:rPr>
          <w:bCs/>
          <w:sz w:val="24"/>
        </w:rPr>
      </w:pPr>
      <w:r>
        <w:rPr>
          <w:bCs/>
          <w:sz w:val="24"/>
        </w:rPr>
        <w:t>施工是短时期的，因此施工过程中对区域声环境的影响是暂时的，将随着施工的结束而消失。</w:t>
      </w:r>
    </w:p>
    <w:p w:rsidR="00DB7CC8" w:rsidRDefault="002B5250">
      <w:pPr>
        <w:pStyle w:val="3"/>
        <w:numPr>
          <w:ilvl w:val="2"/>
          <w:numId w:val="1"/>
        </w:numPr>
        <w:rPr>
          <w:szCs w:val="28"/>
        </w:rPr>
      </w:pPr>
      <w:bookmarkStart w:id="366" w:name="_Toc21641"/>
      <w:bookmarkStart w:id="367" w:name="_Toc521591794"/>
      <w:bookmarkStart w:id="368" w:name="_Toc298705398"/>
      <w:r>
        <w:rPr>
          <w:szCs w:val="28"/>
        </w:rPr>
        <w:t>施工期固体废物环</w:t>
      </w:r>
      <w:r>
        <w:rPr>
          <w:szCs w:val="28"/>
        </w:rPr>
        <w:t>境影响分析</w:t>
      </w:r>
      <w:bookmarkEnd w:id="366"/>
      <w:bookmarkEnd w:id="367"/>
      <w:bookmarkEnd w:id="368"/>
    </w:p>
    <w:p w:rsidR="00DB7CC8" w:rsidRDefault="002B5250">
      <w:pPr>
        <w:snapToGrid w:val="0"/>
        <w:ind w:firstLine="480"/>
        <w:jc w:val="both"/>
        <w:rPr>
          <w:sz w:val="24"/>
          <w:szCs w:val="24"/>
        </w:rPr>
      </w:pPr>
      <w:bookmarkStart w:id="369" w:name="OLE_LINK69"/>
      <w:bookmarkStart w:id="370" w:name="OLE_LINK68"/>
      <w:r>
        <w:rPr>
          <w:rFonts w:hint="eastAsia"/>
          <w:sz w:val="24"/>
          <w:szCs w:val="24"/>
        </w:rPr>
        <w:t>施工期产生的固体废物主要是建筑垃圾、废弃土石方和施工人员的生活垃圾。对施工期产生的固体废弃物如不及时清理和清运，或在运输时产生遗洒现象，都将对市容卫生、公众健康及道路交通产生不利影响。</w:t>
      </w:r>
    </w:p>
    <w:p w:rsidR="00DB7CC8" w:rsidRDefault="002B5250">
      <w:pPr>
        <w:snapToGrid w:val="0"/>
        <w:ind w:firstLine="480"/>
        <w:jc w:val="both"/>
        <w:rPr>
          <w:bCs/>
          <w:sz w:val="24"/>
        </w:rPr>
      </w:pPr>
      <w:r>
        <w:rPr>
          <w:bCs/>
          <w:sz w:val="24"/>
        </w:rPr>
        <w:t>（</w:t>
      </w:r>
      <w:r>
        <w:rPr>
          <w:bCs/>
          <w:sz w:val="24"/>
        </w:rPr>
        <w:t>1</w:t>
      </w:r>
      <w:r>
        <w:rPr>
          <w:bCs/>
          <w:sz w:val="24"/>
        </w:rPr>
        <w:t>）建筑垃圾</w:t>
      </w:r>
    </w:p>
    <w:p w:rsidR="00DB7CC8" w:rsidRDefault="002B5250">
      <w:pPr>
        <w:snapToGrid w:val="0"/>
        <w:ind w:firstLine="480"/>
        <w:jc w:val="both"/>
        <w:rPr>
          <w:bCs/>
          <w:sz w:val="24"/>
        </w:rPr>
      </w:pPr>
      <w:r>
        <w:rPr>
          <w:bCs/>
          <w:sz w:val="24"/>
        </w:rPr>
        <w:t>建筑垃圾主要来源于建筑施工</w:t>
      </w:r>
      <w:r>
        <w:rPr>
          <w:rFonts w:hint="eastAsia"/>
          <w:bCs/>
          <w:sz w:val="24"/>
        </w:rPr>
        <w:t>过程产生</w:t>
      </w:r>
      <w:r>
        <w:rPr>
          <w:bCs/>
          <w:sz w:val="24"/>
        </w:rPr>
        <w:t>的废弃物，如：水泥、砖瓦、石灰、沙石</w:t>
      </w:r>
      <w:r>
        <w:rPr>
          <w:rFonts w:hint="eastAsia"/>
          <w:bCs/>
          <w:sz w:val="24"/>
        </w:rPr>
        <w:t>、下脚料</w:t>
      </w:r>
      <w:r>
        <w:rPr>
          <w:bCs/>
          <w:sz w:val="24"/>
        </w:rPr>
        <w:t>等。虽然这些固体废弃物不含有毒有害成分，但粉状废料可随降雨产生地面径流进入地表水，使水体产生短时的污染。</w:t>
      </w:r>
    </w:p>
    <w:p w:rsidR="00DB7CC8" w:rsidRDefault="002B5250">
      <w:pPr>
        <w:snapToGrid w:val="0"/>
        <w:ind w:firstLine="480"/>
        <w:jc w:val="both"/>
        <w:rPr>
          <w:bCs/>
          <w:sz w:val="24"/>
        </w:rPr>
      </w:pPr>
      <w:r>
        <w:rPr>
          <w:rFonts w:hint="eastAsia"/>
          <w:bCs/>
          <w:sz w:val="24"/>
        </w:rPr>
        <w:t>施工过程中产生的建筑垃圾主要为废砂浆混凝土、下脚料、废施工材料等，施工结束后，建设单位对能够再利用的砂石料、水泥、</w:t>
      </w:r>
      <w:r>
        <w:rPr>
          <w:rFonts w:hint="eastAsia"/>
          <w:bCs/>
          <w:sz w:val="24"/>
        </w:rPr>
        <w:t>钢筋、</w:t>
      </w:r>
      <w:r>
        <w:rPr>
          <w:bCs/>
          <w:sz w:val="24"/>
        </w:rPr>
        <w:t>钢板下脚料</w:t>
      </w:r>
      <w:r>
        <w:rPr>
          <w:rFonts w:hint="eastAsia"/>
          <w:bCs/>
          <w:sz w:val="24"/>
        </w:rPr>
        <w:t>等材料</w:t>
      </w:r>
      <w:r>
        <w:rPr>
          <w:rFonts w:hint="eastAsia"/>
          <w:bCs/>
          <w:sz w:val="24"/>
        </w:rPr>
        <w:lastRenderedPageBreak/>
        <w:t>进行回收</w:t>
      </w:r>
      <w:r>
        <w:rPr>
          <w:bCs/>
          <w:sz w:val="24"/>
        </w:rPr>
        <w:t>，</w:t>
      </w:r>
      <w:r>
        <w:rPr>
          <w:rFonts w:hint="eastAsia"/>
          <w:bCs/>
          <w:sz w:val="24"/>
        </w:rPr>
        <w:t>对无回收价值的</w:t>
      </w:r>
      <w:r>
        <w:rPr>
          <w:bCs/>
          <w:sz w:val="24"/>
        </w:rPr>
        <w:t>建筑垃圾（如混凝土废料、废砖等）统一收集，</w:t>
      </w:r>
      <w:r>
        <w:rPr>
          <w:rFonts w:hint="eastAsia"/>
          <w:bCs/>
          <w:sz w:val="24"/>
        </w:rPr>
        <w:t>及时清运</w:t>
      </w:r>
      <w:r>
        <w:rPr>
          <w:bCs/>
          <w:sz w:val="24"/>
        </w:rPr>
        <w:t>至</w:t>
      </w:r>
      <w:r>
        <w:rPr>
          <w:rFonts w:hint="eastAsia"/>
          <w:bCs/>
          <w:sz w:val="24"/>
        </w:rPr>
        <w:t>遵化市</w:t>
      </w:r>
      <w:r>
        <w:rPr>
          <w:bCs/>
          <w:sz w:val="24"/>
        </w:rPr>
        <w:t>垃圾渣土管理部门</w:t>
      </w:r>
      <w:r>
        <w:rPr>
          <w:rFonts w:hint="eastAsia"/>
          <w:bCs/>
          <w:sz w:val="24"/>
        </w:rPr>
        <w:t>指</w:t>
      </w:r>
      <w:r>
        <w:rPr>
          <w:bCs/>
          <w:sz w:val="24"/>
        </w:rPr>
        <w:t>定的渣土消纳场进行正规消纳，对周围环境影响较小。</w:t>
      </w:r>
    </w:p>
    <w:p w:rsidR="00DB7CC8" w:rsidRDefault="002B5250">
      <w:pPr>
        <w:snapToGrid w:val="0"/>
        <w:ind w:firstLine="480"/>
        <w:jc w:val="both"/>
        <w:rPr>
          <w:bCs/>
          <w:sz w:val="24"/>
        </w:rPr>
      </w:pPr>
      <w:r>
        <w:rPr>
          <w:rFonts w:hint="eastAsia"/>
          <w:bCs/>
          <w:sz w:val="24"/>
        </w:rPr>
        <w:t>（</w:t>
      </w:r>
      <w:r>
        <w:rPr>
          <w:rFonts w:hint="eastAsia"/>
          <w:bCs/>
          <w:sz w:val="24"/>
        </w:rPr>
        <w:t>2</w:t>
      </w:r>
      <w:r>
        <w:rPr>
          <w:rFonts w:hint="eastAsia"/>
          <w:bCs/>
          <w:sz w:val="24"/>
        </w:rPr>
        <w:t>）废弃土石方</w:t>
      </w:r>
    </w:p>
    <w:p w:rsidR="00DB7CC8" w:rsidRDefault="002B5250">
      <w:pPr>
        <w:snapToGrid w:val="0"/>
        <w:ind w:firstLine="480"/>
        <w:jc w:val="both"/>
        <w:rPr>
          <w:bCs/>
          <w:sz w:val="24"/>
        </w:rPr>
      </w:pPr>
      <w:r>
        <w:rPr>
          <w:rFonts w:hint="eastAsia"/>
          <w:bCs/>
          <w:sz w:val="24"/>
        </w:rPr>
        <w:t>废弃土石方主要来自施工过程中的土石盈余，全部运往遵化</w:t>
      </w:r>
      <w:r>
        <w:rPr>
          <w:bCs/>
          <w:sz w:val="24"/>
        </w:rPr>
        <w:t>市垃圾渣土管理部门</w:t>
      </w:r>
      <w:r>
        <w:rPr>
          <w:rFonts w:hint="eastAsia"/>
          <w:bCs/>
          <w:sz w:val="24"/>
        </w:rPr>
        <w:t>指</w:t>
      </w:r>
      <w:r>
        <w:rPr>
          <w:bCs/>
          <w:sz w:val="24"/>
        </w:rPr>
        <w:t>定的渣土消纳场进行正规消纳处理，对周围环境影响较小。</w:t>
      </w:r>
    </w:p>
    <w:p w:rsidR="00DB7CC8" w:rsidRDefault="002B5250">
      <w:pPr>
        <w:snapToGrid w:val="0"/>
        <w:ind w:firstLine="480"/>
        <w:jc w:val="both"/>
        <w:rPr>
          <w:bCs/>
          <w:sz w:val="24"/>
        </w:rPr>
      </w:pPr>
      <w:r>
        <w:rPr>
          <w:bCs/>
          <w:sz w:val="24"/>
        </w:rPr>
        <w:t>（</w:t>
      </w:r>
      <w:r>
        <w:rPr>
          <w:rFonts w:hint="eastAsia"/>
          <w:bCs/>
          <w:sz w:val="24"/>
        </w:rPr>
        <w:t>3</w:t>
      </w:r>
      <w:r>
        <w:rPr>
          <w:bCs/>
          <w:sz w:val="24"/>
        </w:rPr>
        <w:t>）生活垃圾</w:t>
      </w:r>
    </w:p>
    <w:p w:rsidR="00DB7CC8" w:rsidRDefault="002B5250">
      <w:pPr>
        <w:autoSpaceDE w:val="0"/>
        <w:autoSpaceDN w:val="0"/>
        <w:ind w:firstLine="480"/>
        <w:jc w:val="both"/>
        <w:textAlignment w:val="auto"/>
        <w:rPr>
          <w:bCs/>
          <w:sz w:val="24"/>
        </w:rPr>
      </w:pPr>
      <w:r>
        <w:rPr>
          <w:bCs/>
          <w:sz w:val="24"/>
        </w:rPr>
        <w:t>生活垃圾来源于施工人员生活过程中产生的废弃物，其成分与城市居民生活垃圾成分相似。施工人员每天产生生活垃圾</w:t>
      </w:r>
      <w:r>
        <w:rPr>
          <w:rFonts w:hint="eastAsia"/>
          <w:bCs/>
          <w:sz w:val="24"/>
        </w:rPr>
        <w:t>2</w:t>
      </w:r>
      <w:r>
        <w:rPr>
          <w:bCs/>
          <w:sz w:val="24"/>
        </w:rPr>
        <w:t>kg/d</w:t>
      </w:r>
      <w:r>
        <w:rPr>
          <w:bCs/>
          <w:sz w:val="24"/>
        </w:rPr>
        <w:t>，整个施工期共产生生活垃圾</w:t>
      </w:r>
      <w:r>
        <w:rPr>
          <w:rFonts w:hint="eastAsia"/>
          <w:bCs/>
          <w:sz w:val="24"/>
        </w:rPr>
        <w:t>0.18</w:t>
      </w:r>
      <w:r>
        <w:rPr>
          <w:bCs/>
          <w:sz w:val="24"/>
        </w:rPr>
        <w:t>t</w:t>
      </w:r>
      <w:r>
        <w:rPr>
          <w:bCs/>
          <w:sz w:val="24"/>
        </w:rPr>
        <w:t>。生活垃圾日产日清，由环卫部门</w:t>
      </w:r>
      <w:r>
        <w:rPr>
          <w:bCs/>
          <w:sz w:val="24"/>
        </w:rPr>
        <w:t>统一清运至指定地点统一消纳处理，不会对周围环境造成不利影响。</w:t>
      </w:r>
      <w:bookmarkEnd w:id="340"/>
      <w:bookmarkEnd w:id="369"/>
      <w:bookmarkEnd w:id="370"/>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371" w:name="_Toc27022"/>
      <w:bookmarkStart w:id="372" w:name="_Toc503218115"/>
      <w:bookmarkStart w:id="373" w:name="_Toc24062"/>
      <w:bookmarkStart w:id="374" w:name="_Toc524285110"/>
      <w:bookmarkStart w:id="375" w:name="_Toc521591796"/>
      <w:bookmarkStart w:id="376" w:name="_Toc499651416"/>
      <w:bookmarkStart w:id="377" w:name="_Toc6671"/>
      <w:bookmarkStart w:id="378" w:name="_Toc22888"/>
      <w:bookmarkStart w:id="379" w:name="_Toc303632174"/>
      <w:r>
        <w:rPr>
          <w:rFonts w:ascii="Times New Roman" w:eastAsia="宋体" w:hAnsi="Times New Roman"/>
          <w:bCs w:val="0"/>
          <w:snapToGrid w:val="0"/>
          <w:kern w:val="0"/>
          <w:sz w:val="28"/>
          <w:szCs w:val="28"/>
        </w:rPr>
        <w:t>营运期环境影响预测与评价</w:t>
      </w:r>
      <w:bookmarkEnd w:id="371"/>
      <w:bookmarkEnd w:id="372"/>
      <w:bookmarkEnd w:id="373"/>
      <w:bookmarkEnd w:id="374"/>
      <w:bookmarkEnd w:id="375"/>
      <w:bookmarkEnd w:id="376"/>
      <w:bookmarkEnd w:id="377"/>
      <w:bookmarkEnd w:id="378"/>
      <w:bookmarkEnd w:id="379"/>
    </w:p>
    <w:p w:rsidR="00DB7CC8" w:rsidRDefault="002B5250">
      <w:pPr>
        <w:pStyle w:val="3"/>
        <w:numPr>
          <w:ilvl w:val="2"/>
          <w:numId w:val="1"/>
        </w:numPr>
        <w:rPr>
          <w:szCs w:val="28"/>
        </w:rPr>
      </w:pPr>
      <w:bookmarkStart w:id="380" w:name="_Toc521591797"/>
      <w:bookmarkStart w:id="381" w:name="_Toc26071"/>
      <w:r>
        <w:rPr>
          <w:szCs w:val="28"/>
        </w:rPr>
        <w:t>大气环境影响预测与评价</w:t>
      </w:r>
      <w:bookmarkEnd w:id="380"/>
      <w:bookmarkEnd w:id="381"/>
    </w:p>
    <w:p w:rsidR="00DB7CC8" w:rsidRDefault="002B5250">
      <w:pPr>
        <w:pStyle w:val="4"/>
        <w:numPr>
          <w:ilvl w:val="3"/>
          <w:numId w:val="1"/>
        </w:numPr>
        <w:ind w:left="709" w:hanging="709"/>
        <w:rPr>
          <w:rFonts w:eastAsia="宋体"/>
          <w:b/>
        </w:rPr>
      </w:pPr>
      <w:bookmarkStart w:id="382" w:name="_Hlk18932981"/>
      <w:r>
        <w:rPr>
          <w:rFonts w:eastAsia="宋体"/>
          <w:b/>
        </w:rPr>
        <w:t>污染物排放量核算</w:t>
      </w:r>
    </w:p>
    <w:p w:rsidR="00DB7CC8" w:rsidRDefault="002B5250">
      <w:pPr>
        <w:ind w:firstLine="480"/>
        <w:rPr>
          <w:rFonts w:eastAsia="黑体"/>
          <w:kern w:val="2"/>
          <w:sz w:val="21"/>
          <w:szCs w:val="21"/>
        </w:rPr>
      </w:pPr>
      <w:r>
        <w:rPr>
          <w:sz w:val="24"/>
          <w:szCs w:val="24"/>
        </w:rPr>
        <w:t>根据《环境影响评价技术导则大气环境》（</w:t>
      </w:r>
      <w:r>
        <w:rPr>
          <w:sz w:val="24"/>
          <w:szCs w:val="24"/>
        </w:rPr>
        <w:t>HJ2.2-2018</w:t>
      </w:r>
      <w:r>
        <w:rPr>
          <w:sz w:val="24"/>
          <w:szCs w:val="24"/>
        </w:rPr>
        <w:t>）中</w:t>
      </w:r>
      <w:r>
        <w:rPr>
          <w:sz w:val="24"/>
          <w:szCs w:val="24"/>
        </w:rPr>
        <w:t>8.1.2</w:t>
      </w:r>
      <w:r>
        <w:rPr>
          <w:sz w:val="24"/>
          <w:szCs w:val="24"/>
        </w:rPr>
        <w:t>的规定，二级评价项目不进行进一步预测与评价，只对污染物排放量进行核算。本项目污染物有组织排放量核算见表</w:t>
      </w:r>
      <w:r>
        <w:rPr>
          <w:sz w:val="24"/>
          <w:szCs w:val="24"/>
        </w:rPr>
        <w:t>5.2-1</w:t>
      </w:r>
      <w:r>
        <w:rPr>
          <w:sz w:val="24"/>
          <w:szCs w:val="24"/>
        </w:rPr>
        <w:t>，无组织排放量核算见表</w:t>
      </w:r>
      <w:r>
        <w:rPr>
          <w:sz w:val="24"/>
          <w:szCs w:val="24"/>
        </w:rPr>
        <w:t>5.2-2</w:t>
      </w:r>
      <w:r>
        <w:rPr>
          <w:sz w:val="24"/>
          <w:szCs w:val="24"/>
        </w:rPr>
        <w:t>，大气污染物年排放量核算见表</w:t>
      </w:r>
      <w:r>
        <w:rPr>
          <w:sz w:val="24"/>
          <w:szCs w:val="24"/>
        </w:rPr>
        <w:t>5.2-3</w:t>
      </w:r>
      <w:r>
        <w:rPr>
          <w:sz w:val="24"/>
          <w:szCs w:val="24"/>
        </w:rPr>
        <w:t>，非正常排放量核算见表</w:t>
      </w:r>
      <w:r>
        <w:rPr>
          <w:sz w:val="24"/>
          <w:szCs w:val="24"/>
        </w:rPr>
        <w:t>5.2-4</w:t>
      </w:r>
      <w:r>
        <w:rPr>
          <w:sz w:val="24"/>
          <w:szCs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 xml:space="preserve">5.2-1    </w:t>
      </w:r>
      <w:r>
        <w:rPr>
          <w:rFonts w:eastAsia="黑体"/>
          <w:kern w:val="2"/>
          <w:sz w:val="21"/>
          <w:szCs w:val="21"/>
        </w:rPr>
        <w:t>大气污染物有组织排放量核算表</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6"/>
        <w:gridCol w:w="1285"/>
        <w:gridCol w:w="1285"/>
        <w:gridCol w:w="1779"/>
        <w:gridCol w:w="1658"/>
        <w:gridCol w:w="1819"/>
      </w:tblGrid>
      <w:tr w:rsidR="00DB7CC8">
        <w:trPr>
          <w:trHeight w:val="283"/>
          <w:tblHeader/>
          <w:jc w:val="center"/>
        </w:trPr>
        <w:tc>
          <w:tcPr>
            <w:tcW w:w="696" w:type="dxa"/>
            <w:vAlign w:val="center"/>
          </w:tcPr>
          <w:p w:rsidR="00DB7CC8" w:rsidRDefault="002B5250">
            <w:pPr>
              <w:tabs>
                <w:tab w:val="left" w:pos="0"/>
              </w:tabs>
              <w:spacing w:line="240" w:lineRule="auto"/>
              <w:ind w:firstLineChars="0" w:firstLine="0"/>
              <w:jc w:val="center"/>
              <w:rPr>
                <w:sz w:val="21"/>
                <w:szCs w:val="21"/>
              </w:rPr>
            </w:pPr>
            <w:r>
              <w:rPr>
                <w:sz w:val="21"/>
                <w:szCs w:val="21"/>
              </w:rPr>
              <w:t>序号</w:t>
            </w:r>
          </w:p>
        </w:tc>
        <w:tc>
          <w:tcPr>
            <w:tcW w:w="1285" w:type="dxa"/>
            <w:vAlign w:val="center"/>
          </w:tcPr>
          <w:p w:rsidR="00DB7CC8" w:rsidRDefault="002B5250">
            <w:pPr>
              <w:tabs>
                <w:tab w:val="left" w:pos="0"/>
              </w:tabs>
              <w:spacing w:line="240" w:lineRule="auto"/>
              <w:ind w:firstLineChars="0" w:firstLine="0"/>
              <w:jc w:val="center"/>
              <w:rPr>
                <w:sz w:val="21"/>
                <w:szCs w:val="21"/>
              </w:rPr>
            </w:pPr>
            <w:r>
              <w:rPr>
                <w:sz w:val="21"/>
                <w:szCs w:val="21"/>
              </w:rPr>
              <w:t>排放口</w:t>
            </w:r>
          </w:p>
          <w:p w:rsidR="00DB7CC8" w:rsidRDefault="002B5250">
            <w:pPr>
              <w:tabs>
                <w:tab w:val="left" w:pos="0"/>
              </w:tabs>
              <w:spacing w:line="240" w:lineRule="auto"/>
              <w:ind w:firstLineChars="0" w:firstLine="0"/>
              <w:jc w:val="center"/>
              <w:rPr>
                <w:sz w:val="21"/>
                <w:szCs w:val="21"/>
              </w:rPr>
            </w:pPr>
            <w:r>
              <w:rPr>
                <w:sz w:val="21"/>
                <w:szCs w:val="21"/>
              </w:rPr>
              <w:t>编号</w:t>
            </w:r>
          </w:p>
        </w:tc>
        <w:tc>
          <w:tcPr>
            <w:tcW w:w="1285" w:type="dxa"/>
            <w:vAlign w:val="center"/>
          </w:tcPr>
          <w:p w:rsidR="00DB7CC8" w:rsidRDefault="002B5250">
            <w:pPr>
              <w:tabs>
                <w:tab w:val="left" w:pos="-105"/>
              </w:tabs>
              <w:spacing w:line="240" w:lineRule="auto"/>
              <w:ind w:firstLineChars="0" w:firstLine="0"/>
              <w:jc w:val="center"/>
              <w:rPr>
                <w:sz w:val="21"/>
                <w:szCs w:val="21"/>
              </w:rPr>
            </w:pPr>
            <w:r>
              <w:rPr>
                <w:sz w:val="21"/>
                <w:szCs w:val="21"/>
              </w:rPr>
              <w:t>污染物</w:t>
            </w:r>
          </w:p>
        </w:tc>
        <w:tc>
          <w:tcPr>
            <w:tcW w:w="1779" w:type="dxa"/>
            <w:vAlign w:val="center"/>
          </w:tcPr>
          <w:p w:rsidR="00DB7CC8" w:rsidRDefault="002B5250">
            <w:pPr>
              <w:tabs>
                <w:tab w:val="left" w:pos="0"/>
              </w:tabs>
              <w:spacing w:line="240" w:lineRule="auto"/>
              <w:ind w:firstLineChars="0" w:firstLine="0"/>
              <w:jc w:val="center"/>
              <w:rPr>
                <w:sz w:val="21"/>
                <w:szCs w:val="21"/>
              </w:rPr>
            </w:pPr>
            <w:r>
              <w:rPr>
                <w:sz w:val="21"/>
                <w:szCs w:val="21"/>
              </w:rPr>
              <w:t>核算排放浓度（</w:t>
            </w:r>
            <w:r>
              <w:rPr>
                <w:kern w:val="2"/>
                <w:sz w:val="21"/>
                <w:szCs w:val="21"/>
              </w:rPr>
              <w:t>mg/m</w:t>
            </w:r>
            <w:r>
              <w:rPr>
                <w:kern w:val="2"/>
                <w:sz w:val="21"/>
                <w:szCs w:val="21"/>
                <w:vertAlign w:val="superscript"/>
              </w:rPr>
              <w:t>3</w:t>
            </w:r>
            <w:r>
              <w:rPr>
                <w:sz w:val="21"/>
                <w:szCs w:val="21"/>
              </w:rPr>
              <w:t>）</w:t>
            </w:r>
          </w:p>
        </w:tc>
        <w:tc>
          <w:tcPr>
            <w:tcW w:w="1658" w:type="dxa"/>
            <w:vAlign w:val="center"/>
          </w:tcPr>
          <w:p w:rsidR="00DB7CC8" w:rsidRDefault="002B5250">
            <w:pPr>
              <w:tabs>
                <w:tab w:val="left" w:pos="0"/>
              </w:tabs>
              <w:spacing w:line="240" w:lineRule="auto"/>
              <w:ind w:firstLineChars="0" w:firstLine="0"/>
              <w:jc w:val="center"/>
              <w:rPr>
                <w:bCs/>
                <w:sz w:val="21"/>
                <w:szCs w:val="21"/>
              </w:rPr>
            </w:pPr>
            <w:r>
              <w:rPr>
                <w:bCs/>
                <w:sz w:val="21"/>
                <w:szCs w:val="21"/>
              </w:rPr>
              <w:t>核算排放速率</w:t>
            </w:r>
          </w:p>
          <w:p w:rsidR="00DB7CC8" w:rsidRDefault="002B5250">
            <w:pPr>
              <w:tabs>
                <w:tab w:val="left" w:pos="0"/>
              </w:tabs>
              <w:spacing w:line="240" w:lineRule="auto"/>
              <w:ind w:firstLineChars="0" w:firstLine="0"/>
              <w:jc w:val="center"/>
              <w:rPr>
                <w:bCs/>
                <w:sz w:val="21"/>
                <w:szCs w:val="21"/>
              </w:rPr>
            </w:pPr>
            <w:r>
              <w:rPr>
                <w:bCs/>
                <w:sz w:val="21"/>
                <w:szCs w:val="21"/>
              </w:rPr>
              <w:t>（</w:t>
            </w:r>
            <w:r>
              <w:rPr>
                <w:bCs/>
                <w:sz w:val="21"/>
                <w:szCs w:val="21"/>
              </w:rPr>
              <w:t>kg/h</w:t>
            </w:r>
            <w:r>
              <w:rPr>
                <w:bCs/>
                <w:sz w:val="21"/>
                <w:szCs w:val="21"/>
              </w:rPr>
              <w:t>）</w:t>
            </w:r>
          </w:p>
        </w:tc>
        <w:tc>
          <w:tcPr>
            <w:tcW w:w="1819" w:type="dxa"/>
            <w:vAlign w:val="center"/>
          </w:tcPr>
          <w:p w:rsidR="00DB7CC8" w:rsidRDefault="002B5250">
            <w:pPr>
              <w:tabs>
                <w:tab w:val="left" w:pos="0"/>
              </w:tabs>
              <w:spacing w:line="240" w:lineRule="auto"/>
              <w:ind w:firstLineChars="0" w:firstLine="0"/>
              <w:jc w:val="center"/>
              <w:rPr>
                <w:sz w:val="21"/>
                <w:szCs w:val="21"/>
              </w:rPr>
            </w:pPr>
            <w:r>
              <w:rPr>
                <w:sz w:val="21"/>
                <w:szCs w:val="21"/>
              </w:rPr>
              <w:t>核算年排放量</w:t>
            </w:r>
            <w:r>
              <w:rPr>
                <w:sz w:val="21"/>
                <w:szCs w:val="21"/>
              </w:rPr>
              <w:t>(t/a)</w:t>
            </w:r>
          </w:p>
        </w:tc>
      </w:tr>
      <w:tr w:rsidR="00DB7CC8">
        <w:trPr>
          <w:trHeight w:val="283"/>
          <w:jc w:val="center"/>
        </w:trPr>
        <w:tc>
          <w:tcPr>
            <w:tcW w:w="8522" w:type="dxa"/>
            <w:gridSpan w:val="6"/>
            <w:vAlign w:val="center"/>
          </w:tcPr>
          <w:p w:rsidR="00DB7CC8" w:rsidRDefault="002B5250">
            <w:pPr>
              <w:tabs>
                <w:tab w:val="left" w:pos="0"/>
              </w:tabs>
              <w:spacing w:line="240" w:lineRule="auto"/>
              <w:ind w:firstLineChars="0" w:firstLine="0"/>
              <w:jc w:val="center"/>
              <w:rPr>
                <w:sz w:val="21"/>
                <w:szCs w:val="21"/>
              </w:rPr>
            </w:pPr>
            <w:r>
              <w:rPr>
                <w:rFonts w:hint="eastAsia"/>
                <w:sz w:val="21"/>
                <w:szCs w:val="21"/>
              </w:rPr>
              <w:t>一般</w:t>
            </w:r>
            <w:r>
              <w:rPr>
                <w:sz w:val="21"/>
                <w:szCs w:val="21"/>
              </w:rPr>
              <w:t>排放口</w:t>
            </w:r>
          </w:p>
        </w:tc>
      </w:tr>
      <w:tr w:rsidR="00DB7CC8">
        <w:trPr>
          <w:trHeight w:val="283"/>
          <w:jc w:val="center"/>
        </w:trPr>
        <w:tc>
          <w:tcPr>
            <w:tcW w:w="696" w:type="dxa"/>
            <w:vAlign w:val="center"/>
          </w:tcPr>
          <w:p w:rsidR="00DB7CC8" w:rsidRDefault="002B5250">
            <w:pPr>
              <w:tabs>
                <w:tab w:val="left" w:pos="0"/>
              </w:tabs>
              <w:spacing w:line="240" w:lineRule="auto"/>
              <w:ind w:firstLineChars="0" w:firstLine="0"/>
              <w:jc w:val="center"/>
              <w:rPr>
                <w:sz w:val="21"/>
                <w:szCs w:val="21"/>
              </w:rPr>
            </w:pPr>
            <w:r>
              <w:rPr>
                <w:sz w:val="21"/>
                <w:szCs w:val="21"/>
              </w:rPr>
              <w:t>1</w:t>
            </w:r>
          </w:p>
        </w:tc>
        <w:tc>
          <w:tcPr>
            <w:tcW w:w="1285" w:type="dxa"/>
            <w:vAlign w:val="center"/>
          </w:tcPr>
          <w:p w:rsidR="00DB7CC8" w:rsidRDefault="002B5250">
            <w:pPr>
              <w:tabs>
                <w:tab w:val="left" w:pos="0"/>
              </w:tabs>
              <w:spacing w:line="240" w:lineRule="auto"/>
              <w:ind w:firstLineChars="0" w:firstLine="0"/>
              <w:jc w:val="center"/>
              <w:rPr>
                <w:sz w:val="21"/>
                <w:szCs w:val="21"/>
              </w:rPr>
            </w:pPr>
            <w:r>
              <w:rPr>
                <w:sz w:val="21"/>
                <w:szCs w:val="21"/>
              </w:rPr>
              <w:t>G</w:t>
            </w:r>
            <w:r>
              <w:rPr>
                <w:rFonts w:hint="eastAsia"/>
                <w:sz w:val="21"/>
                <w:szCs w:val="21"/>
              </w:rPr>
              <w:t>3</w:t>
            </w:r>
          </w:p>
        </w:tc>
        <w:tc>
          <w:tcPr>
            <w:tcW w:w="1285" w:type="dxa"/>
            <w:vAlign w:val="center"/>
          </w:tcPr>
          <w:p w:rsidR="00DB7CC8" w:rsidRDefault="002B5250">
            <w:pPr>
              <w:tabs>
                <w:tab w:val="left" w:pos="0"/>
              </w:tabs>
              <w:spacing w:line="240" w:lineRule="auto"/>
              <w:ind w:firstLineChars="0" w:firstLine="0"/>
              <w:jc w:val="center"/>
              <w:rPr>
                <w:sz w:val="21"/>
                <w:szCs w:val="21"/>
              </w:rPr>
            </w:pPr>
            <w:r>
              <w:rPr>
                <w:sz w:val="21"/>
                <w:szCs w:val="21"/>
              </w:rPr>
              <w:t>颗粒物</w:t>
            </w:r>
          </w:p>
        </w:tc>
        <w:tc>
          <w:tcPr>
            <w:tcW w:w="1779" w:type="dxa"/>
            <w:vAlign w:val="center"/>
          </w:tcPr>
          <w:p w:rsidR="00DB7CC8" w:rsidRDefault="002B5250">
            <w:pPr>
              <w:tabs>
                <w:tab w:val="left" w:pos="0"/>
              </w:tabs>
              <w:spacing w:line="240" w:lineRule="auto"/>
              <w:ind w:firstLineChars="0" w:firstLine="0"/>
              <w:jc w:val="center"/>
              <w:rPr>
                <w:sz w:val="21"/>
                <w:szCs w:val="21"/>
              </w:rPr>
            </w:pPr>
            <w:r>
              <w:rPr>
                <w:rFonts w:hint="eastAsia"/>
                <w:sz w:val="21"/>
                <w:szCs w:val="21"/>
              </w:rPr>
              <w:t>5.7</w:t>
            </w:r>
          </w:p>
        </w:tc>
        <w:tc>
          <w:tcPr>
            <w:tcW w:w="1658" w:type="dxa"/>
            <w:vAlign w:val="center"/>
          </w:tcPr>
          <w:p w:rsidR="00DB7CC8" w:rsidRDefault="002B5250">
            <w:pPr>
              <w:tabs>
                <w:tab w:val="left" w:pos="0"/>
              </w:tabs>
              <w:spacing w:line="240" w:lineRule="auto"/>
              <w:ind w:firstLineChars="0" w:firstLine="0"/>
              <w:jc w:val="center"/>
            </w:pPr>
            <w:r>
              <w:rPr>
                <w:rFonts w:hint="eastAsia"/>
                <w:sz w:val="21"/>
                <w:szCs w:val="21"/>
              </w:rPr>
              <w:t>0.285</w:t>
            </w:r>
          </w:p>
        </w:tc>
        <w:tc>
          <w:tcPr>
            <w:tcW w:w="1819" w:type="dxa"/>
            <w:vAlign w:val="center"/>
          </w:tcPr>
          <w:p w:rsidR="00DB7CC8" w:rsidRDefault="002B5250">
            <w:pPr>
              <w:tabs>
                <w:tab w:val="left" w:pos="0"/>
              </w:tabs>
              <w:spacing w:line="240" w:lineRule="auto"/>
              <w:ind w:firstLineChars="0" w:firstLine="0"/>
              <w:jc w:val="center"/>
              <w:rPr>
                <w:sz w:val="21"/>
                <w:szCs w:val="21"/>
              </w:rPr>
            </w:pPr>
            <w:r>
              <w:rPr>
                <w:rFonts w:hint="eastAsia"/>
                <w:sz w:val="21"/>
                <w:szCs w:val="21"/>
              </w:rPr>
              <w:t>2.052</w:t>
            </w:r>
          </w:p>
        </w:tc>
      </w:tr>
      <w:tr w:rsidR="00DB7CC8">
        <w:trPr>
          <w:trHeight w:val="283"/>
          <w:jc w:val="center"/>
        </w:trPr>
        <w:tc>
          <w:tcPr>
            <w:tcW w:w="1981" w:type="dxa"/>
            <w:gridSpan w:val="2"/>
            <w:vAlign w:val="center"/>
          </w:tcPr>
          <w:p w:rsidR="00DB7CC8" w:rsidRDefault="002B5250">
            <w:pPr>
              <w:tabs>
                <w:tab w:val="left" w:pos="0"/>
              </w:tabs>
              <w:spacing w:line="240" w:lineRule="auto"/>
              <w:ind w:firstLineChars="0" w:firstLine="0"/>
              <w:jc w:val="center"/>
              <w:rPr>
                <w:sz w:val="21"/>
                <w:szCs w:val="21"/>
              </w:rPr>
            </w:pPr>
            <w:r>
              <w:rPr>
                <w:sz w:val="21"/>
                <w:szCs w:val="21"/>
              </w:rPr>
              <w:t>合计</w:t>
            </w:r>
          </w:p>
        </w:tc>
        <w:tc>
          <w:tcPr>
            <w:tcW w:w="4722" w:type="dxa"/>
            <w:gridSpan w:val="3"/>
            <w:vAlign w:val="center"/>
          </w:tcPr>
          <w:p w:rsidR="00DB7CC8" w:rsidRDefault="002B5250">
            <w:pPr>
              <w:tabs>
                <w:tab w:val="left" w:pos="0"/>
              </w:tabs>
              <w:spacing w:line="240" w:lineRule="auto"/>
              <w:ind w:firstLineChars="100" w:firstLine="210"/>
              <w:jc w:val="center"/>
              <w:rPr>
                <w:bCs/>
                <w:sz w:val="21"/>
                <w:szCs w:val="21"/>
              </w:rPr>
            </w:pPr>
            <w:r>
              <w:rPr>
                <w:bCs/>
                <w:sz w:val="21"/>
                <w:szCs w:val="21"/>
              </w:rPr>
              <w:t>颗粒物</w:t>
            </w:r>
          </w:p>
        </w:tc>
        <w:tc>
          <w:tcPr>
            <w:tcW w:w="1819" w:type="dxa"/>
            <w:vAlign w:val="center"/>
          </w:tcPr>
          <w:p w:rsidR="00DB7CC8" w:rsidRDefault="002B5250">
            <w:pPr>
              <w:tabs>
                <w:tab w:val="left" w:pos="0"/>
              </w:tabs>
              <w:spacing w:line="240" w:lineRule="auto"/>
              <w:ind w:firstLineChars="0" w:firstLine="0"/>
              <w:jc w:val="center"/>
              <w:rPr>
                <w:snapToGrid w:val="0"/>
                <w:sz w:val="21"/>
                <w:szCs w:val="21"/>
              </w:rPr>
            </w:pPr>
            <w:r>
              <w:rPr>
                <w:rFonts w:hint="eastAsia"/>
                <w:snapToGrid w:val="0"/>
                <w:sz w:val="21"/>
                <w:szCs w:val="21"/>
              </w:rPr>
              <w:t>2.052</w:t>
            </w:r>
          </w:p>
        </w:tc>
      </w:tr>
    </w:tbl>
    <w:p w:rsidR="00DB7CC8" w:rsidRDefault="002B5250">
      <w:pPr>
        <w:spacing w:beforeLines="50" w:before="120"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 xml:space="preserve">5.2-2    </w:t>
      </w:r>
      <w:r>
        <w:rPr>
          <w:rFonts w:eastAsia="黑体"/>
          <w:kern w:val="2"/>
          <w:sz w:val="21"/>
          <w:szCs w:val="21"/>
        </w:rPr>
        <w:t>大气污染物无组织排放量核算表</w:t>
      </w:r>
    </w:p>
    <w:tbl>
      <w:tblPr>
        <w:tblW w:w="8522" w:type="dxa"/>
        <w:jc w:val="center"/>
        <w:tblBorders>
          <w:top w:val="single" w:sz="8" w:space="0" w:color="auto"/>
          <w:bottom w:val="single" w:sz="8" w:space="0" w:color="auto"/>
          <w:insideH w:val="single" w:sz="8" w:space="0" w:color="auto"/>
          <w:insideV w:val="single" w:sz="8" w:space="0" w:color="auto"/>
        </w:tblBorders>
        <w:tblLayout w:type="fixed"/>
        <w:tblLook w:val="04A0" w:firstRow="1" w:lastRow="0" w:firstColumn="1" w:lastColumn="0" w:noHBand="0" w:noVBand="1"/>
      </w:tblPr>
      <w:tblGrid>
        <w:gridCol w:w="521"/>
        <w:gridCol w:w="727"/>
        <w:gridCol w:w="1143"/>
        <w:gridCol w:w="968"/>
        <w:gridCol w:w="1262"/>
        <w:gridCol w:w="1525"/>
        <w:gridCol w:w="1615"/>
        <w:gridCol w:w="761"/>
      </w:tblGrid>
      <w:tr w:rsidR="00DB7CC8">
        <w:trPr>
          <w:trHeight w:val="300"/>
          <w:tblHeader/>
          <w:jc w:val="center"/>
        </w:trPr>
        <w:tc>
          <w:tcPr>
            <w:tcW w:w="521" w:type="dxa"/>
            <w:vMerge w:val="restart"/>
            <w:tcBorders>
              <w:left w:val="single" w:sz="8" w:space="0" w:color="auto"/>
              <w:bottom w:val="single" w:sz="8" w:space="0" w:color="auto"/>
              <w:right w:val="single" w:sz="8" w:space="0" w:color="auto"/>
            </w:tcBorders>
            <w:vAlign w:val="center"/>
          </w:tcPr>
          <w:bookmarkEnd w:id="382"/>
          <w:p w:rsidR="00DB7CC8" w:rsidRDefault="002B5250">
            <w:pPr>
              <w:tabs>
                <w:tab w:val="left" w:pos="0"/>
              </w:tabs>
              <w:snapToGrid w:val="0"/>
              <w:spacing w:line="240" w:lineRule="auto"/>
              <w:ind w:firstLineChars="0" w:firstLine="0"/>
              <w:jc w:val="center"/>
              <w:rPr>
                <w:sz w:val="21"/>
                <w:szCs w:val="21"/>
              </w:rPr>
            </w:pPr>
            <w:r>
              <w:rPr>
                <w:sz w:val="21"/>
                <w:szCs w:val="21"/>
              </w:rPr>
              <w:t>序号</w:t>
            </w:r>
          </w:p>
        </w:tc>
        <w:tc>
          <w:tcPr>
            <w:tcW w:w="727" w:type="dxa"/>
            <w:vMerge w:val="restart"/>
            <w:tcBorders>
              <w:left w:val="single" w:sz="8" w:space="0" w:color="auto"/>
              <w:bottom w:val="single" w:sz="8" w:space="0" w:color="auto"/>
              <w:right w:val="single" w:sz="8" w:space="0" w:color="auto"/>
            </w:tcBorders>
            <w:vAlign w:val="center"/>
          </w:tcPr>
          <w:p w:rsidR="00DB7CC8" w:rsidRDefault="002B5250">
            <w:pPr>
              <w:tabs>
                <w:tab w:val="left" w:pos="-105"/>
              </w:tabs>
              <w:snapToGrid w:val="0"/>
              <w:spacing w:line="240" w:lineRule="auto"/>
              <w:ind w:firstLineChars="0" w:firstLine="0"/>
              <w:jc w:val="center"/>
              <w:rPr>
                <w:sz w:val="21"/>
                <w:szCs w:val="21"/>
              </w:rPr>
            </w:pPr>
            <w:r>
              <w:rPr>
                <w:sz w:val="21"/>
                <w:szCs w:val="21"/>
              </w:rPr>
              <w:t>排放口编号</w:t>
            </w:r>
          </w:p>
        </w:tc>
        <w:tc>
          <w:tcPr>
            <w:tcW w:w="1143" w:type="dxa"/>
            <w:vMerge w:val="restart"/>
            <w:tcBorders>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产污</w:t>
            </w:r>
          </w:p>
          <w:p w:rsidR="00DB7CC8" w:rsidRDefault="002B5250">
            <w:pPr>
              <w:tabs>
                <w:tab w:val="left" w:pos="0"/>
              </w:tabs>
              <w:snapToGrid w:val="0"/>
              <w:spacing w:line="240" w:lineRule="auto"/>
              <w:ind w:firstLineChars="0" w:firstLine="0"/>
              <w:jc w:val="center"/>
              <w:rPr>
                <w:sz w:val="21"/>
                <w:szCs w:val="21"/>
              </w:rPr>
            </w:pPr>
            <w:r>
              <w:rPr>
                <w:sz w:val="21"/>
                <w:szCs w:val="21"/>
              </w:rPr>
              <w:t>环节</w:t>
            </w:r>
          </w:p>
        </w:tc>
        <w:tc>
          <w:tcPr>
            <w:tcW w:w="968" w:type="dxa"/>
            <w:vMerge w:val="restart"/>
            <w:tcBorders>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bCs/>
                <w:sz w:val="21"/>
                <w:szCs w:val="21"/>
              </w:rPr>
            </w:pPr>
            <w:r>
              <w:rPr>
                <w:bCs/>
                <w:sz w:val="21"/>
                <w:szCs w:val="21"/>
              </w:rPr>
              <w:t>污染物</w:t>
            </w:r>
          </w:p>
        </w:tc>
        <w:tc>
          <w:tcPr>
            <w:tcW w:w="1262" w:type="dxa"/>
            <w:vMerge w:val="restart"/>
            <w:tcBorders>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主要污染防治措施</w:t>
            </w:r>
          </w:p>
        </w:tc>
        <w:tc>
          <w:tcPr>
            <w:tcW w:w="3140" w:type="dxa"/>
            <w:gridSpan w:val="2"/>
            <w:tcBorders>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污染物排放标准</w:t>
            </w:r>
          </w:p>
        </w:tc>
        <w:tc>
          <w:tcPr>
            <w:tcW w:w="761" w:type="dxa"/>
            <w:vMerge w:val="restart"/>
            <w:tcBorders>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年排放量</w:t>
            </w:r>
            <w:r>
              <w:rPr>
                <w:sz w:val="21"/>
                <w:szCs w:val="21"/>
              </w:rPr>
              <w:t>/(t/a)</w:t>
            </w:r>
          </w:p>
        </w:tc>
      </w:tr>
      <w:tr w:rsidR="00DB7CC8">
        <w:trPr>
          <w:trHeight w:val="315"/>
          <w:tblHeader/>
          <w:jc w:val="center"/>
        </w:trPr>
        <w:tc>
          <w:tcPr>
            <w:tcW w:w="521" w:type="dxa"/>
            <w:vMerge/>
            <w:tcBorders>
              <w:top w:val="single" w:sz="8" w:space="0" w:color="auto"/>
              <w:left w:val="single" w:sz="8" w:space="0" w:color="auto"/>
              <w:bottom w:val="single" w:sz="8" w:space="0" w:color="auto"/>
              <w:right w:val="single" w:sz="8" w:space="0" w:color="auto"/>
            </w:tcBorders>
            <w:vAlign w:val="center"/>
          </w:tcPr>
          <w:p w:rsidR="00DB7CC8" w:rsidRDefault="00DB7CC8">
            <w:pPr>
              <w:tabs>
                <w:tab w:val="left" w:pos="0"/>
              </w:tabs>
              <w:snapToGrid w:val="0"/>
              <w:spacing w:line="240" w:lineRule="auto"/>
              <w:ind w:firstLineChars="0" w:firstLine="0"/>
              <w:jc w:val="center"/>
              <w:rPr>
                <w:sz w:val="21"/>
                <w:szCs w:val="21"/>
              </w:rPr>
            </w:pPr>
          </w:p>
        </w:tc>
        <w:tc>
          <w:tcPr>
            <w:tcW w:w="727" w:type="dxa"/>
            <w:vMerge/>
            <w:tcBorders>
              <w:top w:val="single" w:sz="8" w:space="0" w:color="auto"/>
              <w:left w:val="single" w:sz="8" w:space="0" w:color="auto"/>
              <w:bottom w:val="single" w:sz="8" w:space="0" w:color="auto"/>
              <w:right w:val="single" w:sz="8" w:space="0" w:color="auto"/>
            </w:tcBorders>
            <w:vAlign w:val="center"/>
          </w:tcPr>
          <w:p w:rsidR="00DB7CC8" w:rsidRDefault="00DB7CC8">
            <w:pPr>
              <w:tabs>
                <w:tab w:val="left" w:pos="-105"/>
              </w:tabs>
              <w:snapToGrid w:val="0"/>
              <w:spacing w:line="240" w:lineRule="auto"/>
              <w:ind w:firstLineChars="0" w:firstLine="0"/>
              <w:jc w:val="center"/>
              <w:rPr>
                <w:sz w:val="21"/>
                <w:szCs w:val="21"/>
              </w:rPr>
            </w:pPr>
          </w:p>
        </w:tc>
        <w:tc>
          <w:tcPr>
            <w:tcW w:w="1143" w:type="dxa"/>
            <w:vMerge/>
            <w:tcBorders>
              <w:top w:val="single" w:sz="8" w:space="0" w:color="auto"/>
              <w:left w:val="single" w:sz="8" w:space="0" w:color="auto"/>
              <w:bottom w:val="single" w:sz="8" w:space="0" w:color="auto"/>
              <w:right w:val="single" w:sz="8" w:space="0" w:color="auto"/>
            </w:tcBorders>
            <w:vAlign w:val="center"/>
          </w:tcPr>
          <w:p w:rsidR="00DB7CC8" w:rsidRDefault="00DB7CC8">
            <w:pPr>
              <w:tabs>
                <w:tab w:val="left" w:pos="0"/>
              </w:tabs>
              <w:snapToGrid w:val="0"/>
              <w:spacing w:line="240" w:lineRule="auto"/>
              <w:ind w:firstLineChars="0" w:firstLine="0"/>
              <w:jc w:val="center"/>
              <w:rPr>
                <w:sz w:val="21"/>
                <w:szCs w:val="21"/>
              </w:rPr>
            </w:pPr>
          </w:p>
        </w:tc>
        <w:tc>
          <w:tcPr>
            <w:tcW w:w="968" w:type="dxa"/>
            <w:vMerge/>
            <w:tcBorders>
              <w:top w:val="single" w:sz="8" w:space="0" w:color="auto"/>
              <w:left w:val="single" w:sz="8" w:space="0" w:color="auto"/>
              <w:bottom w:val="single" w:sz="8" w:space="0" w:color="auto"/>
              <w:right w:val="single" w:sz="8" w:space="0" w:color="auto"/>
            </w:tcBorders>
            <w:vAlign w:val="center"/>
          </w:tcPr>
          <w:p w:rsidR="00DB7CC8" w:rsidRDefault="00DB7CC8">
            <w:pPr>
              <w:tabs>
                <w:tab w:val="left" w:pos="0"/>
              </w:tabs>
              <w:snapToGrid w:val="0"/>
              <w:spacing w:line="240" w:lineRule="auto"/>
              <w:ind w:firstLineChars="0" w:firstLine="0"/>
              <w:jc w:val="center"/>
              <w:rPr>
                <w:bCs/>
                <w:sz w:val="21"/>
                <w:szCs w:val="21"/>
              </w:rPr>
            </w:pPr>
          </w:p>
        </w:tc>
        <w:tc>
          <w:tcPr>
            <w:tcW w:w="1262" w:type="dxa"/>
            <w:vMerge/>
            <w:tcBorders>
              <w:top w:val="single" w:sz="8" w:space="0" w:color="auto"/>
              <w:left w:val="single" w:sz="8" w:space="0" w:color="auto"/>
              <w:bottom w:val="single" w:sz="8" w:space="0" w:color="auto"/>
              <w:right w:val="single" w:sz="8" w:space="0" w:color="auto"/>
            </w:tcBorders>
            <w:vAlign w:val="center"/>
          </w:tcPr>
          <w:p w:rsidR="00DB7CC8" w:rsidRDefault="00DB7CC8">
            <w:pPr>
              <w:tabs>
                <w:tab w:val="left" w:pos="0"/>
              </w:tabs>
              <w:snapToGrid w:val="0"/>
              <w:spacing w:line="240" w:lineRule="auto"/>
              <w:ind w:firstLineChars="0" w:firstLine="0"/>
              <w:jc w:val="center"/>
              <w:rPr>
                <w:sz w:val="21"/>
                <w:szCs w:val="21"/>
              </w:rPr>
            </w:pPr>
          </w:p>
        </w:tc>
        <w:tc>
          <w:tcPr>
            <w:tcW w:w="1525" w:type="dxa"/>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标准名称</w:t>
            </w:r>
          </w:p>
        </w:tc>
        <w:tc>
          <w:tcPr>
            <w:tcW w:w="1615" w:type="dxa"/>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浓度</w:t>
            </w:r>
            <w:r>
              <w:rPr>
                <w:rFonts w:hint="eastAsia"/>
                <w:sz w:val="21"/>
                <w:szCs w:val="21"/>
              </w:rPr>
              <w:t>限值</w:t>
            </w:r>
            <w:r>
              <w:rPr>
                <w:sz w:val="21"/>
                <w:szCs w:val="21"/>
              </w:rPr>
              <w:t>（</w:t>
            </w:r>
            <w:r>
              <w:rPr>
                <w:kern w:val="2"/>
                <w:sz w:val="21"/>
                <w:szCs w:val="21"/>
              </w:rPr>
              <w:t>mg/m</w:t>
            </w:r>
            <w:r>
              <w:rPr>
                <w:kern w:val="2"/>
                <w:sz w:val="21"/>
                <w:szCs w:val="21"/>
                <w:vertAlign w:val="superscript"/>
              </w:rPr>
              <w:t>3</w:t>
            </w:r>
            <w:r>
              <w:rPr>
                <w:sz w:val="21"/>
                <w:szCs w:val="21"/>
              </w:rPr>
              <w:t>）</w:t>
            </w:r>
          </w:p>
        </w:tc>
        <w:tc>
          <w:tcPr>
            <w:tcW w:w="761" w:type="dxa"/>
            <w:vMerge/>
            <w:tcBorders>
              <w:top w:val="single" w:sz="8" w:space="0" w:color="auto"/>
              <w:left w:val="single" w:sz="8" w:space="0" w:color="auto"/>
              <w:bottom w:val="single" w:sz="8" w:space="0" w:color="auto"/>
              <w:right w:val="single" w:sz="8" w:space="0" w:color="auto"/>
            </w:tcBorders>
            <w:vAlign w:val="center"/>
          </w:tcPr>
          <w:p w:rsidR="00DB7CC8" w:rsidRDefault="00DB7CC8">
            <w:pPr>
              <w:tabs>
                <w:tab w:val="left" w:pos="0"/>
              </w:tabs>
              <w:snapToGrid w:val="0"/>
              <w:spacing w:line="240" w:lineRule="auto"/>
              <w:ind w:firstLineChars="0" w:firstLine="0"/>
              <w:jc w:val="center"/>
              <w:rPr>
                <w:sz w:val="21"/>
                <w:szCs w:val="21"/>
              </w:rPr>
            </w:pPr>
          </w:p>
        </w:tc>
      </w:tr>
      <w:tr w:rsidR="00DB7CC8">
        <w:trPr>
          <w:trHeight w:val="283"/>
          <w:jc w:val="center"/>
        </w:trPr>
        <w:tc>
          <w:tcPr>
            <w:tcW w:w="521" w:type="dxa"/>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1</w:t>
            </w:r>
          </w:p>
        </w:tc>
        <w:tc>
          <w:tcPr>
            <w:tcW w:w="727" w:type="dxa"/>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A1</w:t>
            </w:r>
          </w:p>
        </w:tc>
        <w:tc>
          <w:tcPr>
            <w:tcW w:w="1143" w:type="dxa"/>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破碎、</w:t>
            </w:r>
            <w:r>
              <w:rPr>
                <w:rFonts w:hint="eastAsia"/>
                <w:sz w:val="21"/>
                <w:szCs w:val="21"/>
              </w:rPr>
              <w:t>筛分</w:t>
            </w:r>
          </w:p>
        </w:tc>
        <w:tc>
          <w:tcPr>
            <w:tcW w:w="968" w:type="dxa"/>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bCs/>
                <w:sz w:val="21"/>
                <w:szCs w:val="21"/>
              </w:rPr>
            </w:pPr>
            <w:r>
              <w:rPr>
                <w:bCs/>
                <w:sz w:val="21"/>
                <w:szCs w:val="21"/>
              </w:rPr>
              <w:t>颗粒物</w:t>
            </w:r>
          </w:p>
        </w:tc>
        <w:tc>
          <w:tcPr>
            <w:tcW w:w="1262" w:type="dxa"/>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水喷淋</w:t>
            </w:r>
          </w:p>
        </w:tc>
        <w:tc>
          <w:tcPr>
            <w:tcW w:w="1525" w:type="dxa"/>
            <w:vMerge w:val="restart"/>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《铁矿采选工业污染物排放标准》（</w:t>
            </w:r>
            <w:r>
              <w:rPr>
                <w:sz w:val="21"/>
                <w:szCs w:val="21"/>
              </w:rPr>
              <w:t>GB28661-2012</w:t>
            </w:r>
            <w:r>
              <w:rPr>
                <w:sz w:val="21"/>
                <w:szCs w:val="21"/>
              </w:rPr>
              <w:t>）</w:t>
            </w:r>
          </w:p>
        </w:tc>
        <w:tc>
          <w:tcPr>
            <w:tcW w:w="1615" w:type="dxa"/>
            <w:vMerge w:val="restart"/>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1</w:t>
            </w:r>
            <w:r>
              <w:rPr>
                <w:rFonts w:hint="eastAsia"/>
                <w:sz w:val="21"/>
                <w:szCs w:val="21"/>
              </w:rPr>
              <w:t>.</w:t>
            </w:r>
            <w:r>
              <w:rPr>
                <w:sz w:val="21"/>
                <w:szCs w:val="21"/>
              </w:rPr>
              <w:t>0</w:t>
            </w:r>
          </w:p>
        </w:tc>
        <w:tc>
          <w:tcPr>
            <w:tcW w:w="761" w:type="dxa"/>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0.</w:t>
            </w:r>
            <w:r>
              <w:rPr>
                <w:rFonts w:hint="eastAsia"/>
                <w:sz w:val="21"/>
                <w:szCs w:val="21"/>
              </w:rPr>
              <w:t>5</w:t>
            </w:r>
            <w:r>
              <w:rPr>
                <w:rFonts w:hint="eastAsia"/>
                <w:sz w:val="21"/>
                <w:szCs w:val="21"/>
              </w:rPr>
              <w:t>4</w:t>
            </w:r>
          </w:p>
        </w:tc>
      </w:tr>
      <w:tr w:rsidR="00DB7CC8">
        <w:trPr>
          <w:trHeight w:val="283"/>
          <w:jc w:val="center"/>
        </w:trPr>
        <w:tc>
          <w:tcPr>
            <w:tcW w:w="521" w:type="dxa"/>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rFonts w:hint="eastAsia"/>
                <w:sz w:val="21"/>
                <w:szCs w:val="21"/>
              </w:rPr>
              <w:t>2</w:t>
            </w:r>
          </w:p>
        </w:tc>
        <w:tc>
          <w:tcPr>
            <w:tcW w:w="727" w:type="dxa"/>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A</w:t>
            </w:r>
            <w:r>
              <w:rPr>
                <w:rFonts w:hint="eastAsia"/>
                <w:sz w:val="21"/>
                <w:szCs w:val="21"/>
              </w:rPr>
              <w:t>2</w:t>
            </w:r>
          </w:p>
        </w:tc>
        <w:tc>
          <w:tcPr>
            <w:tcW w:w="1143" w:type="dxa"/>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rFonts w:hint="eastAsia"/>
                <w:sz w:val="21"/>
                <w:szCs w:val="21"/>
              </w:rPr>
              <w:t>成品装卸</w:t>
            </w:r>
            <w:r>
              <w:rPr>
                <w:sz w:val="21"/>
                <w:szCs w:val="21"/>
              </w:rPr>
              <w:t>、堆存</w:t>
            </w:r>
          </w:p>
        </w:tc>
        <w:tc>
          <w:tcPr>
            <w:tcW w:w="968" w:type="dxa"/>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bCs/>
                <w:sz w:val="21"/>
                <w:szCs w:val="21"/>
              </w:rPr>
            </w:pPr>
            <w:r>
              <w:rPr>
                <w:bCs/>
                <w:sz w:val="21"/>
                <w:szCs w:val="21"/>
              </w:rPr>
              <w:t>颗粒物</w:t>
            </w:r>
          </w:p>
        </w:tc>
        <w:tc>
          <w:tcPr>
            <w:tcW w:w="1262" w:type="dxa"/>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封闭厂房、水喷淋</w:t>
            </w:r>
          </w:p>
        </w:tc>
        <w:tc>
          <w:tcPr>
            <w:tcW w:w="1525" w:type="dxa"/>
            <w:vMerge/>
            <w:tcBorders>
              <w:top w:val="single" w:sz="8" w:space="0" w:color="auto"/>
              <w:left w:val="single" w:sz="8" w:space="0" w:color="auto"/>
              <w:bottom w:val="single" w:sz="8" w:space="0" w:color="auto"/>
              <w:right w:val="single" w:sz="8" w:space="0" w:color="auto"/>
            </w:tcBorders>
            <w:vAlign w:val="center"/>
          </w:tcPr>
          <w:p w:rsidR="00DB7CC8" w:rsidRDefault="00DB7CC8">
            <w:pPr>
              <w:tabs>
                <w:tab w:val="left" w:pos="0"/>
              </w:tabs>
              <w:snapToGrid w:val="0"/>
              <w:spacing w:line="240" w:lineRule="auto"/>
              <w:ind w:firstLineChars="0" w:firstLine="0"/>
              <w:jc w:val="center"/>
              <w:rPr>
                <w:sz w:val="21"/>
                <w:szCs w:val="21"/>
              </w:rPr>
            </w:pPr>
          </w:p>
        </w:tc>
        <w:tc>
          <w:tcPr>
            <w:tcW w:w="1615" w:type="dxa"/>
            <w:vMerge/>
            <w:tcBorders>
              <w:top w:val="single" w:sz="8" w:space="0" w:color="auto"/>
              <w:left w:val="single" w:sz="8" w:space="0" w:color="auto"/>
              <w:bottom w:val="single" w:sz="8" w:space="0" w:color="auto"/>
              <w:right w:val="single" w:sz="8" w:space="0" w:color="auto"/>
            </w:tcBorders>
            <w:vAlign w:val="center"/>
          </w:tcPr>
          <w:p w:rsidR="00DB7CC8" w:rsidRDefault="00DB7CC8">
            <w:pPr>
              <w:tabs>
                <w:tab w:val="left" w:pos="0"/>
              </w:tabs>
              <w:snapToGrid w:val="0"/>
              <w:spacing w:line="240" w:lineRule="auto"/>
              <w:ind w:firstLineChars="0" w:firstLine="0"/>
              <w:jc w:val="center"/>
              <w:rPr>
                <w:sz w:val="21"/>
                <w:szCs w:val="21"/>
              </w:rPr>
            </w:pPr>
          </w:p>
        </w:tc>
        <w:tc>
          <w:tcPr>
            <w:tcW w:w="761" w:type="dxa"/>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rFonts w:hint="eastAsia"/>
                <w:sz w:val="21"/>
                <w:szCs w:val="21"/>
              </w:rPr>
              <w:t>1.505</w:t>
            </w:r>
          </w:p>
        </w:tc>
      </w:tr>
      <w:tr w:rsidR="00DB7CC8">
        <w:trPr>
          <w:trHeight w:val="283"/>
          <w:jc w:val="center"/>
        </w:trPr>
        <w:tc>
          <w:tcPr>
            <w:tcW w:w="8522" w:type="dxa"/>
            <w:gridSpan w:val="8"/>
            <w:tcBorders>
              <w:top w:val="single" w:sz="8" w:space="0" w:color="auto"/>
              <w:left w:val="single" w:sz="8" w:space="0" w:color="auto"/>
              <w:bottom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无组织排放总计</w:t>
            </w:r>
          </w:p>
        </w:tc>
      </w:tr>
      <w:tr w:rsidR="00DB7CC8">
        <w:trPr>
          <w:trHeight w:val="283"/>
          <w:jc w:val="center"/>
        </w:trPr>
        <w:tc>
          <w:tcPr>
            <w:tcW w:w="3359" w:type="dxa"/>
            <w:gridSpan w:val="4"/>
            <w:tcBorders>
              <w:top w:val="single" w:sz="8" w:space="0" w:color="auto"/>
              <w:left w:val="single" w:sz="8" w:space="0" w:color="auto"/>
              <w:right w:val="single" w:sz="8" w:space="0" w:color="auto"/>
            </w:tcBorders>
            <w:vAlign w:val="center"/>
          </w:tcPr>
          <w:p w:rsidR="00DB7CC8" w:rsidRDefault="002B5250">
            <w:pPr>
              <w:tabs>
                <w:tab w:val="left" w:pos="0"/>
              </w:tabs>
              <w:snapToGrid w:val="0"/>
              <w:spacing w:line="240" w:lineRule="auto"/>
              <w:ind w:firstLineChars="100" w:firstLine="210"/>
              <w:jc w:val="center"/>
              <w:rPr>
                <w:bCs/>
                <w:sz w:val="21"/>
                <w:szCs w:val="21"/>
              </w:rPr>
            </w:pPr>
            <w:r>
              <w:rPr>
                <w:bCs/>
                <w:sz w:val="21"/>
                <w:szCs w:val="21"/>
              </w:rPr>
              <w:t>无组织排放总计</w:t>
            </w:r>
          </w:p>
        </w:tc>
        <w:tc>
          <w:tcPr>
            <w:tcW w:w="1262" w:type="dxa"/>
            <w:tcBorders>
              <w:top w:val="single" w:sz="8" w:space="0" w:color="auto"/>
              <w:left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sz w:val="21"/>
                <w:szCs w:val="21"/>
              </w:rPr>
              <w:t>颗粒物</w:t>
            </w:r>
          </w:p>
        </w:tc>
        <w:tc>
          <w:tcPr>
            <w:tcW w:w="3901" w:type="dxa"/>
            <w:gridSpan w:val="3"/>
            <w:tcBorders>
              <w:top w:val="single" w:sz="8" w:space="0" w:color="auto"/>
              <w:left w:val="single" w:sz="8" w:space="0" w:color="auto"/>
              <w:right w:val="single" w:sz="8" w:space="0" w:color="auto"/>
            </w:tcBorders>
            <w:vAlign w:val="center"/>
          </w:tcPr>
          <w:p w:rsidR="00DB7CC8" w:rsidRDefault="002B5250">
            <w:pPr>
              <w:tabs>
                <w:tab w:val="left" w:pos="0"/>
              </w:tabs>
              <w:snapToGrid w:val="0"/>
              <w:spacing w:line="240" w:lineRule="auto"/>
              <w:ind w:firstLineChars="0" w:firstLine="0"/>
              <w:jc w:val="center"/>
              <w:rPr>
                <w:sz w:val="21"/>
                <w:szCs w:val="21"/>
              </w:rPr>
            </w:pPr>
            <w:r>
              <w:rPr>
                <w:rFonts w:hint="eastAsia"/>
                <w:sz w:val="21"/>
                <w:szCs w:val="21"/>
              </w:rPr>
              <w:t>2.045</w:t>
            </w:r>
            <w:r>
              <w:rPr>
                <w:sz w:val="21"/>
                <w:szCs w:val="21"/>
              </w:rPr>
              <w:t>t/a</w:t>
            </w:r>
          </w:p>
        </w:tc>
      </w:tr>
    </w:tbl>
    <w:p w:rsidR="00DB7CC8" w:rsidRDefault="00DB7CC8">
      <w:pPr>
        <w:spacing w:beforeLines="50" w:before="120" w:line="240" w:lineRule="auto"/>
        <w:ind w:firstLineChars="0" w:firstLine="0"/>
        <w:jc w:val="center"/>
        <w:textAlignment w:val="auto"/>
        <w:rPr>
          <w:rFonts w:eastAsia="黑体"/>
          <w:kern w:val="2"/>
          <w:sz w:val="21"/>
          <w:szCs w:val="21"/>
        </w:rPr>
      </w:pPr>
    </w:p>
    <w:p w:rsidR="00DB7CC8" w:rsidRDefault="002B5250">
      <w:pPr>
        <w:spacing w:beforeLines="50" w:before="120" w:line="240" w:lineRule="auto"/>
        <w:ind w:firstLineChars="0" w:firstLine="0"/>
        <w:jc w:val="center"/>
        <w:textAlignment w:val="auto"/>
        <w:rPr>
          <w:rFonts w:eastAsia="黑体"/>
          <w:kern w:val="2"/>
          <w:sz w:val="21"/>
          <w:szCs w:val="21"/>
        </w:rPr>
      </w:pPr>
      <w:r>
        <w:rPr>
          <w:rFonts w:eastAsia="黑体"/>
          <w:kern w:val="2"/>
          <w:sz w:val="21"/>
          <w:szCs w:val="21"/>
        </w:rPr>
        <w:lastRenderedPageBreak/>
        <w:t>表</w:t>
      </w:r>
      <w:r>
        <w:rPr>
          <w:rFonts w:eastAsia="黑体"/>
          <w:kern w:val="2"/>
          <w:sz w:val="21"/>
          <w:szCs w:val="21"/>
        </w:rPr>
        <w:t xml:space="preserve">5.2-3   </w:t>
      </w:r>
      <w:r>
        <w:rPr>
          <w:rFonts w:eastAsia="黑体"/>
          <w:kern w:val="2"/>
          <w:sz w:val="21"/>
          <w:szCs w:val="21"/>
        </w:rPr>
        <w:t>大气污染物年排放量核算表</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29"/>
        <w:gridCol w:w="2937"/>
        <w:gridCol w:w="3356"/>
      </w:tblGrid>
      <w:tr w:rsidR="00DB7CC8">
        <w:trPr>
          <w:trHeight w:val="312"/>
          <w:tblHeader/>
          <w:jc w:val="center"/>
        </w:trPr>
        <w:tc>
          <w:tcPr>
            <w:tcW w:w="2229" w:type="dxa"/>
            <w:vAlign w:val="center"/>
          </w:tcPr>
          <w:p w:rsidR="00DB7CC8" w:rsidRDefault="002B5250">
            <w:pPr>
              <w:tabs>
                <w:tab w:val="left" w:pos="0"/>
              </w:tabs>
              <w:spacing w:line="240" w:lineRule="auto"/>
              <w:ind w:firstLineChars="0" w:firstLine="0"/>
              <w:jc w:val="center"/>
              <w:rPr>
                <w:sz w:val="21"/>
                <w:szCs w:val="21"/>
              </w:rPr>
            </w:pPr>
            <w:r>
              <w:rPr>
                <w:sz w:val="21"/>
                <w:szCs w:val="21"/>
              </w:rPr>
              <w:t>序号</w:t>
            </w:r>
          </w:p>
        </w:tc>
        <w:tc>
          <w:tcPr>
            <w:tcW w:w="2937" w:type="dxa"/>
            <w:vAlign w:val="center"/>
          </w:tcPr>
          <w:p w:rsidR="00DB7CC8" w:rsidRDefault="002B5250">
            <w:pPr>
              <w:tabs>
                <w:tab w:val="left" w:pos="-105"/>
              </w:tabs>
              <w:spacing w:line="240" w:lineRule="auto"/>
              <w:ind w:firstLineChars="0" w:firstLine="0"/>
              <w:jc w:val="center"/>
              <w:rPr>
                <w:sz w:val="21"/>
                <w:szCs w:val="21"/>
              </w:rPr>
            </w:pPr>
            <w:r>
              <w:rPr>
                <w:sz w:val="21"/>
                <w:szCs w:val="21"/>
              </w:rPr>
              <w:t>污染物</w:t>
            </w:r>
          </w:p>
        </w:tc>
        <w:tc>
          <w:tcPr>
            <w:tcW w:w="3356" w:type="dxa"/>
            <w:vAlign w:val="center"/>
          </w:tcPr>
          <w:p w:rsidR="00DB7CC8" w:rsidRDefault="002B5250">
            <w:pPr>
              <w:tabs>
                <w:tab w:val="left" w:pos="0"/>
              </w:tabs>
              <w:spacing w:line="240" w:lineRule="auto"/>
              <w:ind w:firstLineChars="0" w:firstLine="0"/>
              <w:jc w:val="center"/>
              <w:rPr>
                <w:sz w:val="21"/>
                <w:szCs w:val="21"/>
              </w:rPr>
            </w:pPr>
            <w:r>
              <w:rPr>
                <w:sz w:val="21"/>
                <w:szCs w:val="21"/>
              </w:rPr>
              <w:t>年排放量（</w:t>
            </w:r>
            <w:r>
              <w:rPr>
                <w:sz w:val="21"/>
                <w:szCs w:val="21"/>
              </w:rPr>
              <w:t>t/a</w:t>
            </w:r>
            <w:r>
              <w:rPr>
                <w:sz w:val="21"/>
                <w:szCs w:val="21"/>
              </w:rPr>
              <w:t>）</w:t>
            </w:r>
          </w:p>
        </w:tc>
      </w:tr>
      <w:tr w:rsidR="00DB7CC8">
        <w:trPr>
          <w:trHeight w:val="20"/>
          <w:jc w:val="center"/>
        </w:trPr>
        <w:tc>
          <w:tcPr>
            <w:tcW w:w="2229" w:type="dxa"/>
            <w:vAlign w:val="center"/>
          </w:tcPr>
          <w:p w:rsidR="00DB7CC8" w:rsidRDefault="002B5250">
            <w:pPr>
              <w:tabs>
                <w:tab w:val="left" w:pos="0"/>
              </w:tabs>
              <w:spacing w:line="240" w:lineRule="auto"/>
              <w:ind w:firstLineChars="0" w:firstLine="0"/>
              <w:jc w:val="center"/>
              <w:rPr>
                <w:sz w:val="21"/>
                <w:szCs w:val="21"/>
              </w:rPr>
            </w:pPr>
            <w:r>
              <w:rPr>
                <w:sz w:val="21"/>
                <w:szCs w:val="21"/>
              </w:rPr>
              <w:t>1</w:t>
            </w:r>
          </w:p>
        </w:tc>
        <w:tc>
          <w:tcPr>
            <w:tcW w:w="2937" w:type="dxa"/>
            <w:vAlign w:val="center"/>
          </w:tcPr>
          <w:p w:rsidR="00DB7CC8" w:rsidRDefault="002B5250">
            <w:pPr>
              <w:tabs>
                <w:tab w:val="left" w:pos="0"/>
              </w:tabs>
              <w:spacing w:line="240" w:lineRule="auto"/>
              <w:ind w:firstLineChars="0" w:firstLine="0"/>
              <w:jc w:val="center"/>
              <w:rPr>
                <w:sz w:val="21"/>
                <w:szCs w:val="21"/>
              </w:rPr>
            </w:pPr>
            <w:r>
              <w:rPr>
                <w:sz w:val="21"/>
                <w:szCs w:val="21"/>
              </w:rPr>
              <w:t>颗粒物</w:t>
            </w:r>
          </w:p>
        </w:tc>
        <w:tc>
          <w:tcPr>
            <w:tcW w:w="3356" w:type="dxa"/>
            <w:vAlign w:val="center"/>
          </w:tcPr>
          <w:p w:rsidR="00DB7CC8" w:rsidRDefault="002B5250">
            <w:pPr>
              <w:tabs>
                <w:tab w:val="left" w:pos="0"/>
              </w:tabs>
              <w:spacing w:line="240" w:lineRule="auto"/>
              <w:ind w:firstLineChars="0" w:firstLine="0"/>
              <w:jc w:val="center"/>
              <w:rPr>
                <w:sz w:val="21"/>
                <w:szCs w:val="21"/>
              </w:rPr>
            </w:pPr>
            <w:r>
              <w:rPr>
                <w:rFonts w:hint="eastAsia"/>
                <w:sz w:val="21"/>
                <w:szCs w:val="21"/>
              </w:rPr>
              <w:t>4.097</w:t>
            </w:r>
          </w:p>
        </w:tc>
      </w:tr>
    </w:tbl>
    <w:p w:rsidR="00DB7CC8" w:rsidRDefault="002B5250">
      <w:pPr>
        <w:spacing w:beforeLines="50" w:before="120"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 xml:space="preserve">5.2-4    </w:t>
      </w:r>
      <w:r>
        <w:rPr>
          <w:rFonts w:eastAsia="黑体"/>
          <w:kern w:val="2"/>
          <w:sz w:val="21"/>
          <w:szCs w:val="21"/>
        </w:rPr>
        <w:t>污染源非正常排放量核算表</w:t>
      </w:r>
    </w:p>
    <w:tbl>
      <w:tblPr>
        <w:tblW w:w="8236" w:type="dxa"/>
        <w:jc w:val="center"/>
        <w:tblBorders>
          <w:top w:val="single" w:sz="8" w:space="0" w:color="auto"/>
          <w:bottom w:val="single" w:sz="8" w:space="0" w:color="auto"/>
          <w:insideH w:val="single" w:sz="8" w:space="0" w:color="auto"/>
          <w:insideV w:val="single" w:sz="8" w:space="0" w:color="auto"/>
        </w:tblBorders>
        <w:tblLayout w:type="fixed"/>
        <w:tblLook w:val="04A0" w:firstRow="1" w:lastRow="0" w:firstColumn="1" w:lastColumn="0" w:noHBand="0" w:noVBand="1"/>
      </w:tblPr>
      <w:tblGrid>
        <w:gridCol w:w="660"/>
        <w:gridCol w:w="869"/>
        <w:gridCol w:w="871"/>
        <w:gridCol w:w="567"/>
        <w:gridCol w:w="1134"/>
        <w:gridCol w:w="992"/>
        <w:gridCol w:w="709"/>
        <w:gridCol w:w="567"/>
        <w:gridCol w:w="1867"/>
      </w:tblGrid>
      <w:tr w:rsidR="00DB7CC8">
        <w:trPr>
          <w:trHeight w:val="936"/>
          <w:tblHeader/>
          <w:jc w:val="center"/>
        </w:trPr>
        <w:tc>
          <w:tcPr>
            <w:tcW w:w="660" w:type="dxa"/>
            <w:tcBorders>
              <w:left w:val="single" w:sz="8" w:space="0" w:color="auto"/>
              <w:right w:val="single" w:sz="8" w:space="0" w:color="auto"/>
            </w:tcBorders>
            <w:tcMar>
              <w:left w:w="0" w:type="dxa"/>
              <w:right w:w="0" w:type="dxa"/>
            </w:tcMar>
            <w:vAlign w:val="center"/>
          </w:tcPr>
          <w:p w:rsidR="00DB7CC8" w:rsidRDefault="002B5250">
            <w:pPr>
              <w:tabs>
                <w:tab w:val="left" w:pos="0"/>
              </w:tabs>
              <w:spacing w:line="240" w:lineRule="auto"/>
              <w:ind w:firstLineChars="0" w:firstLine="0"/>
              <w:jc w:val="center"/>
              <w:rPr>
                <w:sz w:val="21"/>
                <w:szCs w:val="21"/>
              </w:rPr>
            </w:pPr>
            <w:r>
              <w:rPr>
                <w:sz w:val="21"/>
                <w:szCs w:val="21"/>
              </w:rPr>
              <w:t>序号</w:t>
            </w:r>
          </w:p>
        </w:tc>
        <w:tc>
          <w:tcPr>
            <w:tcW w:w="869" w:type="dxa"/>
            <w:tcBorders>
              <w:left w:val="single" w:sz="8" w:space="0" w:color="auto"/>
              <w:right w:val="single" w:sz="8" w:space="0" w:color="auto"/>
            </w:tcBorders>
            <w:tcMar>
              <w:left w:w="0" w:type="dxa"/>
              <w:right w:w="0" w:type="dxa"/>
            </w:tcMar>
            <w:vAlign w:val="center"/>
          </w:tcPr>
          <w:p w:rsidR="00DB7CC8" w:rsidRDefault="002B5250">
            <w:pPr>
              <w:tabs>
                <w:tab w:val="left" w:pos="-105"/>
              </w:tabs>
              <w:spacing w:line="240" w:lineRule="auto"/>
              <w:ind w:firstLineChars="0" w:firstLine="0"/>
              <w:jc w:val="center"/>
              <w:rPr>
                <w:sz w:val="21"/>
                <w:szCs w:val="21"/>
              </w:rPr>
            </w:pPr>
            <w:r>
              <w:rPr>
                <w:sz w:val="21"/>
                <w:szCs w:val="21"/>
              </w:rPr>
              <w:t>污染源</w:t>
            </w:r>
          </w:p>
        </w:tc>
        <w:tc>
          <w:tcPr>
            <w:tcW w:w="871" w:type="dxa"/>
            <w:tcBorders>
              <w:left w:val="single" w:sz="8" w:space="0" w:color="auto"/>
              <w:right w:val="single" w:sz="8" w:space="0" w:color="auto"/>
            </w:tcBorders>
            <w:tcMar>
              <w:left w:w="0" w:type="dxa"/>
              <w:right w:w="0" w:type="dxa"/>
            </w:tcMar>
            <w:vAlign w:val="center"/>
          </w:tcPr>
          <w:p w:rsidR="00DB7CC8" w:rsidRDefault="002B5250">
            <w:pPr>
              <w:tabs>
                <w:tab w:val="left" w:pos="0"/>
              </w:tabs>
              <w:spacing w:line="240" w:lineRule="auto"/>
              <w:ind w:firstLineChars="0" w:firstLine="0"/>
              <w:jc w:val="center"/>
              <w:rPr>
                <w:sz w:val="21"/>
                <w:szCs w:val="21"/>
              </w:rPr>
            </w:pPr>
            <w:r>
              <w:rPr>
                <w:sz w:val="21"/>
                <w:szCs w:val="21"/>
              </w:rPr>
              <w:t>非正常排放原因</w:t>
            </w:r>
          </w:p>
        </w:tc>
        <w:tc>
          <w:tcPr>
            <w:tcW w:w="567" w:type="dxa"/>
            <w:tcBorders>
              <w:left w:val="single" w:sz="8" w:space="0" w:color="auto"/>
              <w:right w:val="single" w:sz="8" w:space="0" w:color="auto"/>
            </w:tcBorders>
            <w:tcMar>
              <w:left w:w="0" w:type="dxa"/>
              <w:right w:w="0" w:type="dxa"/>
            </w:tcMar>
            <w:vAlign w:val="center"/>
          </w:tcPr>
          <w:p w:rsidR="00DB7CC8" w:rsidRDefault="002B5250">
            <w:pPr>
              <w:tabs>
                <w:tab w:val="left" w:pos="0"/>
              </w:tabs>
              <w:spacing w:line="240" w:lineRule="auto"/>
              <w:ind w:firstLineChars="0" w:firstLine="0"/>
              <w:jc w:val="center"/>
              <w:rPr>
                <w:bCs/>
                <w:sz w:val="21"/>
                <w:szCs w:val="21"/>
              </w:rPr>
            </w:pPr>
            <w:r>
              <w:rPr>
                <w:bCs/>
                <w:sz w:val="21"/>
                <w:szCs w:val="21"/>
              </w:rPr>
              <w:t>污染物</w:t>
            </w:r>
          </w:p>
        </w:tc>
        <w:tc>
          <w:tcPr>
            <w:tcW w:w="1134" w:type="dxa"/>
            <w:tcBorders>
              <w:left w:val="single" w:sz="8" w:space="0" w:color="auto"/>
              <w:right w:val="single" w:sz="8" w:space="0" w:color="auto"/>
            </w:tcBorders>
            <w:tcMar>
              <w:left w:w="0" w:type="dxa"/>
              <w:right w:w="0" w:type="dxa"/>
            </w:tcMar>
            <w:vAlign w:val="center"/>
          </w:tcPr>
          <w:p w:rsidR="00DB7CC8" w:rsidRDefault="002B5250">
            <w:pPr>
              <w:tabs>
                <w:tab w:val="left" w:pos="0"/>
              </w:tabs>
              <w:spacing w:line="240" w:lineRule="auto"/>
              <w:ind w:firstLineChars="0" w:firstLine="0"/>
              <w:jc w:val="center"/>
              <w:rPr>
                <w:sz w:val="21"/>
                <w:szCs w:val="21"/>
              </w:rPr>
            </w:pPr>
            <w:r>
              <w:rPr>
                <w:sz w:val="21"/>
                <w:szCs w:val="21"/>
              </w:rPr>
              <w:t>非正常排放浓度</w:t>
            </w:r>
          </w:p>
          <w:p w:rsidR="00DB7CC8" w:rsidRDefault="002B5250">
            <w:pPr>
              <w:tabs>
                <w:tab w:val="left" w:pos="0"/>
              </w:tabs>
              <w:spacing w:line="240" w:lineRule="auto"/>
              <w:ind w:firstLineChars="0" w:firstLine="0"/>
              <w:jc w:val="center"/>
              <w:rPr>
                <w:sz w:val="21"/>
                <w:szCs w:val="21"/>
              </w:rPr>
            </w:pPr>
            <w:r>
              <w:rPr>
                <w:sz w:val="21"/>
                <w:szCs w:val="21"/>
              </w:rPr>
              <w:t>（</w:t>
            </w:r>
            <w:r>
              <w:rPr>
                <w:kern w:val="2"/>
                <w:sz w:val="21"/>
                <w:szCs w:val="21"/>
              </w:rPr>
              <w:t>mg/m</w:t>
            </w:r>
            <w:r>
              <w:rPr>
                <w:kern w:val="2"/>
                <w:sz w:val="21"/>
                <w:szCs w:val="21"/>
                <w:vertAlign w:val="superscript"/>
              </w:rPr>
              <w:t>3</w:t>
            </w:r>
            <w:r>
              <w:rPr>
                <w:sz w:val="21"/>
                <w:szCs w:val="21"/>
              </w:rPr>
              <w:t>）</w:t>
            </w:r>
          </w:p>
        </w:tc>
        <w:tc>
          <w:tcPr>
            <w:tcW w:w="992" w:type="dxa"/>
            <w:tcBorders>
              <w:left w:val="single" w:sz="8" w:space="0" w:color="auto"/>
              <w:right w:val="single" w:sz="8" w:space="0" w:color="auto"/>
            </w:tcBorders>
            <w:tcMar>
              <w:left w:w="0" w:type="dxa"/>
              <w:right w:w="0" w:type="dxa"/>
            </w:tcMar>
            <w:vAlign w:val="center"/>
          </w:tcPr>
          <w:p w:rsidR="00DB7CC8" w:rsidRDefault="002B5250">
            <w:pPr>
              <w:tabs>
                <w:tab w:val="left" w:pos="0"/>
              </w:tabs>
              <w:spacing w:line="240" w:lineRule="auto"/>
              <w:ind w:firstLineChars="0" w:firstLine="0"/>
              <w:jc w:val="center"/>
              <w:rPr>
                <w:sz w:val="21"/>
                <w:szCs w:val="21"/>
              </w:rPr>
            </w:pPr>
            <w:r>
              <w:rPr>
                <w:sz w:val="21"/>
                <w:szCs w:val="21"/>
              </w:rPr>
              <w:t>非正常排放速率</w:t>
            </w:r>
            <w:r>
              <w:rPr>
                <w:sz w:val="21"/>
                <w:szCs w:val="21"/>
              </w:rPr>
              <w:t>/(kg/h)</w:t>
            </w:r>
          </w:p>
        </w:tc>
        <w:tc>
          <w:tcPr>
            <w:tcW w:w="709" w:type="dxa"/>
            <w:tcBorders>
              <w:left w:val="single" w:sz="8" w:space="0" w:color="auto"/>
              <w:right w:val="single" w:sz="8" w:space="0" w:color="auto"/>
            </w:tcBorders>
            <w:tcMar>
              <w:left w:w="0" w:type="dxa"/>
              <w:right w:w="0" w:type="dxa"/>
            </w:tcMar>
            <w:vAlign w:val="center"/>
          </w:tcPr>
          <w:p w:rsidR="00DB7CC8" w:rsidRDefault="002B5250">
            <w:pPr>
              <w:tabs>
                <w:tab w:val="left" w:pos="0"/>
              </w:tabs>
              <w:spacing w:line="240" w:lineRule="auto"/>
              <w:ind w:firstLineChars="0" w:firstLine="0"/>
              <w:jc w:val="center"/>
              <w:rPr>
                <w:sz w:val="21"/>
                <w:szCs w:val="21"/>
              </w:rPr>
            </w:pPr>
            <w:r>
              <w:rPr>
                <w:sz w:val="21"/>
                <w:szCs w:val="21"/>
              </w:rPr>
              <w:t>单次持续时间</w:t>
            </w:r>
            <w:r>
              <w:rPr>
                <w:sz w:val="21"/>
                <w:szCs w:val="21"/>
              </w:rPr>
              <w:t>/h</w:t>
            </w:r>
          </w:p>
        </w:tc>
        <w:tc>
          <w:tcPr>
            <w:tcW w:w="567" w:type="dxa"/>
            <w:tcBorders>
              <w:left w:val="single" w:sz="8" w:space="0" w:color="auto"/>
              <w:right w:val="single" w:sz="4" w:space="0" w:color="auto"/>
            </w:tcBorders>
            <w:tcMar>
              <w:left w:w="0" w:type="dxa"/>
              <w:right w:w="0" w:type="dxa"/>
            </w:tcMar>
            <w:vAlign w:val="center"/>
          </w:tcPr>
          <w:p w:rsidR="00DB7CC8" w:rsidRDefault="002B5250">
            <w:pPr>
              <w:tabs>
                <w:tab w:val="left" w:pos="0"/>
              </w:tabs>
              <w:spacing w:line="240" w:lineRule="auto"/>
              <w:ind w:firstLineChars="0" w:firstLine="0"/>
              <w:jc w:val="center"/>
              <w:rPr>
                <w:sz w:val="21"/>
                <w:szCs w:val="21"/>
              </w:rPr>
            </w:pPr>
            <w:r>
              <w:rPr>
                <w:sz w:val="21"/>
                <w:szCs w:val="21"/>
              </w:rPr>
              <w:t>发生频次</w:t>
            </w:r>
            <w:r>
              <w:rPr>
                <w:sz w:val="21"/>
                <w:szCs w:val="21"/>
              </w:rPr>
              <w:t>/</w:t>
            </w:r>
            <w:r>
              <w:rPr>
                <w:sz w:val="21"/>
                <w:szCs w:val="21"/>
              </w:rPr>
              <w:t>次</w:t>
            </w:r>
          </w:p>
        </w:tc>
        <w:tc>
          <w:tcPr>
            <w:tcW w:w="1867" w:type="dxa"/>
            <w:tcBorders>
              <w:left w:val="single" w:sz="4" w:space="0" w:color="auto"/>
              <w:right w:val="single" w:sz="8" w:space="0" w:color="auto"/>
            </w:tcBorders>
            <w:tcMar>
              <w:left w:w="0" w:type="dxa"/>
              <w:right w:w="0" w:type="dxa"/>
            </w:tcMar>
            <w:vAlign w:val="center"/>
          </w:tcPr>
          <w:p w:rsidR="00DB7CC8" w:rsidRDefault="002B5250">
            <w:pPr>
              <w:tabs>
                <w:tab w:val="left" w:pos="0"/>
              </w:tabs>
              <w:spacing w:line="240" w:lineRule="auto"/>
              <w:ind w:firstLineChars="0" w:firstLine="0"/>
              <w:jc w:val="center"/>
              <w:rPr>
                <w:sz w:val="21"/>
                <w:szCs w:val="21"/>
              </w:rPr>
            </w:pPr>
            <w:r>
              <w:rPr>
                <w:sz w:val="21"/>
                <w:szCs w:val="21"/>
              </w:rPr>
              <w:t>应对措施</w:t>
            </w:r>
          </w:p>
        </w:tc>
      </w:tr>
      <w:tr w:rsidR="00DB7CC8">
        <w:trPr>
          <w:trHeight w:val="283"/>
          <w:jc w:val="center"/>
        </w:trPr>
        <w:tc>
          <w:tcPr>
            <w:tcW w:w="660" w:type="dxa"/>
            <w:tcBorders>
              <w:left w:val="single" w:sz="8" w:space="0" w:color="auto"/>
              <w:right w:val="single" w:sz="8" w:space="0" w:color="auto"/>
            </w:tcBorders>
            <w:tcMar>
              <w:left w:w="0" w:type="dxa"/>
              <w:right w:w="0" w:type="dxa"/>
            </w:tcMar>
            <w:vAlign w:val="center"/>
          </w:tcPr>
          <w:p w:rsidR="00DB7CC8" w:rsidRDefault="002B5250">
            <w:pPr>
              <w:tabs>
                <w:tab w:val="left" w:pos="0"/>
              </w:tabs>
              <w:spacing w:line="240" w:lineRule="auto"/>
              <w:ind w:firstLineChars="0" w:firstLine="0"/>
              <w:jc w:val="center"/>
              <w:rPr>
                <w:sz w:val="21"/>
                <w:szCs w:val="21"/>
              </w:rPr>
            </w:pPr>
            <w:r>
              <w:rPr>
                <w:sz w:val="21"/>
                <w:szCs w:val="21"/>
              </w:rPr>
              <w:t>1</w:t>
            </w:r>
          </w:p>
        </w:tc>
        <w:tc>
          <w:tcPr>
            <w:tcW w:w="869" w:type="dxa"/>
            <w:tcBorders>
              <w:left w:val="single" w:sz="8" w:space="0" w:color="auto"/>
              <w:right w:val="single" w:sz="8" w:space="0" w:color="auto"/>
            </w:tcBorders>
            <w:tcMar>
              <w:left w:w="0" w:type="dxa"/>
              <w:right w:w="0" w:type="dxa"/>
            </w:tcMar>
            <w:vAlign w:val="center"/>
          </w:tcPr>
          <w:p w:rsidR="00DB7CC8" w:rsidRDefault="002B5250">
            <w:pPr>
              <w:tabs>
                <w:tab w:val="left" w:pos="0"/>
              </w:tabs>
              <w:spacing w:line="240" w:lineRule="auto"/>
              <w:ind w:firstLineChars="0" w:firstLine="0"/>
              <w:jc w:val="center"/>
              <w:rPr>
                <w:sz w:val="21"/>
                <w:szCs w:val="21"/>
              </w:rPr>
            </w:pPr>
            <w:r>
              <w:rPr>
                <w:sz w:val="21"/>
                <w:szCs w:val="21"/>
              </w:rPr>
              <w:t>破碎</w:t>
            </w:r>
            <w:r>
              <w:rPr>
                <w:rFonts w:hint="eastAsia"/>
                <w:sz w:val="21"/>
                <w:szCs w:val="21"/>
              </w:rPr>
              <w:t>粗选</w:t>
            </w:r>
            <w:r>
              <w:rPr>
                <w:sz w:val="21"/>
                <w:szCs w:val="21"/>
              </w:rPr>
              <w:t>车间排气筒</w:t>
            </w:r>
            <w:r>
              <w:rPr>
                <w:sz w:val="21"/>
                <w:szCs w:val="21"/>
              </w:rPr>
              <w:t>G</w:t>
            </w:r>
            <w:r>
              <w:rPr>
                <w:rFonts w:hint="eastAsia"/>
                <w:sz w:val="21"/>
                <w:szCs w:val="21"/>
              </w:rPr>
              <w:t>3</w:t>
            </w:r>
          </w:p>
        </w:tc>
        <w:tc>
          <w:tcPr>
            <w:tcW w:w="871" w:type="dxa"/>
            <w:tcBorders>
              <w:left w:val="single" w:sz="8" w:space="0" w:color="auto"/>
              <w:right w:val="single" w:sz="8" w:space="0" w:color="auto"/>
            </w:tcBorders>
            <w:tcMar>
              <w:left w:w="0" w:type="dxa"/>
              <w:right w:w="0" w:type="dxa"/>
            </w:tcMar>
            <w:vAlign w:val="center"/>
          </w:tcPr>
          <w:p w:rsidR="00DB7CC8" w:rsidRDefault="002B5250">
            <w:pPr>
              <w:tabs>
                <w:tab w:val="left" w:pos="0"/>
              </w:tabs>
              <w:spacing w:line="240" w:lineRule="auto"/>
              <w:ind w:firstLineChars="0" w:firstLine="0"/>
              <w:jc w:val="center"/>
              <w:rPr>
                <w:sz w:val="21"/>
                <w:szCs w:val="21"/>
              </w:rPr>
            </w:pPr>
            <w:r>
              <w:rPr>
                <w:sz w:val="21"/>
                <w:szCs w:val="21"/>
              </w:rPr>
              <w:t>除尘设施故障</w:t>
            </w:r>
          </w:p>
        </w:tc>
        <w:tc>
          <w:tcPr>
            <w:tcW w:w="567" w:type="dxa"/>
            <w:tcBorders>
              <w:left w:val="single" w:sz="8" w:space="0" w:color="auto"/>
              <w:right w:val="single" w:sz="8" w:space="0" w:color="auto"/>
            </w:tcBorders>
            <w:tcMar>
              <w:left w:w="0" w:type="dxa"/>
              <w:right w:w="0" w:type="dxa"/>
            </w:tcMar>
            <w:vAlign w:val="center"/>
          </w:tcPr>
          <w:p w:rsidR="00DB7CC8" w:rsidRDefault="002B5250">
            <w:pPr>
              <w:tabs>
                <w:tab w:val="left" w:pos="0"/>
              </w:tabs>
              <w:spacing w:line="240" w:lineRule="auto"/>
              <w:ind w:firstLineChars="0" w:firstLine="0"/>
              <w:jc w:val="center"/>
              <w:rPr>
                <w:bCs/>
                <w:sz w:val="21"/>
                <w:szCs w:val="21"/>
              </w:rPr>
            </w:pPr>
            <w:r>
              <w:rPr>
                <w:bCs/>
                <w:sz w:val="21"/>
                <w:szCs w:val="21"/>
              </w:rPr>
              <w:t>颗粒物</w:t>
            </w:r>
          </w:p>
        </w:tc>
        <w:tc>
          <w:tcPr>
            <w:tcW w:w="1134" w:type="dxa"/>
            <w:tcBorders>
              <w:left w:val="single" w:sz="8" w:space="0" w:color="auto"/>
              <w:right w:val="single" w:sz="8" w:space="0" w:color="auto"/>
            </w:tcBorders>
            <w:tcMar>
              <w:left w:w="0" w:type="dxa"/>
              <w:right w:w="0" w:type="dxa"/>
            </w:tcMar>
            <w:vAlign w:val="center"/>
          </w:tcPr>
          <w:p w:rsidR="00DB7CC8" w:rsidRDefault="002B5250">
            <w:pPr>
              <w:tabs>
                <w:tab w:val="left" w:pos="0"/>
              </w:tabs>
              <w:spacing w:line="240" w:lineRule="auto"/>
              <w:ind w:firstLineChars="0" w:firstLine="0"/>
              <w:jc w:val="center"/>
              <w:rPr>
                <w:sz w:val="21"/>
                <w:szCs w:val="21"/>
              </w:rPr>
            </w:pPr>
            <w:r>
              <w:rPr>
                <w:rFonts w:hint="eastAsia"/>
                <w:sz w:val="21"/>
                <w:szCs w:val="21"/>
              </w:rPr>
              <w:t>1425</w:t>
            </w:r>
          </w:p>
        </w:tc>
        <w:tc>
          <w:tcPr>
            <w:tcW w:w="992" w:type="dxa"/>
            <w:tcBorders>
              <w:left w:val="single" w:sz="8" w:space="0" w:color="auto"/>
              <w:right w:val="single" w:sz="8" w:space="0" w:color="auto"/>
            </w:tcBorders>
            <w:tcMar>
              <w:left w:w="0" w:type="dxa"/>
              <w:right w:w="0" w:type="dxa"/>
            </w:tcMar>
            <w:vAlign w:val="center"/>
          </w:tcPr>
          <w:p w:rsidR="00DB7CC8" w:rsidRDefault="002B5250">
            <w:pPr>
              <w:tabs>
                <w:tab w:val="left" w:pos="0"/>
              </w:tabs>
              <w:spacing w:line="240" w:lineRule="auto"/>
              <w:ind w:firstLineChars="0" w:firstLine="0"/>
              <w:jc w:val="center"/>
              <w:rPr>
                <w:sz w:val="21"/>
                <w:szCs w:val="21"/>
              </w:rPr>
            </w:pPr>
            <w:r>
              <w:rPr>
                <w:rFonts w:hint="eastAsia"/>
                <w:sz w:val="21"/>
                <w:szCs w:val="21"/>
              </w:rPr>
              <w:t>71.25</w:t>
            </w:r>
          </w:p>
        </w:tc>
        <w:tc>
          <w:tcPr>
            <w:tcW w:w="709" w:type="dxa"/>
            <w:tcBorders>
              <w:left w:val="single" w:sz="8" w:space="0" w:color="auto"/>
              <w:right w:val="single" w:sz="8" w:space="0" w:color="auto"/>
            </w:tcBorders>
            <w:tcMar>
              <w:left w:w="0" w:type="dxa"/>
              <w:right w:w="0" w:type="dxa"/>
            </w:tcMar>
            <w:vAlign w:val="center"/>
          </w:tcPr>
          <w:p w:rsidR="00DB7CC8" w:rsidRDefault="002B5250">
            <w:pPr>
              <w:tabs>
                <w:tab w:val="left" w:pos="0"/>
              </w:tabs>
              <w:spacing w:line="240" w:lineRule="auto"/>
              <w:ind w:firstLineChars="0" w:firstLine="0"/>
              <w:jc w:val="center"/>
              <w:rPr>
                <w:sz w:val="21"/>
                <w:szCs w:val="21"/>
              </w:rPr>
            </w:pPr>
            <w:r>
              <w:rPr>
                <w:sz w:val="21"/>
                <w:szCs w:val="21"/>
              </w:rPr>
              <w:t>2</w:t>
            </w:r>
          </w:p>
        </w:tc>
        <w:tc>
          <w:tcPr>
            <w:tcW w:w="567" w:type="dxa"/>
            <w:tcBorders>
              <w:left w:val="single" w:sz="8" w:space="0" w:color="auto"/>
              <w:right w:val="single" w:sz="4" w:space="0" w:color="auto"/>
            </w:tcBorders>
            <w:tcMar>
              <w:left w:w="0" w:type="dxa"/>
              <w:right w:w="0" w:type="dxa"/>
            </w:tcMar>
            <w:vAlign w:val="center"/>
          </w:tcPr>
          <w:p w:rsidR="00DB7CC8" w:rsidRDefault="002B5250">
            <w:pPr>
              <w:tabs>
                <w:tab w:val="left" w:pos="0"/>
              </w:tabs>
              <w:spacing w:line="240" w:lineRule="auto"/>
              <w:ind w:firstLineChars="0" w:firstLine="0"/>
              <w:jc w:val="center"/>
              <w:rPr>
                <w:sz w:val="21"/>
                <w:szCs w:val="21"/>
              </w:rPr>
            </w:pPr>
            <w:r>
              <w:rPr>
                <w:sz w:val="21"/>
                <w:szCs w:val="21"/>
              </w:rPr>
              <w:t>2</w:t>
            </w:r>
          </w:p>
        </w:tc>
        <w:tc>
          <w:tcPr>
            <w:tcW w:w="1867" w:type="dxa"/>
            <w:tcBorders>
              <w:left w:val="single" w:sz="4" w:space="0" w:color="auto"/>
              <w:right w:val="single" w:sz="8" w:space="0" w:color="auto"/>
            </w:tcBorders>
            <w:tcMar>
              <w:left w:w="0" w:type="dxa"/>
              <w:right w:w="0" w:type="dxa"/>
            </w:tcMar>
            <w:vAlign w:val="center"/>
          </w:tcPr>
          <w:p w:rsidR="00DB7CC8" w:rsidRDefault="002B5250">
            <w:pPr>
              <w:tabs>
                <w:tab w:val="left" w:pos="0"/>
              </w:tabs>
              <w:spacing w:line="240" w:lineRule="auto"/>
              <w:ind w:firstLineChars="0" w:firstLine="0"/>
              <w:jc w:val="center"/>
              <w:rPr>
                <w:sz w:val="21"/>
                <w:szCs w:val="21"/>
              </w:rPr>
            </w:pPr>
            <w:r>
              <w:rPr>
                <w:sz w:val="21"/>
                <w:szCs w:val="21"/>
              </w:rPr>
              <w:t>采用双路供电，并加强日常对除尘器设备及布袋的维护，加强日常检查和管理，及时发现设备故障等事故排放情况</w:t>
            </w:r>
          </w:p>
        </w:tc>
      </w:tr>
    </w:tbl>
    <w:p w:rsidR="00DB7CC8" w:rsidRDefault="002B5250">
      <w:pPr>
        <w:pStyle w:val="4"/>
        <w:numPr>
          <w:ilvl w:val="3"/>
          <w:numId w:val="1"/>
        </w:numPr>
        <w:spacing w:afterLines="50" w:after="120"/>
        <w:ind w:left="709" w:hanging="709"/>
        <w:rPr>
          <w:rFonts w:eastAsia="宋体"/>
          <w:b/>
        </w:rPr>
      </w:pPr>
      <w:bookmarkStart w:id="383" w:name="_Toc438589238"/>
      <w:r>
        <w:rPr>
          <w:rFonts w:eastAsia="宋体"/>
          <w:b/>
        </w:rPr>
        <w:t>估算模式参数</w:t>
      </w:r>
    </w:p>
    <w:p w:rsidR="00DB7CC8" w:rsidRDefault="002B5250">
      <w:pPr>
        <w:pStyle w:val="110"/>
        <w:spacing w:line="360" w:lineRule="auto"/>
        <w:rPr>
          <w:sz w:val="24"/>
          <w:szCs w:val="24"/>
        </w:rPr>
      </w:pPr>
      <w:r>
        <w:rPr>
          <w:sz w:val="24"/>
          <w:szCs w:val="24"/>
        </w:rPr>
        <w:t>按估算模式进行预测，主要相关参数见</w:t>
      </w:r>
      <w:r>
        <w:rPr>
          <w:rFonts w:hint="eastAsia"/>
          <w:sz w:val="24"/>
          <w:szCs w:val="24"/>
        </w:rPr>
        <w:t>表</w:t>
      </w:r>
      <w:r>
        <w:rPr>
          <w:rFonts w:hint="eastAsia"/>
          <w:sz w:val="24"/>
          <w:szCs w:val="24"/>
        </w:rPr>
        <w:t>5</w:t>
      </w:r>
      <w:r>
        <w:rPr>
          <w:sz w:val="24"/>
          <w:szCs w:val="24"/>
        </w:rPr>
        <w:t>.2-5</w:t>
      </w:r>
      <w:r>
        <w:rPr>
          <w:sz w:val="24"/>
          <w:szCs w:val="24"/>
        </w:rPr>
        <w:t>。</w:t>
      </w:r>
    </w:p>
    <w:p w:rsidR="00DB7CC8" w:rsidRDefault="002B5250">
      <w:pPr>
        <w:pStyle w:val="110"/>
        <w:spacing w:line="360" w:lineRule="auto"/>
        <w:jc w:val="center"/>
        <w:rPr>
          <w:rFonts w:eastAsia="黑体"/>
          <w:sz w:val="21"/>
          <w:szCs w:val="21"/>
        </w:rPr>
      </w:pPr>
      <w:r>
        <w:rPr>
          <w:rFonts w:eastAsia="黑体"/>
          <w:sz w:val="21"/>
          <w:szCs w:val="21"/>
        </w:rPr>
        <w:t>表</w:t>
      </w:r>
      <w:r>
        <w:rPr>
          <w:rFonts w:eastAsia="黑体"/>
          <w:sz w:val="21"/>
          <w:szCs w:val="21"/>
        </w:rPr>
        <w:t xml:space="preserve">5.2-5    </w:t>
      </w:r>
      <w:r>
        <w:rPr>
          <w:rFonts w:eastAsia="黑体"/>
          <w:sz w:val="21"/>
          <w:szCs w:val="21"/>
        </w:rPr>
        <w:t>大气估算模式的相关参数表</w:t>
      </w:r>
    </w:p>
    <w:tbl>
      <w:tblPr>
        <w:tblW w:w="8249" w:type="dxa"/>
        <w:tblInd w:w="-5"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282"/>
        <w:gridCol w:w="3053"/>
        <w:gridCol w:w="2914"/>
      </w:tblGrid>
      <w:tr w:rsidR="00DB7CC8">
        <w:trPr>
          <w:trHeight w:val="247"/>
        </w:trPr>
        <w:tc>
          <w:tcPr>
            <w:tcW w:w="5335" w:type="dxa"/>
            <w:gridSpan w:val="2"/>
            <w:vAlign w:val="center"/>
          </w:tcPr>
          <w:p w:rsidR="00DB7CC8" w:rsidRDefault="002B5250">
            <w:pPr>
              <w:pStyle w:val="afffffffc"/>
              <w:spacing w:line="240" w:lineRule="auto"/>
            </w:pPr>
            <w:r>
              <w:t>参数</w:t>
            </w:r>
          </w:p>
        </w:tc>
        <w:tc>
          <w:tcPr>
            <w:tcW w:w="2914" w:type="dxa"/>
            <w:vAlign w:val="center"/>
          </w:tcPr>
          <w:p w:rsidR="00DB7CC8" w:rsidRDefault="002B5250">
            <w:pPr>
              <w:pStyle w:val="afffffffc"/>
              <w:spacing w:line="240" w:lineRule="auto"/>
            </w:pPr>
            <w:r>
              <w:t>取值</w:t>
            </w:r>
          </w:p>
        </w:tc>
      </w:tr>
      <w:tr w:rsidR="00DB7CC8">
        <w:trPr>
          <w:trHeight w:val="247"/>
        </w:trPr>
        <w:tc>
          <w:tcPr>
            <w:tcW w:w="2282" w:type="dxa"/>
            <w:vMerge w:val="restart"/>
            <w:vAlign w:val="center"/>
          </w:tcPr>
          <w:p w:rsidR="00DB7CC8" w:rsidRDefault="002B5250">
            <w:pPr>
              <w:pStyle w:val="afffffffc"/>
              <w:spacing w:line="240" w:lineRule="auto"/>
            </w:pPr>
            <w:r>
              <w:t>城市</w:t>
            </w:r>
            <w:r>
              <w:t>/</w:t>
            </w:r>
            <w:r>
              <w:t>农村选项</w:t>
            </w:r>
          </w:p>
        </w:tc>
        <w:tc>
          <w:tcPr>
            <w:tcW w:w="3053" w:type="dxa"/>
            <w:vAlign w:val="center"/>
          </w:tcPr>
          <w:p w:rsidR="00DB7CC8" w:rsidRDefault="002B5250">
            <w:pPr>
              <w:pStyle w:val="afffffffc"/>
              <w:spacing w:line="240" w:lineRule="auto"/>
            </w:pPr>
            <w:r>
              <w:t>城市</w:t>
            </w:r>
            <w:r>
              <w:t>/</w:t>
            </w:r>
            <w:r>
              <w:t>农村</w:t>
            </w:r>
          </w:p>
        </w:tc>
        <w:tc>
          <w:tcPr>
            <w:tcW w:w="2914" w:type="dxa"/>
            <w:vAlign w:val="center"/>
          </w:tcPr>
          <w:p w:rsidR="00DB7CC8" w:rsidRDefault="002B5250">
            <w:pPr>
              <w:pStyle w:val="afffffffc"/>
              <w:spacing w:line="240" w:lineRule="auto"/>
            </w:pPr>
            <w:r>
              <w:t>农村</w:t>
            </w:r>
          </w:p>
        </w:tc>
      </w:tr>
      <w:tr w:rsidR="00DB7CC8">
        <w:trPr>
          <w:trHeight w:val="247"/>
        </w:trPr>
        <w:tc>
          <w:tcPr>
            <w:tcW w:w="2282" w:type="dxa"/>
            <w:vMerge/>
            <w:vAlign w:val="center"/>
          </w:tcPr>
          <w:p w:rsidR="00DB7CC8" w:rsidRDefault="00DB7CC8">
            <w:pPr>
              <w:pStyle w:val="afffffffc"/>
              <w:spacing w:line="240" w:lineRule="auto"/>
            </w:pPr>
          </w:p>
        </w:tc>
        <w:tc>
          <w:tcPr>
            <w:tcW w:w="3053" w:type="dxa"/>
            <w:vAlign w:val="center"/>
          </w:tcPr>
          <w:p w:rsidR="00DB7CC8" w:rsidRDefault="002B5250">
            <w:pPr>
              <w:pStyle w:val="afffffffc"/>
              <w:spacing w:line="240" w:lineRule="auto"/>
            </w:pPr>
            <w:r>
              <w:t>人口数（城市选项时）</w:t>
            </w:r>
          </w:p>
        </w:tc>
        <w:tc>
          <w:tcPr>
            <w:tcW w:w="2914" w:type="dxa"/>
            <w:vAlign w:val="center"/>
          </w:tcPr>
          <w:p w:rsidR="00DB7CC8" w:rsidRDefault="002B5250">
            <w:pPr>
              <w:pStyle w:val="afffffffc"/>
              <w:spacing w:line="240" w:lineRule="auto"/>
            </w:pPr>
            <w:r>
              <w:t>0</w:t>
            </w:r>
          </w:p>
        </w:tc>
      </w:tr>
      <w:tr w:rsidR="00DB7CC8">
        <w:trPr>
          <w:trHeight w:val="247"/>
        </w:trPr>
        <w:tc>
          <w:tcPr>
            <w:tcW w:w="5335" w:type="dxa"/>
            <w:gridSpan w:val="2"/>
            <w:vAlign w:val="center"/>
          </w:tcPr>
          <w:p w:rsidR="00DB7CC8" w:rsidRDefault="002B5250">
            <w:pPr>
              <w:pStyle w:val="afffffffc"/>
              <w:spacing w:line="240" w:lineRule="auto"/>
            </w:pPr>
            <w:r>
              <w:t>最高环境温度</w:t>
            </w:r>
            <w:r>
              <w:t>/℃</w:t>
            </w:r>
          </w:p>
        </w:tc>
        <w:tc>
          <w:tcPr>
            <w:tcW w:w="2914" w:type="dxa"/>
            <w:vAlign w:val="center"/>
          </w:tcPr>
          <w:p w:rsidR="00DB7CC8" w:rsidRDefault="002B5250">
            <w:pPr>
              <w:pStyle w:val="afffffffc"/>
              <w:spacing w:line="240" w:lineRule="auto"/>
            </w:pPr>
            <w:r>
              <w:t>40.5</w:t>
            </w:r>
          </w:p>
        </w:tc>
      </w:tr>
      <w:tr w:rsidR="00DB7CC8">
        <w:trPr>
          <w:trHeight w:val="247"/>
        </w:trPr>
        <w:tc>
          <w:tcPr>
            <w:tcW w:w="5335" w:type="dxa"/>
            <w:gridSpan w:val="2"/>
            <w:vAlign w:val="center"/>
          </w:tcPr>
          <w:p w:rsidR="00DB7CC8" w:rsidRDefault="002B5250">
            <w:pPr>
              <w:pStyle w:val="afffffffc"/>
              <w:spacing w:line="240" w:lineRule="auto"/>
            </w:pPr>
            <w:r>
              <w:t>最低环境温度</w:t>
            </w:r>
            <w:r>
              <w:t>/℃</w:t>
            </w:r>
          </w:p>
        </w:tc>
        <w:tc>
          <w:tcPr>
            <w:tcW w:w="2914" w:type="dxa"/>
            <w:vAlign w:val="center"/>
          </w:tcPr>
          <w:p w:rsidR="00DB7CC8" w:rsidRDefault="002B5250">
            <w:pPr>
              <w:pStyle w:val="afffffffc"/>
              <w:spacing w:line="240" w:lineRule="auto"/>
            </w:pPr>
            <w:r>
              <w:t>-25.7</w:t>
            </w:r>
          </w:p>
        </w:tc>
      </w:tr>
      <w:tr w:rsidR="00DB7CC8">
        <w:trPr>
          <w:trHeight w:val="247"/>
        </w:trPr>
        <w:tc>
          <w:tcPr>
            <w:tcW w:w="5335" w:type="dxa"/>
            <w:gridSpan w:val="2"/>
            <w:vAlign w:val="center"/>
          </w:tcPr>
          <w:p w:rsidR="00DB7CC8" w:rsidRDefault="002B5250">
            <w:pPr>
              <w:pStyle w:val="afffffffc"/>
              <w:spacing w:line="240" w:lineRule="auto"/>
            </w:pPr>
            <w:r>
              <w:t>土地利用类型</w:t>
            </w:r>
          </w:p>
        </w:tc>
        <w:tc>
          <w:tcPr>
            <w:tcW w:w="2914" w:type="dxa"/>
            <w:vAlign w:val="center"/>
          </w:tcPr>
          <w:p w:rsidR="00DB7CC8" w:rsidRDefault="002B5250">
            <w:pPr>
              <w:pStyle w:val="afffffffc"/>
              <w:spacing w:line="240" w:lineRule="auto"/>
            </w:pPr>
            <w:r>
              <w:t>耕地</w:t>
            </w:r>
          </w:p>
        </w:tc>
      </w:tr>
      <w:tr w:rsidR="00DB7CC8">
        <w:trPr>
          <w:trHeight w:val="247"/>
        </w:trPr>
        <w:tc>
          <w:tcPr>
            <w:tcW w:w="5335" w:type="dxa"/>
            <w:gridSpan w:val="2"/>
            <w:vAlign w:val="center"/>
          </w:tcPr>
          <w:p w:rsidR="00DB7CC8" w:rsidRDefault="002B5250">
            <w:pPr>
              <w:pStyle w:val="afffffffc"/>
              <w:spacing w:line="240" w:lineRule="auto"/>
            </w:pPr>
            <w:r>
              <w:t>区域湿度条件</w:t>
            </w:r>
          </w:p>
        </w:tc>
        <w:tc>
          <w:tcPr>
            <w:tcW w:w="2914" w:type="dxa"/>
            <w:vAlign w:val="center"/>
          </w:tcPr>
          <w:p w:rsidR="00DB7CC8" w:rsidRDefault="002B5250">
            <w:pPr>
              <w:pStyle w:val="afffffffc"/>
              <w:spacing w:line="240" w:lineRule="auto"/>
            </w:pPr>
            <w:r>
              <w:t>中等湿度</w:t>
            </w:r>
          </w:p>
        </w:tc>
      </w:tr>
      <w:tr w:rsidR="00DB7CC8">
        <w:trPr>
          <w:trHeight w:val="247"/>
        </w:trPr>
        <w:tc>
          <w:tcPr>
            <w:tcW w:w="2282" w:type="dxa"/>
            <w:vMerge w:val="restart"/>
            <w:vAlign w:val="center"/>
          </w:tcPr>
          <w:p w:rsidR="00DB7CC8" w:rsidRDefault="002B5250">
            <w:pPr>
              <w:pStyle w:val="afffffffc"/>
              <w:spacing w:line="240" w:lineRule="auto"/>
            </w:pPr>
            <w:r>
              <w:t>是否考虑地形</w:t>
            </w:r>
          </w:p>
        </w:tc>
        <w:tc>
          <w:tcPr>
            <w:tcW w:w="3053" w:type="dxa"/>
            <w:vAlign w:val="center"/>
          </w:tcPr>
          <w:p w:rsidR="00DB7CC8" w:rsidRDefault="002B5250">
            <w:pPr>
              <w:pStyle w:val="afffffffc"/>
              <w:spacing w:line="240" w:lineRule="auto"/>
            </w:pPr>
            <w:r>
              <w:t>考虑地形</w:t>
            </w:r>
          </w:p>
        </w:tc>
        <w:tc>
          <w:tcPr>
            <w:tcW w:w="2914" w:type="dxa"/>
            <w:vAlign w:val="center"/>
          </w:tcPr>
          <w:p w:rsidR="00DB7CC8" w:rsidRDefault="002B5250">
            <w:pPr>
              <w:pStyle w:val="afffffffc"/>
              <w:spacing w:line="240" w:lineRule="auto"/>
            </w:pPr>
            <w:r>
              <w:t>是</w:t>
            </w:r>
          </w:p>
        </w:tc>
      </w:tr>
      <w:tr w:rsidR="00DB7CC8">
        <w:trPr>
          <w:trHeight w:val="247"/>
        </w:trPr>
        <w:tc>
          <w:tcPr>
            <w:tcW w:w="2282" w:type="dxa"/>
            <w:vMerge/>
            <w:vAlign w:val="center"/>
          </w:tcPr>
          <w:p w:rsidR="00DB7CC8" w:rsidRDefault="00DB7CC8">
            <w:pPr>
              <w:pStyle w:val="afffffffc"/>
              <w:spacing w:line="240" w:lineRule="auto"/>
            </w:pPr>
          </w:p>
        </w:tc>
        <w:tc>
          <w:tcPr>
            <w:tcW w:w="3053" w:type="dxa"/>
            <w:vAlign w:val="center"/>
          </w:tcPr>
          <w:p w:rsidR="00DB7CC8" w:rsidRDefault="002B5250">
            <w:pPr>
              <w:pStyle w:val="afffffffc"/>
              <w:spacing w:line="240" w:lineRule="auto"/>
            </w:pPr>
            <w:r>
              <w:t>地形数据分辨率</w:t>
            </w:r>
            <w:r>
              <w:t>/m</w:t>
            </w:r>
          </w:p>
        </w:tc>
        <w:tc>
          <w:tcPr>
            <w:tcW w:w="2914" w:type="dxa"/>
            <w:vAlign w:val="center"/>
          </w:tcPr>
          <w:p w:rsidR="00DB7CC8" w:rsidRDefault="002B5250">
            <w:pPr>
              <w:pStyle w:val="afffffffc"/>
              <w:spacing w:line="240" w:lineRule="auto"/>
            </w:pPr>
            <w:r>
              <w:t>90</w:t>
            </w:r>
          </w:p>
        </w:tc>
      </w:tr>
      <w:tr w:rsidR="00DB7CC8">
        <w:trPr>
          <w:trHeight w:val="247"/>
        </w:trPr>
        <w:tc>
          <w:tcPr>
            <w:tcW w:w="2282" w:type="dxa"/>
            <w:vMerge w:val="restart"/>
            <w:vAlign w:val="center"/>
          </w:tcPr>
          <w:p w:rsidR="00DB7CC8" w:rsidRDefault="002B5250">
            <w:pPr>
              <w:pStyle w:val="afffffffc"/>
              <w:spacing w:line="240" w:lineRule="auto"/>
            </w:pPr>
            <w:r>
              <w:t>是否考虑岸线熏烟</w:t>
            </w:r>
          </w:p>
        </w:tc>
        <w:tc>
          <w:tcPr>
            <w:tcW w:w="3053" w:type="dxa"/>
            <w:vAlign w:val="center"/>
          </w:tcPr>
          <w:p w:rsidR="00DB7CC8" w:rsidRDefault="002B5250">
            <w:pPr>
              <w:pStyle w:val="afffffffc"/>
              <w:spacing w:line="240" w:lineRule="auto"/>
            </w:pPr>
            <w:r>
              <w:t>考虑岸线熏烟</w:t>
            </w:r>
          </w:p>
        </w:tc>
        <w:tc>
          <w:tcPr>
            <w:tcW w:w="2914" w:type="dxa"/>
            <w:vAlign w:val="center"/>
          </w:tcPr>
          <w:p w:rsidR="00DB7CC8" w:rsidRDefault="002B5250">
            <w:pPr>
              <w:pStyle w:val="afffffffc"/>
              <w:spacing w:line="240" w:lineRule="auto"/>
            </w:pPr>
            <w:r>
              <w:t>否</w:t>
            </w:r>
          </w:p>
        </w:tc>
      </w:tr>
      <w:tr w:rsidR="00DB7CC8">
        <w:trPr>
          <w:trHeight w:val="247"/>
        </w:trPr>
        <w:tc>
          <w:tcPr>
            <w:tcW w:w="2282" w:type="dxa"/>
            <w:vMerge/>
            <w:vAlign w:val="center"/>
          </w:tcPr>
          <w:p w:rsidR="00DB7CC8" w:rsidRDefault="00DB7CC8">
            <w:pPr>
              <w:pStyle w:val="afffffffc"/>
              <w:spacing w:line="240" w:lineRule="auto"/>
            </w:pPr>
          </w:p>
        </w:tc>
        <w:tc>
          <w:tcPr>
            <w:tcW w:w="3053" w:type="dxa"/>
            <w:vAlign w:val="center"/>
          </w:tcPr>
          <w:p w:rsidR="00DB7CC8" w:rsidRDefault="002B5250">
            <w:pPr>
              <w:pStyle w:val="afffffffc"/>
              <w:spacing w:line="240" w:lineRule="auto"/>
            </w:pPr>
            <w:r>
              <w:t>岸线距离</w:t>
            </w:r>
            <w:r>
              <w:t>/km</w:t>
            </w:r>
          </w:p>
        </w:tc>
        <w:tc>
          <w:tcPr>
            <w:tcW w:w="2914" w:type="dxa"/>
            <w:vAlign w:val="center"/>
          </w:tcPr>
          <w:p w:rsidR="00DB7CC8" w:rsidRDefault="002B5250">
            <w:pPr>
              <w:pStyle w:val="afffffffc"/>
              <w:spacing w:line="240" w:lineRule="auto"/>
            </w:pPr>
            <w:r>
              <w:t>---</w:t>
            </w:r>
          </w:p>
        </w:tc>
      </w:tr>
      <w:tr w:rsidR="00DB7CC8">
        <w:trPr>
          <w:trHeight w:val="247"/>
        </w:trPr>
        <w:tc>
          <w:tcPr>
            <w:tcW w:w="2282" w:type="dxa"/>
            <w:vMerge/>
            <w:vAlign w:val="center"/>
          </w:tcPr>
          <w:p w:rsidR="00DB7CC8" w:rsidRDefault="00DB7CC8">
            <w:pPr>
              <w:pStyle w:val="afffffffc"/>
              <w:spacing w:line="240" w:lineRule="auto"/>
            </w:pPr>
          </w:p>
        </w:tc>
        <w:tc>
          <w:tcPr>
            <w:tcW w:w="3053" w:type="dxa"/>
            <w:vAlign w:val="center"/>
          </w:tcPr>
          <w:p w:rsidR="00DB7CC8" w:rsidRDefault="002B5250">
            <w:pPr>
              <w:pStyle w:val="afffffffc"/>
              <w:spacing w:line="240" w:lineRule="auto"/>
            </w:pPr>
            <w:r>
              <w:t>岸线方向</w:t>
            </w:r>
            <w:r>
              <w:t>/°</w:t>
            </w:r>
          </w:p>
        </w:tc>
        <w:tc>
          <w:tcPr>
            <w:tcW w:w="2914" w:type="dxa"/>
            <w:vAlign w:val="center"/>
          </w:tcPr>
          <w:p w:rsidR="00DB7CC8" w:rsidRDefault="002B5250">
            <w:pPr>
              <w:pStyle w:val="afffffffc"/>
              <w:spacing w:line="240" w:lineRule="auto"/>
            </w:pPr>
            <w:r>
              <w:t>---</w:t>
            </w:r>
          </w:p>
        </w:tc>
      </w:tr>
    </w:tbl>
    <w:p w:rsidR="00DB7CC8" w:rsidRDefault="002B5250">
      <w:pPr>
        <w:pStyle w:val="4"/>
        <w:numPr>
          <w:ilvl w:val="3"/>
          <w:numId w:val="1"/>
        </w:numPr>
        <w:spacing w:beforeLines="50" w:before="120" w:line="460" w:lineRule="exact"/>
        <w:ind w:left="0" w:firstLine="0"/>
        <w:rPr>
          <w:rFonts w:eastAsia="宋体"/>
          <w:b/>
        </w:rPr>
      </w:pPr>
      <w:r>
        <w:rPr>
          <w:rFonts w:eastAsia="宋体" w:hint="eastAsia"/>
          <w:b/>
        </w:rPr>
        <w:t>估算模式计算</w:t>
      </w:r>
    </w:p>
    <w:p w:rsidR="00DB7CC8" w:rsidRDefault="002B5250">
      <w:pPr>
        <w:pStyle w:val="a0"/>
        <w:spacing w:line="460" w:lineRule="exact"/>
        <w:ind w:firstLine="480"/>
        <w:rPr>
          <w:sz w:val="24"/>
          <w:szCs w:val="24"/>
        </w:rPr>
      </w:pPr>
      <w:r>
        <w:rPr>
          <w:sz w:val="24"/>
          <w:szCs w:val="24"/>
        </w:rPr>
        <w:t>按照《环境影响评价技术导则</w:t>
      </w:r>
      <w:r>
        <w:rPr>
          <w:sz w:val="24"/>
          <w:szCs w:val="24"/>
        </w:rPr>
        <w:t>—</w:t>
      </w:r>
      <w:r>
        <w:rPr>
          <w:sz w:val="24"/>
          <w:szCs w:val="24"/>
        </w:rPr>
        <w:t>大气环境》（</w:t>
      </w:r>
      <w:r>
        <w:rPr>
          <w:sz w:val="24"/>
          <w:szCs w:val="24"/>
        </w:rPr>
        <w:t>HJ2.2-2018</w:t>
      </w:r>
      <w:r>
        <w:rPr>
          <w:sz w:val="24"/>
          <w:szCs w:val="24"/>
        </w:rPr>
        <w:t>）中要求，对于二级评价项目可只调查分析项目污染源。本项目铁矿石处理量</w:t>
      </w:r>
      <w:r>
        <w:rPr>
          <w:rFonts w:hint="eastAsia"/>
          <w:sz w:val="24"/>
          <w:szCs w:val="24"/>
        </w:rPr>
        <w:t>40</w:t>
      </w:r>
      <w:r>
        <w:rPr>
          <w:sz w:val="24"/>
          <w:szCs w:val="24"/>
        </w:rPr>
        <w:t>万</w:t>
      </w:r>
      <w:r>
        <w:rPr>
          <w:sz w:val="24"/>
          <w:szCs w:val="24"/>
        </w:rPr>
        <w:t>t/a</w:t>
      </w:r>
      <w:r>
        <w:rPr>
          <w:sz w:val="24"/>
          <w:szCs w:val="24"/>
        </w:rPr>
        <w:t>，年工作时间为</w:t>
      </w:r>
      <w:r>
        <w:rPr>
          <w:rFonts w:hint="eastAsia"/>
          <w:sz w:val="24"/>
          <w:szCs w:val="24"/>
        </w:rPr>
        <w:t>72</w:t>
      </w:r>
      <w:r>
        <w:rPr>
          <w:sz w:val="24"/>
          <w:szCs w:val="24"/>
        </w:rPr>
        <w:t>0</w:t>
      </w:r>
      <w:r>
        <w:rPr>
          <w:sz w:val="24"/>
          <w:szCs w:val="24"/>
        </w:rPr>
        <w:t>0h</w:t>
      </w:r>
      <w:r>
        <w:rPr>
          <w:sz w:val="24"/>
          <w:szCs w:val="24"/>
        </w:rPr>
        <w:t>，</w:t>
      </w:r>
      <w:r>
        <w:rPr>
          <w:sz w:val="24"/>
          <w:szCs w:val="24"/>
        </w:rPr>
        <w:t>大气污染物主要来自矿石破碎过程中产生的颗粒物，属于点源污染源，经离线清灰脉冲布袋除尘器处理后，经</w:t>
      </w:r>
      <w:r>
        <w:rPr>
          <w:sz w:val="24"/>
          <w:szCs w:val="24"/>
        </w:rPr>
        <w:t>1</w:t>
      </w:r>
      <w:r>
        <w:rPr>
          <w:sz w:val="24"/>
          <w:szCs w:val="24"/>
        </w:rPr>
        <w:t>8</w:t>
      </w:r>
      <w:r>
        <w:rPr>
          <w:sz w:val="24"/>
          <w:szCs w:val="24"/>
        </w:rPr>
        <w:t>m</w:t>
      </w:r>
      <w:r>
        <w:rPr>
          <w:sz w:val="24"/>
          <w:szCs w:val="24"/>
        </w:rPr>
        <w:t>排气筒排放，除尘器风量</w:t>
      </w:r>
      <w:r>
        <w:rPr>
          <w:sz w:val="24"/>
          <w:szCs w:val="24"/>
        </w:rPr>
        <w:t>50</w:t>
      </w:r>
      <w:r>
        <w:rPr>
          <w:sz w:val="24"/>
          <w:szCs w:val="24"/>
        </w:rPr>
        <w:t>000m</w:t>
      </w:r>
      <w:r>
        <w:rPr>
          <w:sz w:val="24"/>
          <w:szCs w:val="24"/>
          <w:vertAlign w:val="superscript"/>
        </w:rPr>
        <w:t>3</w:t>
      </w:r>
      <w:r>
        <w:rPr>
          <w:sz w:val="24"/>
          <w:szCs w:val="24"/>
        </w:rPr>
        <w:t>/h</w:t>
      </w:r>
      <w:r>
        <w:rPr>
          <w:sz w:val="24"/>
          <w:szCs w:val="24"/>
        </w:rPr>
        <w:t>。</w:t>
      </w:r>
    </w:p>
    <w:p w:rsidR="00DB7CC8" w:rsidRDefault="002B5250">
      <w:pPr>
        <w:pStyle w:val="1d"/>
        <w:spacing w:line="460" w:lineRule="exact"/>
        <w:ind w:firstLineChars="200" w:firstLine="456"/>
        <w:rPr>
          <w:rFonts w:ascii="Times New Roman" w:eastAsia="宋体"/>
          <w:snapToGrid w:val="0"/>
          <w:kern w:val="18"/>
          <w:sz w:val="24"/>
          <w:szCs w:val="24"/>
        </w:rPr>
      </w:pPr>
      <w:r>
        <w:rPr>
          <w:rFonts w:ascii="Times New Roman" w:eastAsia="宋体"/>
          <w:sz w:val="24"/>
          <w:szCs w:val="24"/>
        </w:rPr>
        <w:t>本项目无组织排放颗粒物主要为</w:t>
      </w:r>
      <w:r>
        <w:rPr>
          <w:rFonts w:ascii="Times New Roman" w:eastAsia="宋体"/>
          <w:sz w:val="24"/>
          <w:szCs w:val="24"/>
        </w:rPr>
        <w:t>物料</w:t>
      </w:r>
      <w:r>
        <w:rPr>
          <w:rFonts w:ascii="Times New Roman" w:eastAsia="宋体"/>
          <w:sz w:val="24"/>
          <w:szCs w:val="24"/>
        </w:rPr>
        <w:t>在装卸、储存、转运过程均在封闭车间内进行，且配套设置喷雾抑尘装置，以上过程产生的颗粒物以无组织形式排放。选择正常排放的主要污染物及排放参数，采用</w:t>
      </w:r>
      <w:r>
        <w:rPr>
          <w:rFonts w:ascii="Times New Roman" w:eastAsia="宋体"/>
          <w:sz w:val="24"/>
          <w:szCs w:val="24"/>
        </w:rPr>
        <w:t>AERSCREEN</w:t>
      </w:r>
      <w:r>
        <w:rPr>
          <w:rFonts w:ascii="Times New Roman" w:eastAsia="宋体"/>
          <w:sz w:val="24"/>
          <w:szCs w:val="24"/>
        </w:rPr>
        <w:t>估算模式计算各污染物的最大影响程度和最远影响范围，然后按评价工作分级判据进行分级，详见</w:t>
      </w:r>
      <w:r>
        <w:rPr>
          <w:rFonts w:ascii="Times New Roman" w:eastAsia="宋体"/>
          <w:sz w:val="24"/>
          <w:szCs w:val="24"/>
        </w:rPr>
        <w:t>“2.4.1.1</w:t>
      </w:r>
      <w:r>
        <w:rPr>
          <w:rFonts w:ascii="Times New Roman" w:eastAsia="宋体"/>
          <w:sz w:val="24"/>
          <w:szCs w:val="24"/>
        </w:rPr>
        <w:t>大气环境影响评价等级</w:t>
      </w:r>
      <w:r>
        <w:rPr>
          <w:rFonts w:ascii="Times New Roman" w:eastAsia="宋体"/>
          <w:sz w:val="24"/>
          <w:szCs w:val="24"/>
        </w:rPr>
        <w:t>”</w:t>
      </w:r>
      <w:r>
        <w:rPr>
          <w:rFonts w:ascii="Times New Roman" w:eastAsia="宋体"/>
          <w:sz w:val="24"/>
          <w:szCs w:val="24"/>
        </w:rPr>
        <w:t>小节</w:t>
      </w:r>
      <w:r>
        <w:rPr>
          <w:rFonts w:ascii="Times New Roman" w:eastAsia="宋体"/>
          <w:snapToGrid w:val="0"/>
          <w:kern w:val="18"/>
          <w:sz w:val="24"/>
          <w:szCs w:val="24"/>
        </w:rPr>
        <w:t>，计算污染物的最大地面浓度以及占标率</w:t>
      </w:r>
      <w:r>
        <w:rPr>
          <w:rFonts w:ascii="Times New Roman" w:eastAsia="宋体"/>
          <w:snapToGrid w:val="0"/>
          <w:kern w:val="18"/>
          <w:sz w:val="24"/>
          <w:szCs w:val="24"/>
        </w:rPr>
        <w:t>Pi</w:t>
      </w:r>
      <w:r>
        <w:rPr>
          <w:rFonts w:ascii="Times New Roman" w:eastAsia="宋体"/>
          <w:snapToGrid w:val="0"/>
          <w:kern w:val="18"/>
          <w:sz w:val="24"/>
          <w:szCs w:val="24"/>
        </w:rPr>
        <w:t>，计算结果见表</w:t>
      </w:r>
      <w:r>
        <w:rPr>
          <w:rFonts w:ascii="Times New Roman" w:eastAsia="宋体"/>
          <w:snapToGrid w:val="0"/>
          <w:kern w:val="18"/>
          <w:sz w:val="24"/>
          <w:szCs w:val="24"/>
        </w:rPr>
        <w:lastRenderedPageBreak/>
        <w:t>5.2-</w:t>
      </w:r>
      <w:r>
        <w:rPr>
          <w:rFonts w:ascii="Times New Roman" w:eastAsia="宋体" w:hint="eastAsia"/>
          <w:snapToGrid w:val="0"/>
          <w:kern w:val="18"/>
          <w:sz w:val="24"/>
          <w:szCs w:val="24"/>
        </w:rPr>
        <w:t>6</w:t>
      </w:r>
      <w:r>
        <w:rPr>
          <w:rFonts w:ascii="Times New Roman" w:eastAsia="宋体"/>
          <w:snapToGrid w:val="0"/>
          <w:kern w:val="18"/>
          <w:sz w:val="24"/>
          <w:szCs w:val="24"/>
        </w:rPr>
        <w:t>。</w:t>
      </w:r>
    </w:p>
    <w:bookmarkEnd w:id="383"/>
    <w:p w:rsidR="00DB7CC8" w:rsidRDefault="002B5250">
      <w:pPr>
        <w:widowControl/>
        <w:ind w:firstLineChars="283" w:firstLine="679"/>
        <w:textAlignment w:val="auto"/>
        <w:rPr>
          <w:kern w:val="2"/>
          <w:sz w:val="24"/>
          <w:szCs w:val="24"/>
        </w:rPr>
      </w:pPr>
      <w:r>
        <w:rPr>
          <w:kern w:val="2"/>
          <w:sz w:val="24"/>
          <w:szCs w:val="24"/>
        </w:rPr>
        <w:t>本项目废气排放预测结果详见表</w:t>
      </w:r>
      <w:r>
        <w:rPr>
          <w:kern w:val="2"/>
          <w:sz w:val="24"/>
          <w:szCs w:val="24"/>
        </w:rPr>
        <w:t>5.2-</w:t>
      </w:r>
      <w:r>
        <w:rPr>
          <w:rFonts w:hint="eastAsia"/>
          <w:kern w:val="2"/>
          <w:sz w:val="24"/>
          <w:szCs w:val="24"/>
        </w:rPr>
        <w:t>6</w:t>
      </w:r>
      <w:r>
        <w:rPr>
          <w:kern w:val="2"/>
          <w:sz w:val="24"/>
          <w:szCs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5.2-</w:t>
      </w:r>
      <w:r>
        <w:rPr>
          <w:rFonts w:eastAsia="黑体" w:hint="eastAsia"/>
          <w:kern w:val="2"/>
          <w:sz w:val="21"/>
          <w:szCs w:val="21"/>
        </w:rPr>
        <w:t>6</w:t>
      </w:r>
      <w:r>
        <w:rPr>
          <w:rFonts w:eastAsia="黑体"/>
          <w:kern w:val="2"/>
          <w:sz w:val="21"/>
          <w:szCs w:val="21"/>
        </w:rPr>
        <w:t xml:space="preserve">   </w:t>
      </w:r>
      <w:r>
        <w:rPr>
          <w:rFonts w:eastAsia="黑体"/>
          <w:kern w:val="2"/>
          <w:sz w:val="21"/>
          <w:szCs w:val="21"/>
        </w:rPr>
        <w:t>排放预测结果</w:t>
      </w:r>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Look w:val="04A0" w:firstRow="1" w:lastRow="0" w:firstColumn="1" w:lastColumn="0" w:noHBand="0" w:noVBand="1"/>
      </w:tblPr>
      <w:tblGrid>
        <w:gridCol w:w="1848"/>
        <w:gridCol w:w="1243"/>
        <w:gridCol w:w="1514"/>
        <w:gridCol w:w="1611"/>
        <w:gridCol w:w="1197"/>
        <w:gridCol w:w="1091"/>
      </w:tblGrid>
      <w:tr w:rsidR="00DB7CC8">
        <w:trPr>
          <w:trHeight w:val="800"/>
        </w:trPr>
        <w:tc>
          <w:tcPr>
            <w:tcW w:w="1848" w:type="dxa"/>
            <w:vAlign w:val="center"/>
          </w:tcPr>
          <w:p w:rsidR="00DB7CC8" w:rsidRDefault="002B5250">
            <w:pPr>
              <w:widowControl/>
              <w:spacing w:line="240" w:lineRule="auto"/>
              <w:ind w:firstLineChars="0" w:firstLine="0"/>
              <w:jc w:val="center"/>
              <w:textAlignment w:val="auto"/>
              <w:rPr>
                <w:sz w:val="21"/>
                <w:szCs w:val="21"/>
              </w:rPr>
            </w:pPr>
            <w:r>
              <w:rPr>
                <w:sz w:val="21"/>
                <w:szCs w:val="21"/>
              </w:rPr>
              <w:t>污染源名称</w:t>
            </w:r>
          </w:p>
        </w:tc>
        <w:tc>
          <w:tcPr>
            <w:tcW w:w="1243" w:type="dxa"/>
            <w:vAlign w:val="center"/>
          </w:tcPr>
          <w:p w:rsidR="00DB7CC8" w:rsidRDefault="002B5250">
            <w:pPr>
              <w:widowControl/>
              <w:spacing w:line="240" w:lineRule="auto"/>
              <w:ind w:firstLineChars="0" w:firstLine="0"/>
              <w:jc w:val="center"/>
              <w:textAlignment w:val="auto"/>
              <w:rPr>
                <w:sz w:val="21"/>
                <w:szCs w:val="21"/>
              </w:rPr>
            </w:pPr>
            <w:r>
              <w:rPr>
                <w:sz w:val="21"/>
                <w:szCs w:val="21"/>
              </w:rPr>
              <w:t>评价因子</w:t>
            </w:r>
          </w:p>
        </w:tc>
        <w:tc>
          <w:tcPr>
            <w:tcW w:w="1514" w:type="dxa"/>
            <w:vAlign w:val="center"/>
          </w:tcPr>
          <w:p w:rsidR="00DB7CC8" w:rsidRDefault="002B5250">
            <w:pPr>
              <w:widowControl/>
              <w:spacing w:line="240" w:lineRule="auto"/>
              <w:ind w:firstLineChars="0" w:firstLine="0"/>
              <w:jc w:val="center"/>
              <w:textAlignment w:val="auto"/>
              <w:rPr>
                <w:sz w:val="21"/>
                <w:szCs w:val="21"/>
              </w:rPr>
            </w:pPr>
            <w:r>
              <w:rPr>
                <w:sz w:val="21"/>
                <w:szCs w:val="21"/>
              </w:rPr>
              <w:t>评价标准</w:t>
            </w:r>
            <w:r>
              <w:rPr>
                <w:sz w:val="21"/>
                <w:szCs w:val="21"/>
              </w:rPr>
              <w:t>(μg/m³)</w:t>
            </w:r>
          </w:p>
        </w:tc>
        <w:tc>
          <w:tcPr>
            <w:tcW w:w="1611" w:type="dxa"/>
            <w:vAlign w:val="center"/>
          </w:tcPr>
          <w:p w:rsidR="00DB7CC8" w:rsidRDefault="002B5250">
            <w:pPr>
              <w:widowControl/>
              <w:spacing w:line="240" w:lineRule="auto"/>
              <w:ind w:firstLineChars="0" w:firstLine="0"/>
              <w:jc w:val="center"/>
              <w:textAlignment w:val="auto"/>
              <w:rPr>
                <w:sz w:val="21"/>
                <w:szCs w:val="21"/>
              </w:rPr>
            </w:pPr>
            <w:r>
              <w:rPr>
                <w:sz w:val="21"/>
                <w:szCs w:val="21"/>
              </w:rPr>
              <w:t>Cmax(μg/m³)</w:t>
            </w:r>
          </w:p>
        </w:tc>
        <w:tc>
          <w:tcPr>
            <w:tcW w:w="1197" w:type="dxa"/>
            <w:vAlign w:val="center"/>
          </w:tcPr>
          <w:p w:rsidR="00DB7CC8" w:rsidRDefault="002B5250">
            <w:pPr>
              <w:widowControl/>
              <w:spacing w:line="240" w:lineRule="auto"/>
              <w:ind w:firstLineChars="0" w:firstLine="0"/>
              <w:jc w:val="center"/>
              <w:textAlignment w:val="auto"/>
              <w:rPr>
                <w:sz w:val="21"/>
                <w:szCs w:val="21"/>
              </w:rPr>
            </w:pPr>
            <w:r>
              <w:rPr>
                <w:sz w:val="21"/>
                <w:szCs w:val="21"/>
              </w:rPr>
              <w:t>Pmax(%)</w:t>
            </w:r>
          </w:p>
        </w:tc>
        <w:tc>
          <w:tcPr>
            <w:tcW w:w="1091" w:type="dxa"/>
            <w:vAlign w:val="center"/>
          </w:tcPr>
          <w:p w:rsidR="00DB7CC8" w:rsidRDefault="002B5250">
            <w:pPr>
              <w:widowControl/>
              <w:spacing w:line="240" w:lineRule="auto"/>
              <w:ind w:firstLineChars="0" w:firstLine="0"/>
              <w:jc w:val="center"/>
              <w:textAlignment w:val="auto"/>
              <w:rPr>
                <w:sz w:val="21"/>
                <w:szCs w:val="21"/>
              </w:rPr>
            </w:pPr>
            <w:r>
              <w:rPr>
                <w:sz w:val="21"/>
                <w:szCs w:val="21"/>
              </w:rPr>
              <w:t>D10%(m)</w:t>
            </w:r>
          </w:p>
        </w:tc>
      </w:tr>
      <w:tr w:rsidR="00DB7CC8">
        <w:trPr>
          <w:trHeight w:val="327"/>
        </w:trPr>
        <w:tc>
          <w:tcPr>
            <w:tcW w:w="1848" w:type="dxa"/>
            <w:vMerge w:val="restart"/>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3#</w:t>
            </w:r>
            <w:r>
              <w:rPr>
                <w:rFonts w:hint="eastAsia"/>
                <w:sz w:val="21"/>
                <w:szCs w:val="21"/>
              </w:rPr>
              <w:t>破碎</w:t>
            </w:r>
            <w:r>
              <w:rPr>
                <w:sz w:val="21"/>
                <w:szCs w:val="21"/>
              </w:rPr>
              <w:t>粗选生产线</w:t>
            </w:r>
            <w:r>
              <w:rPr>
                <w:sz w:val="21"/>
                <w:szCs w:val="21"/>
              </w:rPr>
              <w:t>（</w:t>
            </w:r>
            <w:r>
              <w:rPr>
                <w:sz w:val="21"/>
                <w:szCs w:val="21"/>
              </w:rPr>
              <w:t>P1</w:t>
            </w:r>
            <w:r>
              <w:rPr>
                <w:sz w:val="21"/>
                <w:szCs w:val="21"/>
              </w:rPr>
              <w:t>）</w:t>
            </w:r>
          </w:p>
        </w:tc>
        <w:tc>
          <w:tcPr>
            <w:tcW w:w="1243" w:type="dxa"/>
            <w:vAlign w:val="center"/>
          </w:tcPr>
          <w:p w:rsidR="00DB7CC8" w:rsidRDefault="002B5250">
            <w:pPr>
              <w:widowControl/>
              <w:spacing w:line="240" w:lineRule="auto"/>
              <w:ind w:firstLineChars="0" w:firstLine="0"/>
              <w:jc w:val="center"/>
              <w:textAlignment w:val="auto"/>
              <w:rPr>
                <w:sz w:val="21"/>
                <w:szCs w:val="21"/>
              </w:rPr>
            </w:pPr>
            <w:r>
              <w:rPr>
                <w:sz w:val="21"/>
                <w:szCs w:val="21"/>
              </w:rPr>
              <w:t>PM</w:t>
            </w:r>
            <w:r>
              <w:rPr>
                <w:sz w:val="21"/>
                <w:szCs w:val="21"/>
                <w:vertAlign w:val="subscript"/>
              </w:rPr>
              <w:t>10</w:t>
            </w:r>
          </w:p>
        </w:tc>
        <w:tc>
          <w:tcPr>
            <w:tcW w:w="1514" w:type="dxa"/>
            <w:vAlign w:val="center"/>
          </w:tcPr>
          <w:p w:rsidR="00DB7CC8" w:rsidRDefault="002B5250">
            <w:pPr>
              <w:widowControl/>
              <w:spacing w:line="240" w:lineRule="auto"/>
              <w:ind w:firstLineChars="0" w:firstLine="0"/>
              <w:jc w:val="center"/>
              <w:textAlignment w:val="auto"/>
              <w:rPr>
                <w:sz w:val="21"/>
                <w:szCs w:val="21"/>
              </w:rPr>
            </w:pPr>
            <w:r>
              <w:rPr>
                <w:sz w:val="21"/>
                <w:szCs w:val="21"/>
              </w:rPr>
              <w:t>450.0</w:t>
            </w:r>
          </w:p>
        </w:tc>
        <w:tc>
          <w:tcPr>
            <w:tcW w:w="1611"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6.72</w:t>
            </w:r>
          </w:p>
        </w:tc>
        <w:tc>
          <w:tcPr>
            <w:tcW w:w="1197"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1.49</w:t>
            </w:r>
          </w:p>
        </w:tc>
        <w:tc>
          <w:tcPr>
            <w:tcW w:w="1091" w:type="dxa"/>
            <w:vAlign w:val="center"/>
          </w:tcPr>
          <w:p w:rsidR="00DB7CC8" w:rsidRDefault="002B5250">
            <w:pPr>
              <w:widowControl/>
              <w:spacing w:line="240" w:lineRule="auto"/>
              <w:ind w:firstLineChars="0" w:firstLine="0"/>
              <w:jc w:val="center"/>
              <w:textAlignment w:val="auto"/>
              <w:rPr>
                <w:sz w:val="21"/>
                <w:szCs w:val="21"/>
              </w:rPr>
            </w:pPr>
            <w:r>
              <w:rPr>
                <w:sz w:val="21"/>
                <w:szCs w:val="21"/>
              </w:rPr>
              <w:t>/</w:t>
            </w:r>
          </w:p>
        </w:tc>
      </w:tr>
      <w:tr w:rsidR="00DB7CC8">
        <w:trPr>
          <w:trHeight w:val="327"/>
        </w:trPr>
        <w:tc>
          <w:tcPr>
            <w:tcW w:w="1848" w:type="dxa"/>
            <w:vMerge/>
            <w:vAlign w:val="center"/>
          </w:tcPr>
          <w:p w:rsidR="00DB7CC8" w:rsidRDefault="00DB7CC8">
            <w:pPr>
              <w:widowControl/>
              <w:spacing w:line="240" w:lineRule="auto"/>
              <w:ind w:firstLineChars="0" w:firstLine="0"/>
              <w:jc w:val="center"/>
              <w:textAlignment w:val="auto"/>
              <w:rPr>
                <w:sz w:val="21"/>
                <w:szCs w:val="21"/>
              </w:rPr>
            </w:pPr>
          </w:p>
        </w:tc>
        <w:tc>
          <w:tcPr>
            <w:tcW w:w="1243" w:type="dxa"/>
            <w:vAlign w:val="center"/>
          </w:tcPr>
          <w:p w:rsidR="00DB7CC8" w:rsidRDefault="002B5250">
            <w:pPr>
              <w:widowControl/>
              <w:spacing w:line="240" w:lineRule="auto"/>
              <w:ind w:firstLineChars="0" w:firstLine="0"/>
              <w:jc w:val="center"/>
              <w:textAlignment w:val="auto"/>
              <w:rPr>
                <w:sz w:val="21"/>
                <w:szCs w:val="21"/>
              </w:rPr>
            </w:pPr>
            <w:r>
              <w:rPr>
                <w:sz w:val="21"/>
                <w:szCs w:val="21"/>
              </w:rPr>
              <w:t>PM</w:t>
            </w:r>
            <w:r>
              <w:rPr>
                <w:rFonts w:hint="eastAsia"/>
                <w:sz w:val="21"/>
                <w:szCs w:val="21"/>
                <w:vertAlign w:val="subscript"/>
              </w:rPr>
              <w:t>2.5</w:t>
            </w:r>
          </w:p>
        </w:tc>
        <w:tc>
          <w:tcPr>
            <w:tcW w:w="1514"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225</w:t>
            </w:r>
            <w:r>
              <w:rPr>
                <w:sz w:val="21"/>
                <w:szCs w:val="21"/>
              </w:rPr>
              <w:t>.0</w:t>
            </w:r>
          </w:p>
        </w:tc>
        <w:tc>
          <w:tcPr>
            <w:tcW w:w="1611"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3.36</w:t>
            </w:r>
          </w:p>
        </w:tc>
        <w:tc>
          <w:tcPr>
            <w:tcW w:w="1197"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1.49</w:t>
            </w:r>
          </w:p>
        </w:tc>
        <w:tc>
          <w:tcPr>
            <w:tcW w:w="1091" w:type="dxa"/>
            <w:vAlign w:val="center"/>
          </w:tcPr>
          <w:p w:rsidR="00DB7CC8" w:rsidRDefault="00DB7CC8">
            <w:pPr>
              <w:widowControl/>
              <w:spacing w:line="240" w:lineRule="auto"/>
              <w:ind w:firstLineChars="0" w:firstLine="0"/>
              <w:jc w:val="center"/>
              <w:textAlignment w:val="auto"/>
              <w:rPr>
                <w:sz w:val="21"/>
                <w:szCs w:val="21"/>
              </w:rPr>
            </w:pPr>
          </w:p>
        </w:tc>
      </w:tr>
      <w:tr w:rsidR="00DB7CC8">
        <w:trPr>
          <w:trHeight w:val="495"/>
        </w:trPr>
        <w:tc>
          <w:tcPr>
            <w:tcW w:w="1848"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成品库</w:t>
            </w:r>
          </w:p>
        </w:tc>
        <w:tc>
          <w:tcPr>
            <w:tcW w:w="1243" w:type="dxa"/>
            <w:vAlign w:val="center"/>
          </w:tcPr>
          <w:p w:rsidR="00DB7CC8" w:rsidRDefault="002B5250">
            <w:pPr>
              <w:widowControl/>
              <w:spacing w:line="240" w:lineRule="auto"/>
              <w:ind w:firstLineChars="0" w:firstLine="0"/>
              <w:jc w:val="center"/>
              <w:textAlignment w:val="auto"/>
              <w:rPr>
                <w:sz w:val="21"/>
                <w:szCs w:val="21"/>
              </w:rPr>
            </w:pPr>
            <w:r>
              <w:rPr>
                <w:sz w:val="21"/>
                <w:szCs w:val="21"/>
              </w:rPr>
              <w:t>TSP</w:t>
            </w:r>
          </w:p>
        </w:tc>
        <w:tc>
          <w:tcPr>
            <w:tcW w:w="1514" w:type="dxa"/>
            <w:vAlign w:val="center"/>
          </w:tcPr>
          <w:p w:rsidR="00DB7CC8" w:rsidRDefault="002B5250">
            <w:pPr>
              <w:widowControl/>
              <w:spacing w:line="240" w:lineRule="auto"/>
              <w:ind w:firstLineChars="0" w:firstLine="0"/>
              <w:jc w:val="center"/>
              <w:textAlignment w:val="auto"/>
              <w:rPr>
                <w:sz w:val="21"/>
                <w:szCs w:val="21"/>
              </w:rPr>
            </w:pPr>
            <w:r>
              <w:rPr>
                <w:sz w:val="21"/>
                <w:szCs w:val="21"/>
              </w:rPr>
              <w:t>900.0</w:t>
            </w:r>
          </w:p>
        </w:tc>
        <w:tc>
          <w:tcPr>
            <w:tcW w:w="1611"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15.2</w:t>
            </w:r>
          </w:p>
        </w:tc>
        <w:tc>
          <w:tcPr>
            <w:tcW w:w="1197"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1.69</w:t>
            </w:r>
          </w:p>
        </w:tc>
        <w:tc>
          <w:tcPr>
            <w:tcW w:w="1091" w:type="dxa"/>
            <w:vAlign w:val="center"/>
          </w:tcPr>
          <w:p w:rsidR="00DB7CC8" w:rsidRDefault="002B5250">
            <w:pPr>
              <w:widowControl/>
              <w:spacing w:line="240" w:lineRule="auto"/>
              <w:ind w:firstLineChars="0" w:firstLine="0"/>
              <w:jc w:val="center"/>
              <w:textAlignment w:val="auto"/>
              <w:rPr>
                <w:sz w:val="21"/>
                <w:szCs w:val="21"/>
              </w:rPr>
            </w:pPr>
            <w:r>
              <w:rPr>
                <w:sz w:val="21"/>
                <w:szCs w:val="21"/>
              </w:rPr>
              <w:t>/</w:t>
            </w:r>
          </w:p>
        </w:tc>
      </w:tr>
      <w:tr w:rsidR="00DB7CC8">
        <w:trPr>
          <w:trHeight w:val="495"/>
        </w:trPr>
        <w:tc>
          <w:tcPr>
            <w:tcW w:w="1848"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3#</w:t>
            </w:r>
            <w:r>
              <w:rPr>
                <w:rFonts w:hint="eastAsia"/>
                <w:sz w:val="21"/>
                <w:szCs w:val="21"/>
              </w:rPr>
              <w:t>破碎</w:t>
            </w:r>
            <w:r>
              <w:rPr>
                <w:sz w:val="21"/>
                <w:szCs w:val="21"/>
              </w:rPr>
              <w:t>粗选</w:t>
            </w:r>
            <w:r>
              <w:rPr>
                <w:rFonts w:hint="eastAsia"/>
                <w:sz w:val="21"/>
                <w:szCs w:val="21"/>
              </w:rPr>
              <w:t>车间</w:t>
            </w:r>
          </w:p>
        </w:tc>
        <w:tc>
          <w:tcPr>
            <w:tcW w:w="1243" w:type="dxa"/>
            <w:vAlign w:val="center"/>
          </w:tcPr>
          <w:p w:rsidR="00DB7CC8" w:rsidRDefault="002B5250">
            <w:pPr>
              <w:widowControl/>
              <w:spacing w:line="240" w:lineRule="auto"/>
              <w:ind w:firstLineChars="0" w:firstLine="0"/>
              <w:jc w:val="center"/>
              <w:textAlignment w:val="auto"/>
              <w:rPr>
                <w:sz w:val="21"/>
                <w:szCs w:val="21"/>
              </w:rPr>
            </w:pPr>
            <w:r>
              <w:rPr>
                <w:sz w:val="21"/>
                <w:szCs w:val="21"/>
              </w:rPr>
              <w:t>TSP</w:t>
            </w:r>
          </w:p>
        </w:tc>
        <w:tc>
          <w:tcPr>
            <w:tcW w:w="1514" w:type="dxa"/>
            <w:vAlign w:val="center"/>
          </w:tcPr>
          <w:p w:rsidR="00DB7CC8" w:rsidRDefault="002B5250">
            <w:pPr>
              <w:widowControl/>
              <w:spacing w:line="240" w:lineRule="auto"/>
              <w:ind w:firstLineChars="0" w:firstLine="0"/>
              <w:jc w:val="center"/>
              <w:textAlignment w:val="auto"/>
              <w:rPr>
                <w:sz w:val="21"/>
                <w:szCs w:val="21"/>
              </w:rPr>
            </w:pPr>
            <w:r>
              <w:rPr>
                <w:sz w:val="21"/>
                <w:szCs w:val="21"/>
              </w:rPr>
              <w:t>900.0</w:t>
            </w:r>
          </w:p>
        </w:tc>
        <w:tc>
          <w:tcPr>
            <w:tcW w:w="1611"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43.39</w:t>
            </w:r>
          </w:p>
        </w:tc>
        <w:tc>
          <w:tcPr>
            <w:tcW w:w="1197" w:type="dxa"/>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4.82</w:t>
            </w:r>
          </w:p>
        </w:tc>
        <w:tc>
          <w:tcPr>
            <w:tcW w:w="1091" w:type="dxa"/>
            <w:vAlign w:val="center"/>
          </w:tcPr>
          <w:p w:rsidR="00DB7CC8" w:rsidRDefault="002B5250">
            <w:pPr>
              <w:widowControl/>
              <w:spacing w:line="240" w:lineRule="auto"/>
              <w:ind w:firstLineChars="0" w:firstLine="0"/>
              <w:jc w:val="center"/>
              <w:textAlignment w:val="auto"/>
              <w:rPr>
                <w:sz w:val="21"/>
                <w:szCs w:val="21"/>
              </w:rPr>
            </w:pPr>
            <w:r>
              <w:rPr>
                <w:sz w:val="21"/>
                <w:szCs w:val="21"/>
              </w:rPr>
              <w:t>/</w:t>
            </w:r>
          </w:p>
        </w:tc>
      </w:tr>
    </w:tbl>
    <w:p w:rsidR="00DB7CC8" w:rsidRDefault="002B5250">
      <w:pPr>
        <w:widowControl/>
        <w:ind w:firstLine="480"/>
        <w:jc w:val="both"/>
        <w:textAlignment w:val="auto"/>
        <w:rPr>
          <w:kern w:val="2"/>
          <w:sz w:val="24"/>
          <w:szCs w:val="24"/>
        </w:rPr>
      </w:pPr>
      <w:r>
        <w:rPr>
          <w:kern w:val="2"/>
          <w:sz w:val="24"/>
          <w:szCs w:val="24"/>
        </w:rPr>
        <w:t>由预测结果可知，</w:t>
      </w:r>
      <w:r>
        <w:rPr>
          <w:rFonts w:hint="eastAsia"/>
          <w:kern w:val="2"/>
          <w:sz w:val="24"/>
          <w:szCs w:val="24"/>
        </w:rPr>
        <w:t>3</w:t>
      </w:r>
      <w:r>
        <w:rPr>
          <w:kern w:val="2"/>
          <w:sz w:val="24"/>
          <w:szCs w:val="24"/>
        </w:rPr>
        <w:t>#</w:t>
      </w:r>
      <w:r>
        <w:rPr>
          <w:kern w:val="2"/>
          <w:sz w:val="24"/>
          <w:szCs w:val="24"/>
        </w:rPr>
        <w:t>破碎</w:t>
      </w:r>
      <w:r>
        <w:rPr>
          <w:rFonts w:hint="eastAsia"/>
          <w:kern w:val="2"/>
          <w:sz w:val="24"/>
          <w:szCs w:val="24"/>
        </w:rPr>
        <w:t>粗选</w:t>
      </w:r>
      <w:r>
        <w:rPr>
          <w:kern w:val="2"/>
          <w:sz w:val="24"/>
          <w:szCs w:val="24"/>
        </w:rPr>
        <w:t>车间有组织排放的</w:t>
      </w:r>
      <w:r>
        <w:rPr>
          <w:kern w:val="2"/>
          <w:sz w:val="24"/>
          <w:szCs w:val="24"/>
        </w:rPr>
        <w:t>PM</w:t>
      </w:r>
      <w:r>
        <w:rPr>
          <w:kern w:val="2"/>
          <w:sz w:val="24"/>
          <w:szCs w:val="24"/>
          <w:vertAlign w:val="subscript"/>
        </w:rPr>
        <w:t>10</w:t>
      </w:r>
      <w:r>
        <w:rPr>
          <w:kern w:val="2"/>
          <w:sz w:val="24"/>
          <w:szCs w:val="24"/>
        </w:rPr>
        <w:t>最大浓度为</w:t>
      </w:r>
      <w:r>
        <w:rPr>
          <w:kern w:val="2"/>
          <w:sz w:val="24"/>
          <w:szCs w:val="24"/>
        </w:rPr>
        <w:t>0.0</w:t>
      </w:r>
      <w:r>
        <w:rPr>
          <w:rFonts w:hint="eastAsia"/>
          <w:kern w:val="2"/>
          <w:sz w:val="24"/>
          <w:szCs w:val="24"/>
        </w:rPr>
        <w:t>0672</w:t>
      </w:r>
      <w:r>
        <w:rPr>
          <w:rFonts w:hint="eastAsia"/>
          <w:kern w:val="2"/>
          <w:sz w:val="24"/>
          <w:szCs w:val="24"/>
        </w:rPr>
        <w:t>m</w:t>
      </w:r>
      <w:r>
        <w:rPr>
          <w:kern w:val="2"/>
          <w:sz w:val="24"/>
          <w:szCs w:val="24"/>
        </w:rPr>
        <w:t>g/m</w:t>
      </w:r>
      <w:r>
        <w:rPr>
          <w:kern w:val="2"/>
          <w:sz w:val="24"/>
          <w:szCs w:val="24"/>
          <w:vertAlign w:val="superscript"/>
        </w:rPr>
        <w:t>3</w:t>
      </w:r>
      <w:r>
        <w:rPr>
          <w:kern w:val="2"/>
          <w:sz w:val="24"/>
          <w:szCs w:val="24"/>
        </w:rPr>
        <w:t>，最大浓度占标率为</w:t>
      </w:r>
      <w:r>
        <w:rPr>
          <w:rFonts w:hint="eastAsia"/>
          <w:kern w:val="2"/>
          <w:sz w:val="24"/>
          <w:szCs w:val="24"/>
        </w:rPr>
        <w:t>1.49</w:t>
      </w:r>
      <w:r>
        <w:rPr>
          <w:kern w:val="2"/>
          <w:sz w:val="24"/>
          <w:szCs w:val="24"/>
        </w:rPr>
        <w:t>%</w:t>
      </w:r>
      <w:r>
        <w:rPr>
          <w:kern w:val="2"/>
          <w:sz w:val="24"/>
          <w:szCs w:val="24"/>
        </w:rPr>
        <w:t>，无组织排放的</w:t>
      </w:r>
      <w:r>
        <w:rPr>
          <w:kern w:val="2"/>
          <w:sz w:val="24"/>
          <w:szCs w:val="24"/>
        </w:rPr>
        <w:t>TSP</w:t>
      </w:r>
      <w:r>
        <w:rPr>
          <w:kern w:val="2"/>
          <w:sz w:val="24"/>
          <w:szCs w:val="24"/>
        </w:rPr>
        <w:t>最大浓度为</w:t>
      </w:r>
      <w:r>
        <w:rPr>
          <w:kern w:val="2"/>
          <w:sz w:val="24"/>
          <w:szCs w:val="24"/>
        </w:rPr>
        <w:t>0.0</w:t>
      </w:r>
      <w:r>
        <w:rPr>
          <w:rFonts w:hint="eastAsia"/>
          <w:kern w:val="2"/>
          <w:sz w:val="24"/>
          <w:szCs w:val="24"/>
        </w:rPr>
        <w:t>4339</w:t>
      </w:r>
      <w:r>
        <w:rPr>
          <w:rFonts w:hint="eastAsia"/>
          <w:kern w:val="2"/>
          <w:sz w:val="24"/>
          <w:szCs w:val="24"/>
        </w:rPr>
        <w:t>m</w:t>
      </w:r>
      <w:r>
        <w:rPr>
          <w:kern w:val="2"/>
          <w:sz w:val="21"/>
          <w:szCs w:val="21"/>
        </w:rPr>
        <w:t>g/m</w:t>
      </w:r>
      <w:r>
        <w:rPr>
          <w:kern w:val="2"/>
          <w:sz w:val="21"/>
          <w:szCs w:val="21"/>
          <w:vertAlign w:val="superscript"/>
        </w:rPr>
        <w:t>3</w:t>
      </w:r>
      <w:r>
        <w:rPr>
          <w:kern w:val="2"/>
          <w:sz w:val="24"/>
          <w:szCs w:val="24"/>
        </w:rPr>
        <w:t>，最大浓度占标率为</w:t>
      </w:r>
      <w:r>
        <w:rPr>
          <w:rFonts w:hint="eastAsia"/>
          <w:kern w:val="2"/>
          <w:sz w:val="24"/>
          <w:szCs w:val="24"/>
        </w:rPr>
        <w:t>4.82</w:t>
      </w:r>
      <w:r>
        <w:rPr>
          <w:kern w:val="2"/>
          <w:sz w:val="24"/>
          <w:szCs w:val="24"/>
        </w:rPr>
        <w:t>%</w:t>
      </w:r>
      <w:r>
        <w:rPr>
          <w:kern w:val="2"/>
          <w:sz w:val="24"/>
          <w:szCs w:val="24"/>
        </w:rPr>
        <w:t>。</w:t>
      </w:r>
    </w:p>
    <w:p w:rsidR="00DB7CC8" w:rsidRDefault="002B5250">
      <w:pPr>
        <w:ind w:firstLine="480"/>
        <w:textAlignment w:val="auto"/>
        <w:rPr>
          <w:kern w:val="2"/>
          <w:sz w:val="24"/>
          <w:szCs w:val="24"/>
        </w:rPr>
      </w:pPr>
      <w:r>
        <w:rPr>
          <w:kern w:val="2"/>
          <w:sz w:val="24"/>
          <w:szCs w:val="24"/>
        </w:rPr>
        <w:t>根据无组织废气厂界预测结果，各厂界的预测浓度最大值均小于《铁矿采选工业污染物排放标准》（</w:t>
      </w:r>
      <w:r>
        <w:rPr>
          <w:kern w:val="2"/>
          <w:sz w:val="24"/>
          <w:szCs w:val="24"/>
        </w:rPr>
        <w:t>GB28661-2012</w:t>
      </w:r>
      <w:r>
        <w:rPr>
          <w:kern w:val="2"/>
          <w:sz w:val="24"/>
          <w:szCs w:val="24"/>
        </w:rPr>
        <w:t>）表</w:t>
      </w:r>
      <w:r>
        <w:rPr>
          <w:kern w:val="2"/>
          <w:sz w:val="24"/>
          <w:szCs w:val="24"/>
        </w:rPr>
        <w:t>7</w:t>
      </w:r>
      <w:r>
        <w:rPr>
          <w:kern w:val="2"/>
          <w:sz w:val="24"/>
          <w:szCs w:val="24"/>
        </w:rPr>
        <w:t>中无组织排放浓度限值（</w:t>
      </w:r>
      <w:r>
        <w:rPr>
          <w:kern w:val="2"/>
          <w:sz w:val="24"/>
          <w:szCs w:val="24"/>
        </w:rPr>
        <w:t>1.0mg/m</w:t>
      </w:r>
      <w:r>
        <w:rPr>
          <w:kern w:val="2"/>
          <w:sz w:val="24"/>
          <w:szCs w:val="24"/>
          <w:vertAlign w:val="superscript"/>
        </w:rPr>
        <w:t>3</w:t>
      </w:r>
      <w:r>
        <w:rPr>
          <w:kern w:val="2"/>
          <w:sz w:val="24"/>
          <w:szCs w:val="24"/>
        </w:rPr>
        <w:t>）。</w:t>
      </w:r>
    </w:p>
    <w:p w:rsidR="00DB7CC8" w:rsidRDefault="002B5250">
      <w:pPr>
        <w:widowControl/>
        <w:wordWrap w:val="0"/>
        <w:ind w:firstLine="480"/>
        <w:textAlignment w:val="auto"/>
        <w:rPr>
          <w:kern w:val="2"/>
          <w:sz w:val="24"/>
          <w:szCs w:val="24"/>
        </w:rPr>
      </w:pPr>
      <w:r>
        <w:rPr>
          <w:kern w:val="2"/>
          <w:sz w:val="24"/>
          <w:szCs w:val="24"/>
        </w:rPr>
        <w:t>综上，项目排放的颗粒物对环境质量的贡献值较小，对周边环境空气质量影响较小。</w:t>
      </w:r>
    </w:p>
    <w:p w:rsidR="00DB7CC8" w:rsidRDefault="002B5250">
      <w:pPr>
        <w:pStyle w:val="4"/>
        <w:numPr>
          <w:ilvl w:val="3"/>
          <w:numId w:val="1"/>
        </w:numPr>
        <w:ind w:left="709" w:hanging="709"/>
        <w:rPr>
          <w:rFonts w:eastAsia="宋体"/>
          <w:b/>
        </w:rPr>
      </w:pPr>
      <w:r>
        <w:rPr>
          <w:rFonts w:eastAsia="宋体"/>
          <w:b/>
        </w:rPr>
        <w:t>大气环境影响评价小结</w:t>
      </w:r>
    </w:p>
    <w:p w:rsidR="00DB7CC8" w:rsidRDefault="002B5250">
      <w:pPr>
        <w:ind w:firstLine="480"/>
        <w:textAlignment w:val="auto"/>
        <w:rPr>
          <w:kern w:val="2"/>
          <w:sz w:val="24"/>
          <w:szCs w:val="24"/>
        </w:rPr>
      </w:pPr>
      <w:r>
        <w:rPr>
          <w:kern w:val="2"/>
          <w:sz w:val="24"/>
          <w:szCs w:val="24"/>
        </w:rPr>
        <w:t>本项目所在区域处于不达标区，本项目为二级评价，按估算模式进行计算，颗粒物有组织排放浓度最大占标率小于</w:t>
      </w:r>
      <w:r>
        <w:rPr>
          <w:kern w:val="2"/>
          <w:sz w:val="24"/>
          <w:szCs w:val="24"/>
        </w:rPr>
        <w:t>10%</w:t>
      </w:r>
      <w:r>
        <w:rPr>
          <w:kern w:val="2"/>
          <w:sz w:val="24"/>
          <w:szCs w:val="24"/>
        </w:rPr>
        <w:t>；颗粒物无组织排放浓度最大占标率小于</w:t>
      </w:r>
      <w:r>
        <w:rPr>
          <w:kern w:val="2"/>
          <w:sz w:val="24"/>
          <w:szCs w:val="24"/>
        </w:rPr>
        <w:t>10%</w:t>
      </w:r>
      <w:r>
        <w:rPr>
          <w:kern w:val="2"/>
          <w:sz w:val="24"/>
          <w:szCs w:val="24"/>
        </w:rPr>
        <w:t>。分析预测结果表明，项目实施后，不会对周围环境空气质量产生明显污染影响。</w:t>
      </w:r>
    </w:p>
    <w:p w:rsidR="00DB7CC8" w:rsidRDefault="002B5250">
      <w:pPr>
        <w:ind w:firstLine="480"/>
        <w:textAlignment w:val="auto"/>
        <w:rPr>
          <w:kern w:val="2"/>
          <w:sz w:val="24"/>
          <w:szCs w:val="24"/>
        </w:rPr>
      </w:pPr>
      <w:r>
        <w:rPr>
          <w:kern w:val="2"/>
          <w:sz w:val="24"/>
          <w:szCs w:val="24"/>
        </w:rPr>
        <w:t>因此，本项目运行后对周围大气环境影响较小，环境影响可以接受。</w:t>
      </w:r>
    </w:p>
    <w:p w:rsidR="00DB7CC8" w:rsidRDefault="002B5250">
      <w:pPr>
        <w:widowControl/>
        <w:ind w:firstLine="480"/>
        <w:textAlignment w:val="auto"/>
        <w:rPr>
          <w:kern w:val="2"/>
          <w:sz w:val="24"/>
          <w:szCs w:val="24"/>
        </w:rPr>
      </w:pPr>
      <w:r>
        <w:rPr>
          <w:rFonts w:hint="eastAsia"/>
          <w:kern w:val="2"/>
          <w:sz w:val="24"/>
          <w:szCs w:val="24"/>
        </w:rPr>
        <w:t>建设项目大气环境影响评价自查表见表</w:t>
      </w:r>
      <w:r>
        <w:rPr>
          <w:rFonts w:hint="eastAsia"/>
          <w:kern w:val="2"/>
          <w:sz w:val="24"/>
          <w:szCs w:val="24"/>
        </w:rPr>
        <w:t>5.2-7</w:t>
      </w:r>
      <w:r>
        <w:rPr>
          <w:rFonts w:hint="eastAsia"/>
          <w:kern w:val="2"/>
          <w:sz w:val="24"/>
          <w:szCs w:val="24"/>
        </w:rPr>
        <w:t>。</w:t>
      </w:r>
    </w:p>
    <w:p w:rsidR="00DB7CC8" w:rsidRDefault="002B5250">
      <w:pPr>
        <w:spacing w:line="240" w:lineRule="auto"/>
        <w:ind w:firstLineChars="0" w:firstLine="0"/>
        <w:jc w:val="center"/>
        <w:textAlignment w:val="auto"/>
        <w:rPr>
          <w:rFonts w:eastAsia="黑体"/>
          <w:kern w:val="2"/>
          <w:sz w:val="21"/>
          <w:szCs w:val="21"/>
        </w:rPr>
      </w:pPr>
      <w:bookmarkStart w:id="384" w:name="_Ref9218042"/>
      <w:r>
        <w:rPr>
          <w:rFonts w:eastAsia="黑体" w:hint="eastAsia"/>
          <w:kern w:val="2"/>
          <w:sz w:val="21"/>
          <w:szCs w:val="21"/>
        </w:rPr>
        <w:t>表</w:t>
      </w:r>
      <w:r>
        <w:rPr>
          <w:rFonts w:eastAsia="黑体" w:hint="eastAsia"/>
          <w:kern w:val="2"/>
          <w:sz w:val="21"/>
          <w:szCs w:val="21"/>
        </w:rPr>
        <w:t>5.2-7</w:t>
      </w:r>
      <w:bookmarkEnd w:id="384"/>
      <w:r>
        <w:rPr>
          <w:rFonts w:eastAsia="黑体"/>
          <w:kern w:val="2"/>
          <w:sz w:val="21"/>
          <w:szCs w:val="21"/>
        </w:rPr>
        <w:t xml:space="preserve">    </w:t>
      </w:r>
      <w:r>
        <w:rPr>
          <w:rFonts w:eastAsia="黑体" w:hint="eastAsia"/>
          <w:kern w:val="2"/>
          <w:sz w:val="21"/>
          <w:szCs w:val="21"/>
        </w:rPr>
        <w:t>建设项目大气环境影响评价自查表</w:t>
      </w:r>
    </w:p>
    <w:tbl>
      <w:tblPr>
        <w:tblW w:w="852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093"/>
        <w:gridCol w:w="1560"/>
        <w:gridCol w:w="841"/>
        <w:gridCol w:w="143"/>
        <w:gridCol w:w="284"/>
        <w:gridCol w:w="148"/>
        <w:gridCol w:w="136"/>
        <w:gridCol w:w="14"/>
        <w:gridCol w:w="127"/>
        <w:gridCol w:w="141"/>
        <w:gridCol w:w="283"/>
        <w:gridCol w:w="433"/>
        <w:gridCol w:w="142"/>
        <w:gridCol w:w="144"/>
        <w:gridCol w:w="134"/>
        <w:gridCol w:w="140"/>
        <w:gridCol w:w="141"/>
        <w:gridCol w:w="16"/>
        <w:gridCol w:w="421"/>
        <w:gridCol w:w="164"/>
        <w:gridCol w:w="108"/>
        <w:gridCol w:w="210"/>
        <w:gridCol w:w="301"/>
        <w:gridCol w:w="72"/>
        <w:gridCol w:w="134"/>
        <w:gridCol w:w="307"/>
        <w:gridCol w:w="395"/>
        <w:gridCol w:w="489"/>
      </w:tblGrid>
      <w:tr w:rsidR="00DB7CC8">
        <w:tc>
          <w:tcPr>
            <w:tcW w:w="2653" w:type="dxa"/>
            <w:gridSpan w:val="2"/>
            <w:shd w:val="clear" w:color="auto" w:fill="auto"/>
            <w:vAlign w:val="center"/>
          </w:tcPr>
          <w:p w:rsidR="00DB7CC8" w:rsidRDefault="002B5250">
            <w:pPr>
              <w:pStyle w:val="afffffffc"/>
              <w:spacing w:line="240" w:lineRule="auto"/>
            </w:pPr>
            <w:r>
              <w:t>工作内容</w:t>
            </w:r>
          </w:p>
        </w:tc>
        <w:tc>
          <w:tcPr>
            <w:tcW w:w="5868" w:type="dxa"/>
            <w:gridSpan w:val="26"/>
            <w:shd w:val="clear" w:color="auto" w:fill="auto"/>
            <w:vAlign w:val="center"/>
          </w:tcPr>
          <w:p w:rsidR="00DB7CC8" w:rsidRDefault="002B5250">
            <w:pPr>
              <w:pStyle w:val="afffffffc"/>
              <w:spacing w:line="240" w:lineRule="auto"/>
            </w:pPr>
            <w:r>
              <w:t>自查项目</w:t>
            </w:r>
          </w:p>
        </w:tc>
      </w:tr>
      <w:tr w:rsidR="00DB7CC8">
        <w:tc>
          <w:tcPr>
            <w:tcW w:w="1093" w:type="dxa"/>
            <w:vMerge w:val="restart"/>
            <w:shd w:val="clear" w:color="auto" w:fill="auto"/>
            <w:vAlign w:val="center"/>
          </w:tcPr>
          <w:p w:rsidR="00DB7CC8" w:rsidRDefault="002B5250">
            <w:pPr>
              <w:pStyle w:val="afffffffc"/>
              <w:spacing w:line="240" w:lineRule="auto"/>
            </w:pPr>
            <w:r>
              <w:t>评价等级与范围</w:t>
            </w:r>
          </w:p>
        </w:tc>
        <w:tc>
          <w:tcPr>
            <w:tcW w:w="1560" w:type="dxa"/>
            <w:shd w:val="clear" w:color="auto" w:fill="auto"/>
            <w:vAlign w:val="center"/>
          </w:tcPr>
          <w:p w:rsidR="00DB7CC8" w:rsidRDefault="002B5250">
            <w:pPr>
              <w:pStyle w:val="afffffffc"/>
              <w:spacing w:line="240" w:lineRule="auto"/>
            </w:pPr>
            <w:r>
              <w:t>评价等级</w:t>
            </w:r>
          </w:p>
        </w:tc>
        <w:tc>
          <w:tcPr>
            <w:tcW w:w="1834" w:type="dxa"/>
            <w:gridSpan w:val="8"/>
            <w:shd w:val="clear" w:color="auto" w:fill="auto"/>
            <w:vAlign w:val="center"/>
          </w:tcPr>
          <w:p w:rsidR="00DB7CC8" w:rsidRDefault="002B5250">
            <w:pPr>
              <w:pStyle w:val="afffffffc"/>
              <w:spacing w:line="240" w:lineRule="auto"/>
            </w:pPr>
            <w:r>
              <w:t>一级</w:t>
            </w:r>
            <w:r>
              <w:rPr>
                <w:rFonts w:ascii="宋体" w:hAnsi="宋体" w:hint="eastAsia"/>
              </w:rPr>
              <w:t>□</w:t>
            </w:r>
          </w:p>
        </w:tc>
        <w:tc>
          <w:tcPr>
            <w:tcW w:w="2126" w:type="dxa"/>
            <w:gridSpan w:val="11"/>
            <w:shd w:val="clear" w:color="auto" w:fill="auto"/>
            <w:vAlign w:val="center"/>
          </w:tcPr>
          <w:p w:rsidR="00DB7CC8" w:rsidRDefault="002B5250">
            <w:pPr>
              <w:pStyle w:val="afffffffc"/>
              <w:spacing w:line="240" w:lineRule="auto"/>
            </w:pPr>
            <w:r>
              <w:t>二级</w:t>
            </w:r>
            <w:r>
              <w:t>√</w:t>
            </w:r>
          </w:p>
        </w:tc>
        <w:tc>
          <w:tcPr>
            <w:tcW w:w="1908" w:type="dxa"/>
            <w:gridSpan w:val="7"/>
            <w:shd w:val="clear" w:color="auto" w:fill="auto"/>
            <w:vAlign w:val="center"/>
          </w:tcPr>
          <w:p w:rsidR="00DB7CC8" w:rsidRDefault="002B5250">
            <w:pPr>
              <w:pStyle w:val="afffffffc"/>
              <w:spacing w:line="240" w:lineRule="auto"/>
            </w:pPr>
            <w:r>
              <w:t>三级</w:t>
            </w:r>
            <w:r>
              <w:rPr>
                <w:rFonts w:ascii="宋体" w:hAnsi="宋体" w:hint="eastAsia"/>
              </w:rPr>
              <w:t>□</w:t>
            </w:r>
          </w:p>
        </w:tc>
      </w:tr>
      <w:tr w:rsidR="00DB7CC8">
        <w:tc>
          <w:tcPr>
            <w:tcW w:w="1093" w:type="dxa"/>
            <w:vMerge/>
            <w:shd w:val="clear" w:color="auto" w:fill="auto"/>
            <w:vAlign w:val="center"/>
          </w:tcPr>
          <w:p w:rsidR="00DB7CC8" w:rsidRDefault="00DB7CC8">
            <w:pPr>
              <w:pStyle w:val="afffffffc"/>
              <w:spacing w:line="240" w:lineRule="auto"/>
            </w:pPr>
          </w:p>
        </w:tc>
        <w:tc>
          <w:tcPr>
            <w:tcW w:w="1560" w:type="dxa"/>
            <w:shd w:val="clear" w:color="auto" w:fill="auto"/>
            <w:vAlign w:val="center"/>
          </w:tcPr>
          <w:p w:rsidR="00DB7CC8" w:rsidRDefault="002B5250">
            <w:pPr>
              <w:pStyle w:val="afffffffc"/>
              <w:spacing w:line="240" w:lineRule="auto"/>
            </w:pPr>
            <w:r>
              <w:t>评价范围</w:t>
            </w:r>
          </w:p>
        </w:tc>
        <w:tc>
          <w:tcPr>
            <w:tcW w:w="1834" w:type="dxa"/>
            <w:gridSpan w:val="8"/>
            <w:shd w:val="clear" w:color="auto" w:fill="auto"/>
            <w:vAlign w:val="center"/>
          </w:tcPr>
          <w:p w:rsidR="00DB7CC8" w:rsidRDefault="002B5250">
            <w:pPr>
              <w:pStyle w:val="afffffffc"/>
              <w:spacing w:line="240" w:lineRule="auto"/>
            </w:pPr>
            <w:r>
              <w:t>边长＝</w:t>
            </w:r>
            <w:r>
              <w:t>50km</w:t>
            </w:r>
            <w:r>
              <w:rPr>
                <w:rFonts w:ascii="宋体" w:hAnsi="宋体" w:hint="eastAsia"/>
              </w:rPr>
              <w:t>□</w:t>
            </w:r>
          </w:p>
        </w:tc>
        <w:tc>
          <w:tcPr>
            <w:tcW w:w="2126" w:type="dxa"/>
            <w:gridSpan w:val="11"/>
            <w:shd w:val="clear" w:color="auto" w:fill="auto"/>
            <w:vAlign w:val="center"/>
          </w:tcPr>
          <w:p w:rsidR="00DB7CC8" w:rsidRDefault="002B5250">
            <w:pPr>
              <w:pStyle w:val="afffffffc"/>
              <w:spacing w:line="240" w:lineRule="auto"/>
            </w:pPr>
            <w:r>
              <w:t>边长</w:t>
            </w:r>
            <w:r>
              <w:t>5-50km</w:t>
            </w:r>
            <w:r>
              <w:rPr>
                <w:rFonts w:ascii="宋体" w:hAnsi="宋体" w:hint="eastAsia"/>
              </w:rPr>
              <w:t>□</w:t>
            </w:r>
          </w:p>
        </w:tc>
        <w:tc>
          <w:tcPr>
            <w:tcW w:w="1908" w:type="dxa"/>
            <w:gridSpan w:val="7"/>
            <w:shd w:val="clear" w:color="auto" w:fill="auto"/>
            <w:vAlign w:val="center"/>
          </w:tcPr>
          <w:p w:rsidR="00DB7CC8" w:rsidRDefault="002B5250">
            <w:pPr>
              <w:pStyle w:val="afffffffc"/>
              <w:spacing w:line="240" w:lineRule="auto"/>
            </w:pPr>
            <w:r>
              <w:t>边长＝</w:t>
            </w:r>
            <w:r>
              <w:t>5km√</w:t>
            </w:r>
          </w:p>
        </w:tc>
      </w:tr>
      <w:tr w:rsidR="00DB7CC8">
        <w:tc>
          <w:tcPr>
            <w:tcW w:w="1093" w:type="dxa"/>
            <w:vMerge w:val="restart"/>
            <w:shd w:val="clear" w:color="auto" w:fill="auto"/>
            <w:vAlign w:val="center"/>
          </w:tcPr>
          <w:p w:rsidR="00DB7CC8" w:rsidRDefault="002B5250">
            <w:pPr>
              <w:pStyle w:val="afffffffc"/>
              <w:spacing w:line="240" w:lineRule="auto"/>
            </w:pPr>
            <w:r>
              <w:t>评价因子</w:t>
            </w:r>
          </w:p>
        </w:tc>
        <w:tc>
          <w:tcPr>
            <w:tcW w:w="1560" w:type="dxa"/>
            <w:shd w:val="clear" w:color="auto" w:fill="auto"/>
            <w:vAlign w:val="center"/>
          </w:tcPr>
          <w:p w:rsidR="00DB7CC8" w:rsidRDefault="002B5250">
            <w:pPr>
              <w:pStyle w:val="afffffffc"/>
              <w:spacing w:line="240" w:lineRule="auto"/>
            </w:pPr>
            <w:r>
              <w:t>SO</w:t>
            </w:r>
            <w:r>
              <w:rPr>
                <w:vertAlign w:val="subscript"/>
              </w:rPr>
              <w:t>2</w:t>
            </w:r>
            <w:r>
              <w:t>+NO</w:t>
            </w:r>
            <w:r>
              <w:rPr>
                <w:vertAlign w:val="subscript"/>
              </w:rPr>
              <w:t>X</w:t>
            </w:r>
            <w:r>
              <w:t>排放量</w:t>
            </w:r>
          </w:p>
        </w:tc>
        <w:tc>
          <w:tcPr>
            <w:tcW w:w="1834" w:type="dxa"/>
            <w:gridSpan w:val="8"/>
            <w:shd w:val="clear" w:color="auto" w:fill="auto"/>
            <w:vAlign w:val="center"/>
          </w:tcPr>
          <w:p w:rsidR="00DB7CC8" w:rsidRDefault="002B5250">
            <w:pPr>
              <w:pStyle w:val="afffffffc"/>
              <w:spacing w:line="240" w:lineRule="auto"/>
            </w:pPr>
            <w:r>
              <w:t>≥2000t/a</w:t>
            </w:r>
            <w:r>
              <w:rPr>
                <w:rFonts w:ascii="宋体" w:hAnsi="宋体" w:hint="eastAsia"/>
              </w:rPr>
              <w:t>□</w:t>
            </w:r>
          </w:p>
        </w:tc>
        <w:tc>
          <w:tcPr>
            <w:tcW w:w="2126" w:type="dxa"/>
            <w:gridSpan w:val="11"/>
            <w:shd w:val="clear" w:color="auto" w:fill="auto"/>
            <w:vAlign w:val="center"/>
          </w:tcPr>
          <w:p w:rsidR="00DB7CC8" w:rsidRDefault="002B5250">
            <w:pPr>
              <w:pStyle w:val="afffffffc"/>
              <w:spacing w:line="240" w:lineRule="auto"/>
            </w:pPr>
            <w:r>
              <w:t>500-2000t/a</w:t>
            </w:r>
            <w:r>
              <w:rPr>
                <w:rFonts w:ascii="宋体" w:hAnsi="宋体" w:hint="eastAsia"/>
              </w:rPr>
              <w:t>□</w:t>
            </w:r>
          </w:p>
        </w:tc>
        <w:tc>
          <w:tcPr>
            <w:tcW w:w="1908" w:type="dxa"/>
            <w:gridSpan w:val="7"/>
            <w:shd w:val="clear" w:color="auto" w:fill="auto"/>
            <w:vAlign w:val="center"/>
          </w:tcPr>
          <w:p w:rsidR="00DB7CC8" w:rsidRDefault="002B5250">
            <w:pPr>
              <w:pStyle w:val="afffffffc"/>
              <w:spacing w:line="240" w:lineRule="auto"/>
            </w:pPr>
            <w:r>
              <w:t>&lt;500t/a√</w:t>
            </w:r>
          </w:p>
        </w:tc>
      </w:tr>
      <w:tr w:rsidR="00DB7CC8">
        <w:tc>
          <w:tcPr>
            <w:tcW w:w="1093" w:type="dxa"/>
            <w:vMerge/>
            <w:shd w:val="clear" w:color="auto" w:fill="auto"/>
            <w:vAlign w:val="center"/>
          </w:tcPr>
          <w:p w:rsidR="00DB7CC8" w:rsidRDefault="00DB7CC8">
            <w:pPr>
              <w:pStyle w:val="afffffffc"/>
              <w:spacing w:line="240" w:lineRule="auto"/>
            </w:pPr>
          </w:p>
        </w:tc>
        <w:tc>
          <w:tcPr>
            <w:tcW w:w="1560" w:type="dxa"/>
            <w:shd w:val="clear" w:color="auto" w:fill="auto"/>
            <w:vAlign w:val="center"/>
          </w:tcPr>
          <w:p w:rsidR="00DB7CC8" w:rsidRDefault="002B5250">
            <w:pPr>
              <w:pStyle w:val="afffffffc"/>
              <w:spacing w:line="240" w:lineRule="auto"/>
            </w:pPr>
            <w:r>
              <w:t>评价因子</w:t>
            </w:r>
          </w:p>
        </w:tc>
        <w:tc>
          <w:tcPr>
            <w:tcW w:w="2970" w:type="dxa"/>
            <w:gridSpan w:val="13"/>
            <w:shd w:val="clear" w:color="auto" w:fill="auto"/>
            <w:vAlign w:val="center"/>
          </w:tcPr>
          <w:p w:rsidR="00DB7CC8" w:rsidRDefault="002B5250">
            <w:pPr>
              <w:pStyle w:val="afffffffc"/>
              <w:spacing w:line="240" w:lineRule="auto"/>
            </w:pPr>
            <w:r>
              <w:t>基本污染物（</w:t>
            </w:r>
            <w:r>
              <w:rPr>
                <w:rFonts w:hint="eastAsia"/>
              </w:rPr>
              <w:t>颗粒物</w:t>
            </w:r>
            <w:r>
              <w:t>）</w:t>
            </w:r>
          </w:p>
          <w:p w:rsidR="00DB7CC8" w:rsidRDefault="002B5250">
            <w:pPr>
              <w:pStyle w:val="afffffffc"/>
              <w:spacing w:line="240" w:lineRule="auto"/>
            </w:pPr>
            <w:r>
              <w:t>其他污染物（</w:t>
            </w:r>
            <w:r>
              <w:rPr>
                <w:rFonts w:hint="eastAsia"/>
              </w:rPr>
              <w:t xml:space="preserve">      </w:t>
            </w:r>
            <w:r>
              <w:t>）</w:t>
            </w:r>
          </w:p>
        </w:tc>
        <w:tc>
          <w:tcPr>
            <w:tcW w:w="2898" w:type="dxa"/>
            <w:gridSpan w:val="13"/>
            <w:shd w:val="clear" w:color="auto" w:fill="auto"/>
            <w:vAlign w:val="center"/>
          </w:tcPr>
          <w:p w:rsidR="00DB7CC8" w:rsidRDefault="002B5250">
            <w:pPr>
              <w:pStyle w:val="afffffffc"/>
              <w:spacing w:line="240" w:lineRule="auto"/>
            </w:pPr>
            <w:r>
              <w:t>包括二次</w:t>
            </w:r>
            <w:r>
              <w:t>PM</w:t>
            </w:r>
            <w:r>
              <w:rPr>
                <w:vertAlign w:val="subscript"/>
              </w:rPr>
              <w:t>2.5</w:t>
            </w:r>
            <w:r>
              <w:rPr>
                <w:rFonts w:ascii="宋体" w:hAnsi="宋体" w:hint="eastAsia"/>
              </w:rPr>
              <w:t>□</w:t>
            </w:r>
          </w:p>
          <w:p w:rsidR="00DB7CC8" w:rsidRDefault="002B5250">
            <w:pPr>
              <w:pStyle w:val="afffffffc"/>
              <w:spacing w:line="240" w:lineRule="auto"/>
            </w:pPr>
            <w:r>
              <w:t>不包括二次</w:t>
            </w:r>
            <w:r>
              <w:t>PM</w:t>
            </w:r>
            <w:r>
              <w:rPr>
                <w:vertAlign w:val="subscript"/>
              </w:rPr>
              <w:t>2.5</w:t>
            </w:r>
            <w:r>
              <w:t>√</w:t>
            </w:r>
          </w:p>
        </w:tc>
      </w:tr>
      <w:tr w:rsidR="00DB7CC8">
        <w:tc>
          <w:tcPr>
            <w:tcW w:w="1093" w:type="dxa"/>
            <w:shd w:val="clear" w:color="auto" w:fill="auto"/>
            <w:vAlign w:val="center"/>
          </w:tcPr>
          <w:p w:rsidR="00DB7CC8" w:rsidRDefault="002B5250">
            <w:pPr>
              <w:pStyle w:val="afffffffc"/>
              <w:spacing w:line="240" w:lineRule="auto"/>
            </w:pPr>
            <w:r>
              <w:t>评价标准</w:t>
            </w:r>
          </w:p>
        </w:tc>
        <w:tc>
          <w:tcPr>
            <w:tcW w:w="1560" w:type="dxa"/>
            <w:shd w:val="clear" w:color="auto" w:fill="auto"/>
            <w:vAlign w:val="center"/>
          </w:tcPr>
          <w:p w:rsidR="00DB7CC8" w:rsidRDefault="002B5250">
            <w:pPr>
              <w:pStyle w:val="afffffffc"/>
              <w:spacing w:line="240" w:lineRule="auto"/>
            </w:pPr>
            <w:r>
              <w:t>评价标准</w:t>
            </w:r>
          </w:p>
        </w:tc>
        <w:tc>
          <w:tcPr>
            <w:tcW w:w="1552" w:type="dxa"/>
            <w:gridSpan w:val="5"/>
            <w:shd w:val="clear" w:color="auto" w:fill="auto"/>
            <w:vAlign w:val="center"/>
          </w:tcPr>
          <w:p w:rsidR="00DB7CC8" w:rsidRDefault="002B5250">
            <w:pPr>
              <w:pStyle w:val="afffffffc"/>
              <w:spacing w:line="240" w:lineRule="auto"/>
            </w:pPr>
            <w:r>
              <w:t>国家标准</w:t>
            </w:r>
            <w:r>
              <w:t>√</w:t>
            </w:r>
          </w:p>
        </w:tc>
        <w:tc>
          <w:tcPr>
            <w:tcW w:w="1418" w:type="dxa"/>
            <w:gridSpan w:val="8"/>
            <w:shd w:val="clear" w:color="auto" w:fill="auto"/>
            <w:vAlign w:val="center"/>
          </w:tcPr>
          <w:p w:rsidR="00DB7CC8" w:rsidRDefault="002B5250">
            <w:pPr>
              <w:pStyle w:val="afffffffc"/>
              <w:spacing w:line="240" w:lineRule="auto"/>
            </w:pPr>
            <w:r>
              <w:t>地方标准</w:t>
            </w:r>
            <w:r>
              <w:rPr>
                <w:rFonts w:ascii="宋体" w:hAnsi="宋体" w:hint="eastAsia"/>
              </w:rPr>
              <w:t>□</w:t>
            </w:r>
          </w:p>
        </w:tc>
        <w:tc>
          <w:tcPr>
            <w:tcW w:w="1501" w:type="dxa"/>
            <w:gridSpan w:val="8"/>
            <w:shd w:val="clear" w:color="auto" w:fill="auto"/>
            <w:vAlign w:val="center"/>
          </w:tcPr>
          <w:p w:rsidR="00DB7CC8" w:rsidRDefault="002B5250">
            <w:pPr>
              <w:pStyle w:val="afffffffc"/>
              <w:spacing w:line="240" w:lineRule="auto"/>
            </w:pPr>
            <w:r>
              <w:t>附录</w:t>
            </w:r>
            <w:r>
              <w:t>D</w:t>
            </w:r>
            <w:r>
              <w:rPr>
                <w:rFonts w:hint="eastAsia"/>
              </w:rPr>
              <w:t xml:space="preserve"> </w:t>
            </w:r>
            <w:r>
              <w:rPr>
                <w:rFonts w:ascii="宋体" w:hAnsi="宋体" w:hint="eastAsia"/>
              </w:rPr>
              <w:t>□</w:t>
            </w:r>
          </w:p>
        </w:tc>
        <w:tc>
          <w:tcPr>
            <w:tcW w:w="1397" w:type="dxa"/>
            <w:gridSpan w:val="5"/>
            <w:shd w:val="clear" w:color="auto" w:fill="auto"/>
            <w:vAlign w:val="center"/>
          </w:tcPr>
          <w:p w:rsidR="00DB7CC8" w:rsidRDefault="002B5250">
            <w:pPr>
              <w:pStyle w:val="afffffffc"/>
              <w:spacing w:line="240" w:lineRule="auto"/>
            </w:pPr>
            <w:r>
              <w:t>其他标准</w:t>
            </w:r>
            <w:r>
              <w:rPr>
                <w:rFonts w:ascii="宋体" w:hAnsi="宋体" w:hint="eastAsia"/>
              </w:rPr>
              <w:t>□</w:t>
            </w:r>
          </w:p>
        </w:tc>
      </w:tr>
      <w:tr w:rsidR="00DB7CC8">
        <w:tc>
          <w:tcPr>
            <w:tcW w:w="1093" w:type="dxa"/>
            <w:vMerge w:val="restart"/>
            <w:shd w:val="clear" w:color="auto" w:fill="auto"/>
            <w:vAlign w:val="center"/>
          </w:tcPr>
          <w:p w:rsidR="00DB7CC8" w:rsidRDefault="002B5250">
            <w:pPr>
              <w:pStyle w:val="afffffffc"/>
              <w:spacing w:line="240" w:lineRule="auto"/>
            </w:pPr>
            <w:r>
              <w:t>现状评价</w:t>
            </w:r>
          </w:p>
        </w:tc>
        <w:tc>
          <w:tcPr>
            <w:tcW w:w="1560" w:type="dxa"/>
            <w:shd w:val="clear" w:color="auto" w:fill="auto"/>
            <w:vAlign w:val="center"/>
          </w:tcPr>
          <w:p w:rsidR="00DB7CC8" w:rsidRDefault="002B5250">
            <w:pPr>
              <w:pStyle w:val="afffffffc"/>
              <w:spacing w:line="240" w:lineRule="auto"/>
            </w:pPr>
            <w:r>
              <w:t>环境功能区</w:t>
            </w:r>
          </w:p>
        </w:tc>
        <w:tc>
          <w:tcPr>
            <w:tcW w:w="1268" w:type="dxa"/>
            <w:gridSpan w:val="3"/>
            <w:shd w:val="clear" w:color="auto" w:fill="auto"/>
            <w:vAlign w:val="center"/>
          </w:tcPr>
          <w:p w:rsidR="00DB7CC8" w:rsidRDefault="002B5250">
            <w:pPr>
              <w:pStyle w:val="afffffffc"/>
              <w:spacing w:line="240" w:lineRule="auto"/>
            </w:pPr>
            <w:r>
              <w:t>一类区</w:t>
            </w:r>
            <w:r>
              <w:rPr>
                <w:rFonts w:ascii="宋体" w:hAnsi="宋体" w:hint="eastAsia"/>
              </w:rPr>
              <w:t>□</w:t>
            </w:r>
          </w:p>
        </w:tc>
        <w:tc>
          <w:tcPr>
            <w:tcW w:w="1568" w:type="dxa"/>
            <w:gridSpan w:val="9"/>
            <w:shd w:val="clear" w:color="auto" w:fill="auto"/>
            <w:vAlign w:val="center"/>
          </w:tcPr>
          <w:p w:rsidR="00DB7CC8" w:rsidRDefault="002B5250">
            <w:pPr>
              <w:pStyle w:val="afffffffc"/>
              <w:spacing w:line="240" w:lineRule="auto"/>
            </w:pPr>
            <w:r>
              <w:t>二类区</w:t>
            </w:r>
            <w:r>
              <w:t>√</w:t>
            </w:r>
          </w:p>
        </w:tc>
        <w:tc>
          <w:tcPr>
            <w:tcW w:w="3032" w:type="dxa"/>
            <w:gridSpan w:val="14"/>
            <w:shd w:val="clear" w:color="auto" w:fill="auto"/>
            <w:vAlign w:val="center"/>
          </w:tcPr>
          <w:p w:rsidR="00DB7CC8" w:rsidRDefault="002B5250">
            <w:pPr>
              <w:pStyle w:val="afffffffc"/>
              <w:spacing w:line="240" w:lineRule="auto"/>
            </w:pPr>
            <w:r>
              <w:t>一类区和二类区</w:t>
            </w:r>
            <w:r>
              <w:rPr>
                <w:rFonts w:ascii="宋体" w:hAnsi="宋体" w:hint="eastAsia"/>
              </w:rPr>
              <w:t>□</w:t>
            </w:r>
          </w:p>
        </w:tc>
      </w:tr>
      <w:tr w:rsidR="00DB7CC8">
        <w:tc>
          <w:tcPr>
            <w:tcW w:w="1093" w:type="dxa"/>
            <w:vMerge/>
            <w:shd w:val="clear" w:color="auto" w:fill="auto"/>
            <w:vAlign w:val="center"/>
          </w:tcPr>
          <w:p w:rsidR="00DB7CC8" w:rsidRDefault="00DB7CC8">
            <w:pPr>
              <w:pStyle w:val="afffffffc"/>
              <w:spacing w:line="240" w:lineRule="auto"/>
            </w:pPr>
          </w:p>
        </w:tc>
        <w:tc>
          <w:tcPr>
            <w:tcW w:w="1560" w:type="dxa"/>
            <w:shd w:val="clear" w:color="auto" w:fill="auto"/>
            <w:vAlign w:val="center"/>
          </w:tcPr>
          <w:p w:rsidR="00DB7CC8" w:rsidRDefault="002B5250">
            <w:pPr>
              <w:pStyle w:val="afffffffc"/>
              <w:spacing w:line="240" w:lineRule="auto"/>
            </w:pPr>
            <w:r>
              <w:t>评价基准年</w:t>
            </w:r>
          </w:p>
        </w:tc>
        <w:tc>
          <w:tcPr>
            <w:tcW w:w="5868" w:type="dxa"/>
            <w:gridSpan w:val="26"/>
            <w:shd w:val="clear" w:color="auto" w:fill="auto"/>
            <w:vAlign w:val="center"/>
          </w:tcPr>
          <w:p w:rsidR="00DB7CC8" w:rsidRDefault="002B5250">
            <w:pPr>
              <w:pStyle w:val="afffffffc"/>
              <w:spacing w:line="240" w:lineRule="auto"/>
            </w:pPr>
            <w:r>
              <w:t>（</w:t>
            </w:r>
            <w:r>
              <w:rPr>
                <w:rFonts w:hint="eastAsia"/>
              </w:rPr>
              <w:t>20</w:t>
            </w:r>
            <w:r>
              <w:rPr>
                <w:rFonts w:hint="eastAsia"/>
              </w:rPr>
              <w:t>22</w:t>
            </w:r>
            <w:r>
              <w:t>）年</w:t>
            </w:r>
          </w:p>
        </w:tc>
      </w:tr>
      <w:tr w:rsidR="00DB7CC8">
        <w:tc>
          <w:tcPr>
            <w:tcW w:w="1093" w:type="dxa"/>
            <w:vMerge/>
            <w:shd w:val="clear" w:color="auto" w:fill="auto"/>
            <w:vAlign w:val="center"/>
          </w:tcPr>
          <w:p w:rsidR="00DB7CC8" w:rsidRDefault="00DB7CC8">
            <w:pPr>
              <w:pStyle w:val="afffffffc"/>
              <w:spacing w:line="240" w:lineRule="auto"/>
            </w:pPr>
          </w:p>
        </w:tc>
        <w:tc>
          <w:tcPr>
            <w:tcW w:w="1560" w:type="dxa"/>
            <w:shd w:val="clear" w:color="auto" w:fill="auto"/>
            <w:vAlign w:val="center"/>
          </w:tcPr>
          <w:p w:rsidR="00DB7CC8" w:rsidRDefault="002B5250">
            <w:pPr>
              <w:pStyle w:val="afffffffc"/>
              <w:spacing w:line="240" w:lineRule="auto"/>
            </w:pPr>
            <w:r>
              <w:t>环境空气质量现状调查数据来源</w:t>
            </w:r>
          </w:p>
        </w:tc>
        <w:tc>
          <w:tcPr>
            <w:tcW w:w="2117" w:type="dxa"/>
            <w:gridSpan w:val="9"/>
            <w:shd w:val="clear" w:color="auto" w:fill="auto"/>
            <w:vAlign w:val="center"/>
          </w:tcPr>
          <w:p w:rsidR="00DB7CC8" w:rsidRDefault="002B5250">
            <w:pPr>
              <w:pStyle w:val="afffffffc"/>
              <w:spacing w:line="240" w:lineRule="auto"/>
            </w:pPr>
            <w:r>
              <w:t>长期例行监测数据</w:t>
            </w:r>
            <w:r>
              <w:rPr>
                <w:rFonts w:ascii="宋体" w:hAnsi="宋体" w:hint="eastAsia"/>
              </w:rPr>
              <w:t>□</w:t>
            </w:r>
          </w:p>
        </w:tc>
        <w:tc>
          <w:tcPr>
            <w:tcW w:w="2053" w:type="dxa"/>
            <w:gridSpan w:val="11"/>
            <w:shd w:val="clear" w:color="auto" w:fill="auto"/>
            <w:vAlign w:val="center"/>
          </w:tcPr>
          <w:p w:rsidR="00DB7CC8" w:rsidRDefault="002B5250">
            <w:pPr>
              <w:pStyle w:val="afffffffc"/>
              <w:spacing w:line="240" w:lineRule="auto"/>
            </w:pPr>
            <w:r>
              <w:t>主管部门发布的数据</w:t>
            </w:r>
            <w:r>
              <w:t>√</w:t>
            </w:r>
          </w:p>
        </w:tc>
        <w:tc>
          <w:tcPr>
            <w:tcW w:w="1698" w:type="dxa"/>
            <w:gridSpan w:val="6"/>
            <w:shd w:val="clear" w:color="auto" w:fill="auto"/>
            <w:vAlign w:val="center"/>
          </w:tcPr>
          <w:p w:rsidR="00DB7CC8" w:rsidRDefault="002B5250">
            <w:pPr>
              <w:pStyle w:val="afffffffc"/>
              <w:spacing w:line="240" w:lineRule="auto"/>
            </w:pPr>
            <w:r>
              <w:t>现状补充监测</w:t>
            </w:r>
            <w:r>
              <w:rPr>
                <w:rFonts w:ascii="宋体" w:hAnsi="宋体" w:hint="eastAsia"/>
              </w:rPr>
              <w:t>□</w:t>
            </w:r>
          </w:p>
        </w:tc>
      </w:tr>
      <w:tr w:rsidR="00DB7CC8">
        <w:tc>
          <w:tcPr>
            <w:tcW w:w="1093" w:type="dxa"/>
            <w:vMerge/>
            <w:shd w:val="clear" w:color="auto" w:fill="auto"/>
            <w:vAlign w:val="center"/>
          </w:tcPr>
          <w:p w:rsidR="00DB7CC8" w:rsidRDefault="00DB7CC8">
            <w:pPr>
              <w:pStyle w:val="afffffffc"/>
              <w:spacing w:line="240" w:lineRule="auto"/>
            </w:pPr>
          </w:p>
        </w:tc>
        <w:tc>
          <w:tcPr>
            <w:tcW w:w="1560" w:type="dxa"/>
            <w:shd w:val="clear" w:color="auto" w:fill="auto"/>
            <w:vAlign w:val="center"/>
          </w:tcPr>
          <w:p w:rsidR="00DB7CC8" w:rsidRDefault="002B5250">
            <w:pPr>
              <w:pStyle w:val="afffffffc"/>
              <w:spacing w:line="240" w:lineRule="auto"/>
            </w:pPr>
            <w:r>
              <w:t>现状评价</w:t>
            </w:r>
          </w:p>
        </w:tc>
        <w:tc>
          <w:tcPr>
            <w:tcW w:w="3251" w:type="dxa"/>
            <w:gridSpan w:val="15"/>
            <w:shd w:val="clear" w:color="auto" w:fill="auto"/>
            <w:vAlign w:val="center"/>
          </w:tcPr>
          <w:p w:rsidR="00DB7CC8" w:rsidRDefault="002B5250">
            <w:pPr>
              <w:pStyle w:val="afffffffc"/>
              <w:spacing w:line="240" w:lineRule="auto"/>
            </w:pPr>
            <w:r>
              <w:t>达标区</w:t>
            </w:r>
            <w:r>
              <w:rPr>
                <w:rFonts w:ascii="宋体" w:hAnsi="宋体" w:hint="eastAsia"/>
              </w:rPr>
              <w:t>□</w:t>
            </w:r>
          </w:p>
        </w:tc>
        <w:tc>
          <w:tcPr>
            <w:tcW w:w="2617" w:type="dxa"/>
            <w:gridSpan w:val="11"/>
            <w:shd w:val="clear" w:color="auto" w:fill="auto"/>
            <w:vAlign w:val="center"/>
          </w:tcPr>
          <w:p w:rsidR="00DB7CC8" w:rsidRDefault="002B5250">
            <w:pPr>
              <w:pStyle w:val="afffffffc"/>
              <w:spacing w:line="240" w:lineRule="auto"/>
            </w:pPr>
            <w:r>
              <w:t>不达标区</w:t>
            </w:r>
            <w:r>
              <w:t>√</w:t>
            </w:r>
          </w:p>
        </w:tc>
      </w:tr>
      <w:tr w:rsidR="00DB7CC8">
        <w:tc>
          <w:tcPr>
            <w:tcW w:w="1093" w:type="dxa"/>
            <w:shd w:val="clear" w:color="auto" w:fill="auto"/>
            <w:vAlign w:val="center"/>
          </w:tcPr>
          <w:p w:rsidR="00DB7CC8" w:rsidRDefault="002B5250">
            <w:pPr>
              <w:pStyle w:val="afffffffc"/>
              <w:spacing w:line="240" w:lineRule="auto"/>
            </w:pPr>
            <w:r>
              <w:t>污染源调查</w:t>
            </w:r>
          </w:p>
        </w:tc>
        <w:tc>
          <w:tcPr>
            <w:tcW w:w="1560" w:type="dxa"/>
            <w:shd w:val="clear" w:color="auto" w:fill="auto"/>
            <w:vAlign w:val="center"/>
          </w:tcPr>
          <w:p w:rsidR="00DB7CC8" w:rsidRDefault="002B5250">
            <w:pPr>
              <w:pStyle w:val="afffffffc"/>
              <w:spacing w:line="240" w:lineRule="auto"/>
            </w:pPr>
            <w:r>
              <w:t>调查内容</w:t>
            </w:r>
          </w:p>
        </w:tc>
        <w:tc>
          <w:tcPr>
            <w:tcW w:w="2117" w:type="dxa"/>
            <w:gridSpan w:val="9"/>
            <w:shd w:val="clear" w:color="auto" w:fill="auto"/>
            <w:vAlign w:val="center"/>
          </w:tcPr>
          <w:p w:rsidR="00DB7CC8" w:rsidRDefault="002B5250">
            <w:pPr>
              <w:pStyle w:val="afffffffc"/>
              <w:spacing w:line="240" w:lineRule="auto"/>
            </w:pPr>
            <w:r>
              <w:t>本项目正常排放源</w:t>
            </w:r>
            <w:r>
              <w:t>√</w:t>
            </w:r>
          </w:p>
          <w:p w:rsidR="00DB7CC8" w:rsidRDefault="002B5250">
            <w:pPr>
              <w:pStyle w:val="afffffffc"/>
              <w:spacing w:line="240" w:lineRule="auto"/>
            </w:pPr>
            <w:r>
              <w:t>本项目非正常排放源</w:t>
            </w:r>
            <w:r>
              <w:t>√</w:t>
            </w:r>
          </w:p>
          <w:p w:rsidR="00DB7CC8" w:rsidRDefault="002B5250">
            <w:pPr>
              <w:pStyle w:val="afffffffc"/>
              <w:spacing w:line="240" w:lineRule="auto"/>
            </w:pPr>
            <w:r>
              <w:t>现有污染源</w:t>
            </w:r>
            <w:r>
              <w:rPr>
                <w:rFonts w:ascii="宋体" w:hAnsi="宋体" w:hint="eastAsia"/>
              </w:rPr>
              <w:t>□</w:t>
            </w:r>
          </w:p>
        </w:tc>
        <w:tc>
          <w:tcPr>
            <w:tcW w:w="1571" w:type="dxa"/>
            <w:gridSpan w:val="8"/>
            <w:shd w:val="clear" w:color="auto" w:fill="auto"/>
            <w:vAlign w:val="center"/>
          </w:tcPr>
          <w:p w:rsidR="00DB7CC8" w:rsidRDefault="002B5250">
            <w:pPr>
              <w:pStyle w:val="afffffffc"/>
              <w:spacing w:line="240" w:lineRule="auto"/>
            </w:pPr>
            <w:r>
              <w:t>拟替代的污染源</w:t>
            </w:r>
            <w:r>
              <w:rPr>
                <w:rFonts w:ascii="宋体" w:hAnsi="宋体" w:hint="eastAsia"/>
              </w:rPr>
              <w:t>□</w:t>
            </w:r>
          </w:p>
        </w:tc>
        <w:tc>
          <w:tcPr>
            <w:tcW w:w="1296" w:type="dxa"/>
            <w:gridSpan w:val="7"/>
            <w:shd w:val="clear" w:color="auto" w:fill="auto"/>
            <w:vAlign w:val="center"/>
          </w:tcPr>
          <w:p w:rsidR="00DB7CC8" w:rsidRDefault="002B5250">
            <w:pPr>
              <w:pStyle w:val="afffffffc"/>
              <w:spacing w:line="240" w:lineRule="auto"/>
            </w:pPr>
            <w:r>
              <w:t>其他在建、拟建项目污染源</w:t>
            </w:r>
            <w:r>
              <w:rPr>
                <w:rFonts w:ascii="宋体" w:hAnsi="宋体" w:hint="eastAsia"/>
              </w:rPr>
              <w:t>□</w:t>
            </w:r>
          </w:p>
        </w:tc>
        <w:tc>
          <w:tcPr>
            <w:tcW w:w="884" w:type="dxa"/>
            <w:gridSpan w:val="2"/>
            <w:shd w:val="clear" w:color="auto" w:fill="auto"/>
            <w:vAlign w:val="center"/>
          </w:tcPr>
          <w:p w:rsidR="00DB7CC8" w:rsidRDefault="002B5250">
            <w:pPr>
              <w:pStyle w:val="afffffffc"/>
              <w:spacing w:line="240" w:lineRule="auto"/>
            </w:pPr>
            <w:r>
              <w:t>区域污染源</w:t>
            </w:r>
            <w:r>
              <w:rPr>
                <w:rFonts w:ascii="宋体" w:hAnsi="宋体" w:hint="eastAsia"/>
              </w:rPr>
              <w:t>□</w:t>
            </w:r>
          </w:p>
        </w:tc>
      </w:tr>
      <w:tr w:rsidR="00DB7CC8">
        <w:tc>
          <w:tcPr>
            <w:tcW w:w="1093" w:type="dxa"/>
            <w:vMerge w:val="restart"/>
            <w:shd w:val="clear" w:color="auto" w:fill="auto"/>
            <w:vAlign w:val="center"/>
          </w:tcPr>
          <w:p w:rsidR="00DB7CC8" w:rsidRDefault="002B5250">
            <w:pPr>
              <w:pStyle w:val="afffffffc"/>
              <w:spacing w:line="240" w:lineRule="auto"/>
            </w:pPr>
            <w:r>
              <w:t>大气环境影响预测与评价</w:t>
            </w:r>
          </w:p>
        </w:tc>
        <w:tc>
          <w:tcPr>
            <w:tcW w:w="1560" w:type="dxa"/>
            <w:shd w:val="clear" w:color="auto" w:fill="auto"/>
            <w:vAlign w:val="center"/>
          </w:tcPr>
          <w:p w:rsidR="00DB7CC8" w:rsidRDefault="002B5250">
            <w:pPr>
              <w:pStyle w:val="afffffffc"/>
              <w:spacing w:line="240" w:lineRule="auto"/>
            </w:pPr>
            <w:r>
              <w:t>预测模型</w:t>
            </w:r>
          </w:p>
        </w:tc>
        <w:tc>
          <w:tcPr>
            <w:tcW w:w="841" w:type="dxa"/>
            <w:shd w:val="clear" w:color="auto" w:fill="auto"/>
            <w:tcMar>
              <w:left w:w="0" w:type="dxa"/>
              <w:right w:w="0" w:type="dxa"/>
            </w:tcMar>
            <w:vAlign w:val="center"/>
          </w:tcPr>
          <w:p w:rsidR="00DB7CC8" w:rsidRDefault="002B5250">
            <w:pPr>
              <w:pStyle w:val="afffffffc"/>
              <w:spacing w:line="240" w:lineRule="auto"/>
            </w:pPr>
            <w:r>
              <w:t>AERMOD</w:t>
            </w:r>
            <w:r>
              <w:rPr>
                <w:rFonts w:ascii="宋体" w:hAnsi="宋体" w:hint="eastAsia"/>
              </w:rPr>
              <w:t>□</w:t>
            </w:r>
          </w:p>
        </w:tc>
        <w:tc>
          <w:tcPr>
            <w:tcW w:w="575" w:type="dxa"/>
            <w:gridSpan w:val="3"/>
            <w:shd w:val="clear" w:color="auto" w:fill="auto"/>
            <w:tcMar>
              <w:left w:w="0" w:type="dxa"/>
              <w:right w:w="0" w:type="dxa"/>
            </w:tcMar>
            <w:vAlign w:val="center"/>
          </w:tcPr>
          <w:p w:rsidR="00DB7CC8" w:rsidRDefault="002B5250">
            <w:pPr>
              <w:pStyle w:val="afffffffc"/>
              <w:spacing w:line="240" w:lineRule="auto"/>
            </w:pPr>
            <w:r>
              <w:t>ADMS</w:t>
            </w:r>
            <w:r>
              <w:rPr>
                <w:rFonts w:ascii="宋体" w:hAnsi="宋体" w:hint="eastAsia"/>
              </w:rPr>
              <w:t>□</w:t>
            </w:r>
          </w:p>
        </w:tc>
        <w:tc>
          <w:tcPr>
            <w:tcW w:w="1134" w:type="dxa"/>
            <w:gridSpan w:val="6"/>
            <w:shd w:val="clear" w:color="auto" w:fill="auto"/>
            <w:tcMar>
              <w:left w:w="0" w:type="dxa"/>
              <w:right w:w="0" w:type="dxa"/>
            </w:tcMar>
            <w:vAlign w:val="center"/>
          </w:tcPr>
          <w:p w:rsidR="00DB7CC8" w:rsidRDefault="002B5250">
            <w:pPr>
              <w:pStyle w:val="afffffffc"/>
              <w:spacing w:line="240" w:lineRule="auto"/>
            </w:pPr>
            <w:r>
              <w:t>AUSTAL2000</w:t>
            </w:r>
            <w:r>
              <w:rPr>
                <w:rFonts w:ascii="宋体" w:hAnsi="宋体" w:hint="eastAsia"/>
              </w:rPr>
              <w:t>□</w:t>
            </w:r>
          </w:p>
        </w:tc>
        <w:tc>
          <w:tcPr>
            <w:tcW w:w="1138" w:type="dxa"/>
            <w:gridSpan w:val="7"/>
            <w:shd w:val="clear" w:color="auto" w:fill="auto"/>
            <w:tcMar>
              <w:left w:w="0" w:type="dxa"/>
              <w:right w:w="0" w:type="dxa"/>
            </w:tcMar>
            <w:vAlign w:val="center"/>
          </w:tcPr>
          <w:p w:rsidR="00DB7CC8" w:rsidRDefault="002B5250">
            <w:pPr>
              <w:pStyle w:val="afffffffc"/>
              <w:spacing w:line="240" w:lineRule="auto"/>
            </w:pPr>
            <w:r>
              <w:t>EDMS/AEDT</w:t>
            </w:r>
            <w:r>
              <w:rPr>
                <w:rFonts w:ascii="宋体" w:hAnsi="宋体" w:hint="eastAsia"/>
              </w:rPr>
              <w:t>□</w:t>
            </w:r>
          </w:p>
        </w:tc>
        <w:tc>
          <w:tcPr>
            <w:tcW w:w="855" w:type="dxa"/>
            <w:gridSpan w:val="5"/>
            <w:shd w:val="clear" w:color="auto" w:fill="auto"/>
            <w:tcMar>
              <w:left w:w="0" w:type="dxa"/>
              <w:right w:w="0" w:type="dxa"/>
            </w:tcMar>
            <w:vAlign w:val="center"/>
          </w:tcPr>
          <w:p w:rsidR="00DB7CC8" w:rsidRDefault="002B5250">
            <w:pPr>
              <w:pStyle w:val="afffffffc"/>
              <w:spacing w:line="240" w:lineRule="auto"/>
            </w:pPr>
            <w:r>
              <w:t>CALPUFF</w:t>
            </w:r>
            <w:r>
              <w:rPr>
                <w:rFonts w:ascii="宋体" w:hAnsi="宋体" w:hint="eastAsia"/>
              </w:rPr>
              <w:t>□</w:t>
            </w:r>
          </w:p>
        </w:tc>
        <w:tc>
          <w:tcPr>
            <w:tcW w:w="836" w:type="dxa"/>
            <w:gridSpan w:val="3"/>
            <w:shd w:val="clear" w:color="auto" w:fill="auto"/>
            <w:tcMar>
              <w:left w:w="0" w:type="dxa"/>
              <w:right w:w="0" w:type="dxa"/>
            </w:tcMar>
            <w:vAlign w:val="center"/>
          </w:tcPr>
          <w:p w:rsidR="00DB7CC8" w:rsidRDefault="002B5250">
            <w:pPr>
              <w:pStyle w:val="afffffffc"/>
              <w:spacing w:line="240" w:lineRule="auto"/>
            </w:pPr>
            <w:r>
              <w:t>网格模型</w:t>
            </w:r>
            <w:r>
              <w:rPr>
                <w:rFonts w:ascii="宋体" w:hAnsi="宋体" w:hint="eastAsia"/>
              </w:rPr>
              <w:t>□</w:t>
            </w:r>
          </w:p>
        </w:tc>
        <w:tc>
          <w:tcPr>
            <w:tcW w:w="489" w:type="dxa"/>
            <w:shd w:val="clear" w:color="auto" w:fill="auto"/>
            <w:tcMar>
              <w:left w:w="0" w:type="dxa"/>
              <w:right w:w="0" w:type="dxa"/>
            </w:tcMar>
            <w:vAlign w:val="center"/>
          </w:tcPr>
          <w:p w:rsidR="00DB7CC8" w:rsidRDefault="002B5250">
            <w:pPr>
              <w:pStyle w:val="afffffffc"/>
              <w:spacing w:line="240" w:lineRule="auto"/>
            </w:pPr>
            <w:r>
              <w:t>其他</w:t>
            </w:r>
            <w:r>
              <w:rPr>
                <w:rFonts w:ascii="宋体" w:hAnsi="宋体" w:hint="eastAsia"/>
              </w:rPr>
              <w:t>□</w:t>
            </w:r>
          </w:p>
        </w:tc>
      </w:tr>
      <w:tr w:rsidR="00DB7CC8">
        <w:tc>
          <w:tcPr>
            <w:tcW w:w="1093" w:type="dxa"/>
            <w:vMerge/>
            <w:shd w:val="clear" w:color="auto" w:fill="auto"/>
            <w:vAlign w:val="center"/>
          </w:tcPr>
          <w:p w:rsidR="00DB7CC8" w:rsidRDefault="00DB7CC8">
            <w:pPr>
              <w:pStyle w:val="afffffffc"/>
              <w:spacing w:line="240" w:lineRule="auto"/>
            </w:pPr>
          </w:p>
        </w:tc>
        <w:tc>
          <w:tcPr>
            <w:tcW w:w="1560" w:type="dxa"/>
            <w:shd w:val="clear" w:color="auto" w:fill="auto"/>
            <w:vAlign w:val="center"/>
          </w:tcPr>
          <w:p w:rsidR="00DB7CC8" w:rsidRDefault="002B5250">
            <w:pPr>
              <w:pStyle w:val="afffffffc"/>
              <w:spacing w:line="240" w:lineRule="auto"/>
            </w:pPr>
            <w:r>
              <w:t>预测范围</w:t>
            </w:r>
          </w:p>
        </w:tc>
        <w:tc>
          <w:tcPr>
            <w:tcW w:w="1693" w:type="dxa"/>
            <w:gridSpan w:val="7"/>
            <w:shd w:val="clear" w:color="auto" w:fill="auto"/>
            <w:vAlign w:val="center"/>
          </w:tcPr>
          <w:p w:rsidR="00DB7CC8" w:rsidRDefault="002B5250">
            <w:pPr>
              <w:pStyle w:val="afffffffc"/>
              <w:spacing w:line="240" w:lineRule="auto"/>
            </w:pPr>
            <w:r>
              <w:t>边长</w:t>
            </w:r>
            <w:r>
              <w:t>≥50km</w:t>
            </w:r>
            <w:r>
              <w:rPr>
                <w:rFonts w:ascii="宋体" w:hAnsi="宋体" w:hint="eastAsia"/>
              </w:rPr>
              <w:t>□</w:t>
            </w:r>
          </w:p>
        </w:tc>
        <w:tc>
          <w:tcPr>
            <w:tcW w:w="2159" w:type="dxa"/>
            <w:gridSpan w:val="11"/>
            <w:shd w:val="clear" w:color="auto" w:fill="auto"/>
            <w:vAlign w:val="center"/>
          </w:tcPr>
          <w:p w:rsidR="00DB7CC8" w:rsidRDefault="002B5250">
            <w:pPr>
              <w:pStyle w:val="afffffffc"/>
              <w:spacing w:line="240" w:lineRule="auto"/>
            </w:pPr>
            <w:r>
              <w:t>边长</w:t>
            </w:r>
            <w:r>
              <w:t>5-50km</w:t>
            </w:r>
            <w:r>
              <w:rPr>
                <w:rFonts w:ascii="宋体" w:hAnsi="宋体" w:hint="eastAsia"/>
              </w:rPr>
              <w:t>□</w:t>
            </w:r>
          </w:p>
        </w:tc>
        <w:tc>
          <w:tcPr>
            <w:tcW w:w="2016" w:type="dxa"/>
            <w:gridSpan w:val="8"/>
            <w:shd w:val="clear" w:color="auto" w:fill="auto"/>
            <w:vAlign w:val="center"/>
          </w:tcPr>
          <w:p w:rsidR="00DB7CC8" w:rsidRDefault="002B5250">
            <w:pPr>
              <w:pStyle w:val="afffffffc"/>
              <w:spacing w:line="240" w:lineRule="auto"/>
            </w:pPr>
            <w:r>
              <w:t>边长＝</w:t>
            </w:r>
            <w:r>
              <w:t>5km</w:t>
            </w:r>
            <w:r>
              <w:rPr>
                <w:rFonts w:hint="eastAsia"/>
              </w:rPr>
              <w:t xml:space="preserve"> </w:t>
            </w:r>
            <w:r>
              <w:t>√</w:t>
            </w:r>
          </w:p>
        </w:tc>
      </w:tr>
      <w:tr w:rsidR="00DB7CC8">
        <w:tc>
          <w:tcPr>
            <w:tcW w:w="1093" w:type="dxa"/>
            <w:vMerge/>
            <w:shd w:val="clear" w:color="auto" w:fill="auto"/>
            <w:vAlign w:val="center"/>
          </w:tcPr>
          <w:p w:rsidR="00DB7CC8" w:rsidRDefault="00DB7CC8">
            <w:pPr>
              <w:pStyle w:val="afffffffc"/>
              <w:spacing w:line="240" w:lineRule="auto"/>
            </w:pPr>
          </w:p>
        </w:tc>
        <w:tc>
          <w:tcPr>
            <w:tcW w:w="1560" w:type="dxa"/>
            <w:shd w:val="clear" w:color="auto" w:fill="auto"/>
            <w:vAlign w:val="center"/>
          </w:tcPr>
          <w:p w:rsidR="00DB7CC8" w:rsidRDefault="002B5250">
            <w:pPr>
              <w:pStyle w:val="afffffffc"/>
              <w:spacing w:line="240" w:lineRule="auto"/>
            </w:pPr>
            <w:r>
              <w:t>预测因子</w:t>
            </w:r>
          </w:p>
        </w:tc>
        <w:tc>
          <w:tcPr>
            <w:tcW w:w="3110" w:type="dxa"/>
            <w:gridSpan w:val="14"/>
            <w:shd w:val="clear" w:color="auto" w:fill="auto"/>
            <w:vAlign w:val="center"/>
          </w:tcPr>
          <w:p w:rsidR="00DB7CC8" w:rsidRDefault="002B5250">
            <w:pPr>
              <w:pStyle w:val="afffffffc"/>
              <w:spacing w:line="240" w:lineRule="auto"/>
            </w:pPr>
            <w:r>
              <w:t>预测因子（</w:t>
            </w:r>
            <w:r>
              <w:rPr>
                <w:rFonts w:hint="eastAsia"/>
              </w:rPr>
              <w:t xml:space="preserve"> </w:t>
            </w:r>
            <w:r>
              <w:rPr>
                <w:sz w:val="18"/>
                <w:szCs w:val="18"/>
              </w:rPr>
              <w:t>TSP</w:t>
            </w:r>
            <w:r>
              <w:rPr>
                <w:rFonts w:hint="eastAsia"/>
                <w:sz w:val="18"/>
                <w:szCs w:val="18"/>
              </w:rPr>
              <w:t xml:space="preserve"> </w:t>
            </w:r>
            <w:r>
              <w:t>）</w:t>
            </w:r>
          </w:p>
        </w:tc>
        <w:tc>
          <w:tcPr>
            <w:tcW w:w="2758" w:type="dxa"/>
            <w:gridSpan w:val="12"/>
            <w:shd w:val="clear" w:color="auto" w:fill="auto"/>
            <w:vAlign w:val="center"/>
          </w:tcPr>
          <w:p w:rsidR="00DB7CC8" w:rsidRDefault="002B5250">
            <w:pPr>
              <w:pStyle w:val="afffffffc"/>
              <w:spacing w:line="240" w:lineRule="auto"/>
            </w:pPr>
            <w:r>
              <w:t>包括二次</w:t>
            </w:r>
            <w:r>
              <w:t>PM</w:t>
            </w:r>
            <w:r>
              <w:rPr>
                <w:vertAlign w:val="subscript"/>
              </w:rPr>
              <w:t>2.5</w:t>
            </w:r>
            <w:r>
              <w:rPr>
                <w:rFonts w:ascii="宋体" w:hAnsi="宋体" w:hint="eastAsia"/>
              </w:rPr>
              <w:t>□</w:t>
            </w:r>
          </w:p>
          <w:p w:rsidR="00DB7CC8" w:rsidRDefault="002B5250">
            <w:pPr>
              <w:pStyle w:val="afffffffc"/>
              <w:spacing w:line="240" w:lineRule="auto"/>
              <w:rPr>
                <w:vertAlign w:val="subscript"/>
              </w:rPr>
            </w:pPr>
            <w:r>
              <w:t>不包括二次</w:t>
            </w:r>
            <w:r>
              <w:t>PM</w:t>
            </w:r>
            <w:r>
              <w:rPr>
                <w:vertAlign w:val="subscript"/>
              </w:rPr>
              <w:t>2.5</w:t>
            </w:r>
            <w:r>
              <w:rPr>
                <w:rFonts w:ascii="宋体" w:hAnsi="宋体" w:hint="eastAsia"/>
              </w:rPr>
              <w:t>□</w:t>
            </w:r>
          </w:p>
        </w:tc>
      </w:tr>
      <w:tr w:rsidR="00DB7CC8">
        <w:tc>
          <w:tcPr>
            <w:tcW w:w="1093" w:type="dxa"/>
            <w:vMerge/>
            <w:shd w:val="clear" w:color="auto" w:fill="auto"/>
            <w:vAlign w:val="center"/>
          </w:tcPr>
          <w:p w:rsidR="00DB7CC8" w:rsidRDefault="00DB7CC8">
            <w:pPr>
              <w:pStyle w:val="afffffffc"/>
              <w:spacing w:line="240" w:lineRule="auto"/>
            </w:pPr>
          </w:p>
        </w:tc>
        <w:tc>
          <w:tcPr>
            <w:tcW w:w="1560" w:type="dxa"/>
            <w:shd w:val="clear" w:color="auto" w:fill="auto"/>
            <w:vAlign w:val="center"/>
          </w:tcPr>
          <w:p w:rsidR="00DB7CC8" w:rsidRDefault="002B5250">
            <w:pPr>
              <w:pStyle w:val="afffffffc"/>
              <w:spacing w:line="240" w:lineRule="auto"/>
            </w:pPr>
            <w:r>
              <w:t>正常排放短期浓度贡献值</w:t>
            </w:r>
          </w:p>
        </w:tc>
        <w:tc>
          <w:tcPr>
            <w:tcW w:w="3110" w:type="dxa"/>
            <w:gridSpan w:val="14"/>
            <w:shd w:val="clear" w:color="auto" w:fill="auto"/>
            <w:vAlign w:val="center"/>
          </w:tcPr>
          <w:p w:rsidR="00DB7CC8" w:rsidRDefault="002B5250">
            <w:pPr>
              <w:pStyle w:val="afffffffc"/>
              <w:spacing w:line="240" w:lineRule="auto"/>
            </w:pPr>
            <w:r>
              <w:t>C</w:t>
            </w:r>
            <w:r>
              <w:rPr>
                <w:vertAlign w:val="subscript"/>
              </w:rPr>
              <w:t>本项目</w:t>
            </w:r>
            <w:r>
              <w:t>最大占标率</w:t>
            </w:r>
            <w:r>
              <w:t>≤100%</w:t>
            </w:r>
            <w:r>
              <w:rPr>
                <w:rFonts w:ascii="宋体" w:hAnsi="宋体" w:hint="eastAsia"/>
              </w:rPr>
              <w:t>□</w:t>
            </w:r>
          </w:p>
        </w:tc>
        <w:tc>
          <w:tcPr>
            <w:tcW w:w="2758" w:type="dxa"/>
            <w:gridSpan w:val="12"/>
            <w:shd w:val="clear" w:color="auto" w:fill="auto"/>
            <w:vAlign w:val="center"/>
          </w:tcPr>
          <w:p w:rsidR="00DB7CC8" w:rsidRDefault="002B5250">
            <w:pPr>
              <w:pStyle w:val="afffffffc"/>
              <w:spacing w:line="240" w:lineRule="auto"/>
            </w:pPr>
            <w:r>
              <w:t>C</w:t>
            </w:r>
            <w:r>
              <w:rPr>
                <w:vertAlign w:val="subscript"/>
              </w:rPr>
              <w:t>本项目</w:t>
            </w:r>
            <w:r>
              <w:t>最大占标率</w:t>
            </w:r>
            <w:r>
              <w:t>&gt;10%</w:t>
            </w:r>
            <w:r>
              <w:rPr>
                <w:rFonts w:ascii="宋体" w:hAnsi="宋体" w:hint="eastAsia"/>
              </w:rPr>
              <w:t>□</w:t>
            </w:r>
          </w:p>
        </w:tc>
      </w:tr>
      <w:tr w:rsidR="00DB7CC8">
        <w:tc>
          <w:tcPr>
            <w:tcW w:w="1093" w:type="dxa"/>
            <w:vMerge/>
            <w:shd w:val="clear" w:color="auto" w:fill="auto"/>
            <w:vAlign w:val="center"/>
          </w:tcPr>
          <w:p w:rsidR="00DB7CC8" w:rsidRDefault="00DB7CC8">
            <w:pPr>
              <w:pStyle w:val="afffffffc"/>
              <w:spacing w:line="240" w:lineRule="auto"/>
            </w:pPr>
          </w:p>
        </w:tc>
        <w:tc>
          <w:tcPr>
            <w:tcW w:w="1560" w:type="dxa"/>
            <w:vMerge w:val="restart"/>
            <w:shd w:val="clear" w:color="auto" w:fill="auto"/>
            <w:vAlign w:val="center"/>
          </w:tcPr>
          <w:p w:rsidR="00DB7CC8" w:rsidRDefault="002B5250">
            <w:pPr>
              <w:pStyle w:val="afffffffc"/>
              <w:spacing w:line="240" w:lineRule="auto"/>
            </w:pPr>
            <w:r>
              <w:t>正常排放年均浓度贡献值</w:t>
            </w:r>
          </w:p>
        </w:tc>
        <w:tc>
          <w:tcPr>
            <w:tcW w:w="984" w:type="dxa"/>
            <w:gridSpan w:val="2"/>
            <w:shd w:val="clear" w:color="auto" w:fill="auto"/>
            <w:vAlign w:val="center"/>
          </w:tcPr>
          <w:p w:rsidR="00DB7CC8" w:rsidRDefault="002B5250">
            <w:pPr>
              <w:pStyle w:val="afffffffc"/>
              <w:spacing w:line="240" w:lineRule="auto"/>
            </w:pPr>
            <w:r>
              <w:t>一类区</w:t>
            </w:r>
          </w:p>
        </w:tc>
        <w:tc>
          <w:tcPr>
            <w:tcW w:w="2126" w:type="dxa"/>
            <w:gridSpan w:val="12"/>
            <w:shd w:val="clear" w:color="auto" w:fill="auto"/>
            <w:vAlign w:val="center"/>
          </w:tcPr>
          <w:p w:rsidR="00DB7CC8" w:rsidRDefault="002B5250">
            <w:pPr>
              <w:pStyle w:val="afffffffc"/>
              <w:spacing w:line="240" w:lineRule="auto"/>
            </w:pPr>
            <w:r>
              <w:t>C</w:t>
            </w:r>
            <w:r>
              <w:rPr>
                <w:vertAlign w:val="subscript"/>
              </w:rPr>
              <w:t>本项目</w:t>
            </w:r>
            <w:r>
              <w:t>最大占标率</w:t>
            </w:r>
            <w:r>
              <w:t>≤10%</w:t>
            </w:r>
            <w:r>
              <w:rPr>
                <w:rFonts w:ascii="宋体" w:hAnsi="宋体" w:hint="eastAsia"/>
              </w:rPr>
              <w:t>□</w:t>
            </w:r>
          </w:p>
        </w:tc>
        <w:tc>
          <w:tcPr>
            <w:tcW w:w="2758" w:type="dxa"/>
            <w:gridSpan w:val="12"/>
            <w:shd w:val="clear" w:color="auto" w:fill="auto"/>
            <w:vAlign w:val="center"/>
          </w:tcPr>
          <w:p w:rsidR="00DB7CC8" w:rsidRDefault="002B5250">
            <w:pPr>
              <w:pStyle w:val="afffffffc"/>
              <w:spacing w:line="240" w:lineRule="auto"/>
            </w:pPr>
            <w:r>
              <w:t>C</w:t>
            </w:r>
            <w:r>
              <w:rPr>
                <w:vertAlign w:val="subscript"/>
              </w:rPr>
              <w:t>本项目</w:t>
            </w:r>
            <w:r>
              <w:t>最大占标率</w:t>
            </w:r>
            <w:r>
              <w:t>&gt;10%</w:t>
            </w:r>
            <w:r>
              <w:rPr>
                <w:rFonts w:ascii="宋体" w:hAnsi="宋体" w:hint="eastAsia"/>
              </w:rPr>
              <w:t>□</w:t>
            </w:r>
          </w:p>
        </w:tc>
      </w:tr>
      <w:tr w:rsidR="00DB7CC8">
        <w:tc>
          <w:tcPr>
            <w:tcW w:w="1093" w:type="dxa"/>
            <w:vMerge/>
            <w:shd w:val="clear" w:color="auto" w:fill="auto"/>
            <w:vAlign w:val="center"/>
          </w:tcPr>
          <w:p w:rsidR="00DB7CC8" w:rsidRDefault="00DB7CC8">
            <w:pPr>
              <w:pStyle w:val="afffffffc"/>
              <w:spacing w:line="240" w:lineRule="auto"/>
            </w:pPr>
          </w:p>
        </w:tc>
        <w:tc>
          <w:tcPr>
            <w:tcW w:w="1560" w:type="dxa"/>
            <w:vMerge/>
            <w:shd w:val="clear" w:color="auto" w:fill="auto"/>
            <w:vAlign w:val="center"/>
          </w:tcPr>
          <w:p w:rsidR="00DB7CC8" w:rsidRDefault="00DB7CC8">
            <w:pPr>
              <w:pStyle w:val="afffffffc"/>
              <w:spacing w:line="240" w:lineRule="auto"/>
            </w:pPr>
          </w:p>
        </w:tc>
        <w:tc>
          <w:tcPr>
            <w:tcW w:w="984" w:type="dxa"/>
            <w:gridSpan w:val="2"/>
            <w:shd w:val="clear" w:color="auto" w:fill="auto"/>
            <w:vAlign w:val="center"/>
          </w:tcPr>
          <w:p w:rsidR="00DB7CC8" w:rsidRDefault="002B5250">
            <w:pPr>
              <w:pStyle w:val="afffffffc"/>
              <w:spacing w:line="240" w:lineRule="auto"/>
            </w:pPr>
            <w:r>
              <w:t>二类区</w:t>
            </w:r>
          </w:p>
        </w:tc>
        <w:tc>
          <w:tcPr>
            <w:tcW w:w="2126" w:type="dxa"/>
            <w:gridSpan w:val="12"/>
            <w:shd w:val="clear" w:color="auto" w:fill="auto"/>
            <w:vAlign w:val="center"/>
          </w:tcPr>
          <w:p w:rsidR="00DB7CC8" w:rsidRDefault="002B5250">
            <w:pPr>
              <w:pStyle w:val="afffffffc"/>
              <w:spacing w:line="240" w:lineRule="auto"/>
            </w:pPr>
            <w:r>
              <w:t>C</w:t>
            </w:r>
            <w:r>
              <w:rPr>
                <w:vertAlign w:val="subscript"/>
              </w:rPr>
              <w:t>本项目</w:t>
            </w:r>
            <w:r>
              <w:t>最大占标率</w:t>
            </w:r>
            <w:r>
              <w:t>≤30%</w:t>
            </w:r>
            <w:r>
              <w:rPr>
                <w:rFonts w:ascii="宋体" w:hAnsi="宋体" w:hint="eastAsia"/>
              </w:rPr>
              <w:t>□</w:t>
            </w:r>
          </w:p>
        </w:tc>
        <w:tc>
          <w:tcPr>
            <w:tcW w:w="2758" w:type="dxa"/>
            <w:gridSpan w:val="12"/>
            <w:shd w:val="clear" w:color="auto" w:fill="auto"/>
            <w:vAlign w:val="center"/>
          </w:tcPr>
          <w:p w:rsidR="00DB7CC8" w:rsidRDefault="002B5250">
            <w:pPr>
              <w:pStyle w:val="afffffffc"/>
              <w:spacing w:line="240" w:lineRule="auto"/>
            </w:pPr>
            <w:r>
              <w:t>C</w:t>
            </w:r>
            <w:r>
              <w:rPr>
                <w:vertAlign w:val="subscript"/>
              </w:rPr>
              <w:t>本项目</w:t>
            </w:r>
            <w:r>
              <w:t>最大占标率</w:t>
            </w:r>
            <w:r>
              <w:t>&gt;30%</w:t>
            </w:r>
            <w:r>
              <w:rPr>
                <w:rFonts w:ascii="宋体" w:hAnsi="宋体" w:hint="eastAsia"/>
              </w:rPr>
              <w:t>□</w:t>
            </w:r>
          </w:p>
        </w:tc>
      </w:tr>
      <w:tr w:rsidR="00DB7CC8">
        <w:tc>
          <w:tcPr>
            <w:tcW w:w="1093" w:type="dxa"/>
            <w:vMerge/>
            <w:shd w:val="clear" w:color="auto" w:fill="auto"/>
            <w:vAlign w:val="center"/>
          </w:tcPr>
          <w:p w:rsidR="00DB7CC8" w:rsidRDefault="00DB7CC8">
            <w:pPr>
              <w:pStyle w:val="afffffffc"/>
              <w:spacing w:line="240" w:lineRule="auto"/>
            </w:pPr>
          </w:p>
        </w:tc>
        <w:tc>
          <w:tcPr>
            <w:tcW w:w="1560" w:type="dxa"/>
            <w:shd w:val="clear" w:color="auto" w:fill="auto"/>
            <w:vAlign w:val="center"/>
          </w:tcPr>
          <w:p w:rsidR="00DB7CC8" w:rsidRDefault="002B5250">
            <w:pPr>
              <w:pStyle w:val="afffffffc"/>
              <w:spacing w:line="240" w:lineRule="auto"/>
            </w:pPr>
            <w:r>
              <w:t>非正常排放</w:t>
            </w:r>
            <w:r>
              <w:t>1h</w:t>
            </w:r>
            <w:r>
              <w:t>浓度贡献值</w:t>
            </w:r>
          </w:p>
        </w:tc>
        <w:tc>
          <w:tcPr>
            <w:tcW w:w="1416" w:type="dxa"/>
            <w:gridSpan w:val="4"/>
            <w:shd w:val="clear" w:color="auto" w:fill="auto"/>
            <w:vAlign w:val="center"/>
          </w:tcPr>
          <w:p w:rsidR="00DB7CC8" w:rsidRDefault="002B5250">
            <w:pPr>
              <w:pStyle w:val="afffffffc"/>
              <w:spacing w:line="240" w:lineRule="auto"/>
            </w:pPr>
            <w:r>
              <w:t>非正常持续时长（</w:t>
            </w:r>
            <w:r>
              <w:rPr>
                <w:rFonts w:hint="eastAsia"/>
              </w:rPr>
              <w:t>2</w:t>
            </w:r>
            <w:r>
              <w:t>）</w:t>
            </w:r>
            <w:r>
              <w:t>h</w:t>
            </w:r>
          </w:p>
        </w:tc>
        <w:tc>
          <w:tcPr>
            <w:tcW w:w="2272" w:type="dxa"/>
            <w:gridSpan w:val="13"/>
            <w:shd w:val="clear" w:color="auto" w:fill="auto"/>
            <w:vAlign w:val="center"/>
          </w:tcPr>
          <w:p w:rsidR="00DB7CC8" w:rsidRDefault="002B5250">
            <w:pPr>
              <w:pStyle w:val="afffffffc"/>
              <w:spacing w:line="240" w:lineRule="auto"/>
            </w:pPr>
            <w:r>
              <w:t>C</w:t>
            </w:r>
            <w:r>
              <w:rPr>
                <w:vertAlign w:val="subscript"/>
              </w:rPr>
              <w:t>非正常</w:t>
            </w:r>
            <w:r>
              <w:t>占标率</w:t>
            </w:r>
            <w:r>
              <w:t>≤100%</w:t>
            </w:r>
            <w:r>
              <w:rPr>
                <w:rFonts w:ascii="宋体" w:hAnsi="宋体" w:hint="eastAsia"/>
              </w:rPr>
              <w:t>□</w:t>
            </w:r>
          </w:p>
        </w:tc>
        <w:tc>
          <w:tcPr>
            <w:tcW w:w="2180" w:type="dxa"/>
            <w:gridSpan w:val="9"/>
            <w:shd w:val="clear" w:color="auto" w:fill="auto"/>
            <w:vAlign w:val="center"/>
          </w:tcPr>
          <w:p w:rsidR="00DB7CC8" w:rsidRDefault="002B5250">
            <w:pPr>
              <w:pStyle w:val="afffffffc"/>
              <w:spacing w:line="240" w:lineRule="auto"/>
            </w:pPr>
            <w:r>
              <w:t>C</w:t>
            </w:r>
            <w:r>
              <w:rPr>
                <w:vertAlign w:val="subscript"/>
              </w:rPr>
              <w:t>非正常</w:t>
            </w:r>
            <w:r>
              <w:t>占标率</w:t>
            </w:r>
            <w:r>
              <w:t>&gt;100%</w:t>
            </w:r>
            <w:r>
              <w:rPr>
                <w:rFonts w:ascii="宋体" w:hAnsi="宋体" w:hint="eastAsia"/>
              </w:rPr>
              <w:t>□</w:t>
            </w:r>
          </w:p>
        </w:tc>
      </w:tr>
      <w:tr w:rsidR="00DB7CC8">
        <w:tc>
          <w:tcPr>
            <w:tcW w:w="1093" w:type="dxa"/>
            <w:vMerge/>
            <w:shd w:val="clear" w:color="auto" w:fill="auto"/>
            <w:vAlign w:val="center"/>
          </w:tcPr>
          <w:p w:rsidR="00DB7CC8" w:rsidRDefault="00DB7CC8">
            <w:pPr>
              <w:pStyle w:val="afffffffc"/>
              <w:spacing w:line="240" w:lineRule="auto"/>
            </w:pPr>
          </w:p>
        </w:tc>
        <w:tc>
          <w:tcPr>
            <w:tcW w:w="1560" w:type="dxa"/>
            <w:shd w:val="clear" w:color="auto" w:fill="auto"/>
            <w:vAlign w:val="center"/>
          </w:tcPr>
          <w:p w:rsidR="00DB7CC8" w:rsidRDefault="002B5250">
            <w:pPr>
              <w:pStyle w:val="afffffffc"/>
              <w:spacing w:line="240" w:lineRule="auto"/>
            </w:pPr>
            <w:r>
              <w:t>保证率日平均浓度和年平均浓度叠加值</w:t>
            </w:r>
          </w:p>
        </w:tc>
        <w:tc>
          <w:tcPr>
            <w:tcW w:w="2692" w:type="dxa"/>
            <w:gridSpan w:val="11"/>
            <w:shd w:val="clear" w:color="auto" w:fill="auto"/>
            <w:vAlign w:val="center"/>
          </w:tcPr>
          <w:p w:rsidR="00DB7CC8" w:rsidRDefault="002B5250">
            <w:pPr>
              <w:pStyle w:val="afffffffc"/>
              <w:spacing w:line="240" w:lineRule="auto"/>
            </w:pPr>
            <w:r>
              <w:t>C</w:t>
            </w:r>
            <w:r>
              <w:rPr>
                <w:vertAlign w:val="subscript"/>
              </w:rPr>
              <w:t>叠加</w:t>
            </w:r>
            <w:r>
              <w:t>达标</w:t>
            </w:r>
            <w:r>
              <w:rPr>
                <w:rFonts w:ascii="宋体" w:hAnsi="宋体" w:hint="eastAsia"/>
              </w:rPr>
              <w:t>□</w:t>
            </w:r>
          </w:p>
        </w:tc>
        <w:tc>
          <w:tcPr>
            <w:tcW w:w="3176" w:type="dxa"/>
            <w:gridSpan w:val="15"/>
            <w:shd w:val="clear" w:color="auto" w:fill="auto"/>
            <w:vAlign w:val="center"/>
          </w:tcPr>
          <w:p w:rsidR="00DB7CC8" w:rsidRDefault="002B5250">
            <w:pPr>
              <w:pStyle w:val="afffffffc"/>
              <w:spacing w:line="240" w:lineRule="auto"/>
            </w:pPr>
            <w:r>
              <w:t>C</w:t>
            </w:r>
            <w:r>
              <w:rPr>
                <w:vertAlign w:val="subscript"/>
              </w:rPr>
              <w:t>叠加</w:t>
            </w:r>
            <w:r>
              <w:t>不达标</w:t>
            </w:r>
            <w:r>
              <w:rPr>
                <w:rFonts w:ascii="宋体" w:hAnsi="宋体" w:hint="eastAsia"/>
              </w:rPr>
              <w:t>□</w:t>
            </w:r>
          </w:p>
        </w:tc>
      </w:tr>
      <w:tr w:rsidR="00DB7CC8">
        <w:tc>
          <w:tcPr>
            <w:tcW w:w="1093" w:type="dxa"/>
            <w:vMerge/>
            <w:shd w:val="clear" w:color="auto" w:fill="auto"/>
            <w:vAlign w:val="center"/>
          </w:tcPr>
          <w:p w:rsidR="00DB7CC8" w:rsidRDefault="00DB7CC8">
            <w:pPr>
              <w:pStyle w:val="afffffffc"/>
              <w:spacing w:line="240" w:lineRule="auto"/>
            </w:pPr>
          </w:p>
        </w:tc>
        <w:tc>
          <w:tcPr>
            <w:tcW w:w="1560" w:type="dxa"/>
            <w:shd w:val="clear" w:color="auto" w:fill="auto"/>
            <w:vAlign w:val="center"/>
          </w:tcPr>
          <w:p w:rsidR="00DB7CC8" w:rsidRDefault="002B5250">
            <w:pPr>
              <w:pStyle w:val="afffffffc"/>
              <w:spacing w:line="240" w:lineRule="auto"/>
            </w:pPr>
            <w:r>
              <w:t>区域环境质量的整体变化情况</w:t>
            </w:r>
          </w:p>
        </w:tc>
        <w:tc>
          <w:tcPr>
            <w:tcW w:w="2692" w:type="dxa"/>
            <w:gridSpan w:val="11"/>
            <w:shd w:val="clear" w:color="auto" w:fill="auto"/>
            <w:vAlign w:val="center"/>
          </w:tcPr>
          <w:p w:rsidR="00DB7CC8" w:rsidRDefault="002B5250">
            <w:pPr>
              <w:pStyle w:val="afffffffc"/>
              <w:spacing w:line="240" w:lineRule="auto"/>
            </w:pPr>
            <w:r>
              <w:t>k≤-20%</w:t>
            </w:r>
            <w:r>
              <w:rPr>
                <w:rFonts w:ascii="宋体" w:hAnsi="宋体" w:hint="eastAsia"/>
              </w:rPr>
              <w:t>□</w:t>
            </w:r>
          </w:p>
        </w:tc>
        <w:tc>
          <w:tcPr>
            <w:tcW w:w="3176" w:type="dxa"/>
            <w:gridSpan w:val="15"/>
            <w:shd w:val="clear" w:color="auto" w:fill="auto"/>
            <w:vAlign w:val="center"/>
          </w:tcPr>
          <w:p w:rsidR="00DB7CC8" w:rsidRDefault="002B5250">
            <w:pPr>
              <w:pStyle w:val="afffffffc"/>
              <w:spacing w:line="240" w:lineRule="auto"/>
            </w:pPr>
            <w:r>
              <w:t>k&gt;-20%</w:t>
            </w:r>
            <w:r>
              <w:rPr>
                <w:rFonts w:ascii="宋体" w:hAnsi="宋体" w:hint="eastAsia"/>
              </w:rPr>
              <w:t>□</w:t>
            </w:r>
          </w:p>
        </w:tc>
      </w:tr>
      <w:tr w:rsidR="00DB7CC8">
        <w:tc>
          <w:tcPr>
            <w:tcW w:w="1093" w:type="dxa"/>
            <w:vMerge w:val="restart"/>
            <w:shd w:val="clear" w:color="auto" w:fill="auto"/>
            <w:vAlign w:val="center"/>
          </w:tcPr>
          <w:p w:rsidR="00DB7CC8" w:rsidRDefault="002B5250">
            <w:pPr>
              <w:pStyle w:val="afffffffc"/>
              <w:spacing w:line="240" w:lineRule="auto"/>
            </w:pPr>
            <w:r>
              <w:t>环境监测计划</w:t>
            </w:r>
          </w:p>
        </w:tc>
        <w:tc>
          <w:tcPr>
            <w:tcW w:w="1560" w:type="dxa"/>
            <w:shd w:val="clear" w:color="auto" w:fill="auto"/>
            <w:vAlign w:val="center"/>
          </w:tcPr>
          <w:p w:rsidR="00DB7CC8" w:rsidRDefault="002B5250">
            <w:pPr>
              <w:pStyle w:val="afffffffc"/>
              <w:spacing w:line="240" w:lineRule="auto"/>
            </w:pPr>
            <w:r>
              <w:t>污染源监测</w:t>
            </w:r>
          </w:p>
        </w:tc>
        <w:tc>
          <w:tcPr>
            <w:tcW w:w="2692" w:type="dxa"/>
            <w:gridSpan w:val="11"/>
            <w:shd w:val="clear" w:color="auto" w:fill="auto"/>
            <w:vAlign w:val="center"/>
          </w:tcPr>
          <w:p w:rsidR="00DB7CC8" w:rsidRDefault="002B5250">
            <w:pPr>
              <w:pStyle w:val="afffffffc"/>
              <w:spacing w:line="240" w:lineRule="auto"/>
            </w:pPr>
            <w:r>
              <w:t>监测因子：（</w:t>
            </w:r>
            <w:r>
              <w:rPr>
                <w:rFonts w:hint="eastAsia"/>
              </w:rPr>
              <w:t>颗粒物</w:t>
            </w:r>
            <w:r>
              <w:t>）</w:t>
            </w:r>
          </w:p>
        </w:tc>
        <w:tc>
          <w:tcPr>
            <w:tcW w:w="1985" w:type="dxa"/>
            <w:gridSpan w:val="12"/>
            <w:shd w:val="clear" w:color="auto" w:fill="auto"/>
            <w:vAlign w:val="center"/>
          </w:tcPr>
          <w:p w:rsidR="00DB7CC8" w:rsidRDefault="002B5250">
            <w:pPr>
              <w:pStyle w:val="afffffffc"/>
              <w:spacing w:line="240" w:lineRule="auto"/>
            </w:pPr>
            <w:r>
              <w:t>有组织废气监测</w:t>
            </w:r>
            <w:r>
              <w:t>√</w:t>
            </w:r>
          </w:p>
          <w:p w:rsidR="00DB7CC8" w:rsidRDefault="002B5250">
            <w:pPr>
              <w:pStyle w:val="afffffffc"/>
              <w:spacing w:line="240" w:lineRule="auto"/>
            </w:pPr>
            <w:r>
              <w:t>无组织废气监测</w:t>
            </w:r>
            <w:r>
              <w:t>√</w:t>
            </w:r>
          </w:p>
        </w:tc>
        <w:tc>
          <w:tcPr>
            <w:tcW w:w="1191" w:type="dxa"/>
            <w:gridSpan w:val="3"/>
            <w:shd w:val="clear" w:color="auto" w:fill="auto"/>
            <w:vAlign w:val="center"/>
          </w:tcPr>
          <w:p w:rsidR="00DB7CC8" w:rsidRDefault="002B5250">
            <w:pPr>
              <w:pStyle w:val="afffffffc"/>
              <w:spacing w:line="240" w:lineRule="auto"/>
            </w:pPr>
            <w:r>
              <w:t>无监测</w:t>
            </w:r>
            <w:r>
              <w:rPr>
                <w:rFonts w:ascii="宋体" w:hAnsi="宋体" w:hint="eastAsia"/>
              </w:rPr>
              <w:t>□</w:t>
            </w:r>
          </w:p>
        </w:tc>
      </w:tr>
      <w:tr w:rsidR="00DB7CC8">
        <w:tc>
          <w:tcPr>
            <w:tcW w:w="1093" w:type="dxa"/>
            <w:vMerge/>
            <w:shd w:val="clear" w:color="auto" w:fill="auto"/>
            <w:vAlign w:val="center"/>
          </w:tcPr>
          <w:p w:rsidR="00DB7CC8" w:rsidRDefault="00DB7CC8">
            <w:pPr>
              <w:pStyle w:val="afffffffc"/>
              <w:spacing w:line="240" w:lineRule="auto"/>
            </w:pPr>
          </w:p>
        </w:tc>
        <w:tc>
          <w:tcPr>
            <w:tcW w:w="1560" w:type="dxa"/>
            <w:shd w:val="clear" w:color="auto" w:fill="auto"/>
            <w:vAlign w:val="center"/>
          </w:tcPr>
          <w:p w:rsidR="00DB7CC8" w:rsidRDefault="002B5250">
            <w:pPr>
              <w:pStyle w:val="afffffffc"/>
              <w:spacing w:line="240" w:lineRule="auto"/>
            </w:pPr>
            <w:r>
              <w:t>环境质量监测</w:t>
            </w:r>
          </w:p>
        </w:tc>
        <w:tc>
          <w:tcPr>
            <w:tcW w:w="2692" w:type="dxa"/>
            <w:gridSpan w:val="11"/>
            <w:shd w:val="clear" w:color="auto" w:fill="auto"/>
            <w:vAlign w:val="center"/>
          </w:tcPr>
          <w:p w:rsidR="00DB7CC8" w:rsidRDefault="002B5250">
            <w:pPr>
              <w:pStyle w:val="afffffffc"/>
              <w:spacing w:line="240" w:lineRule="auto"/>
            </w:pPr>
            <w:r>
              <w:t>监测因子：（</w:t>
            </w:r>
            <w:r>
              <w:rPr>
                <w:rFonts w:hint="eastAsia"/>
              </w:rPr>
              <w:t xml:space="preserve">         </w:t>
            </w:r>
            <w:r>
              <w:t>）</w:t>
            </w:r>
          </w:p>
        </w:tc>
        <w:tc>
          <w:tcPr>
            <w:tcW w:w="1985" w:type="dxa"/>
            <w:gridSpan w:val="12"/>
            <w:shd w:val="clear" w:color="auto" w:fill="auto"/>
            <w:vAlign w:val="center"/>
          </w:tcPr>
          <w:p w:rsidR="00DB7CC8" w:rsidRDefault="002B5250">
            <w:pPr>
              <w:pStyle w:val="afffffffc"/>
              <w:spacing w:line="240" w:lineRule="auto"/>
            </w:pPr>
            <w:r>
              <w:t>监测点位数（</w:t>
            </w:r>
            <w:r>
              <w:rPr>
                <w:rFonts w:hint="eastAsia"/>
              </w:rPr>
              <w:t xml:space="preserve">  </w:t>
            </w:r>
            <w:r>
              <w:t>）</w:t>
            </w:r>
          </w:p>
        </w:tc>
        <w:tc>
          <w:tcPr>
            <w:tcW w:w="1191" w:type="dxa"/>
            <w:gridSpan w:val="3"/>
            <w:shd w:val="clear" w:color="auto" w:fill="auto"/>
            <w:vAlign w:val="center"/>
          </w:tcPr>
          <w:p w:rsidR="00DB7CC8" w:rsidRDefault="002B5250">
            <w:pPr>
              <w:pStyle w:val="afffffffc"/>
              <w:spacing w:line="240" w:lineRule="auto"/>
            </w:pPr>
            <w:r>
              <w:t>无监测</w:t>
            </w:r>
            <w:r>
              <w:t>√</w:t>
            </w:r>
          </w:p>
        </w:tc>
      </w:tr>
      <w:tr w:rsidR="00DB7CC8">
        <w:tc>
          <w:tcPr>
            <w:tcW w:w="1093" w:type="dxa"/>
            <w:vMerge w:val="restart"/>
            <w:shd w:val="clear" w:color="auto" w:fill="auto"/>
            <w:vAlign w:val="center"/>
          </w:tcPr>
          <w:p w:rsidR="00DB7CC8" w:rsidRDefault="002B5250">
            <w:pPr>
              <w:pStyle w:val="afffffffc"/>
              <w:spacing w:line="240" w:lineRule="auto"/>
            </w:pPr>
            <w:r>
              <w:t>评价结果</w:t>
            </w:r>
          </w:p>
        </w:tc>
        <w:tc>
          <w:tcPr>
            <w:tcW w:w="1560" w:type="dxa"/>
            <w:shd w:val="clear" w:color="auto" w:fill="auto"/>
            <w:vAlign w:val="center"/>
          </w:tcPr>
          <w:p w:rsidR="00DB7CC8" w:rsidRDefault="002B5250">
            <w:pPr>
              <w:pStyle w:val="afffffffc"/>
              <w:spacing w:line="240" w:lineRule="auto"/>
            </w:pPr>
            <w:r>
              <w:t>环境影响</w:t>
            </w:r>
          </w:p>
        </w:tc>
        <w:tc>
          <w:tcPr>
            <w:tcW w:w="5868" w:type="dxa"/>
            <w:gridSpan w:val="26"/>
            <w:shd w:val="clear" w:color="auto" w:fill="auto"/>
            <w:vAlign w:val="center"/>
          </w:tcPr>
          <w:p w:rsidR="00DB7CC8" w:rsidRDefault="002B5250">
            <w:pPr>
              <w:pStyle w:val="afffffffc"/>
              <w:spacing w:line="240" w:lineRule="auto"/>
            </w:pPr>
            <w:r>
              <w:t>可以接受</w:t>
            </w:r>
            <w:r>
              <w:t xml:space="preserve">√        </w:t>
            </w:r>
            <w:r>
              <w:t>不可以接受</w:t>
            </w:r>
            <w:r>
              <w:rPr>
                <w:rFonts w:ascii="宋体" w:hAnsi="宋体" w:hint="eastAsia"/>
              </w:rPr>
              <w:t>□</w:t>
            </w:r>
          </w:p>
        </w:tc>
      </w:tr>
      <w:tr w:rsidR="00DB7CC8">
        <w:tc>
          <w:tcPr>
            <w:tcW w:w="1093" w:type="dxa"/>
            <w:vMerge/>
            <w:shd w:val="clear" w:color="auto" w:fill="auto"/>
            <w:vAlign w:val="center"/>
          </w:tcPr>
          <w:p w:rsidR="00DB7CC8" w:rsidRDefault="00DB7CC8">
            <w:pPr>
              <w:pStyle w:val="afffffffc"/>
              <w:spacing w:line="240" w:lineRule="auto"/>
            </w:pPr>
          </w:p>
        </w:tc>
        <w:tc>
          <w:tcPr>
            <w:tcW w:w="1560" w:type="dxa"/>
            <w:shd w:val="clear" w:color="auto" w:fill="auto"/>
            <w:vAlign w:val="center"/>
          </w:tcPr>
          <w:p w:rsidR="00DB7CC8" w:rsidRDefault="002B5250">
            <w:pPr>
              <w:pStyle w:val="afffffffc"/>
              <w:spacing w:line="240" w:lineRule="auto"/>
            </w:pPr>
            <w:r>
              <w:t>大气环境防护距离</w:t>
            </w:r>
          </w:p>
        </w:tc>
        <w:tc>
          <w:tcPr>
            <w:tcW w:w="5868" w:type="dxa"/>
            <w:gridSpan w:val="26"/>
            <w:shd w:val="clear" w:color="auto" w:fill="auto"/>
            <w:vAlign w:val="center"/>
          </w:tcPr>
          <w:p w:rsidR="00DB7CC8" w:rsidRDefault="002B5250">
            <w:pPr>
              <w:pStyle w:val="afffffffc"/>
              <w:spacing w:line="240" w:lineRule="auto"/>
            </w:pPr>
            <w:r>
              <w:rPr>
                <w:rFonts w:hint="eastAsia"/>
              </w:rPr>
              <w:t>距（</w:t>
            </w:r>
            <w:r>
              <w:rPr>
                <w:rFonts w:hint="eastAsia"/>
              </w:rPr>
              <w:t xml:space="preserve"> </w:t>
            </w:r>
            <w:r>
              <w:rPr>
                <w:rFonts w:hint="eastAsia"/>
              </w:rPr>
              <w:t>）厂界最远（）</w:t>
            </w:r>
            <w:r>
              <w:rPr>
                <w:rFonts w:hint="eastAsia"/>
              </w:rPr>
              <w:t>m</w:t>
            </w:r>
          </w:p>
        </w:tc>
      </w:tr>
      <w:tr w:rsidR="00DB7CC8">
        <w:tc>
          <w:tcPr>
            <w:tcW w:w="1093" w:type="dxa"/>
            <w:vMerge/>
            <w:shd w:val="clear" w:color="auto" w:fill="auto"/>
            <w:vAlign w:val="center"/>
          </w:tcPr>
          <w:p w:rsidR="00DB7CC8" w:rsidRDefault="00DB7CC8">
            <w:pPr>
              <w:pStyle w:val="afffffffc"/>
              <w:spacing w:line="240" w:lineRule="auto"/>
            </w:pPr>
          </w:p>
        </w:tc>
        <w:tc>
          <w:tcPr>
            <w:tcW w:w="1560" w:type="dxa"/>
            <w:shd w:val="clear" w:color="auto" w:fill="auto"/>
            <w:vAlign w:val="center"/>
          </w:tcPr>
          <w:p w:rsidR="00DB7CC8" w:rsidRDefault="002B5250">
            <w:pPr>
              <w:pStyle w:val="afffffffc"/>
              <w:spacing w:line="240" w:lineRule="auto"/>
            </w:pPr>
            <w:r>
              <w:t>污染源年排放量</w:t>
            </w:r>
          </w:p>
        </w:tc>
        <w:tc>
          <w:tcPr>
            <w:tcW w:w="1566" w:type="dxa"/>
            <w:gridSpan w:val="6"/>
            <w:shd w:val="clear" w:color="auto" w:fill="auto"/>
            <w:tcMar>
              <w:left w:w="0" w:type="dxa"/>
              <w:right w:w="0" w:type="dxa"/>
            </w:tcMar>
            <w:vAlign w:val="center"/>
          </w:tcPr>
          <w:p w:rsidR="00DB7CC8" w:rsidRDefault="002B5250">
            <w:pPr>
              <w:pStyle w:val="afffffffc"/>
              <w:spacing w:line="240" w:lineRule="auto"/>
            </w:pPr>
            <w:r>
              <w:t>SO</w:t>
            </w:r>
            <w:r>
              <w:rPr>
                <w:vertAlign w:val="subscript"/>
              </w:rPr>
              <w:t>2</w:t>
            </w:r>
            <w:r>
              <w:t>：（）</w:t>
            </w:r>
            <w:r>
              <w:t>t/a</w:t>
            </w:r>
          </w:p>
        </w:tc>
        <w:tc>
          <w:tcPr>
            <w:tcW w:w="1701" w:type="dxa"/>
            <w:gridSpan w:val="10"/>
            <w:shd w:val="clear" w:color="auto" w:fill="auto"/>
            <w:tcMar>
              <w:left w:w="0" w:type="dxa"/>
              <w:right w:w="0" w:type="dxa"/>
            </w:tcMar>
            <w:vAlign w:val="center"/>
          </w:tcPr>
          <w:p w:rsidR="00DB7CC8" w:rsidRDefault="002B5250">
            <w:pPr>
              <w:pStyle w:val="afffffffc"/>
              <w:spacing w:line="240" w:lineRule="auto"/>
            </w:pPr>
            <w:r>
              <w:t>NO</w:t>
            </w:r>
            <w:r>
              <w:rPr>
                <w:vertAlign w:val="subscript"/>
              </w:rPr>
              <w:t>X</w:t>
            </w:r>
            <w:r>
              <w:t>：（）</w:t>
            </w:r>
            <w:r>
              <w:t>t/a</w:t>
            </w:r>
          </w:p>
        </w:tc>
        <w:tc>
          <w:tcPr>
            <w:tcW w:w="1276" w:type="dxa"/>
            <w:gridSpan w:val="6"/>
            <w:shd w:val="clear" w:color="auto" w:fill="auto"/>
            <w:tcMar>
              <w:left w:w="0" w:type="dxa"/>
              <w:right w:w="0" w:type="dxa"/>
            </w:tcMar>
            <w:vAlign w:val="center"/>
          </w:tcPr>
          <w:p w:rsidR="00DB7CC8" w:rsidRDefault="002B5250">
            <w:pPr>
              <w:pStyle w:val="afffffffc"/>
              <w:spacing w:line="240" w:lineRule="auto"/>
            </w:pPr>
            <w:r>
              <w:t>颗粒物：</w:t>
            </w:r>
          </w:p>
          <w:p w:rsidR="00DB7CC8" w:rsidRDefault="002B5250">
            <w:pPr>
              <w:pStyle w:val="afffffffc"/>
              <w:spacing w:line="240" w:lineRule="auto"/>
            </w:pPr>
            <w:r>
              <w:t>（</w:t>
            </w:r>
            <w:r>
              <w:rPr>
                <w:rFonts w:hint="eastAsia"/>
              </w:rPr>
              <w:t>6.032</w:t>
            </w:r>
            <w:r>
              <w:t>）</w:t>
            </w:r>
            <w:r>
              <w:t>t/a</w:t>
            </w:r>
          </w:p>
        </w:tc>
        <w:tc>
          <w:tcPr>
            <w:tcW w:w="1325" w:type="dxa"/>
            <w:gridSpan w:val="4"/>
            <w:shd w:val="clear" w:color="auto" w:fill="auto"/>
            <w:tcMar>
              <w:left w:w="0" w:type="dxa"/>
              <w:right w:w="0" w:type="dxa"/>
            </w:tcMar>
            <w:vAlign w:val="center"/>
          </w:tcPr>
          <w:p w:rsidR="00DB7CC8" w:rsidRDefault="002B5250">
            <w:pPr>
              <w:pStyle w:val="afffffffc"/>
              <w:spacing w:line="240" w:lineRule="auto"/>
            </w:pPr>
            <w:r>
              <w:t>VOCs</w:t>
            </w:r>
            <w:r>
              <w:t>：（）</w:t>
            </w:r>
            <w:r>
              <w:t>t/a</w:t>
            </w:r>
          </w:p>
        </w:tc>
      </w:tr>
      <w:tr w:rsidR="00DB7CC8">
        <w:tc>
          <w:tcPr>
            <w:tcW w:w="8521" w:type="dxa"/>
            <w:gridSpan w:val="28"/>
            <w:shd w:val="clear" w:color="auto" w:fill="auto"/>
            <w:vAlign w:val="center"/>
          </w:tcPr>
          <w:p w:rsidR="00DB7CC8" w:rsidRDefault="002B5250">
            <w:pPr>
              <w:pStyle w:val="afffffffc"/>
              <w:spacing w:line="240" w:lineRule="auto"/>
            </w:pPr>
            <w:r>
              <w:t>注：</w:t>
            </w:r>
            <w:r>
              <w:t>“</w:t>
            </w:r>
            <w:r>
              <w:rPr>
                <w:rFonts w:ascii="宋体" w:hAnsi="宋体" w:hint="eastAsia"/>
              </w:rPr>
              <w:t>□</w:t>
            </w:r>
            <w:r>
              <w:t>”</w:t>
            </w:r>
            <w:r>
              <w:t>为勾选项，填</w:t>
            </w:r>
            <w:r>
              <w:t>“√”</w:t>
            </w:r>
            <w:r>
              <w:t>；</w:t>
            </w:r>
            <w:r>
              <w:t>“</w:t>
            </w:r>
            <w:r>
              <w:t>（）</w:t>
            </w:r>
            <w:r>
              <w:t>”</w:t>
            </w:r>
            <w:r>
              <w:t>为内容填写</w:t>
            </w:r>
            <w:r>
              <w:rPr>
                <w:rFonts w:hint="eastAsia"/>
              </w:rPr>
              <w:t>项</w:t>
            </w:r>
          </w:p>
        </w:tc>
      </w:tr>
    </w:tbl>
    <w:p w:rsidR="00DB7CC8" w:rsidRDefault="002B5250">
      <w:pPr>
        <w:pStyle w:val="4"/>
        <w:numPr>
          <w:ilvl w:val="3"/>
          <w:numId w:val="1"/>
        </w:numPr>
        <w:ind w:left="709" w:hanging="709"/>
        <w:rPr>
          <w:rFonts w:eastAsia="宋体"/>
          <w:b/>
        </w:rPr>
      </w:pPr>
      <w:bookmarkStart w:id="385" w:name="_Toc521591798"/>
      <w:bookmarkStart w:id="386" w:name="_Toc12898"/>
      <w:r>
        <w:rPr>
          <w:rFonts w:eastAsia="宋体"/>
          <w:b/>
          <w:lang w:val="zh-CN"/>
        </w:rPr>
        <w:t>大气环境信息公开内容</w:t>
      </w:r>
    </w:p>
    <w:p w:rsidR="00DB7CC8" w:rsidRDefault="002B5250">
      <w:pPr>
        <w:pStyle w:val="af2"/>
        <w:spacing w:after="0"/>
        <w:ind w:firstLine="480"/>
        <w:jc w:val="both"/>
        <w:rPr>
          <w:bCs/>
          <w:sz w:val="24"/>
          <w:szCs w:val="24"/>
        </w:rPr>
      </w:pPr>
      <w:r>
        <w:rPr>
          <w:rFonts w:hint="eastAsia"/>
          <w:bCs/>
          <w:sz w:val="24"/>
          <w:szCs w:val="24"/>
        </w:rPr>
        <w:t>本项目自行监测信息公开内容及方式按照《企业事业单位环境信息公开办法》（环境保护令第</w:t>
      </w:r>
      <w:r>
        <w:rPr>
          <w:bCs/>
          <w:sz w:val="24"/>
          <w:szCs w:val="24"/>
        </w:rPr>
        <w:t>31</w:t>
      </w:r>
      <w:r>
        <w:rPr>
          <w:bCs/>
          <w:sz w:val="24"/>
          <w:szCs w:val="24"/>
        </w:rPr>
        <w:t>号）及《国家重点监控企业自行监测及信息公开办法（试行）》（环发</w:t>
      </w:r>
      <w:r>
        <w:rPr>
          <w:bCs/>
          <w:sz w:val="24"/>
          <w:szCs w:val="24"/>
        </w:rPr>
        <w:t>[2013]81</w:t>
      </w:r>
      <w:r>
        <w:rPr>
          <w:bCs/>
          <w:sz w:val="24"/>
          <w:szCs w:val="24"/>
        </w:rPr>
        <w:t>号）执行。具体公开内容如表</w:t>
      </w:r>
      <w:r>
        <w:rPr>
          <w:bCs/>
          <w:sz w:val="24"/>
          <w:szCs w:val="24"/>
        </w:rPr>
        <w:t>5.2-</w:t>
      </w:r>
      <w:r>
        <w:rPr>
          <w:rFonts w:hint="eastAsia"/>
          <w:bCs/>
          <w:sz w:val="24"/>
          <w:szCs w:val="24"/>
        </w:rPr>
        <w:t>8</w:t>
      </w:r>
      <w:r>
        <w:rPr>
          <w:bCs/>
          <w:sz w:val="24"/>
          <w:szCs w:val="24"/>
        </w:rPr>
        <w:t>：</w:t>
      </w:r>
    </w:p>
    <w:p w:rsidR="00DB7CC8" w:rsidRDefault="002B5250">
      <w:pPr>
        <w:pStyle w:val="af2"/>
        <w:spacing w:after="0"/>
        <w:ind w:firstLine="420"/>
        <w:jc w:val="center"/>
        <w:rPr>
          <w:rFonts w:eastAsia="黑体"/>
          <w:kern w:val="2"/>
          <w:sz w:val="21"/>
          <w:szCs w:val="21"/>
        </w:rPr>
      </w:pPr>
      <w:r>
        <w:rPr>
          <w:rFonts w:eastAsia="黑体" w:hint="eastAsia"/>
          <w:kern w:val="2"/>
          <w:sz w:val="21"/>
          <w:szCs w:val="21"/>
        </w:rPr>
        <w:t>表</w:t>
      </w:r>
      <w:r>
        <w:rPr>
          <w:rFonts w:eastAsia="黑体" w:hint="eastAsia"/>
          <w:kern w:val="2"/>
          <w:sz w:val="21"/>
          <w:szCs w:val="21"/>
        </w:rPr>
        <w:t xml:space="preserve">5.2-8    </w:t>
      </w:r>
      <w:r>
        <w:rPr>
          <w:rFonts w:eastAsia="黑体" w:hint="eastAsia"/>
          <w:kern w:val="2"/>
          <w:sz w:val="21"/>
          <w:szCs w:val="21"/>
        </w:rPr>
        <w:t>项目大气环境信息公开表</w:t>
      </w:r>
    </w:p>
    <w:tbl>
      <w:tblPr>
        <w:tblW w:w="8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701"/>
        <w:gridCol w:w="6140"/>
      </w:tblGrid>
      <w:tr w:rsidR="00DB7CC8">
        <w:tc>
          <w:tcPr>
            <w:tcW w:w="1101" w:type="dxa"/>
            <w:shd w:val="clear" w:color="auto" w:fill="auto"/>
            <w:vAlign w:val="center"/>
          </w:tcPr>
          <w:p w:rsidR="00DB7CC8" w:rsidRDefault="002B5250">
            <w:pPr>
              <w:snapToGrid w:val="0"/>
              <w:ind w:firstLineChars="0" w:firstLine="0"/>
              <w:jc w:val="center"/>
              <w:rPr>
                <w:kern w:val="2"/>
                <w:sz w:val="21"/>
                <w:szCs w:val="21"/>
              </w:rPr>
            </w:pPr>
            <w:r>
              <w:rPr>
                <w:rFonts w:hint="eastAsia"/>
                <w:bCs/>
                <w:sz w:val="21"/>
                <w:szCs w:val="21"/>
              </w:rPr>
              <w:t>序号</w:t>
            </w:r>
          </w:p>
        </w:tc>
        <w:tc>
          <w:tcPr>
            <w:tcW w:w="1701" w:type="dxa"/>
            <w:shd w:val="clear" w:color="auto" w:fill="auto"/>
            <w:vAlign w:val="center"/>
          </w:tcPr>
          <w:p w:rsidR="00DB7CC8" w:rsidRDefault="002B5250">
            <w:pPr>
              <w:snapToGrid w:val="0"/>
              <w:ind w:firstLineChars="0" w:firstLine="0"/>
              <w:jc w:val="center"/>
              <w:rPr>
                <w:kern w:val="2"/>
                <w:sz w:val="21"/>
                <w:szCs w:val="21"/>
              </w:rPr>
            </w:pPr>
            <w:r>
              <w:rPr>
                <w:bCs/>
                <w:sz w:val="21"/>
                <w:szCs w:val="21"/>
              </w:rPr>
              <w:t>公开信息</w:t>
            </w:r>
          </w:p>
        </w:tc>
        <w:tc>
          <w:tcPr>
            <w:tcW w:w="6140" w:type="dxa"/>
            <w:shd w:val="clear" w:color="auto" w:fill="auto"/>
            <w:vAlign w:val="center"/>
          </w:tcPr>
          <w:p w:rsidR="00DB7CC8" w:rsidRDefault="002B5250">
            <w:pPr>
              <w:snapToGrid w:val="0"/>
              <w:ind w:firstLineChars="0" w:firstLine="0"/>
              <w:jc w:val="center"/>
              <w:rPr>
                <w:kern w:val="2"/>
                <w:sz w:val="21"/>
                <w:szCs w:val="21"/>
              </w:rPr>
            </w:pPr>
            <w:r>
              <w:rPr>
                <w:bCs/>
                <w:sz w:val="21"/>
                <w:szCs w:val="21"/>
              </w:rPr>
              <w:t>内容</w:t>
            </w:r>
          </w:p>
        </w:tc>
      </w:tr>
      <w:tr w:rsidR="00DB7CC8">
        <w:tc>
          <w:tcPr>
            <w:tcW w:w="1101" w:type="dxa"/>
            <w:shd w:val="clear" w:color="auto" w:fill="auto"/>
            <w:vAlign w:val="center"/>
          </w:tcPr>
          <w:p w:rsidR="00DB7CC8" w:rsidRDefault="002B5250">
            <w:pPr>
              <w:snapToGrid w:val="0"/>
              <w:ind w:firstLineChars="0" w:firstLine="0"/>
              <w:jc w:val="center"/>
              <w:rPr>
                <w:kern w:val="2"/>
                <w:sz w:val="21"/>
                <w:szCs w:val="21"/>
              </w:rPr>
            </w:pPr>
            <w:r>
              <w:rPr>
                <w:rFonts w:hint="eastAsia"/>
                <w:kern w:val="2"/>
                <w:sz w:val="21"/>
                <w:szCs w:val="21"/>
              </w:rPr>
              <w:t>1</w:t>
            </w:r>
          </w:p>
        </w:tc>
        <w:tc>
          <w:tcPr>
            <w:tcW w:w="1701" w:type="dxa"/>
            <w:shd w:val="clear" w:color="auto" w:fill="auto"/>
            <w:vAlign w:val="center"/>
          </w:tcPr>
          <w:p w:rsidR="00DB7CC8" w:rsidRDefault="002B5250">
            <w:pPr>
              <w:snapToGrid w:val="0"/>
              <w:ind w:firstLineChars="0" w:firstLine="0"/>
              <w:jc w:val="center"/>
              <w:rPr>
                <w:kern w:val="2"/>
                <w:sz w:val="21"/>
                <w:szCs w:val="21"/>
              </w:rPr>
            </w:pPr>
            <w:r>
              <w:rPr>
                <w:bCs/>
                <w:sz w:val="21"/>
                <w:szCs w:val="21"/>
              </w:rPr>
              <w:t>基础信息</w:t>
            </w:r>
          </w:p>
        </w:tc>
        <w:tc>
          <w:tcPr>
            <w:tcW w:w="6140" w:type="dxa"/>
            <w:shd w:val="clear" w:color="auto" w:fill="auto"/>
            <w:vAlign w:val="center"/>
          </w:tcPr>
          <w:p w:rsidR="00DB7CC8" w:rsidRDefault="002B5250">
            <w:pPr>
              <w:snapToGrid w:val="0"/>
              <w:ind w:firstLineChars="0" w:firstLine="0"/>
              <w:jc w:val="center"/>
              <w:rPr>
                <w:kern w:val="2"/>
                <w:sz w:val="21"/>
                <w:szCs w:val="21"/>
              </w:rPr>
            </w:pPr>
            <w:r>
              <w:rPr>
                <w:bCs/>
                <w:sz w:val="21"/>
                <w:szCs w:val="21"/>
              </w:rPr>
              <w:t>单位名称、组织机构代码、法定代表人、生产地址、联系方式，以及生产经营和管理服务的主要内容、产品及规模</w:t>
            </w:r>
          </w:p>
        </w:tc>
      </w:tr>
      <w:tr w:rsidR="00DB7CC8">
        <w:tc>
          <w:tcPr>
            <w:tcW w:w="1101" w:type="dxa"/>
            <w:shd w:val="clear" w:color="auto" w:fill="auto"/>
            <w:vAlign w:val="center"/>
          </w:tcPr>
          <w:p w:rsidR="00DB7CC8" w:rsidRDefault="002B5250">
            <w:pPr>
              <w:snapToGrid w:val="0"/>
              <w:ind w:firstLineChars="0" w:firstLine="0"/>
              <w:jc w:val="center"/>
              <w:rPr>
                <w:kern w:val="2"/>
                <w:sz w:val="21"/>
                <w:szCs w:val="21"/>
              </w:rPr>
            </w:pPr>
            <w:r>
              <w:rPr>
                <w:rFonts w:hint="eastAsia"/>
                <w:kern w:val="2"/>
                <w:sz w:val="21"/>
                <w:szCs w:val="21"/>
              </w:rPr>
              <w:t>2</w:t>
            </w:r>
          </w:p>
        </w:tc>
        <w:tc>
          <w:tcPr>
            <w:tcW w:w="1701" w:type="dxa"/>
            <w:shd w:val="clear" w:color="auto" w:fill="auto"/>
            <w:vAlign w:val="center"/>
          </w:tcPr>
          <w:p w:rsidR="00DB7CC8" w:rsidRDefault="002B5250">
            <w:pPr>
              <w:snapToGrid w:val="0"/>
              <w:ind w:firstLineChars="0" w:firstLine="0"/>
              <w:jc w:val="center"/>
              <w:rPr>
                <w:kern w:val="2"/>
                <w:sz w:val="21"/>
                <w:szCs w:val="21"/>
              </w:rPr>
            </w:pPr>
            <w:r>
              <w:rPr>
                <w:bCs/>
                <w:sz w:val="21"/>
                <w:szCs w:val="21"/>
              </w:rPr>
              <w:t>排污信息</w:t>
            </w:r>
          </w:p>
        </w:tc>
        <w:tc>
          <w:tcPr>
            <w:tcW w:w="6140" w:type="dxa"/>
            <w:shd w:val="clear" w:color="auto" w:fill="auto"/>
            <w:vAlign w:val="center"/>
          </w:tcPr>
          <w:p w:rsidR="00DB7CC8" w:rsidRDefault="002B5250">
            <w:pPr>
              <w:snapToGrid w:val="0"/>
              <w:ind w:firstLineChars="0" w:firstLine="0"/>
              <w:jc w:val="center"/>
              <w:rPr>
                <w:kern w:val="2"/>
                <w:sz w:val="21"/>
                <w:szCs w:val="21"/>
              </w:rPr>
            </w:pPr>
            <w:r>
              <w:rPr>
                <w:bCs/>
                <w:sz w:val="21"/>
                <w:szCs w:val="21"/>
              </w:rPr>
              <w:t>主要污染物及特征污染物的名称、排放方式、排放口数量和分布情况、排放浓度和总量、超标情况，以及执行的污染物排放标准、核定的排放总量</w:t>
            </w:r>
          </w:p>
        </w:tc>
      </w:tr>
      <w:tr w:rsidR="00DB7CC8">
        <w:tc>
          <w:tcPr>
            <w:tcW w:w="1101" w:type="dxa"/>
            <w:shd w:val="clear" w:color="auto" w:fill="auto"/>
            <w:vAlign w:val="center"/>
          </w:tcPr>
          <w:p w:rsidR="00DB7CC8" w:rsidRDefault="002B5250">
            <w:pPr>
              <w:snapToGrid w:val="0"/>
              <w:ind w:firstLineChars="0" w:firstLine="0"/>
              <w:jc w:val="center"/>
              <w:rPr>
                <w:kern w:val="2"/>
                <w:sz w:val="21"/>
                <w:szCs w:val="21"/>
              </w:rPr>
            </w:pPr>
            <w:r>
              <w:rPr>
                <w:rFonts w:hint="eastAsia"/>
                <w:kern w:val="2"/>
                <w:sz w:val="21"/>
                <w:szCs w:val="21"/>
              </w:rPr>
              <w:lastRenderedPageBreak/>
              <w:t>3</w:t>
            </w:r>
          </w:p>
        </w:tc>
        <w:tc>
          <w:tcPr>
            <w:tcW w:w="1701" w:type="dxa"/>
            <w:shd w:val="clear" w:color="auto" w:fill="auto"/>
            <w:vAlign w:val="center"/>
          </w:tcPr>
          <w:p w:rsidR="00DB7CC8" w:rsidRDefault="002B5250">
            <w:pPr>
              <w:snapToGrid w:val="0"/>
              <w:ind w:firstLineChars="0" w:firstLine="0"/>
              <w:jc w:val="center"/>
              <w:rPr>
                <w:kern w:val="2"/>
                <w:sz w:val="21"/>
                <w:szCs w:val="21"/>
              </w:rPr>
            </w:pPr>
            <w:r>
              <w:rPr>
                <w:bCs/>
                <w:sz w:val="21"/>
                <w:szCs w:val="21"/>
              </w:rPr>
              <w:t>污染防治设施</w:t>
            </w:r>
          </w:p>
        </w:tc>
        <w:tc>
          <w:tcPr>
            <w:tcW w:w="6140" w:type="dxa"/>
            <w:shd w:val="clear" w:color="auto" w:fill="auto"/>
            <w:vAlign w:val="center"/>
          </w:tcPr>
          <w:p w:rsidR="00DB7CC8" w:rsidRDefault="002B5250">
            <w:pPr>
              <w:snapToGrid w:val="0"/>
              <w:ind w:firstLineChars="0" w:firstLine="0"/>
              <w:jc w:val="center"/>
              <w:rPr>
                <w:kern w:val="2"/>
                <w:sz w:val="21"/>
                <w:szCs w:val="21"/>
              </w:rPr>
            </w:pPr>
            <w:r>
              <w:rPr>
                <w:rFonts w:hint="eastAsia"/>
                <w:bCs/>
                <w:sz w:val="21"/>
                <w:szCs w:val="21"/>
              </w:rPr>
              <w:t>污</w:t>
            </w:r>
            <w:r>
              <w:rPr>
                <w:bCs/>
                <w:sz w:val="21"/>
                <w:szCs w:val="21"/>
              </w:rPr>
              <w:t>染防治设施的建设和运行情况</w:t>
            </w:r>
          </w:p>
        </w:tc>
      </w:tr>
      <w:tr w:rsidR="00DB7CC8">
        <w:tc>
          <w:tcPr>
            <w:tcW w:w="1101" w:type="dxa"/>
            <w:shd w:val="clear" w:color="auto" w:fill="auto"/>
            <w:vAlign w:val="center"/>
          </w:tcPr>
          <w:p w:rsidR="00DB7CC8" w:rsidRDefault="002B5250">
            <w:pPr>
              <w:snapToGrid w:val="0"/>
              <w:ind w:firstLineChars="0" w:firstLine="0"/>
              <w:jc w:val="center"/>
              <w:rPr>
                <w:kern w:val="2"/>
                <w:sz w:val="21"/>
                <w:szCs w:val="21"/>
              </w:rPr>
            </w:pPr>
            <w:r>
              <w:rPr>
                <w:rFonts w:hint="eastAsia"/>
                <w:kern w:val="2"/>
                <w:sz w:val="21"/>
                <w:szCs w:val="21"/>
              </w:rPr>
              <w:t>4</w:t>
            </w:r>
          </w:p>
        </w:tc>
        <w:tc>
          <w:tcPr>
            <w:tcW w:w="1701" w:type="dxa"/>
            <w:shd w:val="clear" w:color="auto" w:fill="auto"/>
            <w:vAlign w:val="center"/>
          </w:tcPr>
          <w:p w:rsidR="00DB7CC8" w:rsidRDefault="002B5250">
            <w:pPr>
              <w:snapToGrid w:val="0"/>
              <w:ind w:firstLineChars="0" w:firstLine="0"/>
              <w:jc w:val="center"/>
              <w:rPr>
                <w:bCs/>
                <w:sz w:val="21"/>
                <w:szCs w:val="21"/>
              </w:rPr>
            </w:pPr>
            <w:r>
              <w:rPr>
                <w:bCs/>
                <w:sz w:val="21"/>
                <w:szCs w:val="21"/>
              </w:rPr>
              <w:t>环保手续</w:t>
            </w:r>
          </w:p>
        </w:tc>
        <w:tc>
          <w:tcPr>
            <w:tcW w:w="6140" w:type="dxa"/>
            <w:shd w:val="clear" w:color="auto" w:fill="auto"/>
            <w:vAlign w:val="center"/>
          </w:tcPr>
          <w:p w:rsidR="00DB7CC8" w:rsidRDefault="002B5250">
            <w:pPr>
              <w:snapToGrid w:val="0"/>
              <w:ind w:firstLineChars="0" w:firstLine="0"/>
              <w:jc w:val="center"/>
              <w:rPr>
                <w:bCs/>
                <w:sz w:val="21"/>
                <w:szCs w:val="21"/>
              </w:rPr>
            </w:pPr>
            <w:r>
              <w:rPr>
                <w:bCs/>
                <w:sz w:val="21"/>
                <w:szCs w:val="21"/>
              </w:rPr>
              <w:t>建设项目环境影响评价及其他环境保护行政许可情况</w:t>
            </w:r>
          </w:p>
        </w:tc>
      </w:tr>
    </w:tbl>
    <w:p w:rsidR="00DB7CC8" w:rsidRDefault="002B5250">
      <w:pPr>
        <w:pStyle w:val="3"/>
        <w:numPr>
          <w:ilvl w:val="2"/>
          <w:numId w:val="1"/>
        </w:numPr>
        <w:spacing w:beforeLines="50" w:before="120"/>
        <w:rPr>
          <w:szCs w:val="28"/>
        </w:rPr>
      </w:pPr>
      <w:r>
        <w:rPr>
          <w:szCs w:val="28"/>
        </w:rPr>
        <w:t>地表水环境影响评价</w:t>
      </w:r>
      <w:bookmarkEnd w:id="385"/>
      <w:bookmarkEnd w:id="386"/>
    </w:p>
    <w:p w:rsidR="00DB7CC8" w:rsidRDefault="002B5250">
      <w:pPr>
        <w:ind w:firstLine="480"/>
        <w:jc w:val="both"/>
        <w:rPr>
          <w:bCs/>
          <w:sz w:val="24"/>
          <w:szCs w:val="24"/>
        </w:rPr>
      </w:pPr>
      <w:r>
        <w:rPr>
          <w:bCs/>
          <w:sz w:val="24"/>
          <w:szCs w:val="24"/>
        </w:rPr>
        <w:t>（</w:t>
      </w:r>
      <w:r>
        <w:rPr>
          <w:bCs/>
          <w:sz w:val="24"/>
          <w:szCs w:val="24"/>
        </w:rPr>
        <w:t>1</w:t>
      </w:r>
      <w:r>
        <w:rPr>
          <w:bCs/>
          <w:sz w:val="24"/>
          <w:szCs w:val="24"/>
        </w:rPr>
        <w:t>）生活污水</w:t>
      </w:r>
    </w:p>
    <w:p w:rsidR="00DB7CC8" w:rsidRDefault="002B5250">
      <w:pPr>
        <w:ind w:firstLine="480"/>
        <w:jc w:val="both"/>
        <w:rPr>
          <w:bCs/>
          <w:sz w:val="24"/>
          <w:szCs w:val="24"/>
        </w:rPr>
      </w:pPr>
      <w:r>
        <w:rPr>
          <w:bCs/>
          <w:sz w:val="24"/>
          <w:szCs w:val="24"/>
        </w:rPr>
        <w:t>本项目</w:t>
      </w:r>
      <w:r>
        <w:rPr>
          <w:rFonts w:hint="eastAsia"/>
          <w:bCs/>
          <w:sz w:val="24"/>
          <w:szCs w:val="24"/>
        </w:rPr>
        <w:t>不新增劳动定员，</w:t>
      </w:r>
      <w:r>
        <w:rPr>
          <w:bCs/>
          <w:sz w:val="24"/>
          <w:szCs w:val="24"/>
        </w:rPr>
        <w:t>生活污水产生量</w:t>
      </w:r>
      <w:r>
        <w:rPr>
          <w:rFonts w:hint="eastAsia"/>
          <w:bCs/>
          <w:sz w:val="24"/>
          <w:szCs w:val="24"/>
        </w:rPr>
        <w:t>不变</w:t>
      </w:r>
      <w:r>
        <w:rPr>
          <w:bCs/>
          <w:sz w:val="24"/>
          <w:szCs w:val="24"/>
        </w:rPr>
        <w:t>。生活污水中员工盥洗废水，经收集后，用于厂区道路洒水抑尘，不外排；</w:t>
      </w:r>
      <w:r>
        <w:rPr>
          <w:sz w:val="24"/>
          <w:szCs w:val="24"/>
        </w:rPr>
        <w:t>厂区设防渗旱厕，</w:t>
      </w:r>
      <w:bookmarkStart w:id="387" w:name="_Hlk522131646"/>
      <w:r>
        <w:rPr>
          <w:sz w:val="24"/>
          <w:szCs w:val="24"/>
        </w:rPr>
        <w:t>定期清掏用于肥田，不外排。</w:t>
      </w:r>
      <w:bookmarkEnd w:id="387"/>
    </w:p>
    <w:p w:rsidR="00DB7CC8" w:rsidRDefault="002B5250">
      <w:pPr>
        <w:ind w:firstLine="480"/>
        <w:jc w:val="both"/>
        <w:rPr>
          <w:bCs/>
          <w:sz w:val="24"/>
          <w:szCs w:val="24"/>
        </w:rPr>
      </w:pPr>
      <w:r>
        <w:rPr>
          <w:bCs/>
          <w:sz w:val="24"/>
          <w:szCs w:val="24"/>
        </w:rPr>
        <w:t>（</w:t>
      </w:r>
      <w:r>
        <w:rPr>
          <w:bCs/>
          <w:sz w:val="24"/>
          <w:szCs w:val="24"/>
        </w:rPr>
        <w:t>2</w:t>
      </w:r>
      <w:r>
        <w:rPr>
          <w:bCs/>
          <w:sz w:val="24"/>
          <w:szCs w:val="24"/>
        </w:rPr>
        <w:t>）生产废水</w:t>
      </w:r>
    </w:p>
    <w:p w:rsidR="00DB7CC8" w:rsidRDefault="002B5250">
      <w:pPr>
        <w:autoSpaceDE w:val="0"/>
        <w:autoSpaceDN w:val="0"/>
        <w:ind w:firstLine="480"/>
        <w:jc w:val="both"/>
        <w:textAlignment w:val="auto"/>
        <w:rPr>
          <w:bCs/>
          <w:sz w:val="24"/>
          <w:szCs w:val="24"/>
        </w:rPr>
      </w:pPr>
      <w:r>
        <w:rPr>
          <w:bCs/>
          <w:sz w:val="24"/>
          <w:szCs w:val="24"/>
        </w:rPr>
        <w:t>本项目磁选过程为湿式磁选，铁精粉过滤水和尾矿浆均通过管道排入旋流罐，旋流罐上清液再经浓密池处理、</w:t>
      </w:r>
      <w:r>
        <w:rPr>
          <w:rFonts w:hint="eastAsia"/>
          <w:bCs/>
          <w:sz w:val="24"/>
          <w:szCs w:val="24"/>
        </w:rPr>
        <w:t>旋流罐底流</w:t>
      </w:r>
      <w:r>
        <w:rPr>
          <w:bCs/>
          <w:sz w:val="24"/>
          <w:szCs w:val="24"/>
        </w:rPr>
        <w:t>经</w:t>
      </w:r>
      <w:r>
        <w:rPr>
          <w:rFonts w:hint="eastAsia"/>
          <w:bCs/>
          <w:sz w:val="24"/>
          <w:szCs w:val="24"/>
        </w:rPr>
        <w:t>脱水</w:t>
      </w:r>
      <w:r>
        <w:rPr>
          <w:bCs/>
          <w:sz w:val="24"/>
          <w:szCs w:val="24"/>
        </w:rPr>
        <w:t>筛处理</w:t>
      </w:r>
      <w:r>
        <w:rPr>
          <w:rFonts w:hint="eastAsia"/>
          <w:bCs/>
          <w:sz w:val="24"/>
          <w:szCs w:val="24"/>
        </w:rPr>
        <w:t>、浓密池底流经压滤机处理后</w:t>
      </w:r>
      <w:r>
        <w:rPr>
          <w:bCs/>
          <w:sz w:val="24"/>
          <w:szCs w:val="24"/>
        </w:rPr>
        <w:t>，实现尾矿浆中的水分与大颗粒尾矿砂分离。最终，浓密池的上清液、</w:t>
      </w:r>
      <w:r>
        <w:rPr>
          <w:rFonts w:hint="eastAsia"/>
          <w:bCs/>
          <w:sz w:val="24"/>
          <w:szCs w:val="24"/>
        </w:rPr>
        <w:t>压滤机</w:t>
      </w:r>
      <w:r>
        <w:rPr>
          <w:bCs/>
          <w:sz w:val="24"/>
          <w:szCs w:val="24"/>
        </w:rPr>
        <w:t>的滤液经管道汇集于清水池暂存，回用于生产，形成闭路循环，不外排，不会对周边地表水水环境造成污染影响。</w:t>
      </w:r>
    </w:p>
    <w:p w:rsidR="00DB7CC8" w:rsidRDefault="002B5250">
      <w:pPr>
        <w:ind w:firstLine="480"/>
        <w:jc w:val="both"/>
        <w:rPr>
          <w:bCs/>
          <w:sz w:val="24"/>
          <w:szCs w:val="24"/>
        </w:rPr>
      </w:pPr>
      <w:bookmarkStart w:id="388" w:name="_Hlk535600595"/>
      <w:r>
        <w:rPr>
          <w:bCs/>
          <w:sz w:val="24"/>
          <w:szCs w:val="24"/>
        </w:rPr>
        <w:t>（</w:t>
      </w:r>
      <w:r>
        <w:rPr>
          <w:bCs/>
          <w:sz w:val="24"/>
          <w:szCs w:val="24"/>
        </w:rPr>
        <w:t>3</w:t>
      </w:r>
      <w:r>
        <w:rPr>
          <w:bCs/>
          <w:sz w:val="24"/>
          <w:szCs w:val="24"/>
        </w:rPr>
        <w:t>）车间地面清洗废水</w:t>
      </w:r>
    </w:p>
    <w:p w:rsidR="00DB7CC8" w:rsidRDefault="002B5250">
      <w:pPr>
        <w:ind w:firstLine="480"/>
        <w:jc w:val="both"/>
        <w:rPr>
          <w:bCs/>
          <w:sz w:val="24"/>
          <w:szCs w:val="24"/>
        </w:rPr>
      </w:pPr>
      <w:r>
        <w:rPr>
          <w:bCs/>
          <w:sz w:val="24"/>
          <w:szCs w:val="24"/>
        </w:rPr>
        <w:t>车间地面清洗废水经管道排入浓密池，经沉淀处理后，上清液排入清水池，回用于生产工序，不外排。</w:t>
      </w:r>
    </w:p>
    <w:p w:rsidR="00DB7CC8" w:rsidRDefault="002B5250">
      <w:pPr>
        <w:ind w:firstLine="480"/>
        <w:jc w:val="both"/>
        <w:rPr>
          <w:bCs/>
          <w:sz w:val="24"/>
          <w:szCs w:val="24"/>
        </w:rPr>
      </w:pPr>
      <w:r>
        <w:rPr>
          <w:bCs/>
          <w:sz w:val="24"/>
          <w:szCs w:val="24"/>
        </w:rPr>
        <w:t>（</w:t>
      </w:r>
      <w:r>
        <w:rPr>
          <w:bCs/>
          <w:sz w:val="24"/>
          <w:szCs w:val="24"/>
        </w:rPr>
        <w:t>4</w:t>
      </w:r>
      <w:r>
        <w:rPr>
          <w:bCs/>
          <w:sz w:val="24"/>
          <w:szCs w:val="24"/>
        </w:rPr>
        <w:t>）洗车废水</w:t>
      </w:r>
    </w:p>
    <w:bookmarkEnd w:id="388"/>
    <w:p w:rsidR="00DB7CC8" w:rsidRDefault="002B5250">
      <w:pPr>
        <w:ind w:firstLine="480"/>
        <w:jc w:val="both"/>
        <w:rPr>
          <w:bCs/>
          <w:sz w:val="24"/>
          <w:szCs w:val="24"/>
        </w:rPr>
      </w:pPr>
      <w:r>
        <w:rPr>
          <w:bCs/>
          <w:sz w:val="24"/>
          <w:szCs w:val="24"/>
        </w:rPr>
        <w:t>本项目</w:t>
      </w:r>
      <w:r>
        <w:rPr>
          <w:bCs/>
          <w:sz w:val="24"/>
          <w:szCs w:val="24"/>
        </w:rPr>
        <w:t>为了减少车辆运输产生的粉尘，</w:t>
      </w:r>
      <w:r>
        <w:rPr>
          <w:rFonts w:hint="eastAsia"/>
          <w:bCs/>
          <w:sz w:val="24"/>
          <w:szCs w:val="24"/>
        </w:rPr>
        <w:t>在厂区门口、成品库、砂石库、原料库</w:t>
      </w:r>
      <w:r>
        <w:rPr>
          <w:bCs/>
          <w:sz w:val="24"/>
          <w:szCs w:val="24"/>
        </w:rPr>
        <w:t>设置</w:t>
      </w:r>
      <w:r>
        <w:rPr>
          <w:rFonts w:hint="eastAsia"/>
          <w:bCs/>
          <w:sz w:val="24"/>
          <w:szCs w:val="24"/>
        </w:rPr>
        <w:t>清洗装置</w:t>
      </w:r>
      <w:r>
        <w:rPr>
          <w:bCs/>
          <w:sz w:val="24"/>
          <w:szCs w:val="24"/>
        </w:rPr>
        <w:t>，洗车废水经沉淀池沉淀后，回用于洗车，不外排。</w:t>
      </w:r>
    </w:p>
    <w:p w:rsidR="00DB7CC8" w:rsidRDefault="002B5250">
      <w:pPr>
        <w:autoSpaceDE w:val="0"/>
        <w:autoSpaceDN w:val="0"/>
        <w:ind w:firstLine="480"/>
        <w:jc w:val="both"/>
        <w:textAlignment w:val="auto"/>
        <w:rPr>
          <w:bCs/>
          <w:sz w:val="24"/>
          <w:szCs w:val="24"/>
        </w:rPr>
      </w:pPr>
      <w:r>
        <w:rPr>
          <w:bCs/>
          <w:sz w:val="24"/>
          <w:szCs w:val="24"/>
        </w:rPr>
        <w:t>综上所述，本项目正常情况下生产废水及生活污水不外排，不会对周围地表水环境产生影响。</w:t>
      </w:r>
    </w:p>
    <w:p w:rsidR="00DB7CC8" w:rsidRDefault="002B5250">
      <w:pPr>
        <w:pStyle w:val="3"/>
        <w:numPr>
          <w:ilvl w:val="2"/>
          <w:numId w:val="1"/>
        </w:numPr>
        <w:rPr>
          <w:szCs w:val="28"/>
        </w:rPr>
      </w:pPr>
      <w:bookmarkStart w:id="389" w:name="_Toc13613"/>
      <w:bookmarkStart w:id="390" w:name="_Toc521591799"/>
      <w:r>
        <w:rPr>
          <w:szCs w:val="28"/>
        </w:rPr>
        <w:t>地下水环境影响预测与评价</w:t>
      </w:r>
      <w:bookmarkEnd w:id="389"/>
      <w:bookmarkEnd w:id="390"/>
    </w:p>
    <w:p w:rsidR="00DB7CC8" w:rsidRDefault="002B5250">
      <w:pPr>
        <w:ind w:firstLine="480"/>
        <w:rPr>
          <w:sz w:val="24"/>
        </w:rPr>
      </w:pPr>
      <w:r>
        <w:rPr>
          <w:sz w:val="24"/>
        </w:rPr>
        <w:t>根据建设项目自身性质及其对地下水环境影响的特点，为预测和评价项目建设对地下水环境可能造成的影响和危害，并针对这种影响和危害提出防治策略，从而达到预防与控制环境恶化、保护地下水资源的目的。本次工作将采用数值模拟法进行预测与评价。</w:t>
      </w:r>
    </w:p>
    <w:p w:rsidR="00DB7CC8" w:rsidRDefault="002B5250">
      <w:pPr>
        <w:ind w:firstLine="480"/>
        <w:rPr>
          <w:sz w:val="24"/>
        </w:rPr>
      </w:pPr>
      <w:r>
        <w:rPr>
          <w:sz w:val="24"/>
        </w:rPr>
        <w:t>总体思路是：在对评价区水文地质条件综合分析的基础上确</w:t>
      </w:r>
      <w:r>
        <w:rPr>
          <w:sz w:val="24"/>
        </w:rPr>
        <w:t>定模拟范围，通过边界条件、地下水流动特征及含水层系统结构的概化，建立评价区的水文地质概念模型，进一步采用有限差分原理进行空间离散、高程插值、非均质分区、边界条件设置等，从而构建评价区地下水渗流数值模型。利用已有的水位观测资料</w:t>
      </w:r>
      <w:r>
        <w:rPr>
          <w:sz w:val="24"/>
        </w:rPr>
        <w:lastRenderedPageBreak/>
        <w:t>及区域地下水运动规律，完成模型的识别验证。最后按照根据项目的特点，设计了污染泄漏情景，在地下水渗流数值模型的基础上耦合污染物迁移方程，得到地下水溶质运移模型，利用此模型对污染情景进行预测评价。</w:t>
      </w:r>
    </w:p>
    <w:p w:rsidR="00DB7CC8" w:rsidRDefault="002B5250">
      <w:pPr>
        <w:pStyle w:val="4"/>
        <w:numPr>
          <w:ilvl w:val="3"/>
          <w:numId w:val="1"/>
        </w:numPr>
        <w:ind w:left="709" w:hanging="709"/>
        <w:rPr>
          <w:rFonts w:eastAsia="宋体"/>
          <w:b/>
        </w:rPr>
      </w:pPr>
      <w:bookmarkStart w:id="391" w:name="_Toc468692994"/>
      <w:bookmarkStart w:id="392" w:name="_Toc521591800"/>
      <w:bookmarkStart w:id="393" w:name="_Toc31159"/>
      <w:r>
        <w:rPr>
          <w:rFonts w:eastAsia="宋体" w:hint="eastAsia"/>
          <w:b/>
        </w:rPr>
        <w:t>评价区水文地质特征</w:t>
      </w:r>
      <w:bookmarkEnd w:id="391"/>
    </w:p>
    <w:p w:rsidR="00DB7CC8" w:rsidRDefault="002B5250">
      <w:pPr>
        <w:spacing w:line="440" w:lineRule="atLeast"/>
        <w:ind w:firstLine="480"/>
        <w:rPr>
          <w:sz w:val="24"/>
        </w:rPr>
      </w:pPr>
      <w:bookmarkStart w:id="394" w:name="_Toc468692995"/>
      <w:r>
        <w:rPr>
          <w:rFonts w:hint="eastAsia"/>
          <w:sz w:val="24"/>
        </w:rPr>
        <w:t>（</w:t>
      </w:r>
      <w:r>
        <w:rPr>
          <w:rFonts w:hint="eastAsia"/>
          <w:sz w:val="24"/>
        </w:rPr>
        <w:t>1</w:t>
      </w:r>
      <w:r>
        <w:rPr>
          <w:rFonts w:hint="eastAsia"/>
          <w:sz w:val="24"/>
        </w:rPr>
        <w:t>）</w:t>
      </w:r>
      <w:r>
        <w:rPr>
          <w:rFonts w:hAnsi="宋体" w:hint="eastAsia"/>
          <w:sz w:val="24"/>
          <w:szCs w:val="24"/>
        </w:rPr>
        <w:t>含水层</w:t>
      </w:r>
      <w:r>
        <w:rPr>
          <w:rFonts w:hint="eastAsia"/>
          <w:sz w:val="24"/>
        </w:rPr>
        <w:t>（组）特征</w:t>
      </w:r>
      <w:bookmarkEnd w:id="394"/>
    </w:p>
    <w:p w:rsidR="00DB7CC8" w:rsidRDefault="002B5250">
      <w:pPr>
        <w:spacing w:line="440" w:lineRule="atLeast"/>
        <w:ind w:firstLine="480"/>
        <w:rPr>
          <w:sz w:val="24"/>
        </w:rPr>
      </w:pPr>
      <w:r>
        <w:rPr>
          <w:rFonts w:hint="eastAsia"/>
          <w:sz w:val="24"/>
        </w:rPr>
        <w:t>①</w:t>
      </w:r>
      <w:r>
        <w:rPr>
          <w:rFonts w:hAnsi="宋体"/>
          <w:sz w:val="24"/>
          <w:szCs w:val="24"/>
        </w:rPr>
        <w:t>评价</w:t>
      </w:r>
      <w:r>
        <w:rPr>
          <w:sz w:val="24"/>
        </w:rPr>
        <w:t>区地层</w:t>
      </w:r>
    </w:p>
    <w:p w:rsidR="00DB7CC8" w:rsidRDefault="002B5250">
      <w:pPr>
        <w:spacing w:line="440" w:lineRule="atLeast"/>
        <w:ind w:firstLine="480"/>
        <w:rPr>
          <w:sz w:val="24"/>
          <w:szCs w:val="24"/>
        </w:rPr>
      </w:pPr>
      <w:r>
        <w:rPr>
          <w:rFonts w:hAnsi="宋体" w:hint="eastAsia"/>
          <w:sz w:val="24"/>
          <w:szCs w:val="24"/>
        </w:rPr>
        <w:t>评价区周边出露地层主要包括第四系全新统（</w:t>
      </w:r>
      <w:r>
        <w:rPr>
          <w:rFonts w:hAnsi="宋体" w:hint="eastAsia"/>
          <w:sz w:val="24"/>
          <w:szCs w:val="24"/>
        </w:rPr>
        <w:t>Q</w:t>
      </w:r>
      <w:r>
        <w:rPr>
          <w:rFonts w:hAnsi="宋体" w:hint="eastAsia"/>
          <w:sz w:val="24"/>
          <w:szCs w:val="24"/>
          <w:vertAlign w:val="subscript"/>
        </w:rPr>
        <w:t>4</w:t>
      </w:r>
      <w:r>
        <w:rPr>
          <w:rFonts w:hAnsi="宋体" w:hint="eastAsia"/>
          <w:sz w:val="24"/>
          <w:szCs w:val="24"/>
          <w:vertAlign w:val="superscript"/>
        </w:rPr>
        <w:t>pl+al</w:t>
      </w:r>
      <w:r>
        <w:rPr>
          <w:rFonts w:hAnsi="宋体" w:hint="eastAsia"/>
          <w:sz w:val="24"/>
          <w:szCs w:val="24"/>
        </w:rPr>
        <w:t>）冲积、洪积地层，岩性主要为黄土状亚砂土、亚粘土夹砾石透镜体，广泛分布于研究区的中部，沿着黎河成片状分布；上更新统洪坡积层（</w:t>
      </w:r>
      <w:r>
        <w:rPr>
          <w:rFonts w:hAnsi="宋体" w:hint="eastAsia"/>
          <w:sz w:val="24"/>
          <w:szCs w:val="24"/>
        </w:rPr>
        <w:t>Q</w:t>
      </w:r>
      <w:r>
        <w:rPr>
          <w:rFonts w:hAnsi="宋体" w:hint="eastAsia"/>
          <w:sz w:val="24"/>
          <w:szCs w:val="24"/>
          <w:vertAlign w:val="subscript"/>
        </w:rPr>
        <w:t>3</w:t>
      </w:r>
      <w:r>
        <w:rPr>
          <w:rFonts w:hAnsi="宋体" w:hint="eastAsia"/>
          <w:sz w:val="24"/>
          <w:szCs w:val="24"/>
          <w:vertAlign w:val="superscript"/>
        </w:rPr>
        <w:t>pl+al</w:t>
      </w:r>
      <w:r>
        <w:rPr>
          <w:rFonts w:hAnsi="宋体" w:hint="eastAsia"/>
          <w:sz w:val="24"/>
          <w:szCs w:val="24"/>
        </w:rPr>
        <w:t>）岩性主要为粉砂、粗砂夹泥质粘土，广泛分布于研究区的东北部的黎河河谷和漫滩区；上更新统洪坡积层（</w:t>
      </w:r>
      <w:r>
        <w:rPr>
          <w:rFonts w:hAnsi="宋体" w:hint="eastAsia"/>
          <w:sz w:val="24"/>
          <w:szCs w:val="24"/>
        </w:rPr>
        <w:t>Q</w:t>
      </w:r>
      <w:r>
        <w:rPr>
          <w:rFonts w:hAnsi="宋体" w:hint="eastAsia"/>
          <w:sz w:val="24"/>
          <w:szCs w:val="24"/>
          <w:vertAlign w:val="subscript"/>
        </w:rPr>
        <w:t>3</w:t>
      </w:r>
      <w:r>
        <w:rPr>
          <w:rFonts w:hAnsi="宋体" w:hint="eastAsia"/>
          <w:sz w:val="24"/>
          <w:szCs w:val="24"/>
          <w:vertAlign w:val="superscript"/>
        </w:rPr>
        <w:t>pl+dl</w:t>
      </w:r>
      <w:r>
        <w:rPr>
          <w:rFonts w:hAnsi="宋体" w:hint="eastAsia"/>
          <w:sz w:val="24"/>
          <w:szCs w:val="24"/>
        </w:rPr>
        <w:t>）岩性主要为粉砂和泥质砂粘土，广泛分布于研究区的北部的阶地区（详见图</w:t>
      </w:r>
      <w:r>
        <w:rPr>
          <w:rFonts w:hAnsi="宋体"/>
          <w:sz w:val="24"/>
          <w:szCs w:val="24"/>
        </w:rPr>
        <w:t>5.2-6</w:t>
      </w:r>
      <w:r>
        <w:rPr>
          <w:rFonts w:hAnsi="宋体" w:hint="eastAsia"/>
          <w:sz w:val="24"/>
          <w:szCs w:val="24"/>
        </w:rPr>
        <w:t>）。评价区地层中全新统冲积层及冲洪积层（</w:t>
      </w:r>
      <w:r>
        <w:rPr>
          <w:rFonts w:hAnsi="宋体" w:hint="eastAsia"/>
          <w:sz w:val="24"/>
          <w:szCs w:val="24"/>
        </w:rPr>
        <w:t>Q</w:t>
      </w:r>
      <w:r>
        <w:rPr>
          <w:rFonts w:hAnsi="宋体" w:hint="eastAsia"/>
          <w:sz w:val="24"/>
          <w:szCs w:val="24"/>
          <w:vertAlign w:val="subscript"/>
        </w:rPr>
        <w:t>4</w:t>
      </w:r>
      <w:r>
        <w:rPr>
          <w:rFonts w:hAnsi="宋体" w:hint="eastAsia"/>
          <w:sz w:val="24"/>
          <w:szCs w:val="24"/>
          <w:vertAlign w:val="superscript"/>
        </w:rPr>
        <w:t>al+pl</w:t>
      </w:r>
      <w:r>
        <w:rPr>
          <w:rFonts w:hAnsi="宋体" w:hint="eastAsia"/>
          <w:sz w:val="24"/>
          <w:szCs w:val="24"/>
        </w:rPr>
        <w:t>）导水性和富水性较好，含水层厚度一般</w:t>
      </w:r>
      <w:r>
        <w:rPr>
          <w:rFonts w:hAnsi="宋体" w:hint="eastAsia"/>
          <w:sz w:val="24"/>
          <w:szCs w:val="24"/>
        </w:rPr>
        <w:t>15</w:t>
      </w:r>
      <w:r>
        <w:rPr>
          <w:rFonts w:ascii="宋体" w:hAnsi="宋体" w:hint="eastAsia"/>
          <w:sz w:val="24"/>
          <w:szCs w:val="24"/>
        </w:rPr>
        <w:t>-</w:t>
      </w:r>
      <w:r>
        <w:rPr>
          <w:rFonts w:hAnsi="宋体" w:hint="eastAsia"/>
          <w:sz w:val="24"/>
          <w:szCs w:val="24"/>
        </w:rPr>
        <w:t>20m</w:t>
      </w:r>
      <w:r>
        <w:rPr>
          <w:rFonts w:hAnsi="宋体" w:hint="eastAsia"/>
          <w:sz w:val="24"/>
          <w:szCs w:val="24"/>
        </w:rPr>
        <w:t>，</w:t>
      </w:r>
      <w:r>
        <w:rPr>
          <w:rFonts w:hint="eastAsia"/>
          <w:sz w:val="24"/>
          <w:szCs w:val="24"/>
        </w:rPr>
        <w:t>单井单位涌水量大于</w:t>
      </w:r>
      <w:r>
        <w:rPr>
          <w:rFonts w:hint="eastAsia"/>
          <w:sz w:val="24"/>
          <w:szCs w:val="24"/>
        </w:rPr>
        <w:t>2</w:t>
      </w:r>
      <w:r>
        <w:rPr>
          <w:sz w:val="24"/>
          <w:szCs w:val="24"/>
        </w:rPr>
        <w:t>00m</w:t>
      </w:r>
      <w:r>
        <w:rPr>
          <w:sz w:val="24"/>
          <w:szCs w:val="24"/>
          <w:vertAlign w:val="superscript"/>
        </w:rPr>
        <w:t>3</w:t>
      </w:r>
      <w:r>
        <w:rPr>
          <w:sz w:val="24"/>
          <w:szCs w:val="24"/>
        </w:rPr>
        <w:t>/h·m</w:t>
      </w:r>
      <w:r>
        <w:rPr>
          <w:rFonts w:hint="eastAsia"/>
          <w:sz w:val="24"/>
          <w:szCs w:val="24"/>
        </w:rPr>
        <w:t>，其余地层导水性稍差。</w:t>
      </w:r>
    </w:p>
    <w:p w:rsidR="00DB7CC8" w:rsidRDefault="002B5250">
      <w:pPr>
        <w:ind w:leftChars="-100" w:left="-280" w:firstLine="480"/>
        <w:jc w:val="center"/>
        <w:rPr>
          <w:rFonts w:hAnsi="宋体"/>
          <w:sz w:val="24"/>
          <w:szCs w:val="24"/>
        </w:rPr>
      </w:pPr>
      <w:r>
        <w:rPr>
          <w:rFonts w:hAnsi="宋体"/>
          <w:noProof/>
          <w:sz w:val="24"/>
          <w:szCs w:val="24"/>
        </w:rPr>
        <w:drawing>
          <wp:inline distT="0" distB="0" distL="0" distR="0">
            <wp:extent cx="4853940" cy="3704590"/>
            <wp:effectExtent l="0" t="0" r="3810" b="0"/>
            <wp:docPr id="44" name="图片 44" descr="地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地质图"/>
                    <pic:cNvPicPr>
                      <a:picLocks noChangeAspect="1" noChangeArrowheads="1"/>
                    </pic:cNvPicPr>
                  </pic:nvPicPr>
                  <pic:blipFill>
                    <a:blip r:embed="rId60" cstate="print">
                      <a:extLst>
                        <a:ext uri="{28A0092B-C50C-407E-A947-70E740481C1C}">
                          <a14:useLocalDpi xmlns:a14="http://schemas.microsoft.com/office/drawing/2010/main" val="0"/>
                        </a:ext>
                      </a:extLst>
                    </a:blip>
                    <a:srcRect l="26797" t="7759" r="34625" b="14529"/>
                    <a:stretch>
                      <a:fillRect/>
                    </a:stretch>
                  </pic:blipFill>
                  <pic:spPr>
                    <a:xfrm>
                      <a:off x="0" y="0"/>
                      <a:ext cx="4858332" cy="3708379"/>
                    </a:xfrm>
                    <a:prstGeom prst="rect">
                      <a:avLst/>
                    </a:prstGeom>
                    <a:noFill/>
                    <a:ln>
                      <a:noFill/>
                    </a:ln>
                  </pic:spPr>
                </pic:pic>
              </a:graphicData>
            </a:graphic>
          </wp:inline>
        </w:drawing>
      </w:r>
    </w:p>
    <w:p w:rsidR="00DB7CC8" w:rsidRDefault="002B5250">
      <w:pPr>
        <w:ind w:firstLine="420"/>
        <w:jc w:val="center"/>
        <w:rPr>
          <w:rFonts w:ascii="黑体" w:eastAsia="黑体" w:hAnsi="黑体"/>
          <w:sz w:val="21"/>
          <w:szCs w:val="24"/>
        </w:rPr>
      </w:pPr>
      <w:r>
        <w:rPr>
          <w:rFonts w:eastAsia="黑体"/>
          <w:sz w:val="21"/>
          <w:szCs w:val="24"/>
        </w:rPr>
        <w:t>图</w:t>
      </w:r>
      <w:r>
        <w:rPr>
          <w:rFonts w:eastAsia="黑体"/>
          <w:sz w:val="21"/>
          <w:szCs w:val="24"/>
        </w:rPr>
        <w:t xml:space="preserve">5.2-6   </w:t>
      </w:r>
      <w:r>
        <w:rPr>
          <w:rFonts w:eastAsia="黑体"/>
          <w:sz w:val="21"/>
          <w:szCs w:val="24"/>
        </w:rPr>
        <w:t>评价区地</w:t>
      </w:r>
      <w:r>
        <w:rPr>
          <w:rFonts w:ascii="黑体" w:eastAsia="黑体" w:hAnsi="黑体" w:hint="eastAsia"/>
          <w:sz w:val="21"/>
          <w:szCs w:val="24"/>
        </w:rPr>
        <w:t>质图</w:t>
      </w:r>
    </w:p>
    <w:p w:rsidR="00DB7CC8" w:rsidRDefault="002B5250">
      <w:pPr>
        <w:spacing w:line="440" w:lineRule="atLeast"/>
        <w:ind w:firstLine="480"/>
        <w:rPr>
          <w:sz w:val="24"/>
          <w:szCs w:val="24"/>
        </w:rPr>
      </w:pPr>
      <w:bookmarkStart w:id="395" w:name="_Toc468692996"/>
      <w:r>
        <w:rPr>
          <w:rFonts w:hint="eastAsia"/>
          <w:sz w:val="24"/>
          <w:szCs w:val="24"/>
        </w:rPr>
        <w:t>②</w:t>
      </w:r>
      <w:r>
        <w:rPr>
          <w:sz w:val="24"/>
          <w:szCs w:val="24"/>
        </w:rPr>
        <w:t>评价区</w:t>
      </w:r>
      <w:r>
        <w:rPr>
          <w:rFonts w:hAnsi="宋体" w:hint="eastAsia"/>
          <w:sz w:val="24"/>
          <w:szCs w:val="24"/>
        </w:rPr>
        <w:t>含水岩组</w:t>
      </w:r>
    </w:p>
    <w:p w:rsidR="00DB7CC8" w:rsidRDefault="002B5250">
      <w:pPr>
        <w:spacing w:line="440" w:lineRule="atLeast"/>
        <w:ind w:firstLine="480"/>
        <w:rPr>
          <w:rFonts w:hAnsi="宋体"/>
          <w:sz w:val="24"/>
          <w:szCs w:val="24"/>
        </w:rPr>
      </w:pPr>
      <w:r>
        <w:rPr>
          <w:rFonts w:hAnsi="宋体" w:hint="eastAsia"/>
          <w:sz w:val="24"/>
          <w:szCs w:val="24"/>
        </w:rPr>
        <w:t>由评价区地层（图</w:t>
      </w:r>
      <w:r>
        <w:rPr>
          <w:rFonts w:hAnsi="宋体" w:hint="eastAsia"/>
          <w:sz w:val="24"/>
          <w:szCs w:val="24"/>
        </w:rPr>
        <w:t>5.2-6</w:t>
      </w:r>
      <w:r>
        <w:rPr>
          <w:rFonts w:hAnsi="宋体" w:hint="eastAsia"/>
          <w:sz w:val="24"/>
          <w:szCs w:val="24"/>
        </w:rPr>
        <w:t>）分析可知：评价区地表出露地层为第第四系全新统（</w:t>
      </w:r>
      <w:r>
        <w:rPr>
          <w:rFonts w:hAnsi="宋体" w:hint="eastAsia"/>
          <w:sz w:val="24"/>
          <w:szCs w:val="24"/>
        </w:rPr>
        <w:t>Q</w:t>
      </w:r>
      <w:r>
        <w:rPr>
          <w:rFonts w:hAnsi="宋体" w:hint="eastAsia"/>
          <w:sz w:val="24"/>
          <w:szCs w:val="24"/>
          <w:vertAlign w:val="subscript"/>
        </w:rPr>
        <w:t>4</w:t>
      </w:r>
      <w:r>
        <w:rPr>
          <w:rFonts w:hAnsi="宋体" w:hint="eastAsia"/>
          <w:sz w:val="24"/>
          <w:szCs w:val="24"/>
          <w:vertAlign w:val="superscript"/>
        </w:rPr>
        <w:t>pl+al</w:t>
      </w:r>
      <w:r>
        <w:rPr>
          <w:rFonts w:hAnsi="宋体" w:hint="eastAsia"/>
          <w:sz w:val="24"/>
          <w:szCs w:val="24"/>
        </w:rPr>
        <w:t>）冲积、洪积地层，岩性主要为黄土状亚砂土；第四系上更新统（</w:t>
      </w:r>
      <w:r>
        <w:rPr>
          <w:rFonts w:hAnsi="宋体" w:hint="eastAsia"/>
          <w:sz w:val="24"/>
          <w:szCs w:val="24"/>
        </w:rPr>
        <w:t>Q</w:t>
      </w:r>
      <w:r>
        <w:rPr>
          <w:rFonts w:hAnsi="宋体" w:hint="eastAsia"/>
          <w:sz w:val="24"/>
          <w:szCs w:val="24"/>
          <w:vertAlign w:val="subscript"/>
        </w:rPr>
        <w:t>3</w:t>
      </w:r>
      <w:r>
        <w:rPr>
          <w:rFonts w:hAnsi="宋体" w:hint="eastAsia"/>
          <w:sz w:val="24"/>
          <w:szCs w:val="24"/>
          <w:vertAlign w:val="superscript"/>
        </w:rPr>
        <w:t>pl+al</w:t>
      </w:r>
      <w:r>
        <w:rPr>
          <w:rFonts w:hAnsi="宋体" w:hint="eastAsia"/>
          <w:sz w:val="24"/>
          <w:szCs w:val="24"/>
        </w:rPr>
        <w:t>）</w:t>
      </w:r>
      <w:r>
        <w:rPr>
          <w:rFonts w:hAnsi="宋体" w:hint="eastAsia"/>
          <w:sz w:val="24"/>
          <w:szCs w:val="24"/>
        </w:rPr>
        <w:lastRenderedPageBreak/>
        <w:t>洪积、冲积地层，岩性主要为黄土状亚砂土、亚粘土夹砾石透镜体；上更新统洪坡积层（</w:t>
      </w:r>
      <w:r>
        <w:rPr>
          <w:rFonts w:hAnsi="宋体" w:hint="eastAsia"/>
          <w:sz w:val="24"/>
          <w:szCs w:val="24"/>
        </w:rPr>
        <w:t>Q</w:t>
      </w:r>
      <w:r>
        <w:rPr>
          <w:rFonts w:hAnsi="宋体" w:hint="eastAsia"/>
          <w:sz w:val="24"/>
          <w:szCs w:val="24"/>
          <w:vertAlign w:val="subscript"/>
        </w:rPr>
        <w:t>3</w:t>
      </w:r>
      <w:r>
        <w:rPr>
          <w:rFonts w:hAnsi="宋体" w:hint="eastAsia"/>
          <w:sz w:val="24"/>
          <w:szCs w:val="24"/>
          <w:vertAlign w:val="superscript"/>
        </w:rPr>
        <w:t>pl+dl</w:t>
      </w:r>
      <w:r>
        <w:rPr>
          <w:rFonts w:hAnsi="宋体" w:hint="eastAsia"/>
          <w:sz w:val="24"/>
          <w:szCs w:val="24"/>
        </w:rPr>
        <w:t>）岩性主要为粉砂、粗砂和泥质砂粘土。因此，评价区地下水类型主要可分为第四系松散岩类孔隙水。</w:t>
      </w:r>
    </w:p>
    <w:p w:rsidR="00DB7CC8" w:rsidRDefault="002B5250">
      <w:pPr>
        <w:spacing w:line="440" w:lineRule="atLeast"/>
        <w:ind w:firstLine="480"/>
        <w:rPr>
          <w:sz w:val="24"/>
          <w:szCs w:val="24"/>
        </w:rPr>
      </w:pPr>
      <w:r>
        <w:rPr>
          <w:sz w:val="24"/>
          <w:szCs w:val="24"/>
        </w:rPr>
        <w:t>松散岩类孔隙潜水含水区（</w:t>
      </w:r>
      <w:r>
        <w:rPr>
          <w:rFonts w:hAnsi="宋体" w:hint="eastAsia"/>
          <w:sz w:val="24"/>
          <w:szCs w:val="24"/>
        </w:rPr>
        <w:t>I</w:t>
      </w:r>
      <w:r>
        <w:rPr>
          <w:sz w:val="24"/>
          <w:szCs w:val="24"/>
        </w:rPr>
        <w:t>）</w:t>
      </w:r>
    </w:p>
    <w:p w:rsidR="00DB7CC8" w:rsidRDefault="002B5250">
      <w:pPr>
        <w:spacing w:line="440" w:lineRule="atLeast"/>
        <w:ind w:firstLine="480"/>
        <w:rPr>
          <w:sz w:val="24"/>
          <w:szCs w:val="24"/>
        </w:rPr>
      </w:pPr>
      <w:r>
        <w:rPr>
          <w:rFonts w:hint="eastAsia"/>
          <w:sz w:val="24"/>
          <w:szCs w:val="24"/>
        </w:rPr>
        <w:t>a</w:t>
      </w:r>
      <w:r>
        <w:rPr>
          <w:sz w:val="24"/>
          <w:szCs w:val="24"/>
        </w:rPr>
        <w:t>.</w:t>
      </w:r>
      <w:r>
        <w:rPr>
          <w:sz w:val="24"/>
          <w:szCs w:val="24"/>
        </w:rPr>
        <w:t>极富水</w:t>
      </w:r>
      <w:r>
        <w:rPr>
          <w:rFonts w:hAnsi="宋体"/>
          <w:sz w:val="24"/>
          <w:szCs w:val="24"/>
        </w:rPr>
        <w:t>亚区</w:t>
      </w:r>
      <w:r>
        <w:rPr>
          <w:sz w:val="24"/>
          <w:szCs w:val="24"/>
        </w:rPr>
        <w:t>（</w:t>
      </w:r>
      <w:r>
        <w:rPr>
          <w:rFonts w:hAnsi="宋体" w:hint="eastAsia"/>
          <w:sz w:val="24"/>
          <w:szCs w:val="24"/>
        </w:rPr>
        <w:t>I</w:t>
      </w:r>
      <w:r>
        <w:rPr>
          <w:rFonts w:hAnsi="宋体" w:hint="eastAsia"/>
          <w:sz w:val="24"/>
          <w:szCs w:val="24"/>
          <w:vertAlign w:val="subscript"/>
        </w:rPr>
        <w:t>1-1</w:t>
      </w:r>
      <w:r>
        <w:rPr>
          <w:sz w:val="24"/>
          <w:szCs w:val="24"/>
        </w:rPr>
        <w:t>）：为</w:t>
      </w:r>
      <w:r>
        <w:rPr>
          <w:sz w:val="24"/>
          <w:szCs w:val="24"/>
        </w:rPr>
        <w:t>Q</w:t>
      </w:r>
      <w:r>
        <w:rPr>
          <w:sz w:val="24"/>
          <w:szCs w:val="24"/>
          <w:vertAlign w:val="subscript"/>
        </w:rPr>
        <w:t>4</w:t>
      </w:r>
      <w:r>
        <w:rPr>
          <w:sz w:val="24"/>
          <w:szCs w:val="24"/>
        </w:rPr>
        <w:t>冲</w:t>
      </w:r>
      <w:r>
        <w:rPr>
          <w:rFonts w:hint="eastAsia"/>
          <w:sz w:val="24"/>
          <w:szCs w:val="24"/>
        </w:rPr>
        <w:t>积和</w:t>
      </w:r>
      <w:r>
        <w:rPr>
          <w:sz w:val="24"/>
          <w:szCs w:val="24"/>
        </w:rPr>
        <w:t>洪积卵砾石层。单井单位涌水量</w:t>
      </w:r>
      <w:r>
        <w:rPr>
          <w:rFonts w:hint="eastAsia"/>
          <w:sz w:val="24"/>
          <w:szCs w:val="24"/>
        </w:rPr>
        <w:t>20</w:t>
      </w:r>
      <w:r>
        <w:rPr>
          <w:sz w:val="24"/>
          <w:szCs w:val="24"/>
        </w:rPr>
        <w:t>0-</w:t>
      </w:r>
      <w:r>
        <w:rPr>
          <w:rFonts w:hint="eastAsia"/>
          <w:sz w:val="24"/>
          <w:szCs w:val="24"/>
        </w:rPr>
        <w:t>5</w:t>
      </w:r>
      <w:r>
        <w:rPr>
          <w:sz w:val="24"/>
          <w:szCs w:val="24"/>
        </w:rPr>
        <w:t>00m</w:t>
      </w:r>
      <w:r>
        <w:rPr>
          <w:sz w:val="24"/>
          <w:szCs w:val="24"/>
          <w:vertAlign w:val="superscript"/>
        </w:rPr>
        <w:t>3</w:t>
      </w:r>
      <w:r>
        <w:rPr>
          <w:sz w:val="24"/>
          <w:szCs w:val="24"/>
        </w:rPr>
        <w:t>/h·m</w:t>
      </w:r>
      <w:r>
        <w:rPr>
          <w:sz w:val="24"/>
          <w:szCs w:val="24"/>
        </w:rPr>
        <w:t>。分布在</w:t>
      </w:r>
      <w:r>
        <w:rPr>
          <w:rFonts w:hint="eastAsia"/>
          <w:sz w:val="24"/>
          <w:szCs w:val="24"/>
        </w:rPr>
        <w:t>评价区中部黎河河谷区和漫滩区的第四系全系统冲洪积地层中</w:t>
      </w:r>
      <w:r>
        <w:rPr>
          <w:sz w:val="24"/>
          <w:szCs w:val="24"/>
        </w:rPr>
        <w:t>。</w:t>
      </w:r>
    </w:p>
    <w:p w:rsidR="00DB7CC8" w:rsidRDefault="002B5250">
      <w:pPr>
        <w:spacing w:line="440" w:lineRule="atLeast"/>
        <w:ind w:firstLine="480"/>
        <w:rPr>
          <w:sz w:val="24"/>
          <w:szCs w:val="24"/>
        </w:rPr>
      </w:pPr>
      <w:r>
        <w:rPr>
          <w:rFonts w:hAnsi="宋体"/>
          <w:sz w:val="24"/>
          <w:szCs w:val="24"/>
        </w:rPr>
        <w:t>b.</w:t>
      </w:r>
      <w:r>
        <w:rPr>
          <w:sz w:val="24"/>
          <w:szCs w:val="24"/>
        </w:rPr>
        <w:t>富水</w:t>
      </w:r>
      <w:r>
        <w:rPr>
          <w:rFonts w:hAnsi="宋体"/>
          <w:sz w:val="24"/>
          <w:szCs w:val="24"/>
        </w:rPr>
        <w:t>亚区</w:t>
      </w:r>
      <w:r>
        <w:rPr>
          <w:sz w:val="24"/>
          <w:szCs w:val="24"/>
        </w:rPr>
        <w:t>（</w:t>
      </w:r>
      <w:r>
        <w:rPr>
          <w:rFonts w:hAnsi="宋体" w:hint="eastAsia"/>
          <w:sz w:val="24"/>
          <w:szCs w:val="24"/>
        </w:rPr>
        <w:t>I</w:t>
      </w:r>
      <w:r>
        <w:rPr>
          <w:rFonts w:hAnsi="宋体" w:hint="eastAsia"/>
          <w:sz w:val="24"/>
          <w:szCs w:val="24"/>
          <w:vertAlign w:val="subscript"/>
        </w:rPr>
        <w:t>1-2</w:t>
      </w:r>
      <w:r>
        <w:rPr>
          <w:sz w:val="24"/>
          <w:szCs w:val="24"/>
        </w:rPr>
        <w:t>）：为</w:t>
      </w:r>
      <w:r>
        <w:rPr>
          <w:sz w:val="24"/>
          <w:szCs w:val="24"/>
        </w:rPr>
        <w:t>Q</w:t>
      </w:r>
      <w:r>
        <w:rPr>
          <w:rFonts w:hint="eastAsia"/>
          <w:sz w:val="24"/>
          <w:szCs w:val="24"/>
          <w:vertAlign w:val="subscript"/>
        </w:rPr>
        <w:t>3</w:t>
      </w:r>
      <w:r>
        <w:rPr>
          <w:sz w:val="24"/>
          <w:szCs w:val="24"/>
        </w:rPr>
        <w:t>冲洪积及洪积砂砾石和卵砾石层。砂砾石层厚一般</w:t>
      </w:r>
      <w:r>
        <w:rPr>
          <w:sz w:val="24"/>
          <w:szCs w:val="24"/>
        </w:rPr>
        <w:t>5-15m</w:t>
      </w:r>
      <w:r>
        <w:rPr>
          <w:sz w:val="24"/>
          <w:szCs w:val="24"/>
        </w:rPr>
        <w:t>，单井单位涌水量</w:t>
      </w:r>
      <w:r>
        <w:rPr>
          <w:rFonts w:hint="eastAsia"/>
          <w:sz w:val="24"/>
          <w:szCs w:val="24"/>
        </w:rPr>
        <w:t>10</w:t>
      </w:r>
      <w:r>
        <w:rPr>
          <w:sz w:val="24"/>
          <w:szCs w:val="24"/>
        </w:rPr>
        <w:t>0-</w:t>
      </w:r>
      <w:r>
        <w:rPr>
          <w:rFonts w:hint="eastAsia"/>
          <w:sz w:val="24"/>
          <w:szCs w:val="24"/>
        </w:rPr>
        <w:t>2</w:t>
      </w:r>
      <w:r>
        <w:rPr>
          <w:sz w:val="24"/>
          <w:szCs w:val="24"/>
        </w:rPr>
        <w:t>00m</w:t>
      </w:r>
      <w:r>
        <w:rPr>
          <w:sz w:val="24"/>
          <w:szCs w:val="24"/>
          <w:vertAlign w:val="superscript"/>
        </w:rPr>
        <w:t>3</w:t>
      </w:r>
      <w:r>
        <w:rPr>
          <w:sz w:val="24"/>
          <w:szCs w:val="24"/>
        </w:rPr>
        <w:t>/h·m</w:t>
      </w:r>
      <w:r>
        <w:rPr>
          <w:sz w:val="24"/>
          <w:szCs w:val="24"/>
        </w:rPr>
        <w:t>。分布于</w:t>
      </w:r>
      <w:r>
        <w:rPr>
          <w:rFonts w:hint="eastAsia"/>
          <w:sz w:val="24"/>
          <w:szCs w:val="24"/>
        </w:rPr>
        <w:t>评价区南部和北部黎河河谷区和漫滩区的第四系全系统冲积地层中</w:t>
      </w:r>
      <w:r>
        <w:rPr>
          <w:sz w:val="24"/>
          <w:szCs w:val="24"/>
        </w:rPr>
        <w:t>。</w:t>
      </w:r>
    </w:p>
    <w:p w:rsidR="00DB7CC8" w:rsidRDefault="002B5250">
      <w:pPr>
        <w:spacing w:line="440" w:lineRule="atLeast"/>
        <w:ind w:firstLine="480"/>
        <w:rPr>
          <w:sz w:val="24"/>
          <w:szCs w:val="24"/>
        </w:rPr>
      </w:pPr>
      <w:r>
        <w:rPr>
          <w:rFonts w:hAnsi="宋体"/>
          <w:sz w:val="24"/>
          <w:szCs w:val="24"/>
        </w:rPr>
        <w:t>c.</w:t>
      </w:r>
      <w:r>
        <w:rPr>
          <w:sz w:val="24"/>
          <w:szCs w:val="24"/>
        </w:rPr>
        <w:t>中等富水亚区（</w:t>
      </w:r>
      <w:r>
        <w:rPr>
          <w:rFonts w:hAnsi="宋体" w:hint="eastAsia"/>
          <w:sz w:val="24"/>
          <w:szCs w:val="24"/>
        </w:rPr>
        <w:t>I</w:t>
      </w:r>
      <w:r>
        <w:rPr>
          <w:rFonts w:hAnsi="宋体" w:hint="eastAsia"/>
          <w:sz w:val="24"/>
          <w:szCs w:val="24"/>
          <w:vertAlign w:val="subscript"/>
        </w:rPr>
        <w:t>1-3</w:t>
      </w:r>
      <w:r>
        <w:rPr>
          <w:sz w:val="24"/>
          <w:szCs w:val="24"/>
        </w:rPr>
        <w:t>）：为</w:t>
      </w:r>
      <w:r>
        <w:rPr>
          <w:sz w:val="24"/>
          <w:szCs w:val="24"/>
        </w:rPr>
        <w:t>Q</w:t>
      </w:r>
      <w:r>
        <w:rPr>
          <w:rFonts w:hint="eastAsia"/>
          <w:sz w:val="24"/>
          <w:szCs w:val="24"/>
          <w:vertAlign w:val="subscript"/>
        </w:rPr>
        <w:t>3</w:t>
      </w:r>
      <w:r>
        <w:rPr>
          <w:sz w:val="24"/>
          <w:szCs w:val="24"/>
        </w:rPr>
        <w:t>洪</w:t>
      </w:r>
      <w:r>
        <w:rPr>
          <w:rFonts w:hint="eastAsia"/>
          <w:sz w:val="24"/>
          <w:szCs w:val="24"/>
        </w:rPr>
        <w:t>坡</w:t>
      </w:r>
      <w:r>
        <w:rPr>
          <w:sz w:val="24"/>
          <w:szCs w:val="24"/>
        </w:rPr>
        <w:t>积砂含砾石层。砂砾石层厚一般</w:t>
      </w:r>
      <w:r>
        <w:rPr>
          <w:sz w:val="24"/>
          <w:szCs w:val="24"/>
        </w:rPr>
        <w:t>10m</w:t>
      </w:r>
      <w:r>
        <w:rPr>
          <w:sz w:val="24"/>
          <w:szCs w:val="24"/>
        </w:rPr>
        <w:t>左右，该组下部个别地段夹有薄层淤泥质砂粘土。单井单位涌水量</w:t>
      </w:r>
      <w:r>
        <w:rPr>
          <w:rFonts w:hint="eastAsia"/>
          <w:sz w:val="24"/>
          <w:szCs w:val="24"/>
        </w:rPr>
        <w:t>50</w:t>
      </w:r>
      <w:r>
        <w:rPr>
          <w:sz w:val="24"/>
          <w:szCs w:val="24"/>
        </w:rPr>
        <w:t>-</w:t>
      </w:r>
      <w:r>
        <w:rPr>
          <w:rFonts w:hint="eastAsia"/>
          <w:sz w:val="24"/>
          <w:szCs w:val="24"/>
        </w:rPr>
        <w:t>10</w:t>
      </w:r>
      <w:r>
        <w:rPr>
          <w:sz w:val="24"/>
          <w:szCs w:val="24"/>
        </w:rPr>
        <w:t>0m</w:t>
      </w:r>
      <w:r>
        <w:rPr>
          <w:sz w:val="24"/>
          <w:szCs w:val="24"/>
          <w:vertAlign w:val="superscript"/>
        </w:rPr>
        <w:t>3</w:t>
      </w:r>
      <w:r>
        <w:rPr>
          <w:sz w:val="24"/>
          <w:szCs w:val="24"/>
        </w:rPr>
        <w:t>/h·m</w:t>
      </w:r>
      <w:r>
        <w:rPr>
          <w:sz w:val="24"/>
          <w:szCs w:val="24"/>
        </w:rPr>
        <w:t>。分布于</w:t>
      </w:r>
      <w:r>
        <w:rPr>
          <w:rFonts w:hint="eastAsia"/>
          <w:sz w:val="24"/>
          <w:szCs w:val="24"/>
        </w:rPr>
        <w:t>评价区的北部</w:t>
      </w:r>
      <w:r>
        <w:rPr>
          <w:sz w:val="24"/>
          <w:szCs w:val="24"/>
        </w:rPr>
        <w:t>。</w:t>
      </w:r>
      <w:r>
        <w:rPr>
          <w:rFonts w:hint="eastAsia"/>
          <w:sz w:val="24"/>
          <w:szCs w:val="24"/>
        </w:rPr>
        <w:t>评价区水文地质图</w:t>
      </w:r>
      <w:r>
        <w:rPr>
          <w:rFonts w:hint="eastAsia"/>
          <w:sz w:val="24"/>
          <w:szCs w:val="24"/>
        </w:rPr>
        <w:t>详见图</w:t>
      </w:r>
      <w:r>
        <w:rPr>
          <w:sz w:val="24"/>
          <w:szCs w:val="24"/>
        </w:rPr>
        <w:t>5.2-7</w:t>
      </w:r>
      <w:r>
        <w:rPr>
          <w:rFonts w:hint="eastAsia"/>
          <w:sz w:val="24"/>
          <w:szCs w:val="24"/>
        </w:rPr>
        <w:t>。</w:t>
      </w:r>
    </w:p>
    <w:p w:rsidR="00DB7CC8" w:rsidRDefault="002B5250">
      <w:pPr>
        <w:ind w:firstLine="560"/>
        <w:jc w:val="center"/>
      </w:pPr>
      <w:r>
        <w:rPr>
          <w:noProof/>
        </w:rPr>
        <w:drawing>
          <wp:inline distT="0" distB="0" distL="0" distR="0">
            <wp:extent cx="4739640" cy="4016375"/>
            <wp:effectExtent l="0" t="0" r="0" b="0"/>
            <wp:docPr id="43" name="图片 43" descr="水文地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水文地质图"/>
                    <pic:cNvPicPr>
                      <a:picLocks noChangeAspect="1" noChangeArrowheads="1"/>
                    </pic:cNvPicPr>
                  </pic:nvPicPr>
                  <pic:blipFill>
                    <a:blip r:embed="rId61" cstate="print">
                      <a:extLst>
                        <a:ext uri="{28A0092B-C50C-407E-A947-70E740481C1C}">
                          <a14:useLocalDpi xmlns:a14="http://schemas.microsoft.com/office/drawing/2010/main" val="0"/>
                        </a:ext>
                      </a:extLst>
                    </a:blip>
                    <a:srcRect l="27991" t="6017" r="32553" b="5501"/>
                    <a:stretch>
                      <a:fillRect/>
                    </a:stretch>
                  </pic:blipFill>
                  <pic:spPr>
                    <a:xfrm>
                      <a:off x="0" y="0"/>
                      <a:ext cx="4740653" cy="4017502"/>
                    </a:xfrm>
                    <a:prstGeom prst="rect">
                      <a:avLst/>
                    </a:prstGeom>
                    <a:noFill/>
                    <a:ln>
                      <a:noFill/>
                    </a:ln>
                  </pic:spPr>
                </pic:pic>
              </a:graphicData>
            </a:graphic>
          </wp:inline>
        </w:drawing>
      </w:r>
    </w:p>
    <w:p w:rsidR="00DB7CC8" w:rsidRDefault="002B5250">
      <w:pPr>
        <w:spacing w:line="360" w:lineRule="exact"/>
        <w:ind w:firstLine="420"/>
        <w:jc w:val="center"/>
        <w:rPr>
          <w:rFonts w:ascii="黑体" w:eastAsia="黑体" w:hAnsi="黑体"/>
          <w:sz w:val="21"/>
          <w:szCs w:val="21"/>
        </w:rPr>
      </w:pPr>
      <w:r>
        <w:rPr>
          <w:rFonts w:eastAsia="黑体"/>
          <w:sz w:val="21"/>
          <w:szCs w:val="24"/>
        </w:rPr>
        <w:t>图</w:t>
      </w:r>
      <w:r>
        <w:rPr>
          <w:rFonts w:eastAsia="黑体"/>
          <w:sz w:val="21"/>
          <w:szCs w:val="24"/>
        </w:rPr>
        <w:t>5.2-7</w:t>
      </w:r>
      <w:r>
        <w:rPr>
          <w:rFonts w:eastAsia="黑体"/>
          <w:sz w:val="21"/>
          <w:szCs w:val="21"/>
        </w:rPr>
        <w:t xml:space="preserve"> </w:t>
      </w:r>
      <w:r>
        <w:rPr>
          <w:rFonts w:eastAsia="黑体"/>
          <w:sz w:val="21"/>
          <w:szCs w:val="21"/>
        </w:rPr>
        <w:t>评价区</w:t>
      </w:r>
      <w:r>
        <w:rPr>
          <w:rFonts w:ascii="黑体" w:eastAsia="黑体" w:hAnsi="黑体" w:hint="eastAsia"/>
          <w:sz w:val="21"/>
          <w:szCs w:val="21"/>
        </w:rPr>
        <w:t>水文地质图</w:t>
      </w:r>
    </w:p>
    <w:p w:rsidR="00DB7CC8" w:rsidRDefault="002B5250">
      <w:pPr>
        <w:spacing w:line="360" w:lineRule="exact"/>
        <w:ind w:firstLine="480"/>
        <w:rPr>
          <w:rFonts w:hAnsi="宋体"/>
          <w:sz w:val="24"/>
          <w:szCs w:val="24"/>
        </w:rPr>
      </w:pPr>
      <w:r>
        <w:rPr>
          <w:rFonts w:hAnsi="宋体" w:hint="eastAsia"/>
          <w:sz w:val="24"/>
          <w:szCs w:val="24"/>
        </w:rPr>
        <w:t>（</w:t>
      </w:r>
      <w:r>
        <w:rPr>
          <w:rFonts w:hAnsi="宋体" w:hint="eastAsia"/>
          <w:sz w:val="24"/>
          <w:szCs w:val="24"/>
        </w:rPr>
        <w:t>2</w:t>
      </w:r>
      <w:r>
        <w:rPr>
          <w:rFonts w:hAnsi="宋体" w:hint="eastAsia"/>
          <w:sz w:val="24"/>
          <w:szCs w:val="24"/>
        </w:rPr>
        <w:t>）地下水补给、径流、排泄</w:t>
      </w:r>
      <w:bookmarkEnd w:id="395"/>
    </w:p>
    <w:p w:rsidR="00DB7CC8" w:rsidRDefault="002B5250">
      <w:pPr>
        <w:spacing w:line="440" w:lineRule="atLeast"/>
        <w:ind w:firstLine="480"/>
        <w:rPr>
          <w:sz w:val="24"/>
          <w:szCs w:val="24"/>
        </w:rPr>
      </w:pPr>
      <w:r>
        <w:rPr>
          <w:rFonts w:hAnsi="宋体" w:hint="eastAsia"/>
          <w:sz w:val="24"/>
          <w:szCs w:val="24"/>
        </w:rPr>
        <w:t>①</w:t>
      </w:r>
      <w:r>
        <w:rPr>
          <w:rFonts w:hAnsi="宋体"/>
          <w:sz w:val="24"/>
          <w:szCs w:val="24"/>
        </w:rPr>
        <w:t>评价区内地下水的主要补给来源有：大气降水入渗补给、侧向径流补给。降水入渗补给是本区地下水最主要的补给来源。降水入渗补给主要受降水量、降</w:t>
      </w:r>
      <w:r>
        <w:rPr>
          <w:rFonts w:hAnsi="宋体"/>
          <w:sz w:val="24"/>
          <w:szCs w:val="24"/>
        </w:rPr>
        <w:lastRenderedPageBreak/>
        <w:t>水特征、包气带岩性及厚度的影响。</w:t>
      </w:r>
    </w:p>
    <w:p w:rsidR="00DB7CC8" w:rsidRDefault="002B5250">
      <w:pPr>
        <w:spacing w:line="440" w:lineRule="atLeast"/>
        <w:ind w:firstLine="480"/>
        <w:rPr>
          <w:sz w:val="24"/>
          <w:szCs w:val="24"/>
        </w:rPr>
      </w:pPr>
      <w:r>
        <w:rPr>
          <w:rFonts w:hAnsi="宋体" w:hint="eastAsia"/>
          <w:sz w:val="24"/>
          <w:szCs w:val="24"/>
        </w:rPr>
        <w:t>②</w:t>
      </w:r>
      <w:r>
        <w:rPr>
          <w:rFonts w:hAnsi="宋体"/>
          <w:sz w:val="24"/>
          <w:szCs w:val="24"/>
        </w:rPr>
        <w:t>地下水的径流特征</w:t>
      </w:r>
    </w:p>
    <w:p w:rsidR="00DB7CC8" w:rsidRDefault="002B5250">
      <w:pPr>
        <w:spacing w:line="440" w:lineRule="atLeast"/>
        <w:ind w:firstLine="480"/>
        <w:rPr>
          <w:rFonts w:hAnsi="宋体"/>
          <w:sz w:val="24"/>
          <w:szCs w:val="24"/>
        </w:rPr>
      </w:pPr>
      <w:r>
        <w:rPr>
          <w:rFonts w:hAnsi="宋体" w:hint="eastAsia"/>
          <w:sz w:val="24"/>
          <w:szCs w:val="24"/>
        </w:rPr>
        <w:t>区域上</w:t>
      </w:r>
      <w:r>
        <w:rPr>
          <w:rFonts w:hAnsi="宋体"/>
          <w:sz w:val="24"/>
          <w:szCs w:val="24"/>
        </w:rPr>
        <w:t>地下水径流总体方向由</w:t>
      </w:r>
      <w:r>
        <w:rPr>
          <w:rFonts w:hAnsi="宋体" w:hint="eastAsia"/>
          <w:sz w:val="24"/>
          <w:szCs w:val="24"/>
        </w:rPr>
        <w:t>东北向西南偏西流动，</w:t>
      </w:r>
      <w:r>
        <w:rPr>
          <w:rFonts w:hAnsi="宋体"/>
          <w:sz w:val="24"/>
          <w:szCs w:val="24"/>
        </w:rPr>
        <w:t>水力坡度约为</w:t>
      </w:r>
      <w:r>
        <w:rPr>
          <w:sz w:val="24"/>
          <w:szCs w:val="24"/>
        </w:rPr>
        <w:t>1.1‰</w:t>
      </w:r>
      <w:r>
        <w:rPr>
          <w:rFonts w:hAnsi="宋体"/>
          <w:sz w:val="24"/>
          <w:szCs w:val="24"/>
        </w:rPr>
        <w:t>。</w:t>
      </w:r>
    </w:p>
    <w:p w:rsidR="00DB7CC8" w:rsidRDefault="002B5250">
      <w:pPr>
        <w:spacing w:line="440" w:lineRule="atLeast"/>
        <w:ind w:firstLine="480"/>
        <w:rPr>
          <w:sz w:val="24"/>
          <w:szCs w:val="24"/>
        </w:rPr>
      </w:pPr>
      <w:r>
        <w:rPr>
          <w:rFonts w:hAnsi="宋体" w:hint="eastAsia"/>
          <w:sz w:val="24"/>
          <w:szCs w:val="24"/>
        </w:rPr>
        <w:t>③</w:t>
      </w:r>
      <w:r>
        <w:rPr>
          <w:rFonts w:hAnsi="宋体"/>
          <w:sz w:val="24"/>
          <w:szCs w:val="24"/>
        </w:rPr>
        <w:t>地下水的排泄特征</w:t>
      </w:r>
    </w:p>
    <w:p w:rsidR="00DB7CC8" w:rsidRDefault="002B5250">
      <w:pPr>
        <w:spacing w:line="440" w:lineRule="atLeast"/>
        <w:ind w:firstLine="480"/>
        <w:rPr>
          <w:rFonts w:hAnsi="宋体"/>
          <w:sz w:val="24"/>
          <w:szCs w:val="24"/>
        </w:rPr>
      </w:pPr>
      <w:r>
        <w:rPr>
          <w:rFonts w:hAnsi="宋体"/>
          <w:sz w:val="24"/>
          <w:szCs w:val="24"/>
        </w:rPr>
        <w:t>该区内地下水的排泄方式主要是工农业用水开采。</w:t>
      </w:r>
    </w:p>
    <w:p w:rsidR="00DB7CC8" w:rsidRDefault="002B5250">
      <w:pPr>
        <w:spacing w:line="440" w:lineRule="atLeast"/>
        <w:ind w:firstLine="480"/>
        <w:rPr>
          <w:rFonts w:hAnsi="宋体"/>
          <w:sz w:val="24"/>
          <w:szCs w:val="24"/>
        </w:rPr>
      </w:pPr>
      <w:r>
        <w:rPr>
          <w:rFonts w:hAnsi="宋体" w:hint="eastAsia"/>
          <w:sz w:val="24"/>
          <w:szCs w:val="24"/>
        </w:rPr>
        <w:t>（</w:t>
      </w:r>
      <w:r>
        <w:rPr>
          <w:rFonts w:hAnsi="宋体" w:hint="eastAsia"/>
          <w:sz w:val="24"/>
          <w:szCs w:val="24"/>
        </w:rPr>
        <w:t>3</w:t>
      </w:r>
      <w:r>
        <w:rPr>
          <w:rFonts w:hAnsi="宋体" w:hint="eastAsia"/>
          <w:sz w:val="24"/>
          <w:szCs w:val="24"/>
        </w:rPr>
        <w:t>）评价区水化学特征</w:t>
      </w:r>
    </w:p>
    <w:p w:rsidR="00DB7CC8" w:rsidRDefault="002B5250">
      <w:pPr>
        <w:spacing w:line="440" w:lineRule="atLeast"/>
        <w:ind w:firstLine="480"/>
        <w:rPr>
          <w:sz w:val="24"/>
        </w:rPr>
      </w:pPr>
      <w:bookmarkStart w:id="396" w:name="_Toc468692997"/>
      <w:r>
        <w:rPr>
          <w:rFonts w:hint="eastAsia"/>
          <w:sz w:val="24"/>
        </w:rPr>
        <w:t>评价区浅层地下水中</w:t>
      </w:r>
      <w:r>
        <w:rPr>
          <w:rFonts w:hint="eastAsia"/>
          <w:sz w:val="24"/>
        </w:rPr>
        <w:t>Ca</w:t>
      </w:r>
      <w:r>
        <w:rPr>
          <w:rFonts w:hint="eastAsia"/>
          <w:sz w:val="24"/>
        </w:rPr>
        <w:t>、</w:t>
      </w:r>
      <w:r>
        <w:rPr>
          <w:rFonts w:hint="eastAsia"/>
          <w:sz w:val="24"/>
        </w:rPr>
        <w:t>Mg</w:t>
      </w:r>
      <w:r>
        <w:rPr>
          <w:rFonts w:hint="eastAsia"/>
          <w:sz w:val="24"/>
        </w:rPr>
        <w:t>、</w:t>
      </w:r>
      <w:r>
        <w:rPr>
          <w:rFonts w:hint="eastAsia"/>
          <w:sz w:val="24"/>
        </w:rPr>
        <w:t>Na</w:t>
      </w:r>
      <w:r>
        <w:rPr>
          <w:rFonts w:hint="eastAsia"/>
          <w:sz w:val="24"/>
        </w:rPr>
        <w:t>和</w:t>
      </w:r>
      <w:r>
        <w:rPr>
          <w:rFonts w:hint="eastAsia"/>
          <w:sz w:val="24"/>
        </w:rPr>
        <w:t>K</w:t>
      </w:r>
      <w:r>
        <w:rPr>
          <w:rFonts w:hint="eastAsia"/>
          <w:sz w:val="24"/>
        </w:rPr>
        <w:t>的平均值分别为</w:t>
      </w:r>
      <w:r>
        <w:rPr>
          <w:rFonts w:hint="eastAsia"/>
          <w:sz w:val="24"/>
        </w:rPr>
        <w:t>120.34mg/L</w:t>
      </w:r>
      <w:r>
        <w:rPr>
          <w:rFonts w:hint="eastAsia"/>
          <w:sz w:val="24"/>
        </w:rPr>
        <w:t>、</w:t>
      </w:r>
      <w:r>
        <w:rPr>
          <w:rFonts w:hint="eastAsia"/>
          <w:sz w:val="24"/>
        </w:rPr>
        <w:t>13.88mg/L</w:t>
      </w:r>
      <w:r>
        <w:rPr>
          <w:rFonts w:hint="eastAsia"/>
          <w:sz w:val="24"/>
        </w:rPr>
        <w:t>、</w:t>
      </w:r>
      <w:r>
        <w:rPr>
          <w:rFonts w:hAnsi="宋体" w:hint="eastAsia"/>
          <w:sz w:val="24"/>
          <w:szCs w:val="24"/>
        </w:rPr>
        <w:t>30</w:t>
      </w:r>
      <w:r>
        <w:rPr>
          <w:rFonts w:hint="eastAsia"/>
          <w:sz w:val="24"/>
        </w:rPr>
        <w:t>.54mg/L</w:t>
      </w:r>
      <w:r>
        <w:rPr>
          <w:rFonts w:hint="eastAsia"/>
          <w:sz w:val="24"/>
        </w:rPr>
        <w:t>和</w:t>
      </w:r>
      <w:r>
        <w:rPr>
          <w:rFonts w:hint="eastAsia"/>
          <w:sz w:val="24"/>
        </w:rPr>
        <w:t>1.42mg/L</w:t>
      </w:r>
      <w:r>
        <w:rPr>
          <w:rFonts w:hint="eastAsia"/>
          <w:sz w:val="24"/>
        </w:rPr>
        <w:t>；</w:t>
      </w:r>
      <w:r>
        <w:rPr>
          <w:rFonts w:hint="eastAsia"/>
          <w:sz w:val="24"/>
        </w:rPr>
        <w:t>CO</w:t>
      </w:r>
      <w:r>
        <w:rPr>
          <w:rFonts w:hint="eastAsia"/>
          <w:sz w:val="24"/>
          <w:vertAlign w:val="subscript"/>
        </w:rPr>
        <w:t>3</w:t>
      </w:r>
      <w:r>
        <w:rPr>
          <w:rFonts w:hint="eastAsia"/>
          <w:sz w:val="24"/>
          <w:vertAlign w:val="superscript"/>
        </w:rPr>
        <w:t>2-</w:t>
      </w:r>
      <w:r>
        <w:rPr>
          <w:rFonts w:hint="eastAsia"/>
          <w:sz w:val="24"/>
        </w:rPr>
        <w:t>、</w:t>
      </w:r>
      <w:r>
        <w:rPr>
          <w:rFonts w:hint="eastAsia"/>
          <w:sz w:val="24"/>
        </w:rPr>
        <w:t>HCO</w:t>
      </w:r>
      <w:r>
        <w:rPr>
          <w:rFonts w:hint="eastAsia"/>
          <w:sz w:val="24"/>
          <w:vertAlign w:val="subscript"/>
        </w:rPr>
        <w:t>3</w:t>
      </w:r>
      <w:r>
        <w:rPr>
          <w:rFonts w:hint="eastAsia"/>
          <w:sz w:val="24"/>
          <w:vertAlign w:val="superscript"/>
        </w:rPr>
        <w:t>-</w:t>
      </w:r>
      <w:r>
        <w:rPr>
          <w:rFonts w:hint="eastAsia"/>
          <w:sz w:val="24"/>
        </w:rPr>
        <w:t>、</w:t>
      </w:r>
      <w:r>
        <w:rPr>
          <w:rFonts w:hint="eastAsia"/>
          <w:sz w:val="24"/>
        </w:rPr>
        <w:t>Cl</w:t>
      </w:r>
      <w:r>
        <w:rPr>
          <w:rFonts w:hint="eastAsia"/>
          <w:sz w:val="24"/>
          <w:vertAlign w:val="superscript"/>
        </w:rPr>
        <w:t>-</w:t>
      </w:r>
      <w:r>
        <w:rPr>
          <w:rFonts w:hint="eastAsia"/>
          <w:sz w:val="24"/>
        </w:rPr>
        <w:t>和</w:t>
      </w:r>
      <w:r>
        <w:rPr>
          <w:rFonts w:hint="eastAsia"/>
          <w:sz w:val="24"/>
        </w:rPr>
        <w:t>SO</w:t>
      </w:r>
      <w:r>
        <w:rPr>
          <w:rFonts w:hint="eastAsia"/>
          <w:sz w:val="24"/>
          <w:vertAlign w:val="subscript"/>
        </w:rPr>
        <w:t>4</w:t>
      </w:r>
      <w:r>
        <w:rPr>
          <w:rFonts w:hint="eastAsia"/>
          <w:sz w:val="24"/>
          <w:vertAlign w:val="superscript"/>
        </w:rPr>
        <w:t>2-</w:t>
      </w:r>
      <w:r>
        <w:rPr>
          <w:rFonts w:hint="eastAsia"/>
          <w:sz w:val="24"/>
        </w:rPr>
        <w:t>的平均值分别为</w:t>
      </w:r>
      <w:r>
        <w:rPr>
          <w:rFonts w:hint="eastAsia"/>
          <w:sz w:val="24"/>
        </w:rPr>
        <w:t>0mg/L</w:t>
      </w:r>
      <w:r>
        <w:rPr>
          <w:rFonts w:hint="eastAsia"/>
          <w:sz w:val="24"/>
        </w:rPr>
        <w:t>、</w:t>
      </w:r>
      <w:r>
        <w:rPr>
          <w:rFonts w:hint="eastAsia"/>
          <w:sz w:val="24"/>
        </w:rPr>
        <w:t>153.13mg/L</w:t>
      </w:r>
      <w:r>
        <w:rPr>
          <w:rFonts w:hint="eastAsia"/>
          <w:sz w:val="24"/>
        </w:rPr>
        <w:t>、</w:t>
      </w:r>
      <w:r>
        <w:rPr>
          <w:rFonts w:hint="eastAsia"/>
          <w:sz w:val="24"/>
        </w:rPr>
        <w:t>37.51mg/L</w:t>
      </w:r>
      <w:r>
        <w:rPr>
          <w:rFonts w:hint="eastAsia"/>
          <w:sz w:val="24"/>
        </w:rPr>
        <w:t>和</w:t>
      </w:r>
      <w:r>
        <w:rPr>
          <w:rFonts w:hint="eastAsia"/>
          <w:sz w:val="24"/>
        </w:rPr>
        <w:t>65.24mg/L</w:t>
      </w:r>
      <w:r>
        <w:rPr>
          <w:rFonts w:hint="eastAsia"/>
          <w:sz w:val="24"/>
        </w:rPr>
        <w:t>；溶解性总固体含量平均值为</w:t>
      </w:r>
      <w:r>
        <w:rPr>
          <w:rFonts w:hint="eastAsia"/>
          <w:sz w:val="24"/>
        </w:rPr>
        <w:t>431.75mg/L</w:t>
      </w:r>
      <w:r>
        <w:rPr>
          <w:rFonts w:hint="eastAsia"/>
          <w:sz w:val="24"/>
        </w:rPr>
        <w:t>。</w:t>
      </w:r>
      <w:r>
        <w:rPr>
          <w:sz w:val="24"/>
        </w:rPr>
        <w:t>由表</w:t>
      </w:r>
      <w:r>
        <w:rPr>
          <w:rFonts w:hint="eastAsia"/>
          <w:sz w:val="24"/>
        </w:rPr>
        <w:t>5.2-18</w:t>
      </w:r>
      <w:r>
        <w:rPr>
          <w:rFonts w:hint="eastAsia"/>
          <w:sz w:val="24"/>
        </w:rPr>
        <w:t>评价区浅层</w:t>
      </w:r>
      <w:r>
        <w:rPr>
          <w:sz w:val="24"/>
        </w:rPr>
        <w:t>地下水水质监测的毫克当量百分比可知，评价区区地下水类型潜水主要为</w:t>
      </w:r>
      <w:r>
        <w:rPr>
          <w:sz w:val="24"/>
        </w:rPr>
        <w:t>HCO</w:t>
      </w:r>
      <w:r>
        <w:rPr>
          <w:sz w:val="24"/>
          <w:vertAlign w:val="subscript"/>
        </w:rPr>
        <w:t>3</w:t>
      </w:r>
      <w:r>
        <w:rPr>
          <w:sz w:val="24"/>
        </w:rPr>
        <w:t>-Ca</w:t>
      </w:r>
      <w:r>
        <w:rPr>
          <w:sz w:val="24"/>
        </w:rPr>
        <w:t>型，有少量地下水类型为</w:t>
      </w:r>
      <w:r>
        <w:rPr>
          <w:sz w:val="24"/>
        </w:rPr>
        <w:t>SO</w:t>
      </w:r>
      <w:r>
        <w:rPr>
          <w:sz w:val="24"/>
          <w:vertAlign w:val="subscript"/>
        </w:rPr>
        <w:t>4</w:t>
      </w:r>
      <w:r>
        <w:rPr>
          <w:sz w:val="24"/>
        </w:rPr>
        <w:t>·HCO</w:t>
      </w:r>
      <w:r>
        <w:rPr>
          <w:sz w:val="24"/>
          <w:vertAlign w:val="subscript"/>
        </w:rPr>
        <w:t>3</w:t>
      </w:r>
      <w:r>
        <w:rPr>
          <w:sz w:val="24"/>
        </w:rPr>
        <w:t>-Ca</w:t>
      </w:r>
      <w:r>
        <w:rPr>
          <w:sz w:val="24"/>
        </w:rPr>
        <w:t>型</w:t>
      </w:r>
      <w:r>
        <w:rPr>
          <w:rFonts w:hint="eastAsia"/>
          <w:sz w:val="24"/>
        </w:rPr>
        <w:t>和</w:t>
      </w:r>
      <w:r>
        <w:rPr>
          <w:sz w:val="24"/>
        </w:rPr>
        <w:t>SO</w:t>
      </w:r>
      <w:r>
        <w:rPr>
          <w:sz w:val="24"/>
          <w:vertAlign w:val="subscript"/>
        </w:rPr>
        <w:t>4</w:t>
      </w:r>
      <w:r>
        <w:rPr>
          <w:sz w:val="24"/>
        </w:rPr>
        <w:t>·HCO</w:t>
      </w:r>
      <w:r>
        <w:rPr>
          <w:sz w:val="24"/>
          <w:vertAlign w:val="subscript"/>
        </w:rPr>
        <w:t>3</w:t>
      </w:r>
      <w:r>
        <w:rPr>
          <w:sz w:val="24"/>
        </w:rPr>
        <w:t>·C</w:t>
      </w:r>
      <w:r>
        <w:rPr>
          <w:rFonts w:hint="eastAsia"/>
          <w:sz w:val="24"/>
        </w:rPr>
        <w:t>l</w:t>
      </w:r>
      <w:r>
        <w:rPr>
          <w:sz w:val="24"/>
        </w:rPr>
        <w:t>-Ca</w:t>
      </w:r>
      <w:r>
        <w:rPr>
          <w:sz w:val="24"/>
        </w:rPr>
        <w:t>型</w:t>
      </w:r>
      <w:r>
        <w:rPr>
          <w:rFonts w:hint="eastAsia"/>
          <w:sz w:val="24"/>
        </w:rPr>
        <w:t>。</w:t>
      </w:r>
    </w:p>
    <w:p w:rsidR="00DB7CC8" w:rsidRDefault="00DB7CC8">
      <w:pPr>
        <w:spacing w:line="240" w:lineRule="auto"/>
        <w:ind w:firstLineChars="0" w:firstLine="0"/>
        <w:jc w:val="center"/>
        <w:textAlignment w:val="auto"/>
        <w:rPr>
          <w:rFonts w:eastAsia="黑体"/>
          <w:kern w:val="2"/>
          <w:sz w:val="21"/>
          <w:szCs w:val="21"/>
        </w:rPr>
      </w:pP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5.2-1</w:t>
      </w:r>
      <w:r>
        <w:rPr>
          <w:rFonts w:eastAsia="黑体" w:hint="eastAsia"/>
          <w:kern w:val="2"/>
          <w:sz w:val="21"/>
          <w:szCs w:val="21"/>
        </w:rPr>
        <w:t xml:space="preserve">8 </w:t>
      </w:r>
      <w:r>
        <w:rPr>
          <w:rFonts w:eastAsia="黑体" w:hint="eastAsia"/>
          <w:kern w:val="2"/>
          <w:sz w:val="21"/>
          <w:szCs w:val="21"/>
        </w:rPr>
        <w:t xml:space="preserve">  </w:t>
      </w:r>
      <w:r>
        <w:rPr>
          <w:rFonts w:eastAsia="黑体" w:hint="eastAsia"/>
          <w:kern w:val="2"/>
          <w:sz w:val="21"/>
          <w:szCs w:val="21"/>
        </w:rPr>
        <w:t>评价区浅层</w:t>
      </w:r>
      <w:r>
        <w:rPr>
          <w:rFonts w:eastAsia="黑体"/>
          <w:kern w:val="2"/>
          <w:sz w:val="21"/>
          <w:szCs w:val="21"/>
        </w:rPr>
        <w:t>水质</w:t>
      </w:r>
      <w:r>
        <w:rPr>
          <w:rFonts w:eastAsia="黑体" w:hint="eastAsia"/>
          <w:kern w:val="2"/>
          <w:sz w:val="21"/>
          <w:szCs w:val="21"/>
        </w:rPr>
        <w:t>毫克当量百分比</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
        <w:gridCol w:w="892"/>
        <w:gridCol w:w="955"/>
        <w:gridCol w:w="954"/>
        <w:gridCol w:w="954"/>
        <w:gridCol w:w="890"/>
        <w:gridCol w:w="954"/>
        <w:gridCol w:w="954"/>
        <w:gridCol w:w="949"/>
      </w:tblGrid>
      <w:tr w:rsidR="00DB7CC8">
        <w:trPr>
          <w:trHeight w:val="255"/>
        </w:trPr>
        <w:tc>
          <w:tcPr>
            <w:tcW w:w="1020" w:type="dxa"/>
            <w:vAlign w:val="center"/>
          </w:tcPr>
          <w:p w:rsidR="00DB7CC8" w:rsidRDefault="002B5250">
            <w:pPr>
              <w:widowControl/>
              <w:spacing w:line="240" w:lineRule="auto"/>
              <w:ind w:firstLineChars="0" w:firstLine="0"/>
              <w:jc w:val="center"/>
              <w:rPr>
                <w:sz w:val="21"/>
                <w:szCs w:val="21"/>
              </w:rPr>
            </w:pPr>
            <w:r>
              <w:rPr>
                <w:rFonts w:hAnsi="宋体"/>
                <w:sz w:val="21"/>
                <w:szCs w:val="21"/>
              </w:rPr>
              <w:t>监测项目</w:t>
            </w:r>
          </w:p>
        </w:tc>
        <w:tc>
          <w:tcPr>
            <w:tcW w:w="892" w:type="dxa"/>
            <w:vAlign w:val="center"/>
          </w:tcPr>
          <w:p w:rsidR="00DB7CC8" w:rsidRDefault="002B5250">
            <w:pPr>
              <w:widowControl/>
              <w:spacing w:line="240" w:lineRule="auto"/>
              <w:ind w:firstLineChars="0" w:firstLine="0"/>
              <w:jc w:val="center"/>
              <w:rPr>
                <w:sz w:val="21"/>
                <w:szCs w:val="21"/>
              </w:rPr>
            </w:pPr>
            <w:r>
              <w:rPr>
                <w:sz w:val="21"/>
                <w:szCs w:val="21"/>
              </w:rPr>
              <w:t>K</w:t>
            </w:r>
            <w:r>
              <w:rPr>
                <w:sz w:val="21"/>
                <w:szCs w:val="21"/>
                <w:vertAlign w:val="superscript"/>
              </w:rPr>
              <w:t>+</w:t>
            </w:r>
          </w:p>
        </w:tc>
        <w:tc>
          <w:tcPr>
            <w:tcW w:w="955" w:type="dxa"/>
            <w:vAlign w:val="center"/>
          </w:tcPr>
          <w:p w:rsidR="00DB7CC8" w:rsidRDefault="002B5250">
            <w:pPr>
              <w:widowControl/>
              <w:spacing w:line="240" w:lineRule="auto"/>
              <w:ind w:firstLineChars="0" w:firstLine="0"/>
              <w:jc w:val="center"/>
              <w:rPr>
                <w:sz w:val="21"/>
                <w:szCs w:val="21"/>
              </w:rPr>
            </w:pPr>
            <w:r>
              <w:rPr>
                <w:sz w:val="21"/>
                <w:szCs w:val="21"/>
              </w:rPr>
              <w:t>Na</w:t>
            </w:r>
            <w:r>
              <w:rPr>
                <w:sz w:val="21"/>
                <w:szCs w:val="21"/>
                <w:vertAlign w:val="superscript"/>
              </w:rPr>
              <w:t>+</w:t>
            </w:r>
          </w:p>
        </w:tc>
        <w:tc>
          <w:tcPr>
            <w:tcW w:w="954" w:type="dxa"/>
            <w:vAlign w:val="center"/>
          </w:tcPr>
          <w:p w:rsidR="00DB7CC8" w:rsidRDefault="002B5250">
            <w:pPr>
              <w:widowControl/>
              <w:spacing w:line="240" w:lineRule="auto"/>
              <w:ind w:firstLineChars="0" w:firstLine="0"/>
              <w:jc w:val="center"/>
              <w:rPr>
                <w:sz w:val="21"/>
                <w:szCs w:val="21"/>
              </w:rPr>
            </w:pPr>
            <w:r>
              <w:rPr>
                <w:sz w:val="21"/>
                <w:szCs w:val="21"/>
              </w:rPr>
              <w:t>Ca</w:t>
            </w:r>
            <w:r>
              <w:rPr>
                <w:sz w:val="21"/>
                <w:szCs w:val="21"/>
                <w:vertAlign w:val="superscript"/>
              </w:rPr>
              <w:t>2+</w:t>
            </w:r>
          </w:p>
        </w:tc>
        <w:tc>
          <w:tcPr>
            <w:tcW w:w="954" w:type="dxa"/>
            <w:vAlign w:val="center"/>
          </w:tcPr>
          <w:p w:rsidR="00DB7CC8" w:rsidRDefault="002B5250">
            <w:pPr>
              <w:widowControl/>
              <w:spacing w:line="240" w:lineRule="auto"/>
              <w:ind w:firstLineChars="0" w:firstLine="0"/>
              <w:jc w:val="center"/>
              <w:rPr>
                <w:sz w:val="21"/>
                <w:szCs w:val="21"/>
              </w:rPr>
            </w:pPr>
            <w:r>
              <w:rPr>
                <w:sz w:val="21"/>
                <w:szCs w:val="21"/>
              </w:rPr>
              <w:t>Mg</w:t>
            </w:r>
            <w:r>
              <w:rPr>
                <w:sz w:val="21"/>
                <w:szCs w:val="21"/>
                <w:vertAlign w:val="superscript"/>
              </w:rPr>
              <w:t>2+</w:t>
            </w:r>
          </w:p>
        </w:tc>
        <w:tc>
          <w:tcPr>
            <w:tcW w:w="890" w:type="dxa"/>
            <w:vAlign w:val="center"/>
          </w:tcPr>
          <w:p w:rsidR="00DB7CC8" w:rsidRDefault="002B5250">
            <w:pPr>
              <w:widowControl/>
              <w:spacing w:line="240" w:lineRule="auto"/>
              <w:ind w:firstLineChars="0" w:firstLine="0"/>
              <w:jc w:val="center"/>
              <w:rPr>
                <w:sz w:val="21"/>
                <w:szCs w:val="21"/>
              </w:rPr>
            </w:pPr>
            <w:r>
              <w:rPr>
                <w:sz w:val="21"/>
                <w:szCs w:val="21"/>
              </w:rPr>
              <w:t>CO</w:t>
            </w:r>
            <w:r>
              <w:rPr>
                <w:sz w:val="21"/>
                <w:szCs w:val="21"/>
                <w:vertAlign w:val="subscript"/>
              </w:rPr>
              <w:t>3</w:t>
            </w:r>
            <w:r>
              <w:rPr>
                <w:sz w:val="21"/>
                <w:szCs w:val="21"/>
                <w:vertAlign w:val="superscript"/>
              </w:rPr>
              <w:t>2-</w:t>
            </w:r>
          </w:p>
        </w:tc>
        <w:tc>
          <w:tcPr>
            <w:tcW w:w="954" w:type="dxa"/>
            <w:vAlign w:val="center"/>
          </w:tcPr>
          <w:p w:rsidR="00DB7CC8" w:rsidRDefault="002B5250">
            <w:pPr>
              <w:widowControl/>
              <w:spacing w:line="240" w:lineRule="auto"/>
              <w:ind w:firstLineChars="0" w:firstLine="0"/>
              <w:jc w:val="center"/>
              <w:rPr>
                <w:sz w:val="21"/>
                <w:szCs w:val="21"/>
              </w:rPr>
            </w:pPr>
            <w:r>
              <w:rPr>
                <w:sz w:val="21"/>
                <w:szCs w:val="21"/>
              </w:rPr>
              <w:t>HCO</w:t>
            </w:r>
            <w:r>
              <w:rPr>
                <w:sz w:val="21"/>
                <w:szCs w:val="21"/>
                <w:vertAlign w:val="subscript"/>
              </w:rPr>
              <w:t>3</w:t>
            </w:r>
            <w:r>
              <w:rPr>
                <w:sz w:val="21"/>
                <w:szCs w:val="21"/>
                <w:vertAlign w:val="superscript"/>
              </w:rPr>
              <w:t>-</w:t>
            </w:r>
          </w:p>
        </w:tc>
        <w:tc>
          <w:tcPr>
            <w:tcW w:w="954" w:type="dxa"/>
            <w:vAlign w:val="center"/>
          </w:tcPr>
          <w:p w:rsidR="00DB7CC8" w:rsidRDefault="002B5250">
            <w:pPr>
              <w:widowControl/>
              <w:spacing w:line="240" w:lineRule="auto"/>
              <w:ind w:firstLineChars="0" w:firstLine="0"/>
              <w:jc w:val="center"/>
              <w:rPr>
                <w:sz w:val="21"/>
                <w:szCs w:val="21"/>
              </w:rPr>
            </w:pPr>
            <w:r>
              <w:rPr>
                <w:sz w:val="21"/>
                <w:szCs w:val="21"/>
              </w:rPr>
              <w:t>Cl</w:t>
            </w:r>
            <w:r>
              <w:rPr>
                <w:sz w:val="21"/>
                <w:szCs w:val="21"/>
                <w:vertAlign w:val="superscript"/>
              </w:rPr>
              <w:t>-</w:t>
            </w:r>
          </w:p>
        </w:tc>
        <w:tc>
          <w:tcPr>
            <w:tcW w:w="949" w:type="dxa"/>
            <w:vAlign w:val="center"/>
          </w:tcPr>
          <w:p w:rsidR="00DB7CC8" w:rsidRDefault="002B5250">
            <w:pPr>
              <w:widowControl/>
              <w:spacing w:line="240" w:lineRule="auto"/>
              <w:ind w:firstLineChars="0" w:firstLine="0"/>
              <w:jc w:val="center"/>
              <w:rPr>
                <w:sz w:val="21"/>
                <w:szCs w:val="21"/>
              </w:rPr>
            </w:pPr>
            <w:r>
              <w:rPr>
                <w:sz w:val="21"/>
                <w:szCs w:val="21"/>
              </w:rPr>
              <w:t>SO</w:t>
            </w:r>
            <w:r>
              <w:rPr>
                <w:sz w:val="21"/>
                <w:szCs w:val="21"/>
                <w:vertAlign w:val="subscript"/>
              </w:rPr>
              <w:t>4</w:t>
            </w:r>
            <w:r>
              <w:rPr>
                <w:sz w:val="21"/>
                <w:szCs w:val="21"/>
                <w:vertAlign w:val="superscript"/>
              </w:rPr>
              <w:t>2-</w:t>
            </w:r>
          </w:p>
        </w:tc>
      </w:tr>
      <w:tr w:rsidR="00DB7CC8">
        <w:trPr>
          <w:trHeight w:val="255"/>
        </w:trPr>
        <w:tc>
          <w:tcPr>
            <w:tcW w:w="1020" w:type="dxa"/>
            <w:vAlign w:val="center"/>
          </w:tcPr>
          <w:p w:rsidR="00DB7CC8" w:rsidRDefault="002B5250">
            <w:pPr>
              <w:widowControl/>
              <w:spacing w:line="240" w:lineRule="auto"/>
              <w:ind w:firstLineChars="0" w:firstLine="0"/>
              <w:jc w:val="center"/>
              <w:rPr>
                <w:sz w:val="21"/>
                <w:szCs w:val="21"/>
              </w:rPr>
            </w:pPr>
            <w:r>
              <w:rPr>
                <w:rFonts w:hAnsi="宋体"/>
                <w:sz w:val="21"/>
                <w:szCs w:val="21"/>
              </w:rPr>
              <w:t>单位</w:t>
            </w:r>
          </w:p>
        </w:tc>
        <w:tc>
          <w:tcPr>
            <w:tcW w:w="892" w:type="dxa"/>
            <w:vAlign w:val="center"/>
          </w:tcPr>
          <w:p w:rsidR="00DB7CC8" w:rsidRDefault="002B5250">
            <w:pPr>
              <w:widowControl/>
              <w:spacing w:line="240" w:lineRule="auto"/>
              <w:ind w:firstLineChars="0" w:firstLine="0"/>
              <w:jc w:val="center"/>
              <w:rPr>
                <w:sz w:val="21"/>
                <w:szCs w:val="21"/>
              </w:rPr>
            </w:pPr>
            <w:r>
              <w:rPr>
                <w:sz w:val="21"/>
                <w:szCs w:val="21"/>
              </w:rPr>
              <w:t>%</w:t>
            </w:r>
          </w:p>
        </w:tc>
        <w:tc>
          <w:tcPr>
            <w:tcW w:w="955" w:type="dxa"/>
            <w:vAlign w:val="center"/>
          </w:tcPr>
          <w:p w:rsidR="00DB7CC8" w:rsidRDefault="002B5250">
            <w:pPr>
              <w:widowControl/>
              <w:spacing w:line="240" w:lineRule="auto"/>
              <w:ind w:firstLineChars="0" w:firstLine="0"/>
              <w:jc w:val="center"/>
              <w:rPr>
                <w:sz w:val="21"/>
                <w:szCs w:val="21"/>
              </w:rPr>
            </w:pPr>
            <w:r>
              <w:rPr>
                <w:sz w:val="21"/>
                <w:szCs w:val="21"/>
              </w:rPr>
              <w:t>%</w:t>
            </w:r>
          </w:p>
        </w:tc>
        <w:tc>
          <w:tcPr>
            <w:tcW w:w="954" w:type="dxa"/>
            <w:vAlign w:val="center"/>
          </w:tcPr>
          <w:p w:rsidR="00DB7CC8" w:rsidRDefault="002B5250">
            <w:pPr>
              <w:widowControl/>
              <w:spacing w:line="240" w:lineRule="auto"/>
              <w:ind w:firstLineChars="0" w:firstLine="0"/>
              <w:jc w:val="center"/>
              <w:rPr>
                <w:sz w:val="21"/>
                <w:szCs w:val="21"/>
              </w:rPr>
            </w:pPr>
            <w:r>
              <w:rPr>
                <w:sz w:val="21"/>
                <w:szCs w:val="21"/>
              </w:rPr>
              <w:t>%</w:t>
            </w:r>
          </w:p>
        </w:tc>
        <w:tc>
          <w:tcPr>
            <w:tcW w:w="954" w:type="dxa"/>
            <w:vAlign w:val="center"/>
          </w:tcPr>
          <w:p w:rsidR="00DB7CC8" w:rsidRDefault="002B5250">
            <w:pPr>
              <w:widowControl/>
              <w:spacing w:line="240" w:lineRule="auto"/>
              <w:ind w:firstLineChars="0" w:firstLine="0"/>
              <w:jc w:val="center"/>
              <w:rPr>
                <w:sz w:val="21"/>
                <w:szCs w:val="21"/>
              </w:rPr>
            </w:pPr>
            <w:r>
              <w:rPr>
                <w:sz w:val="21"/>
                <w:szCs w:val="21"/>
              </w:rPr>
              <w:t>%</w:t>
            </w:r>
          </w:p>
        </w:tc>
        <w:tc>
          <w:tcPr>
            <w:tcW w:w="890" w:type="dxa"/>
            <w:vAlign w:val="center"/>
          </w:tcPr>
          <w:p w:rsidR="00DB7CC8" w:rsidRDefault="002B5250">
            <w:pPr>
              <w:widowControl/>
              <w:spacing w:line="240" w:lineRule="auto"/>
              <w:ind w:firstLineChars="0" w:firstLine="0"/>
              <w:jc w:val="center"/>
              <w:rPr>
                <w:sz w:val="21"/>
                <w:szCs w:val="21"/>
              </w:rPr>
            </w:pPr>
            <w:r>
              <w:rPr>
                <w:sz w:val="21"/>
                <w:szCs w:val="21"/>
              </w:rPr>
              <w:t>%</w:t>
            </w:r>
          </w:p>
        </w:tc>
        <w:tc>
          <w:tcPr>
            <w:tcW w:w="954" w:type="dxa"/>
            <w:vAlign w:val="center"/>
          </w:tcPr>
          <w:p w:rsidR="00DB7CC8" w:rsidRDefault="002B5250">
            <w:pPr>
              <w:widowControl/>
              <w:spacing w:line="240" w:lineRule="auto"/>
              <w:ind w:firstLineChars="0" w:firstLine="0"/>
              <w:jc w:val="center"/>
              <w:rPr>
                <w:sz w:val="21"/>
                <w:szCs w:val="21"/>
              </w:rPr>
            </w:pPr>
            <w:r>
              <w:rPr>
                <w:sz w:val="21"/>
                <w:szCs w:val="21"/>
              </w:rPr>
              <w:t>%</w:t>
            </w:r>
          </w:p>
        </w:tc>
        <w:tc>
          <w:tcPr>
            <w:tcW w:w="954" w:type="dxa"/>
            <w:vAlign w:val="center"/>
          </w:tcPr>
          <w:p w:rsidR="00DB7CC8" w:rsidRDefault="002B5250">
            <w:pPr>
              <w:widowControl/>
              <w:spacing w:line="240" w:lineRule="auto"/>
              <w:ind w:firstLineChars="0" w:firstLine="0"/>
              <w:jc w:val="center"/>
              <w:rPr>
                <w:sz w:val="21"/>
                <w:szCs w:val="21"/>
              </w:rPr>
            </w:pPr>
            <w:r>
              <w:rPr>
                <w:sz w:val="21"/>
                <w:szCs w:val="21"/>
              </w:rPr>
              <w:t>%</w:t>
            </w:r>
          </w:p>
        </w:tc>
        <w:tc>
          <w:tcPr>
            <w:tcW w:w="949" w:type="dxa"/>
            <w:vAlign w:val="center"/>
          </w:tcPr>
          <w:p w:rsidR="00DB7CC8" w:rsidRDefault="002B5250">
            <w:pPr>
              <w:widowControl/>
              <w:spacing w:line="240" w:lineRule="auto"/>
              <w:ind w:firstLineChars="0" w:firstLine="0"/>
              <w:jc w:val="center"/>
              <w:rPr>
                <w:sz w:val="21"/>
                <w:szCs w:val="21"/>
              </w:rPr>
            </w:pPr>
            <w:r>
              <w:rPr>
                <w:sz w:val="21"/>
                <w:szCs w:val="21"/>
              </w:rPr>
              <w:t>%</w:t>
            </w:r>
          </w:p>
        </w:tc>
      </w:tr>
      <w:tr w:rsidR="00DB7CC8">
        <w:trPr>
          <w:trHeight w:val="255"/>
        </w:trPr>
        <w:tc>
          <w:tcPr>
            <w:tcW w:w="1020" w:type="dxa"/>
            <w:vAlign w:val="center"/>
          </w:tcPr>
          <w:p w:rsidR="00DB7CC8" w:rsidRDefault="002B5250">
            <w:pPr>
              <w:widowControl/>
              <w:spacing w:line="240" w:lineRule="auto"/>
              <w:ind w:firstLineChars="0" w:firstLine="0"/>
              <w:jc w:val="center"/>
              <w:rPr>
                <w:sz w:val="21"/>
                <w:szCs w:val="21"/>
              </w:rPr>
            </w:pPr>
            <w:r>
              <w:rPr>
                <w:sz w:val="21"/>
                <w:szCs w:val="21"/>
              </w:rPr>
              <w:t>J1</w:t>
            </w:r>
          </w:p>
        </w:tc>
        <w:tc>
          <w:tcPr>
            <w:tcW w:w="892"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0.353 </w:t>
            </w:r>
          </w:p>
        </w:tc>
        <w:tc>
          <w:tcPr>
            <w:tcW w:w="955"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16.319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63.519 </w:t>
            </w:r>
          </w:p>
        </w:tc>
        <w:tc>
          <w:tcPr>
            <w:tcW w:w="954"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19.809 </w:t>
            </w:r>
          </w:p>
        </w:tc>
        <w:tc>
          <w:tcPr>
            <w:tcW w:w="890"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0.000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50.467 </w:t>
            </w:r>
          </w:p>
        </w:tc>
        <w:tc>
          <w:tcPr>
            <w:tcW w:w="954"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21.232 </w:t>
            </w:r>
          </w:p>
        </w:tc>
        <w:tc>
          <w:tcPr>
            <w:tcW w:w="949"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28.300 </w:t>
            </w:r>
          </w:p>
        </w:tc>
      </w:tr>
      <w:tr w:rsidR="00DB7CC8">
        <w:trPr>
          <w:trHeight w:val="255"/>
        </w:trPr>
        <w:tc>
          <w:tcPr>
            <w:tcW w:w="1020" w:type="dxa"/>
            <w:vAlign w:val="center"/>
          </w:tcPr>
          <w:p w:rsidR="00DB7CC8" w:rsidRDefault="002B5250">
            <w:pPr>
              <w:widowControl/>
              <w:spacing w:line="240" w:lineRule="auto"/>
              <w:ind w:firstLineChars="0" w:firstLine="0"/>
              <w:jc w:val="center"/>
              <w:rPr>
                <w:sz w:val="21"/>
                <w:szCs w:val="21"/>
              </w:rPr>
            </w:pPr>
            <w:r>
              <w:rPr>
                <w:sz w:val="21"/>
                <w:szCs w:val="21"/>
              </w:rPr>
              <w:t>J2</w:t>
            </w:r>
          </w:p>
        </w:tc>
        <w:tc>
          <w:tcPr>
            <w:tcW w:w="892"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0.327 </w:t>
            </w:r>
          </w:p>
        </w:tc>
        <w:tc>
          <w:tcPr>
            <w:tcW w:w="955"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19.376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70.854 </w:t>
            </w:r>
          </w:p>
        </w:tc>
        <w:tc>
          <w:tcPr>
            <w:tcW w:w="954"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9.443 </w:t>
            </w:r>
          </w:p>
        </w:tc>
        <w:tc>
          <w:tcPr>
            <w:tcW w:w="890"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0.000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44.145 </w:t>
            </w:r>
          </w:p>
        </w:tc>
        <w:tc>
          <w:tcPr>
            <w:tcW w:w="954"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23.797 </w:t>
            </w:r>
          </w:p>
        </w:tc>
        <w:tc>
          <w:tcPr>
            <w:tcW w:w="949"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32.058 </w:t>
            </w:r>
          </w:p>
        </w:tc>
      </w:tr>
      <w:tr w:rsidR="00DB7CC8">
        <w:trPr>
          <w:trHeight w:val="255"/>
        </w:trPr>
        <w:tc>
          <w:tcPr>
            <w:tcW w:w="1020" w:type="dxa"/>
            <w:vAlign w:val="center"/>
          </w:tcPr>
          <w:p w:rsidR="00DB7CC8" w:rsidRDefault="002B5250">
            <w:pPr>
              <w:widowControl/>
              <w:spacing w:line="240" w:lineRule="auto"/>
              <w:ind w:firstLineChars="0" w:firstLine="0"/>
              <w:jc w:val="center"/>
              <w:rPr>
                <w:sz w:val="21"/>
                <w:szCs w:val="21"/>
              </w:rPr>
            </w:pPr>
            <w:r>
              <w:rPr>
                <w:sz w:val="21"/>
                <w:szCs w:val="21"/>
              </w:rPr>
              <w:t>J3</w:t>
            </w:r>
          </w:p>
        </w:tc>
        <w:tc>
          <w:tcPr>
            <w:tcW w:w="892"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0.452 </w:t>
            </w:r>
          </w:p>
        </w:tc>
        <w:tc>
          <w:tcPr>
            <w:tcW w:w="955"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13.310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68.928 </w:t>
            </w:r>
          </w:p>
        </w:tc>
        <w:tc>
          <w:tcPr>
            <w:tcW w:w="954"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17.310 </w:t>
            </w:r>
          </w:p>
        </w:tc>
        <w:tc>
          <w:tcPr>
            <w:tcW w:w="890"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0.000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58.182 </w:t>
            </w:r>
          </w:p>
        </w:tc>
        <w:tc>
          <w:tcPr>
            <w:tcW w:w="954"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22.594 </w:t>
            </w:r>
          </w:p>
        </w:tc>
        <w:tc>
          <w:tcPr>
            <w:tcW w:w="949"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19.224 </w:t>
            </w:r>
          </w:p>
        </w:tc>
      </w:tr>
      <w:tr w:rsidR="00DB7CC8">
        <w:trPr>
          <w:trHeight w:val="255"/>
        </w:trPr>
        <w:tc>
          <w:tcPr>
            <w:tcW w:w="1020" w:type="dxa"/>
            <w:vAlign w:val="center"/>
          </w:tcPr>
          <w:p w:rsidR="00DB7CC8" w:rsidRDefault="002B5250">
            <w:pPr>
              <w:widowControl/>
              <w:spacing w:line="240" w:lineRule="auto"/>
              <w:ind w:firstLineChars="0" w:firstLine="0"/>
              <w:jc w:val="center"/>
              <w:rPr>
                <w:sz w:val="21"/>
                <w:szCs w:val="21"/>
              </w:rPr>
            </w:pPr>
            <w:r>
              <w:rPr>
                <w:sz w:val="21"/>
                <w:szCs w:val="21"/>
              </w:rPr>
              <w:t>J4</w:t>
            </w:r>
          </w:p>
        </w:tc>
        <w:tc>
          <w:tcPr>
            <w:tcW w:w="892"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0.415 </w:t>
            </w:r>
          </w:p>
        </w:tc>
        <w:tc>
          <w:tcPr>
            <w:tcW w:w="955"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13.950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74.389 </w:t>
            </w:r>
          </w:p>
        </w:tc>
        <w:tc>
          <w:tcPr>
            <w:tcW w:w="954"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11.247 </w:t>
            </w:r>
          </w:p>
        </w:tc>
        <w:tc>
          <w:tcPr>
            <w:tcW w:w="890"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0.000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61.543 </w:t>
            </w:r>
          </w:p>
        </w:tc>
        <w:tc>
          <w:tcPr>
            <w:tcW w:w="954"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20.652 </w:t>
            </w:r>
          </w:p>
        </w:tc>
        <w:tc>
          <w:tcPr>
            <w:tcW w:w="949"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17.805 </w:t>
            </w:r>
          </w:p>
        </w:tc>
      </w:tr>
      <w:tr w:rsidR="00DB7CC8">
        <w:trPr>
          <w:trHeight w:val="255"/>
        </w:trPr>
        <w:tc>
          <w:tcPr>
            <w:tcW w:w="1020" w:type="dxa"/>
            <w:vAlign w:val="center"/>
          </w:tcPr>
          <w:p w:rsidR="00DB7CC8" w:rsidRDefault="002B5250">
            <w:pPr>
              <w:widowControl/>
              <w:spacing w:line="240" w:lineRule="auto"/>
              <w:ind w:firstLineChars="0" w:firstLine="0"/>
              <w:jc w:val="center"/>
              <w:rPr>
                <w:sz w:val="21"/>
                <w:szCs w:val="21"/>
              </w:rPr>
            </w:pPr>
            <w:r>
              <w:rPr>
                <w:sz w:val="21"/>
                <w:szCs w:val="21"/>
              </w:rPr>
              <w:t>J5</w:t>
            </w:r>
          </w:p>
        </w:tc>
        <w:tc>
          <w:tcPr>
            <w:tcW w:w="892"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0.453 </w:t>
            </w:r>
          </w:p>
        </w:tc>
        <w:tc>
          <w:tcPr>
            <w:tcW w:w="955"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10.008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80.973 </w:t>
            </w:r>
          </w:p>
        </w:tc>
        <w:tc>
          <w:tcPr>
            <w:tcW w:w="954"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8.566 </w:t>
            </w:r>
          </w:p>
        </w:tc>
        <w:tc>
          <w:tcPr>
            <w:tcW w:w="890"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0.000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54.863 </w:t>
            </w:r>
          </w:p>
        </w:tc>
        <w:tc>
          <w:tcPr>
            <w:tcW w:w="954"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19.138 </w:t>
            </w:r>
          </w:p>
        </w:tc>
        <w:tc>
          <w:tcPr>
            <w:tcW w:w="949"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25.999 </w:t>
            </w:r>
          </w:p>
        </w:tc>
      </w:tr>
      <w:tr w:rsidR="00DB7CC8">
        <w:trPr>
          <w:trHeight w:val="255"/>
        </w:trPr>
        <w:tc>
          <w:tcPr>
            <w:tcW w:w="1020" w:type="dxa"/>
            <w:vAlign w:val="center"/>
          </w:tcPr>
          <w:p w:rsidR="00DB7CC8" w:rsidRDefault="002B5250">
            <w:pPr>
              <w:widowControl/>
              <w:spacing w:line="240" w:lineRule="auto"/>
              <w:ind w:firstLineChars="0" w:firstLine="0"/>
              <w:jc w:val="center"/>
              <w:rPr>
                <w:sz w:val="21"/>
                <w:szCs w:val="21"/>
              </w:rPr>
            </w:pPr>
            <w:r>
              <w:rPr>
                <w:sz w:val="21"/>
                <w:szCs w:val="21"/>
              </w:rPr>
              <w:t>J6</w:t>
            </w:r>
          </w:p>
        </w:tc>
        <w:tc>
          <w:tcPr>
            <w:tcW w:w="892"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0.331 </w:t>
            </w:r>
          </w:p>
        </w:tc>
        <w:tc>
          <w:tcPr>
            <w:tcW w:w="955"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15.259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76.457 </w:t>
            </w:r>
          </w:p>
        </w:tc>
        <w:tc>
          <w:tcPr>
            <w:tcW w:w="954"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7.953 </w:t>
            </w:r>
          </w:p>
        </w:tc>
        <w:tc>
          <w:tcPr>
            <w:tcW w:w="890"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0.000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49.154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25.901 </w:t>
            </w:r>
          </w:p>
        </w:tc>
        <w:tc>
          <w:tcPr>
            <w:tcW w:w="949"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24.945 </w:t>
            </w:r>
          </w:p>
        </w:tc>
      </w:tr>
      <w:tr w:rsidR="00DB7CC8">
        <w:trPr>
          <w:trHeight w:val="255"/>
        </w:trPr>
        <w:tc>
          <w:tcPr>
            <w:tcW w:w="1020" w:type="dxa"/>
            <w:vAlign w:val="center"/>
          </w:tcPr>
          <w:p w:rsidR="00DB7CC8" w:rsidRDefault="002B5250">
            <w:pPr>
              <w:widowControl/>
              <w:spacing w:line="240" w:lineRule="auto"/>
              <w:ind w:firstLineChars="0" w:firstLine="0"/>
              <w:jc w:val="center"/>
              <w:rPr>
                <w:sz w:val="21"/>
                <w:szCs w:val="21"/>
              </w:rPr>
            </w:pPr>
            <w:r>
              <w:rPr>
                <w:sz w:val="21"/>
                <w:szCs w:val="21"/>
              </w:rPr>
              <w:t>J7</w:t>
            </w:r>
          </w:p>
        </w:tc>
        <w:tc>
          <w:tcPr>
            <w:tcW w:w="892"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0.596 </w:t>
            </w:r>
          </w:p>
        </w:tc>
        <w:tc>
          <w:tcPr>
            <w:tcW w:w="955"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22.510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63.780 </w:t>
            </w:r>
          </w:p>
        </w:tc>
        <w:tc>
          <w:tcPr>
            <w:tcW w:w="954"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13.114 </w:t>
            </w:r>
          </w:p>
        </w:tc>
        <w:tc>
          <w:tcPr>
            <w:tcW w:w="890"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0.000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39.763 </w:t>
            </w:r>
          </w:p>
        </w:tc>
        <w:tc>
          <w:tcPr>
            <w:tcW w:w="954"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18.930 </w:t>
            </w:r>
          </w:p>
        </w:tc>
        <w:tc>
          <w:tcPr>
            <w:tcW w:w="949"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41.307 </w:t>
            </w:r>
          </w:p>
        </w:tc>
      </w:tr>
      <w:tr w:rsidR="00DB7CC8">
        <w:trPr>
          <w:trHeight w:val="255"/>
        </w:trPr>
        <w:tc>
          <w:tcPr>
            <w:tcW w:w="1020" w:type="dxa"/>
            <w:vAlign w:val="center"/>
          </w:tcPr>
          <w:p w:rsidR="00DB7CC8" w:rsidRDefault="002B5250">
            <w:pPr>
              <w:widowControl/>
              <w:spacing w:line="240" w:lineRule="auto"/>
              <w:ind w:firstLineChars="0" w:firstLine="0"/>
              <w:jc w:val="center"/>
              <w:rPr>
                <w:sz w:val="21"/>
                <w:szCs w:val="21"/>
              </w:rPr>
            </w:pPr>
            <w:r>
              <w:rPr>
                <w:sz w:val="21"/>
                <w:szCs w:val="21"/>
              </w:rPr>
              <w:t>J8</w:t>
            </w:r>
          </w:p>
        </w:tc>
        <w:tc>
          <w:tcPr>
            <w:tcW w:w="892"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0.546 </w:t>
            </w:r>
          </w:p>
        </w:tc>
        <w:tc>
          <w:tcPr>
            <w:tcW w:w="955"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10.393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66.033 </w:t>
            </w:r>
          </w:p>
        </w:tc>
        <w:tc>
          <w:tcPr>
            <w:tcW w:w="954"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23.029 </w:t>
            </w:r>
          </w:p>
        </w:tc>
        <w:tc>
          <w:tcPr>
            <w:tcW w:w="890"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0.000 </w:t>
            </w:r>
          </w:p>
        </w:tc>
        <w:tc>
          <w:tcPr>
            <w:tcW w:w="954"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54.769 </w:t>
            </w:r>
          </w:p>
        </w:tc>
        <w:tc>
          <w:tcPr>
            <w:tcW w:w="954"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 xml:space="preserve">15.608 </w:t>
            </w:r>
          </w:p>
        </w:tc>
        <w:tc>
          <w:tcPr>
            <w:tcW w:w="949" w:type="dxa"/>
            <w:vAlign w:val="center"/>
          </w:tcPr>
          <w:p w:rsidR="00DB7CC8" w:rsidRDefault="002B5250">
            <w:pPr>
              <w:spacing w:line="240" w:lineRule="auto"/>
              <w:ind w:firstLineChars="0" w:firstLine="0"/>
              <w:jc w:val="center"/>
              <w:rPr>
                <w:rFonts w:ascii="宋体" w:hAnsi="宋体" w:cs="宋体"/>
                <w:b/>
                <w:sz w:val="21"/>
                <w:szCs w:val="21"/>
              </w:rPr>
            </w:pPr>
            <w:r>
              <w:rPr>
                <w:rFonts w:hint="eastAsia"/>
                <w:b/>
                <w:sz w:val="21"/>
                <w:szCs w:val="21"/>
              </w:rPr>
              <w:t xml:space="preserve">29.623 </w:t>
            </w:r>
          </w:p>
        </w:tc>
      </w:tr>
    </w:tbl>
    <w:p w:rsidR="00DB7CC8" w:rsidRDefault="002B5250">
      <w:pPr>
        <w:ind w:firstLineChars="0" w:firstLine="0"/>
        <w:rPr>
          <w:sz w:val="21"/>
          <w:szCs w:val="21"/>
        </w:rPr>
      </w:pPr>
      <w:r>
        <w:rPr>
          <w:noProof/>
          <w:sz w:val="21"/>
          <w:szCs w:val="21"/>
        </w:rPr>
        <w:drawing>
          <wp:anchor distT="0" distB="0" distL="0" distR="0" simplePos="0" relativeHeight="251660288" behindDoc="0" locked="0" layoutInCell="1" allowOverlap="1">
            <wp:simplePos x="0" y="0"/>
            <wp:positionH relativeFrom="column">
              <wp:posOffset>1298575</wp:posOffset>
            </wp:positionH>
            <wp:positionV relativeFrom="paragraph">
              <wp:posOffset>144145</wp:posOffset>
            </wp:positionV>
            <wp:extent cx="3863340" cy="3533140"/>
            <wp:effectExtent l="0" t="0" r="3810" b="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3868893" cy="3538845"/>
                    </a:xfrm>
                    <a:prstGeom prst="rect">
                      <a:avLst/>
                    </a:prstGeom>
                    <a:noFill/>
                    <a:ln>
                      <a:noFill/>
                    </a:ln>
                  </pic:spPr>
                </pic:pic>
              </a:graphicData>
            </a:graphic>
          </wp:anchor>
        </w:drawing>
      </w:r>
      <w:r>
        <w:rPr>
          <w:sz w:val="21"/>
          <w:szCs w:val="21"/>
        </w:rPr>
        <w:t>注：加黑为毫克当量百分比大于</w:t>
      </w:r>
      <w:r>
        <w:rPr>
          <w:sz w:val="21"/>
          <w:szCs w:val="21"/>
        </w:rPr>
        <w:t>25%</w:t>
      </w:r>
    </w:p>
    <w:p w:rsidR="00DB7CC8" w:rsidRDefault="00DB7CC8">
      <w:pPr>
        <w:autoSpaceDE w:val="0"/>
        <w:autoSpaceDN w:val="0"/>
        <w:ind w:firstLineChars="0" w:firstLine="0"/>
        <w:jc w:val="center"/>
        <w:rPr>
          <w:b/>
          <w:sz w:val="24"/>
        </w:rPr>
      </w:pPr>
    </w:p>
    <w:p w:rsidR="00DB7CC8" w:rsidRDefault="00DB7CC8">
      <w:pPr>
        <w:autoSpaceDE w:val="0"/>
        <w:autoSpaceDN w:val="0"/>
        <w:ind w:firstLineChars="0" w:firstLine="0"/>
        <w:jc w:val="center"/>
        <w:rPr>
          <w:b/>
          <w:sz w:val="24"/>
        </w:rPr>
      </w:pPr>
    </w:p>
    <w:p w:rsidR="00DB7CC8" w:rsidRDefault="00DB7CC8">
      <w:pPr>
        <w:autoSpaceDE w:val="0"/>
        <w:autoSpaceDN w:val="0"/>
        <w:ind w:firstLineChars="0" w:firstLine="0"/>
        <w:jc w:val="center"/>
        <w:rPr>
          <w:b/>
          <w:sz w:val="24"/>
        </w:rPr>
      </w:pPr>
    </w:p>
    <w:p w:rsidR="00DB7CC8" w:rsidRDefault="00DB7CC8">
      <w:pPr>
        <w:autoSpaceDE w:val="0"/>
        <w:autoSpaceDN w:val="0"/>
        <w:ind w:firstLineChars="0" w:firstLine="0"/>
        <w:jc w:val="center"/>
        <w:rPr>
          <w:b/>
          <w:sz w:val="24"/>
        </w:rPr>
      </w:pPr>
    </w:p>
    <w:p w:rsidR="00DB7CC8" w:rsidRDefault="00DB7CC8">
      <w:pPr>
        <w:autoSpaceDE w:val="0"/>
        <w:autoSpaceDN w:val="0"/>
        <w:ind w:firstLineChars="0" w:firstLine="0"/>
        <w:jc w:val="center"/>
        <w:rPr>
          <w:b/>
          <w:sz w:val="24"/>
        </w:rPr>
      </w:pPr>
    </w:p>
    <w:p w:rsidR="00DB7CC8" w:rsidRDefault="00DB7CC8">
      <w:pPr>
        <w:autoSpaceDE w:val="0"/>
        <w:autoSpaceDN w:val="0"/>
        <w:ind w:firstLineChars="0" w:firstLine="0"/>
        <w:jc w:val="center"/>
        <w:rPr>
          <w:b/>
          <w:sz w:val="24"/>
        </w:rPr>
      </w:pPr>
    </w:p>
    <w:p w:rsidR="00DB7CC8" w:rsidRDefault="00DB7CC8">
      <w:pPr>
        <w:autoSpaceDE w:val="0"/>
        <w:autoSpaceDN w:val="0"/>
        <w:ind w:firstLineChars="0" w:firstLine="0"/>
        <w:jc w:val="center"/>
        <w:rPr>
          <w:b/>
          <w:sz w:val="24"/>
        </w:rPr>
      </w:pPr>
    </w:p>
    <w:p w:rsidR="00DB7CC8" w:rsidRDefault="00DB7CC8">
      <w:pPr>
        <w:autoSpaceDE w:val="0"/>
        <w:autoSpaceDN w:val="0"/>
        <w:ind w:firstLineChars="0" w:firstLine="0"/>
        <w:jc w:val="center"/>
        <w:rPr>
          <w:b/>
          <w:sz w:val="24"/>
        </w:rPr>
      </w:pPr>
    </w:p>
    <w:p w:rsidR="00DB7CC8" w:rsidRDefault="00DB7CC8">
      <w:pPr>
        <w:autoSpaceDE w:val="0"/>
        <w:autoSpaceDN w:val="0"/>
        <w:ind w:firstLineChars="0" w:firstLine="0"/>
        <w:jc w:val="center"/>
        <w:rPr>
          <w:b/>
          <w:sz w:val="24"/>
        </w:rPr>
      </w:pPr>
    </w:p>
    <w:p w:rsidR="00DB7CC8" w:rsidRDefault="00DB7CC8">
      <w:pPr>
        <w:autoSpaceDE w:val="0"/>
        <w:autoSpaceDN w:val="0"/>
        <w:ind w:firstLineChars="0" w:firstLine="0"/>
        <w:jc w:val="center"/>
        <w:rPr>
          <w:b/>
          <w:sz w:val="24"/>
        </w:rPr>
      </w:pPr>
    </w:p>
    <w:p w:rsidR="00DB7CC8" w:rsidRDefault="00DB7CC8">
      <w:pPr>
        <w:autoSpaceDE w:val="0"/>
        <w:autoSpaceDN w:val="0"/>
        <w:ind w:firstLineChars="0" w:firstLine="0"/>
        <w:jc w:val="center"/>
        <w:rPr>
          <w:b/>
          <w:sz w:val="24"/>
        </w:rPr>
      </w:pPr>
    </w:p>
    <w:p w:rsidR="00DB7CC8" w:rsidRDefault="00DB7CC8">
      <w:pPr>
        <w:autoSpaceDE w:val="0"/>
        <w:autoSpaceDN w:val="0"/>
        <w:ind w:firstLineChars="0" w:firstLine="0"/>
        <w:jc w:val="center"/>
        <w:rPr>
          <w:b/>
          <w:sz w:val="24"/>
        </w:rPr>
      </w:pPr>
    </w:p>
    <w:p w:rsidR="00DB7CC8" w:rsidRDefault="00DB7CC8">
      <w:pPr>
        <w:ind w:firstLine="420"/>
        <w:jc w:val="center"/>
        <w:rPr>
          <w:rFonts w:eastAsia="黑体"/>
          <w:sz w:val="21"/>
          <w:szCs w:val="21"/>
        </w:rPr>
      </w:pPr>
    </w:p>
    <w:p w:rsidR="00DB7CC8" w:rsidRDefault="002B5250">
      <w:pPr>
        <w:ind w:firstLine="420"/>
        <w:jc w:val="center"/>
        <w:rPr>
          <w:rFonts w:eastAsia="黑体"/>
          <w:sz w:val="21"/>
          <w:szCs w:val="21"/>
        </w:rPr>
      </w:pPr>
      <w:r>
        <w:rPr>
          <w:rFonts w:eastAsia="黑体"/>
          <w:sz w:val="21"/>
          <w:szCs w:val="21"/>
        </w:rPr>
        <w:t>图</w:t>
      </w:r>
      <w:r>
        <w:rPr>
          <w:rFonts w:eastAsia="黑体"/>
          <w:sz w:val="21"/>
          <w:szCs w:val="21"/>
        </w:rPr>
        <w:t xml:space="preserve">5.2-8   </w:t>
      </w:r>
      <w:r>
        <w:rPr>
          <w:rFonts w:eastAsia="黑体"/>
          <w:sz w:val="21"/>
          <w:szCs w:val="21"/>
        </w:rPr>
        <w:t>评价区水化学类型</w:t>
      </w:r>
      <w:r>
        <w:rPr>
          <w:rFonts w:eastAsia="黑体"/>
          <w:sz w:val="21"/>
          <w:szCs w:val="21"/>
        </w:rPr>
        <w:t>piper</w:t>
      </w:r>
      <w:r>
        <w:rPr>
          <w:rFonts w:eastAsia="黑体"/>
          <w:sz w:val="21"/>
          <w:szCs w:val="21"/>
        </w:rPr>
        <w:t>图</w:t>
      </w:r>
    </w:p>
    <w:p w:rsidR="00DB7CC8" w:rsidRDefault="002B5250">
      <w:pPr>
        <w:ind w:firstLine="480"/>
        <w:rPr>
          <w:rFonts w:hAnsi="宋体"/>
          <w:sz w:val="24"/>
          <w:szCs w:val="24"/>
        </w:rPr>
      </w:pPr>
      <w:r>
        <w:rPr>
          <w:rFonts w:hAnsi="宋体" w:hint="eastAsia"/>
          <w:sz w:val="24"/>
          <w:szCs w:val="24"/>
        </w:rPr>
        <w:t>（</w:t>
      </w:r>
      <w:r>
        <w:rPr>
          <w:rFonts w:hAnsi="宋体" w:hint="eastAsia"/>
          <w:sz w:val="24"/>
          <w:szCs w:val="24"/>
        </w:rPr>
        <w:t>4</w:t>
      </w:r>
      <w:r>
        <w:rPr>
          <w:rFonts w:hAnsi="宋体" w:hint="eastAsia"/>
          <w:sz w:val="24"/>
          <w:szCs w:val="24"/>
        </w:rPr>
        <w:t>）评价区地下水环境现状调查与评价</w:t>
      </w:r>
      <w:bookmarkEnd w:id="396"/>
    </w:p>
    <w:p w:rsidR="00DB7CC8" w:rsidRDefault="002B5250">
      <w:pPr>
        <w:ind w:firstLine="480"/>
        <w:rPr>
          <w:sz w:val="24"/>
          <w:szCs w:val="22"/>
        </w:rPr>
      </w:pPr>
      <w:r>
        <w:rPr>
          <w:rFonts w:hint="eastAsia"/>
          <w:sz w:val="24"/>
          <w:szCs w:val="22"/>
        </w:rPr>
        <w:t>①</w:t>
      </w:r>
      <w:r>
        <w:rPr>
          <w:rFonts w:hAnsi="宋体" w:hint="eastAsia"/>
          <w:sz w:val="24"/>
          <w:szCs w:val="24"/>
        </w:rPr>
        <w:t>水文地质调查</w:t>
      </w:r>
    </w:p>
    <w:p w:rsidR="00DB7CC8" w:rsidRDefault="002B5250">
      <w:pPr>
        <w:ind w:firstLine="480"/>
        <w:rPr>
          <w:sz w:val="24"/>
        </w:rPr>
      </w:pPr>
      <w:r>
        <w:rPr>
          <w:rFonts w:hint="eastAsia"/>
          <w:sz w:val="24"/>
          <w:szCs w:val="22"/>
        </w:rPr>
        <w:t>为了查明</w:t>
      </w:r>
      <w:r>
        <w:rPr>
          <w:rFonts w:hAnsi="宋体" w:hint="eastAsia"/>
          <w:sz w:val="24"/>
          <w:szCs w:val="24"/>
        </w:rPr>
        <w:t>评价</w:t>
      </w:r>
      <w:r>
        <w:rPr>
          <w:rFonts w:hint="eastAsia"/>
          <w:sz w:val="24"/>
          <w:szCs w:val="22"/>
        </w:rPr>
        <w:t>区的水文地质以及地下水位情况，分别在</w:t>
      </w:r>
      <w:r>
        <w:rPr>
          <w:rFonts w:hint="eastAsia"/>
          <w:sz w:val="24"/>
          <w:szCs w:val="22"/>
        </w:rPr>
        <w:t>2018</w:t>
      </w:r>
      <w:r>
        <w:rPr>
          <w:rFonts w:hint="eastAsia"/>
          <w:sz w:val="24"/>
          <w:szCs w:val="22"/>
        </w:rPr>
        <w:t>年</w:t>
      </w:r>
      <w:r>
        <w:rPr>
          <w:rFonts w:hint="eastAsia"/>
          <w:sz w:val="24"/>
          <w:szCs w:val="22"/>
        </w:rPr>
        <w:t>5</w:t>
      </w:r>
      <w:r>
        <w:rPr>
          <w:rFonts w:hint="eastAsia"/>
          <w:sz w:val="24"/>
          <w:szCs w:val="22"/>
        </w:rPr>
        <w:t>月</w:t>
      </w:r>
      <w:r>
        <w:rPr>
          <w:rFonts w:hint="eastAsia"/>
          <w:sz w:val="24"/>
          <w:szCs w:val="22"/>
        </w:rPr>
        <w:t>20</w:t>
      </w:r>
      <w:r>
        <w:rPr>
          <w:rFonts w:hint="eastAsia"/>
          <w:sz w:val="24"/>
          <w:szCs w:val="22"/>
        </w:rPr>
        <w:t>日和</w:t>
      </w:r>
      <w:r>
        <w:rPr>
          <w:rFonts w:hint="eastAsia"/>
          <w:sz w:val="24"/>
          <w:szCs w:val="22"/>
        </w:rPr>
        <w:t>2018</w:t>
      </w:r>
      <w:r>
        <w:rPr>
          <w:rFonts w:hint="eastAsia"/>
          <w:sz w:val="24"/>
          <w:szCs w:val="22"/>
        </w:rPr>
        <w:t>年</w:t>
      </w:r>
      <w:r>
        <w:rPr>
          <w:rFonts w:hint="eastAsia"/>
          <w:sz w:val="24"/>
          <w:szCs w:val="22"/>
        </w:rPr>
        <w:t>8</w:t>
      </w:r>
      <w:r>
        <w:rPr>
          <w:rFonts w:hint="eastAsia"/>
          <w:sz w:val="24"/>
          <w:szCs w:val="22"/>
        </w:rPr>
        <w:t>月</w:t>
      </w:r>
      <w:r>
        <w:rPr>
          <w:rFonts w:hint="eastAsia"/>
          <w:sz w:val="24"/>
          <w:szCs w:val="22"/>
        </w:rPr>
        <w:t>25</w:t>
      </w:r>
      <w:r>
        <w:rPr>
          <w:rFonts w:hint="eastAsia"/>
          <w:sz w:val="24"/>
          <w:szCs w:val="22"/>
        </w:rPr>
        <w:t>日对研究区进行了</w:t>
      </w:r>
      <w:r>
        <w:rPr>
          <w:sz w:val="24"/>
          <w:szCs w:val="22"/>
        </w:rPr>
        <w:t>区域水文地质</w:t>
      </w:r>
      <w:r>
        <w:rPr>
          <w:rFonts w:hint="eastAsia"/>
          <w:sz w:val="24"/>
          <w:szCs w:val="22"/>
        </w:rPr>
        <w:t>调查</w:t>
      </w:r>
      <w:r>
        <w:rPr>
          <w:sz w:val="24"/>
          <w:szCs w:val="22"/>
        </w:rPr>
        <w:t>，统测评价区的地下水位，调查该区域的地层岩性、含水层厚度以及分布规律；调查该区域内地貌单元的形态和分布规律；调查该区域内已有机民井的位置、井深，井的口径和井管结构，了解其开采形式与开采量</w:t>
      </w:r>
      <w:r>
        <w:rPr>
          <w:sz w:val="24"/>
        </w:rPr>
        <w:t>。</w:t>
      </w:r>
      <w:r>
        <w:rPr>
          <w:rFonts w:hint="eastAsia"/>
          <w:sz w:val="24"/>
        </w:rPr>
        <w:t>调查</w:t>
      </w:r>
      <w:r>
        <w:rPr>
          <w:sz w:val="24"/>
        </w:rPr>
        <w:t>观测线路的布置一般沿地质、地貌、水文地质条件变化最大的方向，以垂直地貌单元为主，观测点均匀布置在地质、地貌、地下水具有代表性地段。对一些重要的观测点，采用了数码照相和摄像等手段，记录地质、地貌、水文地质现象。</w:t>
      </w:r>
    </w:p>
    <w:p w:rsidR="00DB7CC8" w:rsidRDefault="002B5250">
      <w:pPr>
        <w:ind w:firstLine="480"/>
        <w:rPr>
          <w:sz w:val="24"/>
        </w:rPr>
      </w:pPr>
      <w:r>
        <w:rPr>
          <w:rFonts w:hint="eastAsia"/>
          <w:sz w:val="24"/>
        </w:rPr>
        <w:t>本次调查仅关注</w:t>
      </w:r>
      <w:r>
        <w:rPr>
          <w:rFonts w:hAnsi="宋体" w:hint="eastAsia"/>
          <w:sz w:val="24"/>
          <w:szCs w:val="24"/>
        </w:rPr>
        <w:t>第四系</w:t>
      </w:r>
      <w:r>
        <w:rPr>
          <w:rFonts w:hint="eastAsia"/>
          <w:sz w:val="24"/>
        </w:rPr>
        <w:t>松散岩类孔隙水的特征，</w:t>
      </w:r>
      <w:r>
        <w:rPr>
          <w:sz w:val="24"/>
        </w:rPr>
        <w:t>水位统测采用人工测量方法，分别于</w:t>
      </w:r>
      <w:r>
        <w:rPr>
          <w:rFonts w:hint="eastAsia"/>
          <w:sz w:val="24"/>
          <w:szCs w:val="22"/>
        </w:rPr>
        <w:t>2018</w:t>
      </w:r>
      <w:r>
        <w:rPr>
          <w:rFonts w:hint="eastAsia"/>
          <w:sz w:val="24"/>
          <w:szCs w:val="22"/>
        </w:rPr>
        <w:t>年</w:t>
      </w:r>
      <w:r>
        <w:rPr>
          <w:rFonts w:hint="eastAsia"/>
          <w:sz w:val="24"/>
          <w:szCs w:val="22"/>
        </w:rPr>
        <w:t>5</w:t>
      </w:r>
      <w:r>
        <w:rPr>
          <w:rFonts w:hint="eastAsia"/>
          <w:sz w:val="24"/>
          <w:szCs w:val="22"/>
        </w:rPr>
        <w:t>月</w:t>
      </w:r>
      <w:r>
        <w:rPr>
          <w:rFonts w:hint="eastAsia"/>
          <w:sz w:val="24"/>
          <w:szCs w:val="22"/>
        </w:rPr>
        <w:t>20</w:t>
      </w:r>
      <w:r>
        <w:rPr>
          <w:rFonts w:hint="eastAsia"/>
          <w:sz w:val="24"/>
          <w:szCs w:val="22"/>
        </w:rPr>
        <w:t>日和</w:t>
      </w:r>
      <w:r>
        <w:rPr>
          <w:rFonts w:hint="eastAsia"/>
          <w:sz w:val="24"/>
          <w:szCs w:val="22"/>
        </w:rPr>
        <w:t>2018</w:t>
      </w:r>
      <w:r>
        <w:rPr>
          <w:rFonts w:hint="eastAsia"/>
          <w:sz w:val="24"/>
          <w:szCs w:val="22"/>
        </w:rPr>
        <w:t>年</w:t>
      </w:r>
      <w:r>
        <w:rPr>
          <w:rFonts w:hint="eastAsia"/>
          <w:sz w:val="24"/>
          <w:szCs w:val="22"/>
        </w:rPr>
        <w:t>8</w:t>
      </w:r>
      <w:r>
        <w:rPr>
          <w:rFonts w:hint="eastAsia"/>
          <w:sz w:val="24"/>
          <w:szCs w:val="22"/>
        </w:rPr>
        <w:t>月</w:t>
      </w:r>
      <w:r>
        <w:rPr>
          <w:rFonts w:hint="eastAsia"/>
          <w:sz w:val="24"/>
          <w:szCs w:val="22"/>
        </w:rPr>
        <w:t>25</w:t>
      </w:r>
      <w:r>
        <w:rPr>
          <w:rFonts w:hint="eastAsia"/>
          <w:sz w:val="24"/>
          <w:szCs w:val="22"/>
        </w:rPr>
        <w:t>日</w:t>
      </w:r>
      <w:r>
        <w:rPr>
          <w:sz w:val="24"/>
        </w:rPr>
        <w:t>在评价区范围内选择了</w:t>
      </w:r>
      <w:r>
        <w:rPr>
          <w:rFonts w:hint="eastAsia"/>
          <w:sz w:val="24"/>
        </w:rPr>
        <w:t>18</w:t>
      </w:r>
      <w:r>
        <w:rPr>
          <w:sz w:val="24"/>
        </w:rPr>
        <w:t>口浅井，分别对浅层地下水</w:t>
      </w:r>
      <w:r>
        <w:rPr>
          <w:rFonts w:hint="eastAsia"/>
          <w:sz w:val="24"/>
        </w:rPr>
        <w:t>水位</w:t>
      </w:r>
      <w:r>
        <w:rPr>
          <w:sz w:val="24"/>
        </w:rPr>
        <w:t>进行了水位测量</w:t>
      </w:r>
      <w:r>
        <w:rPr>
          <w:rFonts w:hint="eastAsia"/>
          <w:sz w:val="24"/>
        </w:rPr>
        <w:t>并绘制了</w:t>
      </w:r>
      <w:r>
        <w:rPr>
          <w:rFonts w:hint="eastAsia"/>
          <w:sz w:val="24"/>
        </w:rPr>
        <w:t>5</w:t>
      </w:r>
      <w:r>
        <w:rPr>
          <w:rFonts w:hint="eastAsia"/>
          <w:sz w:val="24"/>
        </w:rPr>
        <w:t>月和</w:t>
      </w:r>
      <w:r>
        <w:rPr>
          <w:rFonts w:hint="eastAsia"/>
          <w:sz w:val="24"/>
        </w:rPr>
        <w:t>8</w:t>
      </w:r>
      <w:r>
        <w:rPr>
          <w:rFonts w:hint="eastAsia"/>
          <w:sz w:val="24"/>
        </w:rPr>
        <w:t>月份第四系松散岩类孔隙水地下水水位流场</w:t>
      </w:r>
      <w:r>
        <w:rPr>
          <w:sz w:val="24"/>
        </w:rPr>
        <w:t>，详</w:t>
      </w:r>
      <w:r>
        <w:rPr>
          <w:sz w:val="24"/>
          <w:szCs w:val="22"/>
        </w:rPr>
        <w:t>见</w:t>
      </w:r>
      <w:r>
        <w:rPr>
          <w:rFonts w:hint="eastAsia"/>
          <w:sz w:val="24"/>
          <w:szCs w:val="22"/>
        </w:rPr>
        <w:t>表</w:t>
      </w:r>
      <w:r>
        <w:rPr>
          <w:sz w:val="24"/>
          <w:szCs w:val="22"/>
        </w:rPr>
        <w:t>5.2-1</w:t>
      </w:r>
      <w:r>
        <w:rPr>
          <w:rFonts w:hint="eastAsia"/>
          <w:sz w:val="24"/>
          <w:szCs w:val="22"/>
        </w:rPr>
        <w:t>9</w:t>
      </w:r>
      <w:r>
        <w:rPr>
          <w:rFonts w:hint="eastAsia"/>
          <w:sz w:val="24"/>
          <w:szCs w:val="22"/>
        </w:rPr>
        <w:t>和表</w:t>
      </w:r>
      <w:r>
        <w:rPr>
          <w:sz w:val="24"/>
          <w:szCs w:val="22"/>
        </w:rPr>
        <w:t>5.2-</w:t>
      </w:r>
      <w:r>
        <w:rPr>
          <w:rFonts w:hint="eastAsia"/>
          <w:sz w:val="24"/>
          <w:szCs w:val="22"/>
        </w:rPr>
        <w:t>20</w:t>
      </w:r>
      <w:r>
        <w:rPr>
          <w:rFonts w:hint="eastAsia"/>
          <w:sz w:val="24"/>
          <w:szCs w:val="22"/>
        </w:rPr>
        <w:t>、</w:t>
      </w:r>
      <w:r>
        <w:rPr>
          <w:sz w:val="24"/>
          <w:szCs w:val="22"/>
        </w:rPr>
        <w:t>图</w:t>
      </w:r>
      <w:r>
        <w:rPr>
          <w:rFonts w:hint="eastAsia"/>
          <w:sz w:val="24"/>
          <w:szCs w:val="22"/>
        </w:rPr>
        <w:t>6.2-4</w:t>
      </w:r>
      <w:r>
        <w:rPr>
          <w:rFonts w:hint="eastAsia"/>
          <w:sz w:val="24"/>
          <w:szCs w:val="22"/>
        </w:rPr>
        <w:t>和图</w:t>
      </w:r>
      <w:r>
        <w:rPr>
          <w:rFonts w:hint="eastAsia"/>
          <w:sz w:val="24"/>
          <w:szCs w:val="22"/>
        </w:rPr>
        <w:t>6.2-5</w:t>
      </w:r>
      <w:r>
        <w:rPr>
          <w:sz w:val="24"/>
        </w:rPr>
        <w:t>。</w:t>
      </w:r>
    </w:p>
    <w:p w:rsidR="00DB7CC8" w:rsidRDefault="002B5250">
      <w:pPr>
        <w:ind w:firstLineChars="0" w:firstLine="0"/>
        <w:jc w:val="center"/>
        <w:textAlignment w:val="auto"/>
        <w:rPr>
          <w:rFonts w:eastAsia="黑体"/>
          <w:kern w:val="2"/>
          <w:sz w:val="21"/>
          <w:szCs w:val="21"/>
        </w:rPr>
      </w:pPr>
      <w:r>
        <w:rPr>
          <w:rFonts w:eastAsia="黑体" w:hint="eastAsia"/>
          <w:kern w:val="2"/>
          <w:sz w:val="21"/>
          <w:szCs w:val="21"/>
        </w:rPr>
        <w:t>表</w:t>
      </w:r>
      <w:r>
        <w:rPr>
          <w:rFonts w:eastAsia="黑体"/>
          <w:kern w:val="2"/>
          <w:sz w:val="21"/>
          <w:szCs w:val="21"/>
        </w:rPr>
        <w:t>5.2-1</w:t>
      </w:r>
      <w:r>
        <w:rPr>
          <w:rFonts w:eastAsia="黑体" w:hint="eastAsia"/>
          <w:kern w:val="2"/>
          <w:sz w:val="21"/>
          <w:szCs w:val="21"/>
        </w:rPr>
        <w:t xml:space="preserve">9  </w:t>
      </w:r>
      <w:r>
        <w:rPr>
          <w:rFonts w:eastAsia="黑体"/>
          <w:kern w:val="2"/>
          <w:sz w:val="21"/>
          <w:szCs w:val="21"/>
        </w:rPr>
        <w:t>201</w:t>
      </w:r>
      <w:r>
        <w:rPr>
          <w:rFonts w:eastAsia="黑体" w:hint="eastAsia"/>
          <w:kern w:val="2"/>
          <w:sz w:val="21"/>
          <w:szCs w:val="21"/>
        </w:rPr>
        <w:t>8</w:t>
      </w:r>
      <w:r>
        <w:rPr>
          <w:rFonts w:eastAsia="黑体"/>
          <w:kern w:val="2"/>
          <w:sz w:val="21"/>
          <w:szCs w:val="21"/>
        </w:rPr>
        <w:t>年</w:t>
      </w:r>
      <w:r>
        <w:rPr>
          <w:rFonts w:eastAsia="黑体" w:hint="eastAsia"/>
          <w:kern w:val="2"/>
          <w:sz w:val="21"/>
          <w:szCs w:val="21"/>
        </w:rPr>
        <w:t>5</w:t>
      </w:r>
      <w:r>
        <w:rPr>
          <w:rFonts w:eastAsia="黑体"/>
          <w:kern w:val="2"/>
          <w:sz w:val="21"/>
          <w:szCs w:val="21"/>
        </w:rPr>
        <w:t>月</w:t>
      </w:r>
      <w:r>
        <w:rPr>
          <w:rFonts w:eastAsia="黑体" w:hint="eastAsia"/>
          <w:kern w:val="2"/>
          <w:sz w:val="21"/>
          <w:szCs w:val="21"/>
        </w:rPr>
        <w:t>20</w:t>
      </w:r>
      <w:r>
        <w:rPr>
          <w:rFonts w:eastAsia="黑体"/>
          <w:kern w:val="2"/>
          <w:sz w:val="21"/>
          <w:szCs w:val="21"/>
        </w:rPr>
        <w:t>日水井调查成果一览表</w:t>
      </w:r>
    </w:p>
    <w:tbl>
      <w:tblPr>
        <w:tblW w:w="8522" w:type="dxa"/>
        <w:jc w:val="center"/>
        <w:tblBorders>
          <w:top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5"/>
        <w:gridCol w:w="1474"/>
        <w:gridCol w:w="1364"/>
        <w:gridCol w:w="885"/>
        <w:gridCol w:w="1302"/>
        <w:gridCol w:w="1306"/>
        <w:gridCol w:w="1306"/>
      </w:tblGrid>
      <w:tr w:rsidR="00DB7CC8">
        <w:trPr>
          <w:trHeight w:val="285"/>
          <w:tblHeader/>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编号</w:t>
            </w:r>
          </w:p>
        </w:tc>
        <w:tc>
          <w:tcPr>
            <w:tcW w:w="1474" w:type="dxa"/>
            <w:vAlign w:val="center"/>
          </w:tcPr>
          <w:p w:rsidR="00DB7CC8" w:rsidRDefault="002B5250">
            <w:pPr>
              <w:spacing w:line="240" w:lineRule="auto"/>
              <w:ind w:firstLineChars="0" w:firstLine="0"/>
              <w:jc w:val="center"/>
              <w:rPr>
                <w:sz w:val="21"/>
                <w:szCs w:val="21"/>
              </w:rPr>
            </w:pPr>
            <w:r>
              <w:rPr>
                <w:sz w:val="21"/>
                <w:szCs w:val="21"/>
              </w:rPr>
              <w:t>X</w:t>
            </w:r>
          </w:p>
        </w:tc>
        <w:tc>
          <w:tcPr>
            <w:tcW w:w="1364" w:type="dxa"/>
            <w:vAlign w:val="center"/>
          </w:tcPr>
          <w:p w:rsidR="00DB7CC8" w:rsidRDefault="002B5250">
            <w:pPr>
              <w:spacing w:line="240" w:lineRule="auto"/>
              <w:ind w:firstLineChars="0" w:firstLine="0"/>
              <w:jc w:val="center"/>
              <w:rPr>
                <w:sz w:val="21"/>
                <w:szCs w:val="21"/>
              </w:rPr>
            </w:pPr>
            <w:r>
              <w:rPr>
                <w:sz w:val="21"/>
                <w:szCs w:val="21"/>
              </w:rPr>
              <w:t>Y</w:t>
            </w:r>
          </w:p>
        </w:tc>
        <w:tc>
          <w:tcPr>
            <w:tcW w:w="885" w:type="dxa"/>
            <w:vAlign w:val="center"/>
          </w:tcPr>
          <w:p w:rsidR="00DB7CC8" w:rsidRDefault="002B5250">
            <w:pPr>
              <w:spacing w:line="240" w:lineRule="auto"/>
              <w:ind w:firstLineChars="0" w:firstLine="0"/>
              <w:jc w:val="center"/>
              <w:rPr>
                <w:sz w:val="21"/>
                <w:szCs w:val="21"/>
              </w:rPr>
            </w:pPr>
            <w:r>
              <w:rPr>
                <w:sz w:val="21"/>
                <w:szCs w:val="21"/>
              </w:rPr>
              <w:t>井深</w:t>
            </w:r>
            <w:r>
              <w:rPr>
                <w:sz w:val="21"/>
                <w:szCs w:val="21"/>
              </w:rPr>
              <w:t>(m)</w:t>
            </w:r>
          </w:p>
        </w:tc>
        <w:tc>
          <w:tcPr>
            <w:tcW w:w="1302" w:type="dxa"/>
            <w:vAlign w:val="center"/>
          </w:tcPr>
          <w:p w:rsidR="00DB7CC8" w:rsidRDefault="002B5250">
            <w:pPr>
              <w:spacing w:line="240" w:lineRule="auto"/>
              <w:ind w:firstLineChars="0" w:firstLine="0"/>
              <w:jc w:val="center"/>
              <w:rPr>
                <w:sz w:val="21"/>
                <w:szCs w:val="21"/>
              </w:rPr>
            </w:pPr>
            <w:r>
              <w:rPr>
                <w:sz w:val="21"/>
                <w:szCs w:val="21"/>
              </w:rPr>
              <w:t>水位标高</w:t>
            </w:r>
            <w:r>
              <w:rPr>
                <w:sz w:val="21"/>
                <w:szCs w:val="21"/>
              </w:rPr>
              <w:t>(m)</w:t>
            </w:r>
          </w:p>
        </w:tc>
        <w:tc>
          <w:tcPr>
            <w:tcW w:w="1306" w:type="dxa"/>
            <w:vAlign w:val="center"/>
          </w:tcPr>
          <w:p w:rsidR="00DB7CC8" w:rsidRDefault="002B5250">
            <w:pPr>
              <w:spacing w:line="240" w:lineRule="auto"/>
              <w:ind w:firstLineChars="0" w:firstLine="0"/>
              <w:jc w:val="center"/>
              <w:rPr>
                <w:sz w:val="21"/>
                <w:szCs w:val="21"/>
              </w:rPr>
            </w:pPr>
            <w:r>
              <w:rPr>
                <w:sz w:val="21"/>
                <w:szCs w:val="21"/>
              </w:rPr>
              <w:t>水位埋深</w:t>
            </w:r>
            <w:r>
              <w:rPr>
                <w:sz w:val="21"/>
                <w:szCs w:val="21"/>
              </w:rPr>
              <w:t>(m)</w:t>
            </w:r>
          </w:p>
        </w:tc>
        <w:tc>
          <w:tcPr>
            <w:tcW w:w="1306" w:type="dxa"/>
            <w:vAlign w:val="center"/>
          </w:tcPr>
          <w:p w:rsidR="00DB7CC8" w:rsidRDefault="002B5250">
            <w:pPr>
              <w:spacing w:line="240" w:lineRule="auto"/>
              <w:ind w:firstLineChars="0" w:firstLine="0"/>
              <w:jc w:val="center"/>
              <w:rPr>
                <w:sz w:val="21"/>
                <w:szCs w:val="21"/>
              </w:rPr>
            </w:pPr>
            <w:r>
              <w:rPr>
                <w:sz w:val="21"/>
                <w:szCs w:val="21"/>
              </w:rPr>
              <w:t>地面高程</w:t>
            </w:r>
            <w:r>
              <w:rPr>
                <w:sz w:val="21"/>
                <w:szCs w:val="21"/>
              </w:rPr>
              <w:t>(m)</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sz w:val="20"/>
                <w:szCs w:val="21"/>
              </w:rPr>
              <w:t>G1</w:t>
            </w:r>
          </w:p>
        </w:tc>
        <w:tc>
          <w:tcPr>
            <w:tcW w:w="1474" w:type="dxa"/>
            <w:vAlign w:val="bottom"/>
          </w:tcPr>
          <w:p w:rsidR="00DB7CC8" w:rsidRDefault="002B5250">
            <w:pPr>
              <w:spacing w:line="240" w:lineRule="auto"/>
              <w:ind w:firstLineChars="0" w:firstLine="0"/>
              <w:jc w:val="center"/>
              <w:rPr>
                <w:sz w:val="21"/>
              </w:rPr>
            </w:pPr>
            <w:r>
              <w:rPr>
                <w:sz w:val="21"/>
              </w:rPr>
              <w:t xml:space="preserve">20596738.96 </w:t>
            </w:r>
          </w:p>
        </w:tc>
        <w:tc>
          <w:tcPr>
            <w:tcW w:w="1364" w:type="dxa"/>
            <w:vAlign w:val="bottom"/>
          </w:tcPr>
          <w:p w:rsidR="00DB7CC8" w:rsidRDefault="002B5250">
            <w:pPr>
              <w:spacing w:line="240" w:lineRule="auto"/>
              <w:ind w:firstLineChars="0" w:firstLine="0"/>
              <w:jc w:val="center"/>
              <w:rPr>
                <w:sz w:val="21"/>
              </w:rPr>
            </w:pPr>
            <w:r>
              <w:rPr>
                <w:sz w:val="21"/>
              </w:rPr>
              <w:t xml:space="preserve">4452054.32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87.2</w:t>
            </w:r>
          </w:p>
        </w:tc>
        <w:tc>
          <w:tcPr>
            <w:tcW w:w="1306" w:type="dxa"/>
            <w:vAlign w:val="bottom"/>
          </w:tcPr>
          <w:p w:rsidR="00DB7CC8" w:rsidRDefault="002B5250">
            <w:pPr>
              <w:spacing w:line="240" w:lineRule="auto"/>
              <w:ind w:firstLineChars="0" w:firstLine="0"/>
              <w:jc w:val="center"/>
              <w:rPr>
                <w:sz w:val="20"/>
              </w:rPr>
            </w:pPr>
            <w:r>
              <w:rPr>
                <w:sz w:val="20"/>
              </w:rPr>
              <w:t xml:space="preserve">13.9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101.1</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sz w:val="20"/>
                <w:szCs w:val="21"/>
              </w:rPr>
              <w:t>G 2</w:t>
            </w:r>
          </w:p>
        </w:tc>
        <w:tc>
          <w:tcPr>
            <w:tcW w:w="1474" w:type="dxa"/>
            <w:vAlign w:val="bottom"/>
          </w:tcPr>
          <w:p w:rsidR="00DB7CC8" w:rsidRDefault="002B5250">
            <w:pPr>
              <w:spacing w:line="240" w:lineRule="auto"/>
              <w:ind w:firstLineChars="0" w:firstLine="0"/>
              <w:jc w:val="center"/>
              <w:rPr>
                <w:sz w:val="21"/>
              </w:rPr>
            </w:pPr>
            <w:r>
              <w:rPr>
                <w:sz w:val="21"/>
              </w:rPr>
              <w:t xml:space="preserve">20596498.70 </w:t>
            </w:r>
          </w:p>
        </w:tc>
        <w:tc>
          <w:tcPr>
            <w:tcW w:w="1364" w:type="dxa"/>
            <w:vAlign w:val="bottom"/>
          </w:tcPr>
          <w:p w:rsidR="00DB7CC8" w:rsidRDefault="002B5250">
            <w:pPr>
              <w:spacing w:line="240" w:lineRule="auto"/>
              <w:ind w:firstLineChars="0" w:firstLine="0"/>
              <w:jc w:val="center"/>
              <w:rPr>
                <w:sz w:val="21"/>
              </w:rPr>
            </w:pPr>
            <w:r>
              <w:rPr>
                <w:sz w:val="21"/>
              </w:rPr>
              <w:t xml:space="preserve">4451645.16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32</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78.3</w:t>
            </w:r>
          </w:p>
        </w:tc>
        <w:tc>
          <w:tcPr>
            <w:tcW w:w="1306" w:type="dxa"/>
            <w:vAlign w:val="bottom"/>
          </w:tcPr>
          <w:p w:rsidR="00DB7CC8" w:rsidRDefault="002B5250">
            <w:pPr>
              <w:spacing w:line="240" w:lineRule="auto"/>
              <w:ind w:firstLineChars="0" w:firstLine="0"/>
              <w:jc w:val="center"/>
              <w:rPr>
                <w:sz w:val="20"/>
              </w:rPr>
            </w:pPr>
            <w:r>
              <w:rPr>
                <w:sz w:val="20"/>
              </w:rPr>
              <w:t xml:space="preserve">20.0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98.3</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sz w:val="20"/>
                <w:szCs w:val="21"/>
              </w:rPr>
              <w:t>G 3</w:t>
            </w:r>
          </w:p>
        </w:tc>
        <w:tc>
          <w:tcPr>
            <w:tcW w:w="1474" w:type="dxa"/>
            <w:vAlign w:val="bottom"/>
          </w:tcPr>
          <w:p w:rsidR="00DB7CC8" w:rsidRDefault="002B5250">
            <w:pPr>
              <w:spacing w:line="240" w:lineRule="auto"/>
              <w:ind w:firstLineChars="0" w:firstLine="0"/>
              <w:jc w:val="center"/>
              <w:rPr>
                <w:sz w:val="21"/>
              </w:rPr>
            </w:pPr>
            <w:r>
              <w:rPr>
                <w:sz w:val="21"/>
              </w:rPr>
              <w:t xml:space="preserve">20597105.25 </w:t>
            </w:r>
          </w:p>
        </w:tc>
        <w:tc>
          <w:tcPr>
            <w:tcW w:w="1364" w:type="dxa"/>
            <w:vAlign w:val="bottom"/>
          </w:tcPr>
          <w:p w:rsidR="00DB7CC8" w:rsidRDefault="002B5250">
            <w:pPr>
              <w:spacing w:line="240" w:lineRule="auto"/>
              <w:ind w:firstLineChars="0" w:firstLine="0"/>
              <w:jc w:val="center"/>
              <w:rPr>
                <w:sz w:val="21"/>
              </w:rPr>
            </w:pPr>
            <w:r>
              <w:rPr>
                <w:sz w:val="21"/>
              </w:rPr>
              <w:t xml:space="preserve">4451192.73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84.5</w:t>
            </w:r>
          </w:p>
        </w:tc>
        <w:tc>
          <w:tcPr>
            <w:tcW w:w="1306" w:type="dxa"/>
            <w:vAlign w:val="bottom"/>
          </w:tcPr>
          <w:p w:rsidR="00DB7CC8" w:rsidRDefault="002B5250">
            <w:pPr>
              <w:spacing w:line="240" w:lineRule="auto"/>
              <w:ind w:firstLineChars="0" w:firstLine="0"/>
              <w:jc w:val="center"/>
              <w:rPr>
                <w:sz w:val="20"/>
              </w:rPr>
            </w:pPr>
            <w:r>
              <w:rPr>
                <w:sz w:val="20"/>
              </w:rPr>
              <w:t xml:space="preserve">13.5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98.0</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sz w:val="20"/>
                <w:szCs w:val="21"/>
              </w:rPr>
              <w:t>G 4</w:t>
            </w:r>
          </w:p>
        </w:tc>
        <w:tc>
          <w:tcPr>
            <w:tcW w:w="1474" w:type="dxa"/>
            <w:vAlign w:val="bottom"/>
          </w:tcPr>
          <w:p w:rsidR="00DB7CC8" w:rsidRDefault="002B5250">
            <w:pPr>
              <w:spacing w:line="240" w:lineRule="auto"/>
              <w:ind w:firstLineChars="0" w:firstLine="0"/>
              <w:jc w:val="center"/>
              <w:rPr>
                <w:sz w:val="21"/>
              </w:rPr>
            </w:pPr>
            <w:r>
              <w:rPr>
                <w:sz w:val="21"/>
              </w:rPr>
              <w:t xml:space="preserve">20596234.81 </w:t>
            </w:r>
          </w:p>
        </w:tc>
        <w:tc>
          <w:tcPr>
            <w:tcW w:w="1364" w:type="dxa"/>
            <w:vAlign w:val="bottom"/>
          </w:tcPr>
          <w:p w:rsidR="00DB7CC8" w:rsidRDefault="002B5250">
            <w:pPr>
              <w:spacing w:line="240" w:lineRule="auto"/>
              <w:ind w:firstLineChars="0" w:firstLine="0"/>
              <w:jc w:val="center"/>
              <w:rPr>
                <w:sz w:val="21"/>
              </w:rPr>
            </w:pPr>
            <w:r>
              <w:rPr>
                <w:sz w:val="21"/>
              </w:rPr>
              <w:t xml:space="preserve">4450822.91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25</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75.0</w:t>
            </w:r>
          </w:p>
        </w:tc>
        <w:tc>
          <w:tcPr>
            <w:tcW w:w="1306" w:type="dxa"/>
            <w:vAlign w:val="bottom"/>
          </w:tcPr>
          <w:p w:rsidR="00DB7CC8" w:rsidRDefault="002B5250">
            <w:pPr>
              <w:spacing w:line="240" w:lineRule="auto"/>
              <w:ind w:firstLineChars="0" w:firstLine="0"/>
              <w:jc w:val="center"/>
              <w:rPr>
                <w:sz w:val="20"/>
              </w:rPr>
            </w:pPr>
            <w:r>
              <w:rPr>
                <w:sz w:val="20"/>
              </w:rPr>
              <w:t xml:space="preserve">15.1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90.1</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sz w:val="20"/>
                <w:szCs w:val="21"/>
              </w:rPr>
              <w:t>G 5</w:t>
            </w:r>
          </w:p>
        </w:tc>
        <w:tc>
          <w:tcPr>
            <w:tcW w:w="1474" w:type="dxa"/>
            <w:vAlign w:val="bottom"/>
          </w:tcPr>
          <w:p w:rsidR="00DB7CC8" w:rsidRDefault="002B5250">
            <w:pPr>
              <w:spacing w:line="240" w:lineRule="auto"/>
              <w:ind w:firstLineChars="0" w:firstLine="0"/>
              <w:jc w:val="center"/>
              <w:rPr>
                <w:sz w:val="21"/>
              </w:rPr>
            </w:pPr>
            <w:r>
              <w:rPr>
                <w:sz w:val="21"/>
              </w:rPr>
              <w:t xml:space="preserve">20595493.03 </w:t>
            </w:r>
          </w:p>
        </w:tc>
        <w:tc>
          <w:tcPr>
            <w:tcW w:w="1364" w:type="dxa"/>
            <w:vAlign w:val="bottom"/>
          </w:tcPr>
          <w:p w:rsidR="00DB7CC8" w:rsidRDefault="002B5250">
            <w:pPr>
              <w:spacing w:line="240" w:lineRule="auto"/>
              <w:ind w:firstLineChars="0" w:firstLine="0"/>
              <w:jc w:val="center"/>
              <w:rPr>
                <w:sz w:val="21"/>
              </w:rPr>
            </w:pPr>
            <w:r>
              <w:rPr>
                <w:sz w:val="21"/>
              </w:rPr>
              <w:t xml:space="preserve">4450391.57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25</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73.8</w:t>
            </w:r>
          </w:p>
        </w:tc>
        <w:tc>
          <w:tcPr>
            <w:tcW w:w="1306" w:type="dxa"/>
            <w:vAlign w:val="bottom"/>
          </w:tcPr>
          <w:p w:rsidR="00DB7CC8" w:rsidRDefault="002B5250">
            <w:pPr>
              <w:spacing w:line="240" w:lineRule="auto"/>
              <w:ind w:firstLineChars="0" w:firstLine="0"/>
              <w:jc w:val="center"/>
              <w:rPr>
                <w:sz w:val="20"/>
              </w:rPr>
            </w:pPr>
            <w:r>
              <w:rPr>
                <w:sz w:val="20"/>
              </w:rPr>
              <w:t xml:space="preserve">11.8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85.6</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sz w:val="20"/>
                <w:szCs w:val="21"/>
              </w:rPr>
              <w:t>G 6</w:t>
            </w:r>
          </w:p>
        </w:tc>
        <w:tc>
          <w:tcPr>
            <w:tcW w:w="1474" w:type="dxa"/>
            <w:vAlign w:val="bottom"/>
          </w:tcPr>
          <w:p w:rsidR="00DB7CC8" w:rsidRDefault="002B5250">
            <w:pPr>
              <w:spacing w:line="240" w:lineRule="auto"/>
              <w:ind w:firstLineChars="0" w:firstLine="0"/>
              <w:jc w:val="center"/>
              <w:rPr>
                <w:sz w:val="21"/>
              </w:rPr>
            </w:pPr>
            <w:r>
              <w:rPr>
                <w:sz w:val="21"/>
              </w:rPr>
              <w:t xml:space="preserve">20594400.79 </w:t>
            </w:r>
          </w:p>
        </w:tc>
        <w:tc>
          <w:tcPr>
            <w:tcW w:w="1364" w:type="dxa"/>
            <w:vAlign w:val="bottom"/>
          </w:tcPr>
          <w:p w:rsidR="00DB7CC8" w:rsidRDefault="002B5250">
            <w:pPr>
              <w:spacing w:line="240" w:lineRule="auto"/>
              <w:ind w:firstLineChars="0" w:firstLine="0"/>
              <w:jc w:val="center"/>
              <w:rPr>
                <w:sz w:val="21"/>
              </w:rPr>
            </w:pPr>
            <w:r>
              <w:rPr>
                <w:sz w:val="21"/>
              </w:rPr>
              <w:t xml:space="preserve">4449235.76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67.4</w:t>
            </w:r>
          </w:p>
        </w:tc>
        <w:tc>
          <w:tcPr>
            <w:tcW w:w="1306" w:type="dxa"/>
            <w:vAlign w:val="bottom"/>
          </w:tcPr>
          <w:p w:rsidR="00DB7CC8" w:rsidRDefault="002B5250">
            <w:pPr>
              <w:spacing w:line="240" w:lineRule="auto"/>
              <w:ind w:firstLineChars="0" w:firstLine="0"/>
              <w:jc w:val="center"/>
              <w:rPr>
                <w:sz w:val="20"/>
              </w:rPr>
            </w:pPr>
            <w:r>
              <w:rPr>
                <w:sz w:val="20"/>
              </w:rPr>
              <w:t xml:space="preserve">20.5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87.9</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sz w:val="20"/>
                <w:szCs w:val="21"/>
              </w:rPr>
              <w:t>G 7</w:t>
            </w:r>
          </w:p>
        </w:tc>
        <w:tc>
          <w:tcPr>
            <w:tcW w:w="1474" w:type="dxa"/>
            <w:vAlign w:val="bottom"/>
          </w:tcPr>
          <w:p w:rsidR="00DB7CC8" w:rsidRDefault="002B5250">
            <w:pPr>
              <w:spacing w:line="240" w:lineRule="auto"/>
              <w:ind w:firstLineChars="0" w:firstLine="0"/>
              <w:jc w:val="center"/>
              <w:rPr>
                <w:sz w:val="21"/>
              </w:rPr>
            </w:pPr>
            <w:r>
              <w:rPr>
                <w:sz w:val="21"/>
              </w:rPr>
              <w:t xml:space="preserve">20594194.33 </w:t>
            </w:r>
          </w:p>
        </w:tc>
        <w:tc>
          <w:tcPr>
            <w:tcW w:w="1364" w:type="dxa"/>
            <w:vAlign w:val="bottom"/>
          </w:tcPr>
          <w:p w:rsidR="00DB7CC8" w:rsidRDefault="002B5250">
            <w:pPr>
              <w:spacing w:line="240" w:lineRule="auto"/>
              <w:ind w:firstLineChars="0" w:firstLine="0"/>
              <w:jc w:val="center"/>
              <w:rPr>
                <w:sz w:val="21"/>
              </w:rPr>
            </w:pPr>
            <w:r>
              <w:rPr>
                <w:sz w:val="21"/>
              </w:rPr>
              <w:t xml:space="preserve">4449776.41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30</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64.0</w:t>
            </w:r>
          </w:p>
        </w:tc>
        <w:tc>
          <w:tcPr>
            <w:tcW w:w="1306" w:type="dxa"/>
            <w:vAlign w:val="bottom"/>
          </w:tcPr>
          <w:p w:rsidR="00DB7CC8" w:rsidRDefault="002B5250">
            <w:pPr>
              <w:spacing w:line="240" w:lineRule="auto"/>
              <w:ind w:firstLineChars="0" w:firstLine="0"/>
              <w:jc w:val="center"/>
              <w:rPr>
                <w:sz w:val="20"/>
              </w:rPr>
            </w:pPr>
            <w:r>
              <w:rPr>
                <w:sz w:val="20"/>
              </w:rPr>
              <w:t xml:space="preserve">14.4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78.4</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sz w:val="20"/>
                <w:szCs w:val="21"/>
              </w:rPr>
              <w:t>G 8</w:t>
            </w:r>
          </w:p>
        </w:tc>
        <w:tc>
          <w:tcPr>
            <w:tcW w:w="1474" w:type="dxa"/>
            <w:vAlign w:val="bottom"/>
          </w:tcPr>
          <w:p w:rsidR="00DB7CC8" w:rsidRDefault="002B5250">
            <w:pPr>
              <w:spacing w:line="240" w:lineRule="auto"/>
              <w:ind w:firstLineChars="0" w:firstLine="0"/>
              <w:jc w:val="center"/>
              <w:rPr>
                <w:sz w:val="21"/>
              </w:rPr>
            </w:pPr>
            <w:r>
              <w:rPr>
                <w:sz w:val="21"/>
              </w:rPr>
              <w:t xml:space="preserve">20593915.33 </w:t>
            </w:r>
          </w:p>
        </w:tc>
        <w:tc>
          <w:tcPr>
            <w:tcW w:w="1364" w:type="dxa"/>
            <w:vAlign w:val="bottom"/>
          </w:tcPr>
          <w:p w:rsidR="00DB7CC8" w:rsidRDefault="002B5250">
            <w:pPr>
              <w:spacing w:line="240" w:lineRule="auto"/>
              <w:ind w:firstLineChars="0" w:firstLine="0"/>
              <w:jc w:val="center"/>
              <w:rPr>
                <w:sz w:val="21"/>
              </w:rPr>
            </w:pPr>
            <w:r>
              <w:rPr>
                <w:sz w:val="21"/>
              </w:rPr>
              <w:t xml:space="preserve">4450255.75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25</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60.0</w:t>
            </w:r>
          </w:p>
        </w:tc>
        <w:tc>
          <w:tcPr>
            <w:tcW w:w="1306" w:type="dxa"/>
            <w:vAlign w:val="bottom"/>
          </w:tcPr>
          <w:p w:rsidR="00DB7CC8" w:rsidRDefault="002B5250">
            <w:pPr>
              <w:spacing w:line="240" w:lineRule="auto"/>
              <w:ind w:firstLineChars="0" w:firstLine="0"/>
              <w:jc w:val="center"/>
              <w:rPr>
                <w:sz w:val="20"/>
              </w:rPr>
            </w:pPr>
            <w:r>
              <w:rPr>
                <w:sz w:val="20"/>
              </w:rPr>
              <w:t xml:space="preserve">15.3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75.3</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sz w:val="20"/>
                <w:szCs w:val="21"/>
              </w:rPr>
              <w:t>G 9</w:t>
            </w:r>
          </w:p>
        </w:tc>
        <w:tc>
          <w:tcPr>
            <w:tcW w:w="1474" w:type="dxa"/>
            <w:vAlign w:val="bottom"/>
          </w:tcPr>
          <w:p w:rsidR="00DB7CC8" w:rsidRDefault="002B5250">
            <w:pPr>
              <w:spacing w:line="240" w:lineRule="auto"/>
              <w:ind w:firstLineChars="0" w:firstLine="0"/>
              <w:jc w:val="center"/>
              <w:rPr>
                <w:sz w:val="21"/>
              </w:rPr>
            </w:pPr>
            <w:r>
              <w:rPr>
                <w:sz w:val="21"/>
              </w:rPr>
              <w:t xml:space="preserve">20593852.31 </w:t>
            </w:r>
          </w:p>
        </w:tc>
        <w:tc>
          <w:tcPr>
            <w:tcW w:w="1364" w:type="dxa"/>
            <w:vAlign w:val="bottom"/>
          </w:tcPr>
          <w:p w:rsidR="00DB7CC8" w:rsidRDefault="002B5250">
            <w:pPr>
              <w:spacing w:line="240" w:lineRule="auto"/>
              <w:ind w:firstLineChars="0" w:firstLine="0"/>
              <w:jc w:val="center"/>
              <w:rPr>
                <w:sz w:val="21"/>
              </w:rPr>
            </w:pPr>
            <w:r>
              <w:rPr>
                <w:sz w:val="21"/>
              </w:rPr>
              <w:t xml:space="preserve">4451034.89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66.0</w:t>
            </w:r>
          </w:p>
        </w:tc>
        <w:tc>
          <w:tcPr>
            <w:tcW w:w="1306" w:type="dxa"/>
            <w:vAlign w:val="bottom"/>
          </w:tcPr>
          <w:p w:rsidR="00DB7CC8" w:rsidRDefault="002B5250">
            <w:pPr>
              <w:spacing w:line="240" w:lineRule="auto"/>
              <w:ind w:firstLineChars="0" w:firstLine="0"/>
              <w:jc w:val="center"/>
              <w:rPr>
                <w:sz w:val="20"/>
              </w:rPr>
            </w:pPr>
            <w:r>
              <w:rPr>
                <w:sz w:val="20"/>
              </w:rPr>
              <w:t xml:space="preserve">12.5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78.5</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sz w:val="20"/>
                <w:szCs w:val="21"/>
              </w:rPr>
              <w:t>G 10</w:t>
            </w:r>
          </w:p>
        </w:tc>
        <w:tc>
          <w:tcPr>
            <w:tcW w:w="1474" w:type="dxa"/>
            <w:vAlign w:val="bottom"/>
          </w:tcPr>
          <w:p w:rsidR="00DB7CC8" w:rsidRDefault="002B5250">
            <w:pPr>
              <w:spacing w:line="240" w:lineRule="auto"/>
              <w:ind w:firstLineChars="0" w:firstLine="0"/>
              <w:jc w:val="center"/>
              <w:rPr>
                <w:sz w:val="21"/>
              </w:rPr>
            </w:pPr>
            <w:r>
              <w:rPr>
                <w:sz w:val="21"/>
              </w:rPr>
              <w:t xml:space="preserve">20595389.53 </w:t>
            </w:r>
          </w:p>
        </w:tc>
        <w:tc>
          <w:tcPr>
            <w:tcW w:w="1364" w:type="dxa"/>
            <w:vAlign w:val="bottom"/>
          </w:tcPr>
          <w:p w:rsidR="00DB7CC8" w:rsidRDefault="002B5250">
            <w:pPr>
              <w:spacing w:line="240" w:lineRule="auto"/>
              <w:ind w:firstLineChars="0" w:firstLine="0"/>
              <w:jc w:val="center"/>
              <w:rPr>
                <w:sz w:val="21"/>
              </w:rPr>
            </w:pPr>
            <w:r>
              <w:rPr>
                <w:sz w:val="21"/>
              </w:rPr>
              <w:t xml:space="preserve">4451345.91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74.3</w:t>
            </w:r>
          </w:p>
        </w:tc>
        <w:tc>
          <w:tcPr>
            <w:tcW w:w="1306" w:type="dxa"/>
            <w:vAlign w:val="bottom"/>
          </w:tcPr>
          <w:p w:rsidR="00DB7CC8" w:rsidRDefault="002B5250">
            <w:pPr>
              <w:spacing w:line="240" w:lineRule="auto"/>
              <w:ind w:firstLineChars="0" w:firstLine="0"/>
              <w:jc w:val="center"/>
              <w:rPr>
                <w:sz w:val="20"/>
              </w:rPr>
            </w:pPr>
            <w:r>
              <w:rPr>
                <w:sz w:val="20"/>
              </w:rPr>
              <w:t xml:space="preserve">15.2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89.5</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sz w:val="20"/>
                <w:szCs w:val="21"/>
              </w:rPr>
              <w:t>G 11</w:t>
            </w:r>
          </w:p>
        </w:tc>
        <w:tc>
          <w:tcPr>
            <w:tcW w:w="1474" w:type="dxa"/>
            <w:vAlign w:val="bottom"/>
          </w:tcPr>
          <w:p w:rsidR="00DB7CC8" w:rsidRDefault="002B5250">
            <w:pPr>
              <w:spacing w:line="240" w:lineRule="auto"/>
              <w:ind w:firstLineChars="0" w:firstLine="0"/>
              <w:jc w:val="center"/>
              <w:rPr>
                <w:sz w:val="21"/>
              </w:rPr>
            </w:pPr>
            <w:r>
              <w:rPr>
                <w:sz w:val="21"/>
              </w:rPr>
              <w:t xml:space="preserve">20594879.57 </w:t>
            </w:r>
          </w:p>
        </w:tc>
        <w:tc>
          <w:tcPr>
            <w:tcW w:w="1364" w:type="dxa"/>
            <w:vAlign w:val="bottom"/>
          </w:tcPr>
          <w:p w:rsidR="00DB7CC8" w:rsidRDefault="002B5250">
            <w:pPr>
              <w:spacing w:line="240" w:lineRule="auto"/>
              <w:ind w:firstLineChars="0" w:firstLine="0"/>
              <w:jc w:val="center"/>
              <w:rPr>
                <w:sz w:val="21"/>
              </w:rPr>
            </w:pPr>
            <w:r>
              <w:rPr>
                <w:sz w:val="21"/>
              </w:rPr>
              <w:t xml:space="preserve">4451907.98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40</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75.0</w:t>
            </w:r>
          </w:p>
        </w:tc>
        <w:tc>
          <w:tcPr>
            <w:tcW w:w="1306" w:type="dxa"/>
            <w:vAlign w:val="bottom"/>
          </w:tcPr>
          <w:p w:rsidR="00DB7CC8" w:rsidRDefault="002B5250">
            <w:pPr>
              <w:spacing w:line="240" w:lineRule="auto"/>
              <w:ind w:firstLineChars="0" w:firstLine="0"/>
              <w:jc w:val="center"/>
              <w:rPr>
                <w:sz w:val="20"/>
              </w:rPr>
            </w:pPr>
            <w:r>
              <w:rPr>
                <w:sz w:val="20"/>
              </w:rPr>
              <w:t xml:space="preserve">15.0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90.0</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rFonts w:hint="eastAsia"/>
                <w:sz w:val="20"/>
                <w:szCs w:val="21"/>
              </w:rPr>
              <w:t>G 12</w:t>
            </w:r>
          </w:p>
        </w:tc>
        <w:tc>
          <w:tcPr>
            <w:tcW w:w="1474" w:type="dxa"/>
            <w:vAlign w:val="bottom"/>
          </w:tcPr>
          <w:p w:rsidR="00DB7CC8" w:rsidRDefault="002B5250">
            <w:pPr>
              <w:spacing w:line="240" w:lineRule="auto"/>
              <w:ind w:firstLineChars="0" w:firstLine="0"/>
              <w:jc w:val="center"/>
              <w:rPr>
                <w:sz w:val="21"/>
              </w:rPr>
            </w:pPr>
            <w:r>
              <w:rPr>
                <w:sz w:val="21"/>
              </w:rPr>
              <w:t xml:space="preserve">20594034.56 </w:t>
            </w:r>
          </w:p>
        </w:tc>
        <w:tc>
          <w:tcPr>
            <w:tcW w:w="1364" w:type="dxa"/>
            <w:vAlign w:val="bottom"/>
          </w:tcPr>
          <w:p w:rsidR="00DB7CC8" w:rsidRDefault="002B5250">
            <w:pPr>
              <w:spacing w:line="240" w:lineRule="auto"/>
              <w:ind w:firstLineChars="0" w:firstLine="0"/>
              <w:jc w:val="center"/>
              <w:rPr>
                <w:sz w:val="21"/>
              </w:rPr>
            </w:pPr>
            <w:r>
              <w:rPr>
                <w:sz w:val="21"/>
              </w:rPr>
              <w:t xml:space="preserve">4452128.31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40</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74.0</w:t>
            </w:r>
          </w:p>
        </w:tc>
        <w:tc>
          <w:tcPr>
            <w:tcW w:w="1306" w:type="dxa"/>
            <w:vAlign w:val="bottom"/>
          </w:tcPr>
          <w:p w:rsidR="00DB7CC8" w:rsidRDefault="002B5250">
            <w:pPr>
              <w:spacing w:line="240" w:lineRule="auto"/>
              <w:ind w:firstLineChars="0" w:firstLine="0"/>
              <w:jc w:val="center"/>
              <w:rPr>
                <w:sz w:val="20"/>
              </w:rPr>
            </w:pPr>
            <w:r>
              <w:rPr>
                <w:sz w:val="20"/>
              </w:rPr>
              <w:t xml:space="preserve">15.0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89.0</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rFonts w:hint="eastAsia"/>
                <w:sz w:val="20"/>
                <w:szCs w:val="21"/>
              </w:rPr>
              <w:t>G 13</w:t>
            </w:r>
          </w:p>
        </w:tc>
        <w:tc>
          <w:tcPr>
            <w:tcW w:w="1474" w:type="dxa"/>
            <w:vAlign w:val="bottom"/>
          </w:tcPr>
          <w:p w:rsidR="00DB7CC8" w:rsidRDefault="002B5250">
            <w:pPr>
              <w:spacing w:line="240" w:lineRule="auto"/>
              <w:ind w:firstLineChars="0" w:firstLine="0"/>
              <w:jc w:val="center"/>
              <w:rPr>
                <w:sz w:val="21"/>
              </w:rPr>
            </w:pPr>
            <w:r>
              <w:rPr>
                <w:sz w:val="21"/>
              </w:rPr>
              <w:t xml:space="preserve">20593126.94 </w:t>
            </w:r>
          </w:p>
        </w:tc>
        <w:tc>
          <w:tcPr>
            <w:tcW w:w="1364" w:type="dxa"/>
            <w:vAlign w:val="bottom"/>
          </w:tcPr>
          <w:p w:rsidR="00DB7CC8" w:rsidRDefault="002B5250">
            <w:pPr>
              <w:spacing w:line="240" w:lineRule="auto"/>
              <w:ind w:firstLineChars="0" w:firstLine="0"/>
              <w:jc w:val="center"/>
              <w:rPr>
                <w:sz w:val="21"/>
              </w:rPr>
            </w:pPr>
            <w:r>
              <w:rPr>
                <w:sz w:val="21"/>
              </w:rPr>
              <w:t xml:space="preserve">4451084.52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65.0</w:t>
            </w:r>
          </w:p>
        </w:tc>
        <w:tc>
          <w:tcPr>
            <w:tcW w:w="1306" w:type="dxa"/>
            <w:vAlign w:val="bottom"/>
          </w:tcPr>
          <w:p w:rsidR="00DB7CC8" w:rsidRDefault="002B5250">
            <w:pPr>
              <w:spacing w:line="240" w:lineRule="auto"/>
              <w:ind w:firstLineChars="0" w:firstLine="0"/>
              <w:jc w:val="center"/>
              <w:rPr>
                <w:sz w:val="20"/>
              </w:rPr>
            </w:pPr>
            <w:r>
              <w:rPr>
                <w:sz w:val="20"/>
              </w:rPr>
              <w:t xml:space="preserve">18.5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83.5</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rFonts w:hint="eastAsia"/>
                <w:sz w:val="20"/>
                <w:szCs w:val="21"/>
              </w:rPr>
              <w:t>G 14</w:t>
            </w:r>
          </w:p>
        </w:tc>
        <w:tc>
          <w:tcPr>
            <w:tcW w:w="1474" w:type="dxa"/>
            <w:vAlign w:val="bottom"/>
          </w:tcPr>
          <w:p w:rsidR="00DB7CC8" w:rsidRDefault="002B5250">
            <w:pPr>
              <w:spacing w:line="240" w:lineRule="auto"/>
              <w:ind w:firstLineChars="0" w:firstLine="0"/>
              <w:jc w:val="center"/>
              <w:rPr>
                <w:sz w:val="21"/>
              </w:rPr>
            </w:pPr>
            <w:r>
              <w:rPr>
                <w:sz w:val="21"/>
              </w:rPr>
              <w:t xml:space="preserve">20592416.47 </w:t>
            </w:r>
          </w:p>
        </w:tc>
        <w:tc>
          <w:tcPr>
            <w:tcW w:w="1364" w:type="dxa"/>
            <w:vAlign w:val="bottom"/>
          </w:tcPr>
          <w:p w:rsidR="00DB7CC8" w:rsidRDefault="002B5250">
            <w:pPr>
              <w:spacing w:line="240" w:lineRule="auto"/>
              <w:ind w:firstLineChars="0" w:firstLine="0"/>
              <w:jc w:val="center"/>
              <w:rPr>
                <w:sz w:val="21"/>
              </w:rPr>
            </w:pPr>
            <w:r>
              <w:rPr>
                <w:sz w:val="21"/>
              </w:rPr>
              <w:t xml:space="preserve">4451059.71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57.2</w:t>
            </w:r>
          </w:p>
        </w:tc>
        <w:tc>
          <w:tcPr>
            <w:tcW w:w="1306" w:type="dxa"/>
            <w:vAlign w:val="bottom"/>
          </w:tcPr>
          <w:p w:rsidR="00DB7CC8" w:rsidRDefault="002B5250">
            <w:pPr>
              <w:spacing w:line="240" w:lineRule="auto"/>
              <w:ind w:firstLineChars="0" w:firstLine="0"/>
              <w:jc w:val="center"/>
              <w:rPr>
                <w:sz w:val="20"/>
              </w:rPr>
            </w:pPr>
            <w:r>
              <w:rPr>
                <w:sz w:val="20"/>
              </w:rPr>
              <w:t xml:space="preserve">15.3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72.5</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rFonts w:hint="eastAsia"/>
                <w:sz w:val="20"/>
                <w:szCs w:val="21"/>
              </w:rPr>
              <w:t>G 15</w:t>
            </w:r>
          </w:p>
        </w:tc>
        <w:tc>
          <w:tcPr>
            <w:tcW w:w="1474" w:type="dxa"/>
            <w:vAlign w:val="bottom"/>
          </w:tcPr>
          <w:p w:rsidR="00DB7CC8" w:rsidRDefault="002B5250">
            <w:pPr>
              <w:spacing w:line="240" w:lineRule="auto"/>
              <w:ind w:firstLineChars="0" w:firstLine="0"/>
              <w:jc w:val="center"/>
              <w:rPr>
                <w:sz w:val="21"/>
              </w:rPr>
            </w:pPr>
            <w:r>
              <w:rPr>
                <w:sz w:val="21"/>
              </w:rPr>
              <w:t xml:space="preserve">20590912.41 </w:t>
            </w:r>
          </w:p>
        </w:tc>
        <w:tc>
          <w:tcPr>
            <w:tcW w:w="1364" w:type="dxa"/>
            <w:vAlign w:val="bottom"/>
          </w:tcPr>
          <w:p w:rsidR="00DB7CC8" w:rsidRDefault="002B5250">
            <w:pPr>
              <w:spacing w:line="240" w:lineRule="auto"/>
              <w:ind w:firstLineChars="0" w:firstLine="0"/>
              <w:jc w:val="center"/>
              <w:rPr>
                <w:sz w:val="21"/>
              </w:rPr>
            </w:pPr>
            <w:r>
              <w:rPr>
                <w:sz w:val="21"/>
              </w:rPr>
              <w:t xml:space="preserve">4451695.17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59.3</w:t>
            </w:r>
          </w:p>
        </w:tc>
        <w:tc>
          <w:tcPr>
            <w:tcW w:w="1306" w:type="dxa"/>
            <w:vAlign w:val="bottom"/>
          </w:tcPr>
          <w:p w:rsidR="00DB7CC8" w:rsidRDefault="002B5250">
            <w:pPr>
              <w:spacing w:line="240" w:lineRule="auto"/>
              <w:ind w:firstLineChars="0" w:firstLine="0"/>
              <w:jc w:val="center"/>
              <w:rPr>
                <w:sz w:val="20"/>
              </w:rPr>
            </w:pPr>
            <w:r>
              <w:rPr>
                <w:sz w:val="20"/>
              </w:rPr>
              <w:t xml:space="preserve">15.4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74.7</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rFonts w:hint="eastAsia"/>
                <w:sz w:val="20"/>
                <w:szCs w:val="21"/>
              </w:rPr>
              <w:t>G 16</w:t>
            </w:r>
          </w:p>
        </w:tc>
        <w:tc>
          <w:tcPr>
            <w:tcW w:w="1474" w:type="dxa"/>
            <w:vAlign w:val="bottom"/>
          </w:tcPr>
          <w:p w:rsidR="00DB7CC8" w:rsidRDefault="002B5250">
            <w:pPr>
              <w:spacing w:line="240" w:lineRule="auto"/>
              <w:ind w:firstLineChars="0" w:firstLine="0"/>
              <w:jc w:val="center"/>
              <w:rPr>
                <w:sz w:val="21"/>
              </w:rPr>
            </w:pPr>
            <w:r>
              <w:rPr>
                <w:sz w:val="21"/>
              </w:rPr>
              <w:t xml:space="preserve">20591330.71 </w:t>
            </w:r>
          </w:p>
        </w:tc>
        <w:tc>
          <w:tcPr>
            <w:tcW w:w="1364" w:type="dxa"/>
            <w:vAlign w:val="bottom"/>
          </w:tcPr>
          <w:p w:rsidR="00DB7CC8" w:rsidRDefault="002B5250">
            <w:pPr>
              <w:spacing w:line="240" w:lineRule="auto"/>
              <w:ind w:firstLineChars="0" w:firstLine="0"/>
              <w:jc w:val="center"/>
              <w:rPr>
                <w:sz w:val="21"/>
              </w:rPr>
            </w:pPr>
            <w:r>
              <w:rPr>
                <w:sz w:val="21"/>
              </w:rPr>
              <w:t xml:space="preserve">4449821.39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30</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52.8</w:t>
            </w:r>
          </w:p>
        </w:tc>
        <w:tc>
          <w:tcPr>
            <w:tcW w:w="1306" w:type="dxa"/>
            <w:vAlign w:val="bottom"/>
          </w:tcPr>
          <w:p w:rsidR="00DB7CC8" w:rsidRDefault="002B5250">
            <w:pPr>
              <w:spacing w:line="240" w:lineRule="auto"/>
              <w:ind w:firstLineChars="0" w:firstLine="0"/>
              <w:jc w:val="center"/>
              <w:rPr>
                <w:sz w:val="20"/>
              </w:rPr>
            </w:pPr>
            <w:r>
              <w:rPr>
                <w:sz w:val="20"/>
              </w:rPr>
              <w:t xml:space="preserve">20.2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73.0</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rFonts w:hint="eastAsia"/>
                <w:sz w:val="20"/>
                <w:szCs w:val="21"/>
              </w:rPr>
              <w:t>G 17</w:t>
            </w:r>
          </w:p>
        </w:tc>
        <w:tc>
          <w:tcPr>
            <w:tcW w:w="1474" w:type="dxa"/>
            <w:vAlign w:val="bottom"/>
          </w:tcPr>
          <w:p w:rsidR="00DB7CC8" w:rsidRDefault="002B5250">
            <w:pPr>
              <w:spacing w:line="240" w:lineRule="auto"/>
              <w:ind w:firstLineChars="0" w:firstLine="0"/>
              <w:jc w:val="center"/>
              <w:rPr>
                <w:sz w:val="21"/>
              </w:rPr>
            </w:pPr>
            <w:r>
              <w:rPr>
                <w:sz w:val="21"/>
              </w:rPr>
              <w:t xml:space="preserve">20591950.09 </w:t>
            </w:r>
          </w:p>
        </w:tc>
        <w:tc>
          <w:tcPr>
            <w:tcW w:w="1364" w:type="dxa"/>
            <w:vAlign w:val="bottom"/>
          </w:tcPr>
          <w:p w:rsidR="00DB7CC8" w:rsidRDefault="002B5250">
            <w:pPr>
              <w:spacing w:line="240" w:lineRule="auto"/>
              <w:ind w:firstLineChars="0" w:firstLine="0"/>
              <w:jc w:val="center"/>
              <w:rPr>
                <w:sz w:val="21"/>
              </w:rPr>
            </w:pPr>
            <w:r>
              <w:rPr>
                <w:sz w:val="21"/>
              </w:rPr>
              <w:t xml:space="preserve">4449604.01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32</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54.2</w:t>
            </w:r>
          </w:p>
        </w:tc>
        <w:tc>
          <w:tcPr>
            <w:tcW w:w="1306" w:type="dxa"/>
            <w:vAlign w:val="bottom"/>
          </w:tcPr>
          <w:p w:rsidR="00DB7CC8" w:rsidRDefault="002B5250">
            <w:pPr>
              <w:spacing w:line="240" w:lineRule="auto"/>
              <w:ind w:firstLineChars="0" w:firstLine="0"/>
              <w:jc w:val="center"/>
              <w:rPr>
                <w:sz w:val="20"/>
              </w:rPr>
            </w:pPr>
            <w:r>
              <w:rPr>
                <w:sz w:val="20"/>
              </w:rPr>
              <w:t xml:space="preserve">23.6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77.8</w:t>
            </w:r>
          </w:p>
        </w:tc>
      </w:tr>
      <w:tr w:rsidR="00DB7CC8">
        <w:trPr>
          <w:trHeight w:val="285"/>
          <w:jc w:val="center"/>
        </w:trPr>
        <w:tc>
          <w:tcPr>
            <w:tcW w:w="885" w:type="dxa"/>
            <w:tcBorders>
              <w:left w:val="single" w:sz="4" w:space="0" w:color="auto"/>
            </w:tcBorders>
            <w:vAlign w:val="center"/>
          </w:tcPr>
          <w:p w:rsidR="00DB7CC8" w:rsidRDefault="002B5250">
            <w:pPr>
              <w:spacing w:line="240" w:lineRule="auto"/>
              <w:ind w:firstLineChars="0" w:firstLine="0"/>
              <w:jc w:val="center"/>
              <w:rPr>
                <w:sz w:val="20"/>
                <w:szCs w:val="21"/>
              </w:rPr>
            </w:pPr>
            <w:r>
              <w:rPr>
                <w:rFonts w:hint="eastAsia"/>
                <w:sz w:val="20"/>
                <w:szCs w:val="21"/>
              </w:rPr>
              <w:t>G 18</w:t>
            </w:r>
          </w:p>
        </w:tc>
        <w:tc>
          <w:tcPr>
            <w:tcW w:w="1474" w:type="dxa"/>
            <w:vAlign w:val="bottom"/>
          </w:tcPr>
          <w:p w:rsidR="00DB7CC8" w:rsidRDefault="002B5250">
            <w:pPr>
              <w:spacing w:line="240" w:lineRule="auto"/>
              <w:ind w:firstLineChars="0" w:firstLine="0"/>
              <w:jc w:val="center"/>
              <w:rPr>
                <w:sz w:val="21"/>
              </w:rPr>
            </w:pPr>
            <w:r>
              <w:rPr>
                <w:sz w:val="21"/>
              </w:rPr>
              <w:t xml:space="preserve">20592748.03 </w:t>
            </w:r>
          </w:p>
        </w:tc>
        <w:tc>
          <w:tcPr>
            <w:tcW w:w="1364" w:type="dxa"/>
            <w:vAlign w:val="bottom"/>
          </w:tcPr>
          <w:p w:rsidR="00DB7CC8" w:rsidRDefault="002B5250">
            <w:pPr>
              <w:spacing w:line="240" w:lineRule="auto"/>
              <w:ind w:firstLineChars="0" w:firstLine="0"/>
              <w:jc w:val="center"/>
              <w:rPr>
                <w:sz w:val="21"/>
              </w:rPr>
            </w:pPr>
            <w:r>
              <w:rPr>
                <w:sz w:val="21"/>
              </w:rPr>
              <w:t xml:space="preserve">4449637.46 </w:t>
            </w:r>
          </w:p>
        </w:tc>
        <w:tc>
          <w:tcPr>
            <w:tcW w:w="885"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02" w:type="dxa"/>
            <w:vAlign w:val="bottom"/>
          </w:tcPr>
          <w:p w:rsidR="00DB7CC8" w:rsidRDefault="002B5250">
            <w:pPr>
              <w:spacing w:line="240" w:lineRule="auto"/>
              <w:ind w:firstLineChars="0" w:firstLine="0"/>
              <w:jc w:val="center"/>
              <w:rPr>
                <w:sz w:val="20"/>
                <w:szCs w:val="21"/>
              </w:rPr>
            </w:pPr>
            <w:r>
              <w:rPr>
                <w:rFonts w:hint="eastAsia"/>
                <w:sz w:val="20"/>
                <w:szCs w:val="21"/>
              </w:rPr>
              <w:t>57.0</w:t>
            </w:r>
          </w:p>
        </w:tc>
        <w:tc>
          <w:tcPr>
            <w:tcW w:w="1306" w:type="dxa"/>
            <w:vAlign w:val="bottom"/>
          </w:tcPr>
          <w:p w:rsidR="00DB7CC8" w:rsidRDefault="002B5250">
            <w:pPr>
              <w:spacing w:line="240" w:lineRule="auto"/>
              <w:ind w:firstLineChars="0" w:firstLine="0"/>
              <w:jc w:val="center"/>
              <w:rPr>
                <w:sz w:val="20"/>
              </w:rPr>
            </w:pPr>
            <w:r>
              <w:rPr>
                <w:sz w:val="20"/>
              </w:rPr>
              <w:t xml:space="preserve">21.1 </w:t>
            </w:r>
          </w:p>
        </w:tc>
        <w:tc>
          <w:tcPr>
            <w:tcW w:w="1306" w:type="dxa"/>
            <w:vAlign w:val="bottom"/>
          </w:tcPr>
          <w:p w:rsidR="00DB7CC8" w:rsidRDefault="002B5250">
            <w:pPr>
              <w:spacing w:line="240" w:lineRule="auto"/>
              <w:ind w:firstLineChars="0" w:firstLine="0"/>
              <w:jc w:val="center"/>
              <w:rPr>
                <w:sz w:val="21"/>
                <w:szCs w:val="21"/>
              </w:rPr>
            </w:pPr>
            <w:r>
              <w:rPr>
                <w:rFonts w:hint="eastAsia"/>
                <w:sz w:val="21"/>
                <w:szCs w:val="21"/>
              </w:rPr>
              <w:t>78.06</w:t>
            </w:r>
          </w:p>
        </w:tc>
      </w:tr>
    </w:tbl>
    <w:p w:rsidR="00DB7CC8" w:rsidRDefault="00DB7CC8">
      <w:pPr>
        <w:spacing w:line="240" w:lineRule="auto"/>
        <w:ind w:firstLineChars="0" w:firstLine="0"/>
        <w:jc w:val="center"/>
        <w:textAlignment w:val="auto"/>
        <w:rPr>
          <w:rFonts w:eastAsia="黑体"/>
          <w:kern w:val="2"/>
          <w:sz w:val="21"/>
          <w:szCs w:val="21"/>
        </w:rPr>
      </w:pPr>
    </w:p>
    <w:p w:rsidR="00DB7CC8" w:rsidRDefault="002B5250">
      <w:pPr>
        <w:spacing w:line="240" w:lineRule="auto"/>
        <w:ind w:firstLineChars="0" w:firstLine="0"/>
        <w:jc w:val="center"/>
        <w:textAlignment w:val="auto"/>
        <w:rPr>
          <w:rFonts w:eastAsia="黑体"/>
          <w:kern w:val="2"/>
          <w:sz w:val="21"/>
          <w:szCs w:val="21"/>
        </w:rPr>
      </w:pPr>
      <w:r>
        <w:rPr>
          <w:rFonts w:eastAsia="黑体" w:hint="eastAsia"/>
          <w:kern w:val="2"/>
          <w:sz w:val="21"/>
          <w:szCs w:val="21"/>
        </w:rPr>
        <w:t>表</w:t>
      </w:r>
      <w:r>
        <w:rPr>
          <w:rFonts w:eastAsia="黑体"/>
          <w:kern w:val="2"/>
          <w:sz w:val="21"/>
          <w:szCs w:val="21"/>
        </w:rPr>
        <w:t>5.2-</w:t>
      </w:r>
      <w:r>
        <w:rPr>
          <w:rFonts w:eastAsia="黑体" w:hint="eastAsia"/>
          <w:kern w:val="2"/>
          <w:sz w:val="21"/>
          <w:szCs w:val="21"/>
        </w:rPr>
        <w:t xml:space="preserve">20  </w:t>
      </w:r>
      <w:r>
        <w:rPr>
          <w:rFonts w:eastAsia="黑体"/>
          <w:kern w:val="2"/>
          <w:sz w:val="21"/>
          <w:szCs w:val="21"/>
        </w:rPr>
        <w:t>201</w:t>
      </w:r>
      <w:r>
        <w:rPr>
          <w:rFonts w:eastAsia="黑体" w:hint="eastAsia"/>
          <w:kern w:val="2"/>
          <w:sz w:val="21"/>
          <w:szCs w:val="21"/>
        </w:rPr>
        <w:t>8</w:t>
      </w:r>
      <w:r>
        <w:rPr>
          <w:rFonts w:eastAsia="黑体"/>
          <w:kern w:val="2"/>
          <w:sz w:val="21"/>
          <w:szCs w:val="21"/>
        </w:rPr>
        <w:t>年</w:t>
      </w:r>
      <w:r>
        <w:rPr>
          <w:rFonts w:eastAsia="黑体" w:hint="eastAsia"/>
          <w:kern w:val="2"/>
          <w:sz w:val="21"/>
          <w:szCs w:val="21"/>
        </w:rPr>
        <w:t>8</w:t>
      </w:r>
      <w:r>
        <w:rPr>
          <w:rFonts w:eastAsia="黑体" w:hint="eastAsia"/>
          <w:kern w:val="2"/>
          <w:sz w:val="21"/>
          <w:szCs w:val="21"/>
        </w:rPr>
        <w:t>月</w:t>
      </w:r>
      <w:r>
        <w:rPr>
          <w:rFonts w:eastAsia="黑体" w:hint="eastAsia"/>
          <w:kern w:val="2"/>
          <w:sz w:val="21"/>
          <w:szCs w:val="21"/>
        </w:rPr>
        <w:t>25</w:t>
      </w:r>
      <w:r>
        <w:rPr>
          <w:rFonts w:eastAsia="黑体" w:hint="eastAsia"/>
          <w:kern w:val="2"/>
          <w:sz w:val="21"/>
          <w:szCs w:val="21"/>
        </w:rPr>
        <w:t>日</w:t>
      </w:r>
      <w:r>
        <w:rPr>
          <w:rFonts w:eastAsia="黑体"/>
          <w:kern w:val="2"/>
          <w:sz w:val="21"/>
          <w:szCs w:val="21"/>
        </w:rPr>
        <w:t>水井调查成果一览表</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5"/>
        <w:gridCol w:w="1485"/>
        <w:gridCol w:w="1382"/>
        <w:gridCol w:w="897"/>
        <w:gridCol w:w="1319"/>
        <w:gridCol w:w="1323"/>
        <w:gridCol w:w="1321"/>
      </w:tblGrid>
      <w:tr w:rsidR="00DB7CC8">
        <w:trPr>
          <w:trHeight w:val="365"/>
          <w:tblHeader/>
          <w:jc w:val="center"/>
        </w:trPr>
        <w:tc>
          <w:tcPr>
            <w:tcW w:w="795"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lastRenderedPageBreak/>
              <w:t>编号</w:t>
            </w:r>
          </w:p>
        </w:tc>
        <w:tc>
          <w:tcPr>
            <w:tcW w:w="1485"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X</w:t>
            </w:r>
          </w:p>
        </w:tc>
        <w:tc>
          <w:tcPr>
            <w:tcW w:w="1382"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Y</w:t>
            </w:r>
          </w:p>
        </w:tc>
        <w:tc>
          <w:tcPr>
            <w:tcW w:w="897"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井深</w:t>
            </w:r>
            <w:r>
              <w:rPr>
                <w:rFonts w:hint="eastAsia"/>
                <w:sz w:val="21"/>
                <w:szCs w:val="21"/>
              </w:rPr>
              <w:t>(m)</w:t>
            </w:r>
          </w:p>
        </w:tc>
        <w:tc>
          <w:tcPr>
            <w:tcW w:w="1319"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水位标高</w:t>
            </w:r>
            <w:r>
              <w:rPr>
                <w:rFonts w:hint="eastAsia"/>
                <w:sz w:val="21"/>
                <w:szCs w:val="21"/>
              </w:rPr>
              <w:t>(m)</w:t>
            </w:r>
          </w:p>
        </w:tc>
        <w:tc>
          <w:tcPr>
            <w:tcW w:w="1323"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水位埋深</w:t>
            </w:r>
            <w:r>
              <w:rPr>
                <w:rFonts w:hint="eastAsia"/>
                <w:sz w:val="21"/>
                <w:szCs w:val="21"/>
              </w:rPr>
              <w:t>(m)</w:t>
            </w:r>
          </w:p>
        </w:tc>
        <w:tc>
          <w:tcPr>
            <w:tcW w:w="1321" w:type="dxa"/>
            <w:vAlign w:val="center"/>
          </w:tcPr>
          <w:p w:rsidR="00DB7CC8" w:rsidRDefault="002B5250">
            <w:pPr>
              <w:spacing w:line="240" w:lineRule="auto"/>
              <w:ind w:firstLineChars="0" w:firstLine="0"/>
              <w:jc w:val="center"/>
              <w:rPr>
                <w:rFonts w:ascii="宋体" w:hAnsi="宋体" w:cs="宋体"/>
                <w:sz w:val="21"/>
                <w:szCs w:val="21"/>
              </w:rPr>
            </w:pPr>
            <w:r>
              <w:rPr>
                <w:rFonts w:hint="eastAsia"/>
                <w:sz w:val="21"/>
                <w:szCs w:val="21"/>
              </w:rPr>
              <w:t>地面高程</w:t>
            </w:r>
            <w:r>
              <w:rPr>
                <w:rFonts w:hint="eastAsia"/>
                <w:sz w:val="21"/>
                <w:szCs w:val="21"/>
              </w:rPr>
              <w:t>(m)</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1</w:t>
            </w:r>
          </w:p>
        </w:tc>
        <w:tc>
          <w:tcPr>
            <w:tcW w:w="1485" w:type="dxa"/>
            <w:vAlign w:val="bottom"/>
          </w:tcPr>
          <w:p w:rsidR="00DB7CC8" w:rsidRDefault="002B5250">
            <w:pPr>
              <w:spacing w:line="240" w:lineRule="auto"/>
              <w:ind w:firstLineChars="0" w:firstLine="0"/>
              <w:jc w:val="center"/>
              <w:rPr>
                <w:sz w:val="21"/>
              </w:rPr>
            </w:pPr>
            <w:r>
              <w:rPr>
                <w:sz w:val="21"/>
              </w:rPr>
              <w:t xml:space="preserve">20596738.96 </w:t>
            </w:r>
          </w:p>
        </w:tc>
        <w:tc>
          <w:tcPr>
            <w:tcW w:w="1382" w:type="dxa"/>
            <w:vAlign w:val="bottom"/>
          </w:tcPr>
          <w:p w:rsidR="00DB7CC8" w:rsidRDefault="002B5250">
            <w:pPr>
              <w:spacing w:line="240" w:lineRule="auto"/>
              <w:ind w:firstLineChars="0" w:firstLine="0"/>
              <w:jc w:val="center"/>
              <w:rPr>
                <w:sz w:val="21"/>
              </w:rPr>
            </w:pPr>
            <w:r>
              <w:rPr>
                <w:sz w:val="21"/>
              </w:rPr>
              <w:t xml:space="preserve">4452054.32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19" w:type="dxa"/>
            <w:vAlign w:val="center"/>
          </w:tcPr>
          <w:p w:rsidR="00DB7CC8" w:rsidRDefault="002B5250">
            <w:pPr>
              <w:spacing w:line="240" w:lineRule="auto"/>
              <w:ind w:firstLineChars="0" w:firstLine="0"/>
              <w:jc w:val="center"/>
              <w:rPr>
                <w:sz w:val="22"/>
                <w:szCs w:val="22"/>
              </w:rPr>
            </w:pPr>
            <w:r>
              <w:rPr>
                <w:sz w:val="22"/>
                <w:szCs w:val="22"/>
              </w:rPr>
              <w:t>88.2</w:t>
            </w:r>
          </w:p>
        </w:tc>
        <w:tc>
          <w:tcPr>
            <w:tcW w:w="1323" w:type="dxa"/>
            <w:vAlign w:val="center"/>
          </w:tcPr>
          <w:p w:rsidR="00DB7CC8" w:rsidRDefault="002B5250">
            <w:pPr>
              <w:spacing w:line="240" w:lineRule="auto"/>
              <w:ind w:firstLineChars="0" w:firstLine="0"/>
              <w:jc w:val="center"/>
              <w:rPr>
                <w:sz w:val="22"/>
                <w:szCs w:val="22"/>
              </w:rPr>
            </w:pPr>
            <w:r>
              <w:rPr>
                <w:sz w:val="22"/>
                <w:szCs w:val="22"/>
              </w:rPr>
              <w:t>12.9</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101.1</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2</w:t>
            </w:r>
          </w:p>
        </w:tc>
        <w:tc>
          <w:tcPr>
            <w:tcW w:w="1485" w:type="dxa"/>
            <w:vAlign w:val="bottom"/>
          </w:tcPr>
          <w:p w:rsidR="00DB7CC8" w:rsidRDefault="002B5250">
            <w:pPr>
              <w:spacing w:line="240" w:lineRule="auto"/>
              <w:ind w:firstLineChars="0" w:firstLine="0"/>
              <w:jc w:val="center"/>
              <w:rPr>
                <w:sz w:val="21"/>
              </w:rPr>
            </w:pPr>
            <w:r>
              <w:rPr>
                <w:sz w:val="21"/>
              </w:rPr>
              <w:t xml:space="preserve">20596498.70 </w:t>
            </w:r>
          </w:p>
        </w:tc>
        <w:tc>
          <w:tcPr>
            <w:tcW w:w="1382" w:type="dxa"/>
            <w:vAlign w:val="bottom"/>
          </w:tcPr>
          <w:p w:rsidR="00DB7CC8" w:rsidRDefault="002B5250">
            <w:pPr>
              <w:spacing w:line="240" w:lineRule="auto"/>
              <w:ind w:firstLineChars="0" w:firstLine="0"/>
              <w:jc w:val="center"/>
              <w:rPr>
                <w:sz w:val="21"/>
              </w:rPr>
            </w:pPr>
            <w:r>
              <w:rPr>
                <w:sz w:val="21"/>
              </w:rPr>
              <w:t xml:space="preserve">4451645.16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32</w:t>
            </w:r>
          </w:p>
        </w:tc>
        <w:tc>
          <w:tcPr>
            <w:tcW w:w="1319" w:type="dxa"/>
            <w:vAlign w:val="center"/>
          </w:tcPr>
          <w:p w:rsidR="00DB7CC8" w:rsidRDefault="002B5250">
            <w:pPr>
              <w:spacing w:line="240" w:lineRule="auto"/>
              <w:ind w:firstLineChars="0" w:firstLine="0"/>
              <w:jc w:val="center"/>
              <w:rPr>
                <w:sz w:val="22"/>
                <w:szCs w:val="22"/>
              </w:rPr>
            </w:pPr>
            <w:r>
              <w:rPr>
                <w:sz w:val="22"/>
                <w:szCs w:val="22"/>
              </w:rPr>
              <w:t>79.2</w:t>
            </w:r>
          </w:p>
        </w:tc>
        <w:tc>
          <w:tcPr>
            <w:tcW w:w="1323" w:type="dxa"/>
            <w:vAlign w:val="center"/>
          </w:tcPr>
          <w:p w:rsidR="00DB7CC8" w:rsidRDefault="002B5250">
            <w:pPr>
              <w:spacing w:line="240" w:lineRule="auto"/>
              <w:ind w:firstLineChars="0" w:firstLine="0"/>
              <w:jc w:val="center"/>
              <w:rPr>
                <w:sz w:val="22"/>
                <w:szCs w:val="22"/>
              </w:rPr>
            </w:pPr>
            <w:r>
              <w:rPr>
                <w:sz w:val="22"/>
                <w:szCs w:val="22"/>
              </w:rPr>
              <w:t>19.1</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98.3</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3</w:t>
            </w:r>
          </w:p>
        </w:tc>
        <w:tc>
          <w:tcPr>
            <w:tcW w:w="1485" w:type="dxa"/>
            <w:vAlign w:val="bottom"/>
          </w:tcPr>
          <w:p w:rsidR="00DB7CC8" w:rsidRDefault="002B5250">
            <w:pPr>
              <w:spacing w:line="240" w:lineRule="auto"/>
              <w:ind w:firstLineChars="0" w:firstLine="0"/>
              <w:jc w:val="center"/>
              <w:rPr>
                <w:sz w:val="21"/>
              </w:rPr>
            </w:pPr>
            <w:r>
              <w:rPr>
                <w:sz w:val="21"/>
              </w:rPr>
              <w:t xml:space="preserve">20597105.25 </w:t>
            </w:r>
          </w:p>
        </w:tc>
        <w:tc>
          <w:tcPr>
            <w:tcW w:w="1382" w:type="dxa"/>
            <w:vAlign w:val="bottom"/>
          </w:tcPr>
          <w:p w:rsidR="00DB7CC8" w:rsidRDefault="002B5250">
            <w:pPr>
              <w:spacing w:line="240" w:lineRule="auto"/>
              <w:ind w:firstLineChars="0" w:firstLine="0"/>
              <w:jc w:val="center"/>
              <w:rPr>
                <w:sz w:val="21"/>
              </w:rPr>
            </w:pPr>
            <w:r>
              <w:rPr>
                <w:sz w:val="21"/>
              </w:rPr>
              <w:t xml:space="preserve">4451192.73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19" w:type="dxa"/>
            <w:vAlign w:val="center"/>
          </w:tcPr>
          <w:p w:rsidR="00DB7CC8" w:rsidRDefault="002B5250">
            <w:pPr>
              <w:spacing w:line="240" w:lineRule="auto"/>
              <w:ind w:firstLineChars="0" w:firstLine="0"/>
              <w:jc w:val="center"/>
              <w:rPr>
                <w:sz w:val="22"/>
                <w:szCs w:val="22"/>
              </w:rPr>
            </w:pPr>
            <w:r>
              <w:rPr>
                <w:sz w:val="22"/>
                <w:szCs w:val="22"/>
              </w:rPr>
              <w:t>85.2</w:t>
            </w:r>
          </w:p>
        </w:tc>
        <w:tc>
          <w:tcPr>
            <w:tcW w:w="1323" w:type="dxa"/>
            <w:vAlign w:val="center"/>
          </w:tcPr>
          <w:p w:rsidR="00DB7CC8" w:rsidRDefault="002B5250">
            <w:pPr>
              <w:spacing w:line="240" w:lineRule="auto"/>
              <w:ind w:firstLineChars="0" w:firstLine="0"/>
              <w:jc w:val="center"/>
              <w:rPr>
                <w:sz w:val="22"/>
                <w:szCs w:val="22"/>
              </w:rPr>
            </w:pPr>
            <w:r>
              <w:rPr>
                <w:sz w:val="22"/>
                <w:szCs w:val="22"/>
              </w:rPr>
              <w:t>12.8</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98.0</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4</w:t>
            </w:r>
          </w:p>
        </w:tc>
        <w:tc>
          <w:tcPr>
            <w:tcW w:w="1485" w:type="dxa"/>
            <w:vAlign w:val="bottom"/>
          </w:tcPr>
          <w:p w:rsidR="00DB7CC8" w:rsidRDefault="002B5250">
            <w:pPr>
              <w:spacing w:line="240" w:lineRule="auto"/>
              <w:ind w:firstLineChars="0" w:firstLine="0"/>
              <w:jc w:val="center"/>
              <w:rPr>
                <w:sz w:val="21"/>
              </w:rPr>
            </w:pPr>
            <w:r>
              <w:rPr>
                <w:sz w:val="21"/>
              </w:rPr>
              <w:t xml:space="preserve">20596234.81 </w:t>
            </w:r>
          </w:p>
        </w:tc>
        <w:tc>
          <w:tcPr>
            <w:tcW w:w="1382" w:type="dxa"/>
            <w:vAlign w:val="bottom"/>
          </w:tcPr>
          <w:p w:rsidR="00DB7CC8" w:rsidRDefault="002B5250">
            <w:pPr>
              <w:spacing w:line="240" w:lineRule="auto"/>
              <w:ind w:firstLineChars="0" w:firstLine="0"/>
              <w:jc w:val="center"/>
              <w:rPr>
                <w:sz w:val="21"/>
              </w:rPr>
            </w:pPr>
            <w:r>
              <w:rPr>
                <w:sz w:val="21"/>
              </w:rPr>
              <w:t xml:space="preserve">4450822.91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25</w:t>
            </w:r>
          </w:p>
        </w:tc>
        <w:tc>
          <w:tcPr>
            <w:tcW w:w="1319" w:type="dxa"/>
            <w:vAlign w:val="center"/>
          </w:tcPr>
          <w:p w:rsidR="00DB7CC8" w:rsidRDefault="002B5250">
            <w:pPr>
              <w:spacing w:line="240" w:lineRule="auto"/>
              <w:ind w:firstLineChars="0" w:firstLine="0"/>
              <w:jc w:val="center"/>
              <w:rPr>
                <w:sz w:val="22"/>
                <w:szCs w:val="22"/>
              </w:rPr>
            </w:pPr>
            <w:r>
              <w:rPr>
                <w:sz w:val="22"/>
                <w:szCs w:val="22"/>
              </w:rPr>
              <w:t>76</w:t>
            </w:r>
          </w:p>
        </w:tc>
        <w:tc>
          <w:tcPr>
            <w:tcW w:w="1323" w:type="dxa"/>
            <w:vAlign w:val="center"/>
          </w:tcPr>
          <w:p w:rsidR="00DB7CC8" w:rsidRDefault="002B5250">
            <w:pPr>
              <w:spacing w:line="240" w:lineRule="auto"/>
              <w:ind w:firstLineChars="0" w:firstLine="0"/>
              <w:jc w:val="center"/>
              <w:rPr>
                <w:sz w:val="22"/>
                <w:szCs w:val="22"/>
              </w:rPr>
            </w:pPr>
            <w:r>
              <w:rPr>
                <w:sz w:val="22"/>
                <w:szCs w:val="22"/>
              </w:rPr>
              <w:t>14.1</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90.1</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5</w:t>
            </w:r>
          </w:p>
        </w:tc>
        <w:tc>
          <w:tcPr>
            <w:tcW w:w="1485" w:type="dxa"/>
            <w:vAlign w:val="bottom"/>
          </w:tcPr>
          <w:p w:rsidR="00DB7CC8" w:rsidRDefault="002B5250">
            <w:pPr>
              <w:spacing w:line="240" w:lineRule="auto"/>
              <w:ind w:firstLineChars="0" w:firstLine="0"/>
              <w:jc w:val="center"/>
              <w:rPr>
                <w:sz w:val="21"/>
              </w:rPr>
            </w:pPr>
            <w:r>
              <w:rPr>
                <w:sz w:val="21"/>
              </w:rPr>
              <w:t xml:space="preserve">20595493.03 </w:t>
            </w:r>
          </w:p>
        </w:tc>
        <w:tc>
          <w:tcPr>
            <w:tcW w:w="1382" w:type="dxa"/>
            <w:vAlign w:val="bottom"/>
          </w:tcPr>
          <w:p w:rsidR="00DB7CC8" w:rsidRDefault="002B5250">
            <w:pPr>
              <w:spacing w:line="240" w:lineRule="auto"/>
              <w:ind w:firstLineChars="0" w:firstLine="0"/>
              <w:jc w:val="center"/>
              <w:rPr>
                <w:sz w:val="21"/>
              </w:rPr>
            </w:pPr>
            <w:r>
              <w:rPr>
                <w:sz w:val="21"/>
              </w:rPr>
              <w:t xml:space="preserve">4450391.57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25</w:t>
            </w:r>
          </w:p>
        </w:tc>
        <w:tc>
          <w:tcPr>
            <w:tcW w:w="1319" w:type="dxa"/>
            <w:vAlign w:val="center"/>
          </w:tcPr>
          <w:p w:rsidR="00DB7CC8" w:rsidRDefault="002B5250">
            <w:pPr>
              <w:spacing w:line="240" w:lineRule="auto"/>
              <w:ind w:firstLineChars="0" w:firstLine="0"/>
              <w:jc w:val="center"/>
              <w:rPr>
                <w:sz w:val="22"/>
                <w:szCs w:val="22"/>
              </w:rPr>
            </w:pPr>
            <w:r>
              <w:rPr>
                <w:sz w:val="22"/>
                <w:szCs w:val="22"/>
              </w:rPr>
              <w:t>74.7</w:t>
            </w:r>
          </w:p>
        </w:tc>
        <w:tc>
          <w:tcPr>
            <w:tcW w:w="1323" w:type="dxa"/>
            <w:vAlign w:val="center"/>
          </w:tcPr>
          <w:p w:rsidR="00DB7CC8" w:rsidRDefault="002B5250">
            <w:pPr>
              <w:spacing w:line="240" w:lineRule="auto"/>
              <w:ind w:firstLineChars="0" w:firstLine="0"/>
              <w:jc w:val="center"/>
              <w:rPr>
                <w:sz w:val="22"/>
                <w:szCs w:val="22"/>
              </w:rPr>
            </w:pPr>
            <w:r>
              <w:rPr>
                <w:sz w:val="22"/>
                <w:szCs w:val="22"/>
              </w:rPr>
              <w:t>10.9</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85.6</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6</w:t>
            </w:r>
          </w:p>
        </w:tc>
        <w:tc>
          <w:tcPr>
            <w:tcW w:w="1485" w:type="dxa"/>
            <w:vAlign w:val="bottom"/>
          </w:tcPr>
          <w:p w:rsidR="00DB7CC8" w:rsidRDefault="002B5250">
            <w:pPr>
              <w:spacing w:line="240" w:lineRule="auto"/>
              <w:ind w:firstLineChars="0" w:firstLine="0"/>
              <w:jc w:val="center"/>
              <w:rPr>
                <w:sz w:val="21"/>
              </w:rPr>
            </w:pPr>
            <w:r>
              <w:rPr>
                <w:sz w:val="21"/>
              </w:rPr>
              <w:t xml:space="preserve">20594400.79 </w:t>
            </w:r>
          </w:p>
        </w:tc>
        <w:tc>
          <w:tcPr>
            <w:tcW w:w="1382" w:type="dxa"/>
            <w:vAlign w:val="bottom"/>
          </w:tcPr>
          <w:p w:rsidR="00DB7CC8" w:rsidRDefault="002B5250">
            <w:pPr>
              <w:spacing w:line="240" w:lineRule="auto"/>
              <w:ind w:firstLineChars="0" w:firstLine="0"/>
              <w:jc w:val="center"/>
              <w:rPr>
                <w:sz w:val="21"/>
              </w:rPr>
            </w:pPr>
            <w:r>
              <w:rPr>
                <w:sz w:val="21"/>
              </w:rPr>
              <w:t xml:space="preserve">4449235.76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19" w:type="dxa"/>
            <w:vAlign w:val="center"/>
          </w:tcPr>
          <w:p w:rsidR="00DB7CC8" w:rsidRDefault="002B5250">
            <w:pPr>
              <w:spacing w:line="240" w:lineRule="auto"/>
              <w:ind w:firstLineChars="0" w:firstLine="0"/>
              <w:jc w:val="center"/>
              <w:rPr>
                <w:sz w:val="22"/>
                <w:szCs w:val="22"/>
              </w:rPr>
            </w:pPr>
            <w:r>
              <w:rPr>
                <w:sz w:val="22"/>
                <w:szCs w:val="22"/>
              </w:rPr>
              <w:t>68.3</w:t>
            </w:r>
          </w:p>
        </w:tc>
        <w:tc>
          <w:tcPr>
            <w:tcW w:w="1323" w:type="dxa"/>
            <w:vAlign w:val="center"/>
          </w:tcPr>
          <w:p w:rsidR="00DB7CC8" w:rsidRDefault="002B5250">
            <w:pPr>
              <w:spacing w:line="240" w:lineRule="auto"/>
              <w:ind w:firstLineChars="0" w:firstLine="0"/>
              <w:jc w:val="center"/>
              <w:rPr>
                <w:sz w:val="22"/>
                <w:szCs w:val="22"/>
              </w:rPr>
            </w:pPr>
            <w:r>
              <w:rPr>
                <w:sz w:val="22"/>
                <w:szCs w:val="22"/>
              </w:rPr>
              <w:t>19.6</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87.9</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7</w:t>
            </w:r>
          </w:p>
        </w:tc>
        <w:tc>
          <w:tcPr>
            <w:tcW w:w="1485" w:type="dxa"/>
            <w:vAlign w:val="bottom"/>
          </w:tcPr>
          <w:p w:rsidR="00DB7CC8" w:rsidRDefault="002B5250">
            <w:pPr>
              <w:spacing w:line="240" w:lineRule="auto"/>
              <w:ind w:firstLineChars="0" w:firstLine="0"/>
              <w:jc w:val="center"/>
              <w:rPr>
                <w:sz w:val="21"/>
              </w:rPr>
            </w:pPr>
            <w:r>
              <w:rPr>
                <w:sz w:val="21"/>
              </w:rPr>
              <w:t xml:space="preserve">20594194.33 </w:t>
            </w:r>
          </w:p>
        </w:tc>
        <w:tc>
          <w:tcPr>
            <w:tcW w:w="1382" w:type="dxa"/>
            <w:vAlign w:val="bottom"/>
          </w:tcPr>
          <w:p w:rsidR="00DB7CC8" w:rsidRDefault="002B5250">
            <w:pPr>
              <w:spacing w:line="240" w:lineRule="auto"/>
              <w:ind w:firstLineChars="0" w:firstLine="0"/>
              <w:jc w:val="center"/>
              <w:rPr>
                <w:sz w:val="21"/>
              </w:rPr>
            </w:pPr>
            <w:r>
              <w:rPr>
                <w:sz w:val="21"/>
              </w:rPr>
              <w:t xml:space="preserve">4449776.41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30</w:t>
            </w:r>
          </w:p>
        </w:tc>
        <w:tc>
          <w:tcPr>
            <w:tcW w:w="1319" w:type="dxa"/>
            <w:vAlign w:val="center"/>
          </w:tcPr>
          <w:p w:rsidR="00DB7CC8" w:rsidRDefault="002B5250">
            <w:pPr>
              <w:spacing w:line="240" w:lineRule="auto"/>
              <w:ind w:firstLineChars="0" w:firstLine="0"/>
              <w:jc w:val="center"/>
              <w:rPr>
                <w:sz w:val="22"/>
                <w:szCs w:val="22"/>
              </w:rPr>
            </w:pPr>
            <w:r>
              <w:rPr>
                <w:sz w:val="22"/>
                <w:szCs w:val="22"/>
              </w:rPr>
              <w:t>64.7</w:t>
            </w:r>
          </w:p>
        </w:tc>
        <w:tc>
          <w:tcPr>
            <w:tcW w:w="1323" w:type="dxa"/>
            <w:vAlign w:val="center"/>
          </w:tcPr>
          <w:p w:rsidR="00DB7CC8" w:rsidRDefault="002B5250">
            <w:pPr>
              <w:spacing w:line="240" w:lineRule="auto"/>
              <w:ind w:firstLineChars="0" w:firstLine="0"/>
              <w:jc w:val="center"/>
              <w:rPr>
                <w:sz w:val="22"/>
                <w:szCs w:val="22"/>
              </w:rPr>
            </w:pPr>
            <w:r>
              <w:rPr>
                <w:sz w:val="22"/>
                <w:szCs w:val="22"/>
              </w:rPr>
              <w:t>13.7</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78.4</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8</w:t>
            </w:r>
          </w:p>
        </w:tc>
        <w:tc>
          <w:tcPr>
            <w:tcW w:w="1485" w:type="dxa"/>
            <w:vAlign w:val="bottom"/>
          </w:tcPr>
          <w:p w:rsidR="00DB7CC8" w:rsidRDefault="002B5250">
            <w:pPr>
              <w:spacing w:line="240" w:lineRule="auto"/>
              <w:ind w:firstLineChars="0" w:firstLine="0"/>
              <w:jc w:val="center"/>
              <w:rPr>
                <w:sz w:val="21"/>
              </w:rPr>
            </w:pPr>
            <w:r>
              <w:rPr>
                <w:sz w:val="21"/>
              </w:rPr>
              <w:t xml:space="preserve">20593915.33 </w:t>
            </w:r>
          </w:p>
        </w:tc>
        <w:tc>
          <w:tcPr>
            <w:tcW w:w="1382" w:type="dxa"/>
            <w:vAlign w:val="bottom"/>
          </w:tcPr>
          <w:p w:rsidR="00DB7CC8" w:rsidRDefault="002B5250">
            <w:pPr>
              <w:spacing w:line="240" w:lineRule="auto"/>
              <w:ind w:firstLineChars="0" w:firstLine="0"/>
              <w:jc w:val="center"/>
              <w:rPr>
                <w:sz w:val="21"/>
              </w:rPr>
            </w:pPr>
            <w:r>
              <w:rPr>
                <w:sz w:val="21"/>
              </w:rPr>
              <w:t xml:space="preserve">4450255.75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25</w:t>
            </w:r>
          </w:p>
        </w:tc>
        <w:tc>
          <w:tcPr>
            <w:tcW w:w="1319" w:type="dxa"/>
            <w:vAlign w:val="center"/>
          </w:tcPr>
          <w:p w:rsidR="00DB7CC8" w:rsidRDefault="002B5250">
            <w:pPr>
              <w:spacing w:line="240" w:lineRule="auto"/>
              <w:ind w:firstLineChars="0" w:firstLine="0"/>
              <w:jc w:val="center"/>
              <w:rPr>
                <w:sz w:val="22"/>
                <w:szCs w:val="22"/>
              </w:rPr>
            </w:pPr>
            <w:r>
              <w:rPr>
                <w:sz w:val="22"/>
                <w:szCs w:val="22"/>
              </w:rPr>
              <w:t>60.9</w:t>
            </w:r>
          </w:p>
        </w:tc>
        <w:tc>
          <w:tcPr>
            <w:tcW w:w="1323" w:type="dxa"/>
            <w:vAlign w:val="center"/>
          </w:tcPr>
          <w:p w:rsidR="00DB7CC8" w:rsidRDefault="002B5250">
            <w:pPr>
              <w:spacing w:line="240" w:lineRule="auto"/>
              <w:ind w:firstLineChars="0" w:firstLine="0"/>
              <w:jc w:val="center"/>
              <w:rPr>
                <w:sz w:val="22"/>
                <w:szCs w:val="22"/>
              </w:rPr>
            </w:pPr>
            <w:r>
              <w:rPr>
                <w:sz w:val="22"/>
                <w:szCs w:val="22"/>
              </w:rPr>
              <w:t>14.4</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75.3</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9</w:t>
            </w:r>
          </w:p>
        </w:tc>
        <w:tc>
          <w:tcPr>
            <w:tcW w:w="1485" w:type="dxa"/>
            <w:vAlign w:val="bottom"/>
          </w:tcPr>
          <w:p w:rsidR="00DB7CC8" w:rsidRDefault="002B5250">
            <w:pPr>
              <w:spacing w:line="240" w:lineRule="auto"/>
              <w:ind w:firstLineChars="0" w:firstLine="0"/>
              <w:jc w:val="center"/>
              <w:rPr>
                <w:sz w:val="21"/>
              </w:rPr>
            </w:pPr>
            <w:r>
              <w:rPr>
                <w:sz w:val="21"/>
              </w:rPr>
              <w:t xml:space="preserve">20593852.31 </w:t>
            </w:r>
          </w:p>
        </w:tc>
        <w:tc>
          <w:tcPr>
            <w:tcW w:w="1382" w:type="dxa"/>
            <w:vAlign w:val="bottom"/>
          </w:tcPr>
          <w:p w:rsidR="00DB7CC8" w:rsidRDefault="002B5250">
            <w:pPr>
              <w:spacing w:line="240" w:lineRule="auto"/>
              <w:ind w:firstLineChars="0" w:firstLine="0"/>
              <w:jc w:val="center"/>
              <w:rPr>
                <w:sz w:val="21"/>
              </w:rPr>
            </w:pPr>
            <w:r>
              <w:rPr>
                <w:sz w:val="21"/>
              </w:rPr>
              <w:t xml:space="preserve">4451034.89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19" w:type="dxa"/>
            <w:vAlign w:val="center"/>
          </w:tcPr>
          <w:p w:rsidR="00DB7CC8" w:rsidRDefault="002B5250">
            <w:pPr>
              <w:spacing w:line="240" w:lineRule="auto"/>
              <w:ind w:firstLineChars="0" w:firstLine="0"/>
              <w:jc w:val="center"/>
              <w:rPr>
                <w:sz w:val="22"/>
                <w:szCs w:val="22"/>
              </w:rPr>
            </w:pPr>
            <w:r>
              <w:rPr>
                <w:sz w:val="22"/>
                <w:szCs w:val="22"/>
              </w:rPr>
              <w:t>66.7</w:t>
            </w:r>
          </w:p>
        </w:tc>
        <w:tc>
          <w:tcPr>
            <w:tcW w:w="1323" w:type="dxa"/>
            <w:vAlign w:val="center"/>
          </w:tcPr>
          <w:p w:rsidR="00DB7CC8" w:rsidRDefault="002B5250">
            <w:pPr>
              <w:spacing w:line="240" w:lineRule="auto"/>
              <w:ind w:firstLineChars="0" w:firstLine="0"/>
              <w:jc w:val="center"/>
              <w:rPr>
                <w:sz w:val="22"/>
                <w:szCs w:val="22"/>
              </w:rPr>
            </w:pPr>
            <w:r>
              <w:rPr>
                <w:sz w:val="22"/>
                <w:szCs w:val="22"/>
              </w:rPr>
              <w:t>11.8</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78.5</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10</w:t>
            </w:r>
          </w:p>
        </w:tc>
        <w:tc>
          <w:tcPr>
            <w:tcW w:w="1485" w:type="dxa"/>
            <w:vAlign w:val="bottom"/>
          </w:tcPr>
          <w:p w:rsidR="00DB7CC8" w:rsidRDefault="002B5250">
            <w:pPr>
              <w:spacing w:line="240" w:lineRule="auto"/>
              <w:ind w:firstLineChars="0" w:firstLine="0"/>
              <w:jc w:val="center"/>
              <w:rPr>
                <w:sz w:val="21"/>
              </w:rPr>
            </w:pPr>
            <w:r>
              <w:rPr>
                <w:sz w:val="21"/>
              </w:rPr>
              <w:t xml:space="preserve">20595389.53 </w:t>
            </w:r>
          </w:p>
        </w:tc>
        <w:tc>
          <w:tcPr>
            <w:tcW w:w="1382" w:type="dxa"/>
            <w:vAlign w:val="bottom"/>
          </w:tcPr>
          <w:p w:rsidR="00DB7CC8" w:rsidRDefault="002B5250">
            <w:pPr>
              <w:spacing w:line="240" w:lineRule="auto"/>
              <w:ind w:firstLineChars="0" w:firstLine="0"/>
              <w:jc w:val="center"/>
              <w:rPr>
                <w:sz w:val="21"/>
              </w:rPr>
            </w:pPr>
            <w:r>
              <w:rPr>
                <w:sz w:val="21"/>
              </w:rPr>
              <w:t xml:space="preserve">4451345.91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19" w:type="dxa"/>
            <w:vAlign w:val="center"/>
          </w:tcPr>
          <w:p w:rsidR="00DB7CC8" w:rsidRDefault="002B5250">
            <w:pPr>
              <w:spacing w:line="240" w:lineRule="auto"/>
              <w:ind w:firstLineChars="0" w:firstLine="0"/>
              <w:jc w:val="center"/>
              <w:rPr>
                <w:sz w:val="22"/>
                <w:szCs w:val="22"/>
              </w:rPr>
            </w:pPr>
            <w:r>
              <w:rPr>
                <w:sz w:val="22"/>
                <w:szCs w:val="22"/>
              </w:rPr>
              <w:t>74.9</w:t>
            </w:r>
          </w:p>
        </w:tc>
        <w:tc>
          <w:tcPr>
            <w:tcW w:w="1323" w:type="dxa"/>
            <w:vAlign w:val="center"/>
          </w:tcPr>
          <w:p w:rsidR="00DB7CC8" w:rsidRDefault="002B5250">
            <w:pPr>
              <w:spacing w:line="240" w:lineRule="auto"/>
              <w:ind w:firstLineChars="0" w:firstLine="0"/>
              <w:jc w:val="center"/>
              <w:rPr>
                <w:sz w:val="22"/>
                <w:szCs w:val="22"/>
              </w:rPr>
            </w:pPr>
            <w:r>
              <w:rPr>
                <w:sz w:val="22"/>
                <w:szCs w:val="22"/>
              </w:rPr>
              <w:t>14.6</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89.5</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11</w:t>
            </w:r>
          </w:p>
        </w:tc>
        <w:tc>
          <w:tcPr>
            <w:tcW w:w="1485" w:type="dxa"/>
            <w:vAlign w:val="bottom"/>
          </w:tcPr>
          <w:p w:rsidR="00DB7CC8" w:rsidRDefault="002B5250">
            <w:pPr>
              <w:spacing w:line="240" w:lineRule="auto"/>
              <w:ind w:firstLineChars="0" w:firstLine="0"/>
              <w:jc w:val="center"/>
              <w:rPr>
                <w:sz w:val="21"/>
              </w:rPr>
            </w:pPr>
            <w:r>
              <w:rPr>
                <w:sz w:val="21"/>
              </w:rPr>
              <w:t xml:space="preserve">20594879.57 </w:t>
            </w:r>
          </w:p>
        </w:tc>
        <w:tc>
          <w:tcPr>
            <w:tcW w:w="1382" w:type="dxa"/>
            <w:vAlign w:val="bottom"/>
          </w:tcPr>
          <w:p w:rsidR="00DB7CC8" w:rsidRDefault="002B5250">
            <w:pPr>
              <w:spacing w:line="240" w:lineRule="auto"/>
              <w:ind w:firstLineChars="0" w:firstLine="0"/>
              <w:jc w:val="center"/>
              <w:rPr>
                <w:sz w:val="21"/>
              </w:rPr>
            </w:pPr>
            <w:r>
              <w:rPr>
                <w:sz w:val="21"/>
              </w:rPr>
              <w:t xml:space="preserve">4451907.98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40</w:t>
            </w:r>
          </w:p>
        </w:tc>
        <w:tc>
          <w:tcPr>
            <w:tcW w:w="1319" w:type="dxa"/>
            <w:vAlign w:val="center"/>
          </w:tcPr>
          <w:p w:rsidR="00DB7CC8" w:rsidRDefault="002B5250">
            <w:pPr>
              <w:spacing w:line="240" w:lineRule="auto"/>
              <w:ind w:firstLineChars="0" w:firstLine="0"/>
              <w:jc w:val="center"/>
              <w:rPr>
                <w:sz w:val="22"/>
                <w:szCs w:val="22"/>
              </w:rPr>
            </w:pPr>
            <w:r>
              <w:rPr>
                <w:sz w:val="22"/>
                <w:szCs w:val="22"/>
              </w:rPr>
              <w:t>75.8</w:t>
            </w:r>
          </w:p>
        </w:tc>
        <w:tc>
          <w:tcPr>
            <w:tcW w:w="1323" w:type="dxa"/>
            <w:vAlign w:val="center"/>
          </w:tcPr>
          <w:p w:rsidR="00DB7CC8" w:rsidRDefault="002B5250">
            <w:pPr>
              <w:spacing w:line="240" w:lineRule="auto"/>
              <w:ind w:firstLineChars="0" w:firstLine="0"/>
              <w:jc w:val="center"/>
              <w:rPr>
                <w:sz w:val="22"/>
                <w:szCs w:val="22"/>
              </w:rPr>
            </w:pPr>
            <w:r>
              <w:rPr>
                <w:sz w:val="22"/>
                <w:szCs w:val="22"/>
              </w:rPr>
              <w:t>14.2</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90.0</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12</w:t>
            </w:r>
          </w:p>
        </w:tc>
        <w:tc>
          <w:tcPr>
            <w:tcW w:w="1485" w:type="dxa"/>
            <w:vAlign w:val="bottom"/>
          </w:tcPr>
          <w:p w:rsidR="00DB7CC8" w:rsidRDefault="002B5250">
            <w:pPr>
              <w:spacing w:line="240" w:lineRule="auto"/>
              <w:ind w:firstLineChars="0" w:firstLine="0"/>
              <w:jc w:val="center"/>
              <w:rPr>
                <w:sz w:val="21"/>
              </w:rPr>
            </w:pPr>
            <w:r>
              <w:rPr>
                <w:sz w:val="21"/>
              </w:rPr>
              <w:t xml:space="preserve">20594034.56 </w:t>
            </w:r>
          </w:p>
        </w:tc>
        <w:tc>
          <w:tcPr>
            <w:tcW w:w="1382" w:type="dxa"/>
            <w:vAlign w:val="bottom"/>
          </w:tcPr>
          <w:p w:rsidR="00DB7CC8" w:rsidRDefault="002B5250">
            <w:pPr>
              <w:spacing w:line="240" w:lineRule="auto"/>
              <w:ind w:firstLineChars="0" w:firstLine="0"/>
              <w:jc w:val="center"/>
              <w:rPr>
                <w:sz w:val="21"/>
              </w:rPr>
            </w:pPr>
            <w:r>
              <w:rPr>
                <w:sz w:val="21"/>
              </w:rPr>
              <w:t xml:space="preserve">4452128.31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40</w:t>
            </w:r>
          </w:p>
        </w:tc>
        <w:tc>
          <w:tcPr>
            <w:tcW w:w="1319" w:type="dxa"/>
            <w:vAlign w:val="center"/>
          </w:tcPr>
          <w:p w:rsidR="00DB7CC8" w:rsidRDefault="002B5250">
            <w:pPr>
              <w:spacing w:line="240" w:lineRule="auto"/>
              <w:ind w:firstLineChars="0" w:firstLine="0"/>
              <w:jc w:val="center"/>
              <w:rPr>
                <w:sz w:val="22"/>
                <w:szCs w:val="22"/>
              </w:rPr>
            </w:pPr>
            <w:r>
              <w:rPr>
                <w:sz w:val="22"/>
                <w:szCs w:val="22"/>
              </w:rPr>
              <w:t>74.6</w:t>
            </w:r>
          </w:p>
        </w:tc>
        <w:tc>
          <w:tcPr>
            <w:tcW w:w="1323" w:type="dxa"/>
            <w:vAlign w:val="center"/>
          </w:tcPr>
          <w:p w:rsidR="00DB7CC8" w:rsidRDefault="002B5250">
            <w:pPr>
              <w:spacing w:line="240" w:lineRule="auto"/>
              <w:ind w:firstLineChars="0" w:firstLine="0"/>
              <w:jc w:val="center"/>
              <w:rPr>
                <w:sz w:val="22"/>
                <w:szCs w:val="22"/>
              </w:rPr>
            </w:pPr>
            <w:r>
              <w:rPr>
                <w:sz w:val="22"/>
                <w:szCs w:val="22"/>
              </w:rPr>
              <w:t>14.4</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89.0</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13</w:t>
            </w:r>
          </w:p>
        </w:tc>
        <w:tc>
          <w:tcPr>
            <w:tcW w:w="1485" w:type="dxa"/>
            <w:vAlign w:val="bottom"/>
          </w:tcPr>
          <w:p w:rsidR="00DB7CC8" w:rsidRDefault="002B5250">
            <w:pPr>
              <w:spacing w:line="240" w:lineRule="auto"/>
              <w:ind w:firstLineChars="0" w:firstLine="0"/>
              <w:jc w:val="center"/>
              <w:rPr>
                <w:sz w:val="21"/>
              </w:rPr>
            </w:pPr>
            <w:r>
              <w:rPr>
                <w:sz w:val="21"/>
              </w:rPr>
              <w:t xml:space="preserve">20593126.94 </w:t>
            </w:r>
          </w:p>
        </w:tc>
        <w:tc>
          <w:tcPr>
            <w:tcW w:w="1382" w:type="dxa"/>
            <w:vAlign w:val="bottom"/>
          </w:tcPr>
          <w:p w:rsidR="00DB7CC8" w:rsidRDefault="002B5250">
            <w:pPr>
              <w:spacing w:line="240" w:lineRule="auto"/>
              <w:ind w:firstLineChars="0" w:firstLine="0"/>
              <w:jc w:val="center"/>
              <w:rPr>
                <w:sz w:val="21"/>
              </w:rPr>
            </w:pPr>
            <w:r>
              <w:rPr>
                <w:sz w:val="21"/>
              </w:rPr>
              <w:t xml:space="preserve">4451084.52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19" w:type="dxa"/>
            <w:vAlign w:val="center"/>
          </w:tcPr>
          <w:p w:rsidR="00DB7CC8" w:rsidRDefault="002B5250">
            <w:pPr>
              <w:spacing w:line="240" w:lineRule="auto"/>
              <w:ind w:firstLineChars="0" w:firstLine="0"/>
              <w:jc w:val="center"/>
              <w:rPr>
                <w:sz w:val="22"/>
                <w:szCs w:val="22"/>
              </w:rPr>
            </w:pPr>
            <w:r>
              <w:rPr>
                <w:sz w:val="22"/>
                <w:szCs w:val="22"/>
              </w:rPr>
              <w:t>65.8</w:t>
            </w:r>
          </w:p>
        </w:tc>
        <w:tc>
          <w:tcPr>
            <w:tcW w:w="1323" w:type="dxa"/>
            <w:vAlign w:val="center"/>
          </w:tcPr>
          <w:p w:rsidR="00DB7CC8" w:rsidRDefault="002B5250">
            <w:pPr>
              <w:spacing w:line="240" w:lineRule="auto"/>
              <w:ind w:firstLineChars="0" w:firstLine="0"/>
              <w:jc w:val="center"/>
              <w:rPr>
                <w:sz w:val="22"/>
                <w:szCs w:val="22"/>
              </w:rPr>
            </w:pPr>
            <w:r>
              <w:rPr>
                <w:sz w:val="22"/>
                <w:szCs w:val="22"/>
              </w:rPr>
              <w:t>17.7</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83.5</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14</w:t>
            </w:r>
          </w:p>
        </w:tc>
        <w:tc>
          <w:tcPr>
            <w:tcW w:w="1485" w:type="dxa"/>
            <w:vAlign w:val="bottom"/>
          </w:tcPr>
          <w:p w:rsidR="00DB7CC8" w:rsidRDefault="002B5250">
            <w:pPr>
              <w:spacing w:line="240" w:lineRule="auto"/>
              <w:ind w:firstLineChars="0" w:firstLine="0"/>
              <w:jc w:val="center"/>
              <w:rPr>
                <w:sz w:val="21"/>
              </w:rPr>
            </w:pPr>
            <w:r>
              <w:rPr>
                <w:sz w:val="21"/>
              </w:rPr>
              <w:t xml:space="preserve">20592416.47 </w:t>
            </w:r>
          </w:p>
        </w:tc>
        <w:tc>
          <w:tcPr>
            <w:tcW w:w="1382" w:type="dxa"/>
            <w:vAlign w:val="bottom"/>
          </w:tcPr>
          <w:p w:rsidR="00DB7CC8" w:rsidRDefault="002B5250">
            <w:pPr>
              <w:spacing w:line="240" w:lineRule="auto"/>
              <w:ind w:firstLineChars="0" w:firstLine="0"/>
              <w:jc w:val="center"/>
              <w:rPr>
                <w:sz w:val="21"/>
              </w:rPr>
            </w:pPr>
            <w:r>
              <w:rPr>
                <w:sz w:val="21"/>
              </w:rPr>
              <w:t xml:space="preserve">4451059.71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19" w:type="dxa"/>
            <w:vAlign w:val="center"/>
          </w:tcPr>
          <w:p w:rsidR="00DB7CC8" w:rsidRDefault="002B5250">
            <w:pPr>
              <w:spacing w:line="240" w:lineRule="auto"/>
              <w:ind w:firstLineChars="0" w:firstLine="0"/>
              <w:jc w:val="center"/>
              <w:rPr>
                <w:sz w:val="22"/>
                <w:szCs w:val="22"/>
              </w:rPr>
            </w:pPr>
            <w:r>
              <w:rPr>
                <w:sz w:val="22"/>
                <w:szCs w:val="22"/>
              </w:rPr>
              <w:t>57.8</w:t>
            </w:r>
          </w:p>
        </w:tc>
        <w:tc>
          <w:tcPr>
            <w:tcW w:w="1323" w:type="dxa"/>
            <w:vAlign w:val="center"/>
          </w:tcPr>
          <w:p w:rsidR="00DB7CC8" w:rsidRDefault="002B5250">
            <w:pPr>
              <w:spacing w:line="240" w:lineRule="auto"/>
              <w:ind w:firstLineChars="0" w:firstLine="0"/>
              <w:jc w:val="center"/>
              <w:rPr>
                <w:sz w:val="22"/>
                <w:szCs w:val="22"/>
              </w:rPr>
            </w:pPr>
            <w:r>
              <w:rPr>
                <w:sz w:val="22"/>
                <w:szCs w:val="22"/>
              </w:rPr>
              <w:t>14.7</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72.5</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15</w:t>
            </w:r>
          </w:p>
        </w:tc>
        <w:tc>
          <w:tcPr>
            <w:tcW w:w="1485" w:type="dxa"/>
            <w:vAlign w:val="bottom"/>
          </w:tcPr>
          <w:p w:rsidR="00DB7CC8" w:rsidRDefault="002B5250">
            <w:pPr>
              <w:spacing w:line="240" w:lineRule="auto"/>
              <w:ind w:firstLineChars="0" w:firstLine="0"/>
              <w:jc w:val="center"/>
              <w:rPr>
                <w:sz w:val="21"/>
              </w:rPr>
            </w:pPr>
            <w:r>
              <w:rPr>
                <w:sz w:val="21"/>
              </w:rPr>
              <w:t xml:space="preserve">20590912.41 </w:t>
            </w:r>
          </w:p>
        </w:tc>
        <w:tc>
          <w:tcPr>
            <w:tcW w:w="1382" w:type="dxa"/>
            <w:vAlign w:val="bottom"/>
          </w:tcPr>
          <w:p w:rsidR="00DB7CC8" w:rsidRDefault="002B5250">
            <w:pPr>
              <w:spacing w:line="240" w:lineRule="auto"/>
              <w:ind w:firstLineChars="0" w:firstLine="0"/>
              <w:jc w:val="center"/>
              <w:rPr>
                <w:sz w:val="21"/>
              </w:rPr>
            </w:pPr>
            <w:r>
              <w:rPr>
                <w:sz w:val="21"/>
              </w:rPr>
              <w:t xml:space="preserve">4451695.17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19" w:type="dxa"/>
            <w:vAlign w:val="center"/>
          </w:tcPr>
          <w:p w:rsidR="00DB7CC8" w:rsidRDefault="002B5250">
            <w:pPr>
              <w:spacing w:line="240" w:lineRule="auto"/>
              <w:ind w:firstLineChars="0" w:firstLine="0"/>
              <w:jc w:val="center"/>
              <w:rPr>
                <w:sz w:val="22"/>
                <w:szCs w:val="22"/>
              </w:rPr>
            </w:pPr>
            <w:r>
              <w:rPr>
                <w:sz w:val="22"/>
                <w:szCs w:val="22"/>
              </w:rPr>
              <w:t>59.9</w:t>
            </w:r>
          </w:p>
        </w:tc>
        <w:tc>
          <w:tcPr>
            <w:tcW w:w="1323" w:type="dxa"/>
            <w:vAlign w:val="center"/>
          </w:tcPr>
          <w:p w:rsidR="00DB7CC8" w:rsidRDefault="002B5250">
            <w:pPr>
              <w:spacing w:line="240" w:lineRule="auto"/>
              <w:ind w:firstLineChars="0" w:firstLine="0"/>
              <w:jc w:val="center"/>
              <w:rPr>
                <w:sz w:val="22"/>
                <w:szCs w:val="22"/>
              </w:rPr>
            </w:pPr>
            <w:r>
              <w:rPr>
                <w:sz w:val="22"/>
                <w:szCs w:val="22"/>
              </w:rPr>
              <w:t>14.8</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74.7</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16</w:t>
            </w:r>
          </w:p>
        </w:tc>
        <w:tc>
          <w:tcPr>
            <w:tcW w:w="1485" w:type="dxa"/>
            <w:vAlign w:val="bottom"/>
          </w:tcPr>
          <w:p w:rsidR="00DB7CC8" w:rsidRDefault="002B5250">
            <w:pPr>
              <w:spacing w:line="240" w:lineRule="auto"/>
              <w:ind w:firstLineChars="0" w:firstLine="0"/>
              <w:jc w:val="center"/>
              <w:rPr>
                <w:sz w:val="21"/>
              </w:rPr>
            </w:pPr>
            <w:r>
              <w:rPr>
                <w:sz w:val="21"/>
              </w:rPr>
              <w:t xml:space="preserve">20591330.71 </w:t>
            </w:r>
          </w:p>
        </w:tc>
        <w:tc>
          <w:tcPr>
            <w:tcW w:w="1382" w:type="dxa"/>
            <w:vAlign w:val="bottom"/>
          </w:tcPr>
          <w:p w:rsidR="00DB7CC8" w:rsidRDefault="002B5250">
            <w:pPr>
              <w:spacing w:line="240" w:lineRule="auto"/>
              <w:ind w:firstLineChars="0" w:firstLine="0"/>
              <w:jc w:val="center"/>
              <w:rPr>
                <w:sz w:val="21"/>
              </w:rPr>
            </w:pPr>
            <w:r>
              <w:rPr>
                <w:sz w:val="21"/>
              </w:rPr>
              <w:t xml:space="preserve">4449821.39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30</w:t>
            </w:r>
          </w:p>
        </w:tc>
        <w:tc>
          <w:tcPr>
            <w:tcW w:w="1319" w:type="dxa"/>
            <w:vAlign w:val="center"/>
          </w:tcPr>
          <w:p w:rsidR="00DB7CC8" w:rsidRDefault="002B5250">
            <w:pPr>
              <w:spacing w:line="240" w:lineRule="auto"/>
              <w:ind w:firstLineChars="0" w:firstLine="0"/>
              <w:jc w:val="center"/>
              <w:rPr>
                <w:sz w:val="22"/>
                <w:szCs w:val="22"/>
              </w:rPr>
            </w:pPr>
            <w:r>
              <w:rPr>
                <w:sz w:val="22"/>
                <w:szCs w:val="22"/>
              </w:rPr>
              <w:t>53.4</w:t>
            </w:r>
          </w:p>
        </w:tc>
        <w:tc>
          <w:tcPr>
            <w:tcW w:w="1323" w:type="dxa"/>
            <w:vAlign w:val="center"/>
          </w:tcPr>
          <w:p w:rsidR="00DB7CC8" w:rsidRDefault="002B5250">
            <w:pPr>
              <w:spacing w:line="240" w:lineRule="auto"/>
              <w:ind w:firstLineChars="0" w:firstLine="0"/>
              <w:jc w:val="center"/>
              <w:rPr>
                <w:sz w:val="22"/>
                <w:szCs w:val="22"/>
              </w:rPr>
            </w:pPr>
            <w:r>
              <w:rPr>
                <w:sz w:val="22"/>
                <w:szCs w:val="22"/>
              </w:rPr>
              <w:t>19.6</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73.0</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17</w:t>
            </w:r>
          </w:p>
        </w:tc>
        <w:tc>
          <w:tcPr>
            <w:tcW w:w="1485" w:type="dxa"/>
            <w:vAlign w:val="bottom"/>
          </w:tcPr>
          <w:p w:rsidR="00DB7CC8" w:rsidRDefault="002B5250">
            <w:pPr>
              <w:spacing w:line="240" w:lineRule="auto"/>
              <w:ind w:firstLineChars="0" w:firstLine="0"/>
              <w:jc w:val="center"/>
              <w:rPr>
                <w:sz w:val="21"/>
              </w:rPr>
            </w:pPr>
            <w:r>
              <w:rPr>
                <w:sz w:val="21"/>
              </w:rPr>
              <w:t xml:space="preserve">20591950.09 </w:t>
            </w:r>
          </w:p>
        </w:tc>
        <w:tc>
          <w:tcPr>
            <w:tcW w:w="1382" w:type="dxa"/>
            <w:vAlign w:val="bottom"/>
          </w:tcPr>
          <w:p w:rsidR="00DB7CC8" w:rsidRDefault="002B5250">
            <w:pPr>
              <w:spacing w:line="240" w:lineRule="auto"/>
              <w:ind w:firstLineChars="0" w:firstLine="0"/>
              <w:jc w:val="center"/>
              <w:rPr>
                <w:sz w:val="21"/>
              </w:rPr>
            </w:pPr>
            <w:r>
              <w:rPr>
                <w:sz w:val="21"/>
              </w:rPr>
              <w:t xml:space="preserve">4449604.01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32</w:t>
            </w:r>
          </w:p>
        </w:tc>
        <w:tc>
          <w:tcPr>
            <w:tcW w:w="1319" w:type="dxa"/>
            <w:vAlign w:val="center"/>
          </w:tcPr>
          <w:p w:rsidR="00DB7CC8" w:rsidRDefault="002B5250">
            <w:pPr>
              <w:spacing w:line="240" w:lineRule="auto"/>
              <w:ind w:firstLineChars="0" w:firstLine="0"/>
              <w:jc w:val="center"/>
              <w:rPr>
                <w:sz w:val="22"/>
                <w:szCs w:val="22"/>
              </w:rPr>
            </w:pPr>
            <w:r>
              <w:rPr>
                <w:sz w:val="22"/>
                <w:szCs w:val="22"/>
              </w:rPr>
              <w:t>54.9</w:t>
            </w:r>
          </w:p>
        </w:tc>
        <w:tc>
          <w:tcPr>
            <w:tcW w:w="1323" w:type="dxa"/>
            <w:vAlign w:val="center"/>
          </w:tcPr>
          <w:p w:rsidR="00DB7CC8" w:rsidRDefault="002B5250">
            <w:pPr>
              <w:spacing w:line="240" w:lineRule="auto"/>
              <w:ind w:firstLineChars="0" w:firstLine="0"/>
              <w:jc w:val="center"/>
              <w:rPr>
                <w:sz w:val="22"/>
                <w:szCs w:val="22"/>
              </w:rPr>
            </w:pPr>
            <w:r>
              <w:rPr>
                <w:sz w:val="22"/>
                <w:szCs w:val="22"/>
              </w:rPr>
              <w:t>22.9</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77.8</w:t>
            </w:r>
          </w:p>
        </w:tc>
      </w:tr>
      <w:tr w:rsidR="00DB7CC8">
        <w:trPr>
          <w:trHeight w:val="285"/>
          <w:jc w:val="center"/>
        </w:trPr>
        <w:tc>
          <w:tcPr>
            <w:tcW w:w="795" w:type="dxa"/>
            <w:vAlign w:val="center"/>
          </w:tcPr>
          <w:p w:rsidR="00DB7CC8" w:rsidRDefault="002B5250">
            <w:pPr>
              <w:spacing w:line="240" w:lineRule="auto"/>
              <w:ind w:firstLineChars="0" w:firstLine="0"/>
              <w:jc w:val="center"/>
              <w:rPr>
                <w:sz w:val="21"/>
                <w:szCs w:val="21"/>
              </w:rPr>
            </w:pPr>
            <w:r>
              <w:rPr>
                <w:sz w:val="21"/>
                <w:szCs w:val="21"/>
              </w:rPr>
              <w:t>G 18</w:t>
            </w:r>
          </w:p>
        </w:tc>
        <w:tc>
          <w:tcPr>
            <w:tcW w:w="1485" w:type="dxa"/>
            <w:vAlign w:val="bottom"/>
          </w:tcPr>
          <w:p w:rsidR="00DB7CC8" w:rsidRDefault="002B5250">
            <w:pPr>
              <w:spacing w:line="240" w:lineRule="auto"/>
              <w:ind w:firstLineChars="0" w:firstLine="0"/>
              <w:jc w:val="center"/>
              <w:rPr>
                <w:sz w:val="21"/>
              </w:rPr>
            </w:pPr>
            <w:r>
              <w:rPr>
                <w:sz w:val="21"/>
              </w:rPr>
              <w:t xml:space="preserve">20592748.03 </w:t>
            </w:r>
          </w:p>
        </w:tc>
        <w:tc>
          <w:tcPr>
            <w:tcW w:w="1382" w:type="dxa"/>
            <w:vAlign w:val="bottom"/>
          </w:tcPr>
          <w:p w:rsidR="00DB7CC8" w:rsidRDefault="002B5250">
            <w:pPr>
              <w:spacing w:line="240" w:lineRule="auto"/>
              <w:ind w:firstLineChars="0" w:firstLine="0"/>
              <w:jc w:val="center"/>
              <w:rPr>
                <w:sz w:val="21"/>
              </w:rPr>
            </w:pPr>
            <w:r>
              <w:rPr>
                <w:sz w:val="21"/>
              </w:rPr>
              <w:t xml:space="preserve">4449637.46 </w:t>
            </w:r>
          </w:p>
        </w:tc>
        <w:tc>
          <w:tcPr>
            <w:tcW w:w="897" w:type="dxa"/>
            <w:vAlign w:val="center"/>
          </w:tcPr>
          <w:p w:rsidR="00DB7CC8" w:rsidRDefault="002B5250">
            <w:pPr>
              <w:spacing w:line="240" w:lineRule="auto"/>
              <w:ind w:firstLineChars="0" w:firstLine="0"/>
              <w:jc w:val="center"/>
              <w:rPr>
                <w:sz w:val="20"/>
                <w:szCs w:val="21"/>
              </w:rPr>
            </w:pPr>
            <w:r>
              <w:rPr>
                <w:rFonts w:hint="eastAsia"/>
                <w:sz w:val="20"/>
                <w:szCs w:val="21"/>
              </w:rPr>
              <w:t>35</w:t>
            </w:r>
          </w:p>
        </w:tc>
        <w:tc>
          <w:tcPr>
            <w:tcW w:w="1319" w:type="dxa"/>
            <w:vAlign w:val="center"/>
          </w:tcPr>
          <w:p w:rsidR="00DB7CC8" w:rsidRDefault="002B5250">
            <w:pPr>
              <w:spacing w:line="240" w:lineRule="auto"/>
              <w:ind w:firstLineChars="0" w:firstLine="0"/>
              <w:jc w:val="center"/>
              <w:rPr>
                <w:sz w:val="22"/>
                <w:szCs w:val="22"/>
              </w:rPr>
            </w:pPr>
            <w:r>
              <w:rPr>
                <w:sz w:val="22"/>
                <w:szCs w:val="22"/>
              </w:rPr>
              <w:t>57.6</w:t>
            </w:r>
          </w:p>
        </w:tc>
        <w:tc>
          <w:tcPr>
            <w:tcW w:w="1323" w:type="dxa"/>
            <w:vAlign w:val="center"/>
          </w:tcPr>
          <w:p w:rsidR="00DB7CC8" w:rsidRDefault="002B5250">
            <w:pPr>
              <w:spacing w:line="240" w:lineRule="auto"/>
              <w:ind w:firstLineChars="0" w:firstLine="0"/>
              <w:jc w:val="center"/>
              <w:rPr>
                <w:sz w:val="22"/>
                <w:szCs w:val="22"/>
              </w:rPr>
            </w:pPr>
            <w:r>
              <w:rPr>
                <w:sz w:val="22"/>
                <w:szCs w:val="22"/>
              </w:rPr>
              <w:t>20.5</w:t>
            </w:r>
          </w:p>
        </w:tc>
        <w:tc>
          <w:tcPr>
            <w:tcW w:w="1321" w:type="dxa"/>
            <w:vAlign w:val="bottom"/>
          </w:tcPr>
          <w:p w:rsidR="00DB7CC8" w:rsidRDefault="002B5250">
            <w:pPr>
              <w:spacing w:line="240" w:lineRule="auto"/>
              <w:ind w:firstLineChars="0" w:firstLine="0"/>
              <w:jc w:val="center"/>
              <w:rPr>
                <w:sz w:val="21"/>
                <w:szCs w:val="21"/>
              </w:rPr>
            </w:pPr>
            <w:r>
              <w:rPr>
                <w:rFonts w:hint="eastAsia"/>
                <w:sz w:val="21"/>
                <w:szCs w:val="21"/>
              </w:rPr>
              <w:t>78.06</w:t>
            </w:r>
          </w:p>
        </w:tc>
      </w:tr>
    </w:tbl>
    <w:p w:rsidR="00DB7CC8" w:rsidRDefault="00DB7CC8">
      <w:pPr>
        <w:autoSpaceDE w:val="0"/>
        <w:autoSpaceDN w:val="0"/>
        <w:spacing w:line="440" w:lineRule="atLeast"/>
        <w:ind w:firstLine="560"/>
        <w:jc w:val="center"/>
      </w:pPr>
    </w:p>
    <w:p w:rsidR="00DB7CC8" w:rsidRDefault="002B5250">
      <w:pPr>
        <w:autoSpaceDE w:val="0"/>
        <w:autoSpaceDN w:val="0"/>
        <w:spacing w:line="440" w:lineRule="atLeast"/>
        <w:ind w:leftChars="-150" w:left="-420" w:firstLine="560"/>
        <w:jc w:val="center"/>
        <w:rPr>
          <w:rFonts w:eastAsia="黑体"/>
          <w:sz w:val="21"/>
          <w:szCs w:val="21"/>
        </w:rPr>
      </w:pPr>
      <w:r>
        <w:rPr>
          <w:noProof/>
        </w:rPr>
        <w:drawing>
          <wp:anchor distT="0" distB="0" distL="0" distR="0" simplePos="0" relativeHeight="251673600" behindDoc="0" locked="0" layoutInCell="1" allowOverlap="1">
            <wp:simplePos x="0" y="0"/>
            <wp:positionH relativeFrom="column">
              <wp:posOffset>200660</wp:posOffset>
            </wp:positionH>
            <wp:positionV relativeFrom="paragraph">
              <wp:posOffset>168275</wp:posOffset>
            </wp:positionV>
            <wp:extent cx="5274310" cy="3886835"/>
            <wp:effectExtent l="0" t="0" r="0" b="0"/>
            <wp:wrapNone/>
            <wp:docPr id="41" name="图片 41" descr="地下水位5月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地下水位5月份"/>
                    <pic:cNvPicPr>
                      <a:picLocks noChangeAspect="1" noChangeArrowheads="1"/>
                    </pic:cNvPicPr>
                  </pic:nvPicPr>
                  <pic:blipFill>
                    <a:blip r:embed="rId63" cstate="print">
                      <a:extLst>
                        <a:ext uri="{28A0092B-C50C-407E-A947-70E740481C1C}">
                          <a14:useLocalDpi xmlns:a14="http://schemas.microsoft.com/office/drawing/2010/main" val="0"/>
                        </a:ext>
                      </a:extLst>
                    </a:blip>
                    <a:srcRect l="23325" t="4639" r="28687" b="2000"/>
                    <a:stretch>
                      <a:fillRect/>
                    </a:stretch>
                  </pic:blipFill>
                  <pic:spPr>
                    <a:xfrm>
                      <a:off x="0" y="0"/>
                      <a:ext cx="5274310" cy="3886835"/>
                    </a:xfrm>
                    <a:prstGeom prst="rect">
                      <a:avLst/>
                    </a:prstGeom>
                    <a:noFill/>
                    <a:ln>
                      <a:noFill/>
                    </a:ln>
                  </pic:spPr>
                </pic:pic>
              </a:graphicData>
            </a:graphic>
          </wp:anchor>
        </w:drawing>
      </w:r>
    </w:p>
    <w:p w:rsidR="00DB7CC8" w:rsidRDefault="00DB7CC8">
      <w:pPr>
        <w:autoSpaceDE w:val="0"/>
        <w:autoSpaceDN w:val="0"/>
        <w:spacing w:line="440" w:lineRule="atLeast"/>
        <w:ind w:leftChars="-150" w:left="-420" w:firstLine="420"/>
        <w:jc w:val="center"/>
        <w:rPr>
          <w:rFonts w:eastAsia="黑体"/>
          <w:sz w:val="21"/>
          <w:szCs w:val="21"/>
        </w:rPr>
      </w:pPr>
    </w:p>
    <w:p w:rsidR="00DB7CC8" w:rsidRDefault="00DB7CC8">
      <w:pPr>
        <w:autoSpaceDE w:val="0"/>
        <w:autoSpaceDN w:val="0"/>
        <w:spacing w:line="440" w:lineRule="atLeast"/>
        <w:ind w:leftChars="-150" w:left="-420" w:firstLine="420"/>
        <w:jc w:val="center"/>
        <w:rPr>
          <w:rFonts w:eastAsia="黑体"/>
          <w:sz w:val="21"/>
          <w:szCs w:val="21"/>
        </w:rPr>
      </w:pPr>
    </w:p>
    <w:p w:rsidR="00DB7CC8" w:rsidRDefault="00DB7CC8">
      <w:pPr>
        <w:autoSpaceDE w:val="0"/>
        <w:autoSpaceDN w:val="0"/>
        <w:spacing w:line="440" w:lineRule="atLeast"/>
        <w:ind w:leftChars="-150" w:left="-420" w:firstLine="420"/>
        <w:jc w:val="center"/>
        <w:rPr>
          <w:rFonts w:eastAsia="黑体"/>
          <w:sz w:val="21"/>
          <w:szCs w:val="21"/>
        </w:rPr>
      </w:pPr>
    </w:p>
    <w:p w:rsidR="00DB7CC8" w:rsidRDefault="00DB7CC8">
      <w:pPr>
        <w:autoSpaceDE w:val="0"/>
        <w:autoSpaceDN w:val="0"/>
        <w:spacing w:line="440" w:lineRule="atLeast"/>
        <w:ind w:leftChars="-150" w:left="-420" w:firstLine="420"/>
        <w:jc w:val="center"/>
        <w:rPr>
          <w:rFonts w:eastAsia="黑体"/>
          <w:sz w:val="21"/>
          <w:szCs w:val="21"/>
        </w:rPr>
      </w:pPr>
    </w:p>
    <w:p w:rsidR="00DB7CC8" w:rsidRDefault="00DB7CC8">
      <w:pPr>
        <w:autoSpaceDE w:val="0"/>
        <w:autoSpaceDN w:val="0"/>
        <w:spacing w:line="440" w:lineRule="atLeast"/>
        <w:ind w:leftChars="-150" w:left="-420" w:firstLine="420"/>
        <w:jc w:val="center"/>
        <w:rPr>
          <w:rFonts w:eastAsia="黑体"/>
          <w:sz w:val="21"/>
          <w:szCs w:val="21"/>
        </w:rPr>
      </w:pPr>
    </w:p>
    <w:p w:rsidR="00DB7CC8" w:rsidRDefault="00DB7CC8">
      <w:pPr>
        <w:autoSpaceDE w:val="0"/>
        <w:autoSpaceDN w:val="0"/>
        <w:spacing w:line="440" w:lineRule="atLeast"/>
        <w:ind w:leftChars="-150" w:left="-420" w:firstLine="420"/>
        <w:jc w:val="center"/>
        <w:rPr>
          <w:rFonts w:eastAsia="黑体"/>
          <w:sz w:val="21"/>
          <w:szCs w:val="21"/>
        </w:rPr>
      </w:pPr>
    </w:p>
    <w:p w:rsidR="00DB7CC8" w:rsidRDefault="00DB7CC8">
      <w:pPr>
        <w:autoSpaceDE w:val="0"/>
        <w:autoSpaceDN w:val="0"/>
        <w:spacing w:line="440" w:lineRule="atLeast"/>
        <w:ind w:leftChars="-150" w:left="-420" w:firstLine="420"/>
        <w:jc w:val="center"/>
        <w:rPr>
          <w:rFonts w:eastAsia="黑体"/>
          <w:sz w:val="21"/>
          <w:szCs w:val="21"/>
        </w:rPr>
      </w:pPr>
    </w:p>
    <w:p w:rsidR="00DB7CC8" w:rsidRDefault="00DB7CC8">
      <w:pPr>
        <w:autoSpaceDE w:val="0"/>
        <w:autoSpaceDN w:val="0"/>
        <w:spacing w:line="440" w:lineRule="atLeast"/>
        <w:ind w:leftChars="-150" w:left="-420" w:firstLine="420"/>
        <w:jc w:val="center"/>
        <w:rPr>
          <w:rFonts w:eastAsia="黑体"/>
          <w:sz w:val="21"/>
          <w:szCs w:val="21"/>
        </w:rPr>
      </w:pPr>
    </w:p>
    <w:p w:rsidR="00DB7CC8" w:rsidRDefault="00DB7CC8">
      <w:pPr>
        <w:autoSpaceDE w:val="0"/>
        <w:autoSpaceDN w:val="0"/>
        <w:spacing w:line="440" w:lineRule="atLeast"/>
        <w:ind w:leftChars="-150" w:left="-420" w:firstLine="420"/>
        <w:jc w:val="center"/>
        <w:rPr>
          <w:rFonts w:eastAsia="黑体"/>
          <w:sz w:val="21"/>
          <w:szCs w:val="21"/>
        </w:rPr>
      </w:pPr>
    </w:p>
    <w:p w:rsidR="00DB7CC8" w:rsidRDefault="00DB7CC8">
      <w:pPr>
        <w:autoSpaceDE w:val="0"/>
        <w:autoSpaceDN w:val="0"/>
        <w:spacing w:line="440" w:lineRule="atLeast"/>
        <w:ind w:leftChars="-150" w:left="-420" w:firstLine="420"/>
        <w:jc w:val="center"/>
        <w:rPr>
          <w:rFonts w:eastAsia="黑体"/>
          <w:sz w:val="21"/>
          <w:szCs w:val="21"/>
        </w:rPr>
      </w:pPr>
    </w:p>
    <w:p w:rsidR="00DB7CC8" w:rsidRDefault="00DB7CC8">
      <w:pPr>
        <w:autoSpaceDE w:val="0"/>
        <w:autoSpaceDN w:val="0"/>
        <w:spacing w:line="440" w:lineRule="atLeast"/>
        <w:ind w:leftChars="-150" w:left="-420" w:firstLine="420"/>
        <w:jc w:val="center"/>
        <w:rPr>
          <w:rFonts w:eastAsia="黑体"/>
          <w:sz w:val="21"/>
          <w:szCs w:val="21"/>
        </w:rPr>
      </w:pPr>
    </w:p>
    <w:p w:rsidR="00DB7CC8" w:rsidRDefault="00DB7CC8">
      <w:pPr>
        <w:autoSpaceDE w:val="0"/>
        <w:autoSpaceDN w:val="0"/>
        <w:spacing w:line="440" w:lineRule="atLeast"/>
        <w:ind w:leftChars="-150" w:left="-420" w:firstLine="420"/>
        <w:jc w:val="center"/>
        <w:rPr>
          <w:rFonts w:eastAsia="黑体"/>
          <w:sz w:val="21"/>
          <w:szCs w:val="21"/>
        </w:rPr>
      </w:pPr>
    </w:p>
    <w:p w:rsidR="00DB7CC8" w:rsidRDefault="00DB7CC8">
      <w:pPr>
        <w:autoSpaceDE w:val="0"/>
        <w:autoSpaceDN w:val="0"/>
        <w:spacing w:line="440" w:lineRule="atLeast"/>
        <w:ind w:leftChars="-150" w:left="-420" w:firstLine="420"/>
        <w:jc w:val="center"/>
        <w:rPr>
          <w:rFonts w:eastAsia="黑体"/>
          <w:sz w:val="21"/>
          <w:szCs w:val="21"/>
        </w:rPr>
      </w:pPr>
    </w:p>
    <w:p w:rsidR="00DB7CC8" w:rsidRDefault="00DB7CC8">
      <w:pPr>
        <w:autoSpaceDE w:val="0"/>
        <w:autoSpaceDN w:val="0"/>
        <w:spacing w:line="440" w:lineRule="atLeast"/>
        <w:ind w:firstLineChars="0" w:firstLine="0"/>
        <w:jc w:val="both"/>
        <w:rPr>
          <w:rFonts w:eastAsia="黑体"/>
          <w:sz w:val="21"/>
          <w:szCs w:val="21"/>
        </w:rPr>
      </w:pPr>
    </w:p>
    <w:p w:rsidR="00DB7CC8" w:rsidRDefault="002B5250">
      <w:pPr>
        <w:autoSpaceDE w:val="0"/>
        <w:autoSpaceDN w:val="0"/>
        <w:spacing w:line="440" w:lineRule="atLeast"/>
        <w:ind w:leftChars="-150" w:left="-420" w:firstLine="420"/>
        <w:jc w:val="center"/>
        <w:rPr>
          <w:rFonts w:eastAsia="黑体"/>
          <w:sz w:val="21"/>
          <w:szCs w:val="21"/>
        </w:rPr>
      </w:pPr>
      <w:r>
        <w:rPr>
          <w:rFonts w:eastAsia="黑体"/>
          <w:sz w:val="21"/>
          <w:szCs w:val="21"/>
        </w:rPr>
        <w:t>图</w:t>
      </w:r>
      <w:r>
        <w:rPr>
          <w:rFonts w:eastAsia="黑体"/>
          <w:sz w:val="21"/>
          <w:szCs w:val="21"/>
        </w:rPr>
        <w:t>5.2-9   2018</w:t>
      </w:r>
      <w:r>
        <w:rPr>
          <w:rFonts w:eastAsia="黑体"/>
          <w:sz w:val="21"/>
          <w:szCs w:val="21"/>
        </w:rPr>
        <w:t>年</w:t>
      </w:r>
      <w:r>
        <w:rPr>
          <w:rFonts w:eastAsia="黑体"/>
          <w:sz w:val="21"/>
          <w:szCs w:val="21"/>
        </w:rPr>
        <w:t>5</w:t>
      </w:r>
      <w:r>
        <w:rPr>
          <w:rFonts w:eastAsia="黑体"/>
          <w:sz w:val="21"/>
          <w:szCs w:val="21"/>
        </w:rPr>
        <w:t>月</w:t>
      </w:r>
      <w:r>
        <w:rPr>
          <w:rFonts w:eastAsia="黑体"/>
          <w:sz w:val="21"/>
          <w:szCs w:val="21"/>
        </w:rPr>
        <w:t>20</w:t>
      </w:r>
      <w:r>
        <w:rPr>
          <w:rFonts w:eastAsia="黑体"/>
          <w:sz w:val="21"/>
          <w:szCs w:val="21"/>
        </w:rPr>
        <w:t>日浅层地下水流场</w:t>
      </w:r>
    </w:p>
    <w:p w:rsidR="00DB7CC8" w:rsidRDefault="002B5250">
      <w:pPr>
        <w:autoSpaceDE w:val="0"/>
        <w:autoSpaceDN w:val="0"/>
        <w:spacing w:line="440" w:lineRule="atLeast"/>
        <w:ind w:firstLine="560"/>
        <w:jc w:val="center"/>
      </w:pPr>
      <w:r>
        <w:rPr>
          <w:noProof/>
        </w:rPr>
        <w:lastRenderedPageBreak/>
        <w:drawing>
          <wp:inline distT="0" distB="0" distL="0" distR="0">
            <wp:extent cx="5274310" cy="3916045"/>
            <wp:effectExtent l="0" t="0" r="0" b="0"/>
            <wp:docPr id="40" name="图片 40" descr="地下水位8月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地下水位8月份"/>
                    <pic:cNvPicPr>
                      <a:picLocks noChangeAspect="1" noChangeArrowheads="1"/>
                    </pic:cNvPicPr>
                  </pic:nvPicPr>
                  <pic:blipFill>
                    <a:blip r:embed="rId64" cstate="print">
                      <a:extLst>
                        <a:ext uri="{28A0092B-C50C-407E-A947-70E740481C1C}">
                          <a14:useLocalDpi xmlns:a14="http://schemas.microsoft.com/office/drawing/2010/main" val="0"/>
                        </a:ext>
                      </a:extLst>
                    </a:blip>
                    <a:srcRect l="24626" t="1894" r="26366" b="1894"/>
                    <a:stretch>
                      <a:fillRect/>
                    </a:stretch>
                  </pic:blipFill>
                  <pic:spPr>
                    <a:xfrm>
                      <a:off x="0" y="0"/>
                      <a:ext cx="5274310" cy="3916045"/>
                    </a:xfrm>
                    <a:prstGeom prst="rect">
                      <a:avLst/>
                    </a:prstGeom>
                    <a:noFill/>
                    <a:ln>
                      <a:noFill/>
                    </a:ln>
                  </pic:spPr>
                </pic:pic>
              </a:graphicData>
            </a:graphic>
          </wp:inline>
        </w:drawing>
      </w:r>
    </w:p>
    <w:p w:rsidR="00DB7CC8" w:rsidRDefault="002B5250">
      <w:pPr>
        <w:autoSpaceDE w:val="0"/>
        <w:autoSpaceDN w:val="0"/>
        <w:spacing w:line="440" w:lineRule="atLeast"/>
        <w:ind w:leftChars="-100" w:left="-280" w:firstLine="420"/>
        <w:jc w:val="center"/>
        <w:rPr>
          <w:rFonts w:eastAsia="黑体"/>
          <w:sz w:val="21"/>
          <w:szCs w:val="21"/>
        </w:rPr>
      </w:pPr>
      <w:r>
        <w:rPr>
          <w:rFonts w:eastAsia="黑体"/>
          <w:sz w:val="21"/>
          <w:szCs w:val="21"/>
        </w:rPr>
        <w:t>图</w:t>
      </w:r>
      <w:r>
        <w:rPr>
          <w:rFonts w:eastAsia="黑体"/>
          <w:sz w:val="21"/>
          <w:szCs w:val="21"/>
        </w:rPr>
        <w:t>5.2-10   2018</w:t>
      </w:r>
      <w:r>
        <w:rPr>
          <w:rFonts w:eastAsia="黑体"/>
          <w:sz w:val="21"/>
          <w:szCs w:val="21"/>
        </w:rPr>
        <w:t>年</w:t>
      </w:r>
      <w:r>
        <w:rPr>
          <w:rFonts w:eastAsia="黑体"/>
          <w:sz w:val="21"/>
          <w:szCs w:val="21"/>
        </w:rPr>
        <w:t>8</w:t>
      </w:r>
      <w:r>
        <w:rPr>
          <w:rFonts w:eastAsia="黑体"/>
          <w:sz w:val="21"/>
          <w:szCs w:val="21"/>
        </w:rPr>
        <w:t>月</w:t>
      </w:r>
      <w:r>
        <w:rPr>
          <w:rFonts w:eastAsia="黑体"/>
          <w:sz w:val="21"/>
          <w:szCs w:val="21"/>
        </w:rPr>
        <w:t>25</w:t>
      </w:r>
      <w:r>
        <w:rPr>
          <w:rFonts w:eastAsia="黑体"/>
          <w:sz w:val="21"/>
          <w:szCs w:val="21"/>
        </w:rPr>
        <w:t>日浅层地下水流场</w:t>
      </w:r>
    </w:p>
    <w:p w:rsidR="00DB7CC8" w:rsidRDefault="002B5250">
      <w:pPr>
        <w:spacing w:line="440" w:lineRule="atLeast"/>
        <w:ind w:firstLine="480"/>
        <w:rPr>
          <w:sz w:val="24"/>
          <w:szCs w:val="22"/>
        </w:rPr>
      </w:pPr>
      <w:r>
        <w:rPr>
          <w:sz w:val="24"/>
          <w:szCs w:val="22"/>
        </w:rPr>
        <w:t>②</w:t>
      </w:r>
      <w:r>
        <w:rPr>
          <w:sz w:val="24"/>
          <w:szCs w:val="22"/>
        </w:rPr>
        <w:t>评价区水文地质试验</w:t>
      </w:r>
    </w:p>
    <w:p w:rsidR="00DB7CC8" w:rsidRDefault="002B5250">
      <w:pPr>
        <w:spacing w:line="440" w:lineRule="atLeast"/>
        <w:ind w:firstLine="480"/>
        <w:rPr>
          <w:sz w:val="24"/>
        </w:rPr>
      </w:pPr>
      <w:r>
        <w:rPr>
          <w:sz w:val="24"/>
        </w:rPr>
        <w:t>该项</w:t>
      </w:r>
      <w:r>
        <w:rPr>
          <w:sz w:val="24"/>
          <w:szCs w:val="22"/>
        </w:rPr>
        <w:t>工作</w:t>
      </w:r>
      <w:r>
        <w:rPr>
          <w:sz w:val="24"/>
        </w:rPr>
        <w:t>包括抽水试验和渗水试验。抽水试验具体要求参照《供水水文地质勘察规范》（</w:t>
      </w:r>
      <w:r>
        <w:rPr>
          <w:sz w:val="24"/>
        </w:rPr>
        <w:t>GB 50027-2001</w:t>
      </w:r>
      <w:r>
        <w:rPr>
          <w:sz w:val="24"/>
        </w:rPr>
        <w:t>）进行。同时，通过</w:t>
      </w:r>
      <w:r>
        <w:rPr>
          <w:rFonts w:hint="eastAsia"/>
          <w:sz w:val="24"/>
        </w:rPr>
        <w:t>双</w:t>
      </w:r>
      <w:r>
        <w:rPr>
          <w:sz w:val="24"/>
        </w:rPr>
        <w:t>环渗水试验测试包气带渗透性能，综合分析包气带的天然防渗性能，为</w:t>
      </w:r>
      <w:r>
        <w:rPr>
          <w:rFonts w:hint="eastAsia"/>
          <w:sz w:val="24"/>
        </w:rPr>
        <w:t>拟建厂</w:t>
      </w:r>
      <w:r>
        <w:rPr>
          <w:sz w:val="24"/>
        </w:rPr>
        <w:t>区地下水污染防治措施的设计提供科学依据。试验点位置见图</w:t>
      </w:r>
      <w:r>
        <w:rPr>
          <w:sz w:val="24"/>
        </w:rPr>
        <w:t>5.2-11</w:t>
      </w:r>
      <w:r>
        <w:rPr>
          <w:sz w:val="24"/>
        </w:rPr>
        <w:t>。</w:t>
      </w:r>
    </w:p>
    <w:p w:rsidR="00DB7CC8" w:rsidRDefault="002B5250">
      <w:pPr>
        <w:ind w:firstLine="560"/>
        <w:jc w:val="center"/>
        <w:rPr>
          <w:lang w:val="zh-CN"/>
        </w:rPr>
      </w:pPr>
      <w:r>
        <w:rPr>
          <w:noProof/>
        </w:rPr>
        <w:lastRenderedPageBreak/>
        <w:drawing>
          <wp:inline distT="0" distB="0" distL="0" distR="0">
            <wp:extent cx="5019675" cy="3771900"/>
            <wp:effectExtent l="0" t="0" r="0" b="0"/>
            <wp:docPr id="39" name="图片 39" descr="抽水试验和渗水试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抽水试验和渗水试验"/>
                    <pic:cNvPicPr>
                      <a:picLocks noChangeAspect="1" noChangeArrowheads="1"/>
                    </pic:cNvPicPr>
                  </pic:nvPicPr>
                  <pic:blipFill>
                    <a:blip r:embed="rId65" cstate="print">
                      <a:extLst>
                        <a:ext uri="{28A0092B-C50C-407E-A947-70E740481C1C}">
                          <a14:useLocalDpi xmlns:a14="http://schemas.microsoft.com/office/drawing/2010/main" val="0"/>
                        </a:ext>
                      </a:extLst>
                    </a:blip>
                    <a:srcRect l="26015" t="8330" r="30930" b="6142"/>
                    <a:stretch>
                      <a:fillRect/>
                    </a:stretch>
                  </pic:blipFill>
                  <pic:spPr>
                    <a:xfrm>
                      <a:off x="0" y="0"/>
                      <a:ext cx="5019675" cy="3771900"/>
                    </a:xfrm>
                    <a:prstGeom prst="rect">
                      <a:avLst/>
                    </a:prstGeom>
                    <a:noFill/>
                    <a:ln>
                      <a:noFill/>
                    </a:ln>
                  </pic:spPr>
                </pic:pic>
              </a:graphicData>
            </a:graphic>
          </wp:inline>
        </w:drawing>
      </w:r>
    </w:p>
    <w:p w:rsidR="00DB7CC8" w:rsidRDefault="002B5250">
      <w:pPr>
        <w:ind w:firstLineChars="0" w:firstLine="0"/>
        <w:jc w:val="center"/>
        <w:textAlignment w:val="auto"/>
        <w:rPr>
          <w:rFonts w:eastAsia="黑体"/>
          <w:kern w:val="2"/>
          <w:sz w:val="21"/>
          <w:szCs w:val="21"/>
        </w:rPr>
      </w:pPr>
      <w:r>
        <w:rPr>
          <w:rFonts w:eastAsia="黑体" w:hint="eastAsia"/>
          <w:kern w:val="2"/>
          <w:sz w:val="21"/>
          <w:szCs w:val="21"/>
        </w:rPr>
        <w:t>图</w:t>
      </w:r>
      <w:r>
        <w:rPr>
          <w:rFonts w:eastAsia="黑体"/>
          <w:kern w:val="2"/>
          <w:sz w:val="21"/>
          <w:szCs w:val="21"/>
        </w:rPr>
        <w:t>5.2-11</w:t>
      </w:r>
      <w:r>
        <w:rPr>
          <w:rFonts w:eastAsia="黑体" w:hint="eastAsia"/>
          <w:kern w:val="2"/>
          <w:sz w:val="21"/>
          <w:szCs w:val="21"/>
        </w:rPr>
        <w:t xml:space="preserve">   </w:t>
      </w:r>
      <w:r>
        <w:rPr>
          <w:rFonts w:eastAsia="黑体" w:hint="eastAsia"/>
          <w:kern w:val="2"/>
          <w:sz w:val="21"/>
          <w:szCs w:val="21"/>
        </w:rPr>
        <w:t>项目区抽水试验和渗水试验位置图</w:t>
      </w:r>
    </w:p>
    <w:p w:rsidR="00DB7CC8" w:rsidRDefault="002B5250">
      <w:pPr>
        <w:ind w:firstLine="480"/>
        <w:rPr>
          <w:sz w:val="24"/>
          <w:szCs w:val="22"/>
        </w:rPr>
      </w:pPr>
      <w:r>
        <w:rPr>
          <w:sz w:val="24"/>
          <w:szCs w:val="22"/>
        </w:rPr>
        <w:t>1</w:t>
      </w:r>
      <w:r>
        <w:rPr>
          <w:rFonts w:hint="eastAsia"/>
          <w:sz w:val="24"/>
          <w:szCs w:val="22"/>
        </w:rPr>
        <w:t>）抽水试验与参数计算</w:t>
      </w:r>
    </w:p>
    <w:p w:rsidR="00DB7CC8" w:rsidRDefault="002B5250">
      <w:pPr>
        <w:ind w:firstLine="480"/>
        <w:rPr>
          <w:sz w:val="24"/>
        </w:rPr>
      </w:pPr>
      <w:r>
        <w:rPr>
          <w:rFonts w:hint="eastAsia"/>
          <w:sz w:val="24"/>
        </w:rPr>
        <w:t>a</w:t>
      </w:r>
      <w:r>
        <w:rPr>
          <w:sz w:val="24"/>
        </w:rPr>
        <w:t>.</w:t>
      </w:r>
      <w:r>
        <w:rPr>
          <w:rFonts w:hint="eastAsia"/>
          <w:sz w:val="24"/>
          <w:szCs w:val="22"/>
        </w:rPr>
        <w:t>抽水试验</w:t>
      </w:r>
    </w:p>
    <w:p w:rsidR="00DB7CC8" w:rsidRDefault="002B5250">
      <w:pPr>
        <w:ind w:firstLine="480"/>
        <w:rPr>
          <w:sz w:val="24"/>
        </w:rPr>
      </w:pPr>
      <w:r>
        <w:rPr>
          <w:rFonts w:hint="eastAsia"/>
          <w:sz w:val="24"/>
        </w:rPr>
        <w:t>为了查明评价区的水文地质参数，本次野外抽水试验分别在建明镇、刁庄子村和大安乐庄村三个试验点进行了三次抽水试验。</w:t>
      </w:r>
    </w:p>
    <w:p w:rsidR="00DB7CC8" w:rsidRDefault="002B5250">
      <w:pPr>
        <w:ind w:firstLine="480"/>
        <w:rPr>
          <w:sz w:val="24"/>
        </w:rPr>
      </w:pPr>
      <w:r>
        <w:rPr>
          <w:rFonts w:hint="eastAsia"/>
          <w:sz w:val="24"/>
        </w:rPr>
        <w:t>建明镇</w:t>
      </w:r>
      <w:r>
        <w:rPr>
          <w:rFonts w:hint="eastAsia"/>
          <w:sz w:val="24"/>
          <w:szCs w:val="22"/>
        </w:rPr>
        <w:t>抽水试验</w:t>
      </w:r>
      <w:r>
        <w:rPr>
          <w:rFonts w:hint="eastAsia"/>
          <w:sz w:val="24"/>
        </w:rPr>
        <w:t>井深为</w:t>
      </w:r>
      <w:r>
        <w:rPr>
          <w:rFonts w:hint="eastAsia"/>
          <w:sz w:val="24"/>
        </w:rPr>
        <w:t>35m</w:t>
      </w:r>
      <w:r>
        <w:rPr>
          <w:rFonts w:hint="eastAsia"/>
          <w:sz w:val="24"/>
        </w:rPr>
        <w:t>，井径</w:t>
      </w:r>
      <w:r>
        <w:rPr>
          <w:rFonts w:hint="eastAsia"/>
          <w:sz w:val="24"/>
        </w:rPr>
        <w:t>0.3m</w:t>
      </w:r>
      <w:r>
        <w:rPr>
          <w:rFonts w:hint="eastAsia"/>
          <w:sz w:val="24"/>
        </w:rPr>
        <w:t>，静止水位埋深</w:t>
      </w:r>
      <w:r>
        <w:rPr>
          <w:rFonts w:hint="eastAsia"/>
          <w:sz w:val="24"/>
        </w:rPr>
        <w:t>15.0m</w:t>
      </w:r>
      <w:r>
        <w:rPr>
          <w:rFonts w:hint="eastAsia"/>
          <w:sz w:val="24"/>
        </w:rPr>
        <w:t>，整个抽水试验历时</w:t>
      </w:r>
      <w:r>
        <w:rPr>
          <w:rFonts w:hint="eastAsia"/>
          <w:sz w:val="24"/>
        </w:rPr>
        <w:t>900</w:t>
      </w:r>
      <w:r>
        <w:rPr>
          <w:rFonts w:hint="eastAsia"/>
          <w:sz w:val="24"/>
        </w:rPr>
        <w:t>分钟，其中抽水试验阶段历时</w:t>
      </w:r>
      <w:r>
        <w:rPr>
          <w:rFonts w:hint="eastAsia"/>
          <w:sz w:val="24"/>
        </w:rPr>
        <w:t>600</w:t>
      </w:r>
      <w:r>
        <w:rPr>
          <w:rFonts w:hint="eastAsia"/>
          <w:sz w:val="24"/>
        </w:rPr>
        <w:t>分钟，水位稳定时间</w:t>
      </w:r>
      <w:r>
        <w:rPr>
          <w:rFonts w:hint="eastAsia"/>
          <w:sz w:val="24"/>
        </w:rPr>
        <w:t>450</w:t>
      </w:r>
      <w:r>
        <w:rPr>
          <w:rFonts w:hint="eastAsia"/>
          <w:sz w:val="24"/>
        </w:rPr>
        <w:t>分钟，恢复试验阶段历时</w:t>
      </w:r>
      <w:r>
        <w:rPr>
          <w:rFonts w:hint="eastAsia"/>
          <w:sz w:val="24"/>
        </w:rPr>
        <w:t>300</w:t>
      </w:r>
      <w:r>
        <w:rPr>
          <w:rFonts w:hint="eastAsia"/>
          <w:sz w:val="24"/>
        </w:rPr>
        <w:t>分钟，水位最大降深为</w:t>
      </w:r>
      <w:r>
        <w:rPr>
          <w:rFonts w:hint="eastAsia"/>
          <w:sz w:val="24"/>
        </w:rPr>
        <w:t>3.00m</w:t>
      </w:r>
      <w:r>
        <w:rPr>
          <w:rFonts w:hint="eastAsia"/>
          <w:sz w:val="24"/>
        </w:rPr>
        <w:t>，涌水量为</w:t>
      </w:r>
      <w:r>
        <w:rPr>
          <w:rFonts w:hint="eastAsia"/>
          <w:sz w:val="24"/>
        </w:rPr>
        <w:t>60.417m</w:t>
      </w:r>
      <w:r>
        <w:rPr>
          <w:rFonts w:hint="eastAsia"/>
          <w:sz w:val="24"/>
          <w:vertAlign w:val="superscript"/>
        </w:rPr>
        <w:t>3</w:t>
      </w:r>
      <w:r>
        <w:rPr>
          <w:rFonts w:hint="eastAsia"/>
          <w:sz w:val="24"/>
        </w:rPr>
        <w:t>/h</w:t>
      </w:r>
      <w:r>
        <w:rPr>
          <w:rFonts w:hint="eastAsia"/>
          <w:sz w:val="24"/>
        </w:rPr>
        <w:t>，单位涌水量</w:t>
      </w:r>
      <w:r>
        <w:rPr>
          <w:rFonts w:hint="eastAsia"/>
          <w:sz w:val="24"/>
        </w:rPr>
        <w:t>20.139</w:t>
      </w:r>
      <w:r>
        <w:rPr>
          <w:sz w:val="24"/>
          <w:szCs w:val="21"/>
        </w:rPr>
        <w:t>m³/h·m</w:t>
      </w:r>
      <w:r>
        <w:rPr>
          <w:rFonts w:hint="eastAsia"/>
          <w:sz w:val="24"/>
          <w:szCs w:val="21"/>
        </w:rPr>
        <w:t>，</w:t>
      </w:r>
      <w:r>
        <w:rPr>
          <w:rFonts w:hint="eastAsia"/>
          <w:sz w:val="24"/>
        </w:rPr>
        <w:t>抽水试验结束时刻水位恢复至试验前水位（表</w:t>
      </w:r>
      <w:r>
        <w:rPr>
          <w:sz w:val="24"/>
        </w:rPr>
        <w:t>5.2-</w:t>
      </w:r>
      <w:r>
        <w:rPr>
          <w:rFonts w:hint="eastAsia"/>
          <w:sz w:val="24"/>
        </w:rPr>
        <w:t>22</w:t>
      </w:r>
      <w:r>
        <w:rPr>
          <w:rFonts w:hint="eastAsia"/>
          <w:sz w:val="24"/>
        </w:rPr>
        <w:t>）。图</w:t>
      </w:r>
      <w:r>
        <w:rPr>
          <w:sz w:val="24"/>
        </w:rPr>
        <w:t>5.2-12</w:t>
      </w:r>
      <w:r>
        <w:rPr>
          <w:rFonts w:hint="eastAsia"/>
          <w:sz w:val="24"/>
        </w:rPr>
        <w:t>和图</w:t>
      </w:r>
      <w:r>
        <w:rPr>
          <w:sz w:val="24"/>
        </w:rPr>
        <w:t>5.2-13</w:t>
      </w:r>
      <w:r>
        <w:rPr>
          <w:rFonts w:hint="eastAsia"/>
          <w:sz w:val="24"/>
        </w:rPr>
        <w:t>为抽水试验水位降深和水位埋深分别对时间的变化</w:t>
      </w:r>
      <w:r>
        <w:rPr>
          <w:rFonts w:hint="eastAsia"/>
          <w:sz w:val="24"/>
        </w:rPr>
        <w:t>曲线。</w:t>
      </w:r>
    </w:p>
    <w:p w:rsidR="00DB7CC8" w:rsidRDefault="002B5250">
      <w:pPr>
        <w:autoSpaceDE w:val="0"/>
        <w:autoSpaceDN w:val="0"/>
        <w:ind w:firstLine="420"/>
        <w:jc w:val="center"/>
        <w:rPr>
          <w:rFonts w:eastAsia="黑体"/>
          <w:sz w:val="21"/>
          <w:szCs w:val="21"/>
        </w:rPr>
      </w:pPr>
      <w:r>
        <w:rPr>
          <w:rFonts w:eastAsia="黑体"/>
          <w:sz w:val="21"/>
          <w:szCs w:val="21"/>
        </w:rPr>
        <w:t>表</w:t>
      </w:r>
      <w:r>
        <w:rPr>
          <w:rFonts w:eastAsia="黑体"/>
          <w:sz w:val="21"/>
          <w:szCs w:val="21"/>
        </w:rPr>
        <w:t xml:space="preserve">5.2-22   </w:t>
      </w:r>
      <w:r>
        <w:rPr>
          <w:rFonts w:eastAsia="黑体"/>
          <w:sz w:val="21"/>
          <w:szCs w:val="21"/>
        </w:rPr>
        <w:t>建明镇抽水试验结果</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1"/>
        <w:gridCol w:w="1163"/>
        <w:gridCol w:w="1164"/>
        <w:gridCol w:w="1578"/>
        <w:gridCol w:w="1520"/>
        <w:gridCol w:w="1078"/>
        <w:gridCol w:w="858"/>
      </w:tblGrid>
      <w:tr w:rsidR="00DB7CC8">
        <w:trPr>
          <w:trHeight w:val="555"/>
        </w:trPr>
        <w:tc>
          <w:tcPr>
            <w:tcW w:w="1161" w:type="dxa"/>
            <w:vAlign w:val="center"/>
          </w:tcPr>
          <w:p w:rsidR="00DB7CC8" w:rsidRDefault="002B5250">
            <w:pPr>
              <w:spacing w:line="280" w:lineRule="exact"/>
              <w:ind w:firstLineChars="0" w:firstLine="0"/>
              <w:jc w:val="center"/>
              <w:rPr>
                <w:sz w:val="21"/>
                <w:szCs w:val="21"/>
              </w:rPr>
            </w:pPr>
            <w:r>
              <w:rPr>
                <w:sz w:val="21"/>
                <w:szCs w:val="21"/>
              </w:rPr>
              <w:t>试验</w:t>
            </w:r>
          </w:p>
          <w:p w:rsidR="00DB7CC8" w:rsidRDefault="002B5250">
            <w:pPr>
              <w:spacing w:line="280" w:lineRule="exact"/>
              <w:ind w:firstLineChars="0" w:firstLine="0"/>
              <w:jc w:val="center"/>
              <w:rPr>
                <w:sz w:val="21"/>
                <w:szCs w:val="21"/>
              </w:rPr>
            </w:pPr>
            <w:r>
              <w:rPr>
                <w:sz w:val="21"/>
                <w:szCs w:val="21"/>
              </w:rPr>
              <w:t>时间</w:t>
            </w:r>
          </w:p>
        </w:tc>
        <w:tc>
          <w:tcPr>
            <w:tcW w:w="2327" w:type="dxa"/>
            <w:gridSpan w:val="2"/>
            <w:vAlign w:val="center"/>
          </w:tcPr>
          <w:p w:rsidR="00DB7CC8" w:rsidRDefault="002B5250">
            <w:pPr>
              <w:spacing w:line="280" w:lineRule="exact"/>
              <w:ind w:firstLineChars="0" w:firstLine="0"/>
              <w:jc w:val="center"/>
              <w:rPr>
                <w:sz w:val="21"/>
                <w:szCs w:val="21"/>
              </w:rPr>
            </w:pPr>
            <w:r>
              <w:rPr>
                <w:sz w:val="21"/>
                <w:szCs w:val="21"/>
              </w:rPr>
              <w:t>201</w:t>
            </w:r>
            <w:r>
              <w:rPr>
                <w:rFonts w:hint="eastAsia"/>
                <w:sz w:val="21"/>
                <w:szCs w:val="21"/>
              </w:rPr>
              <w:t>8</w:t>
            </w:r>
            <w:r>
              <w:rPr>
                <w:sz w:val="21"/>
                <w:szCs w:val="21"/>
              </w:rPr>
              <w:t>.</w:t>
            </w:r>
            <w:r>
              <w:rPr>
                <w:rFonts w:hint="eastAsia"/>
                <w:sz w:val="21"/>
                <w:szCs w:val="21"/>
              </w:rPr>
              <w:t>7</w:t>
            </w:r>
            <w:r>
              <w:rPr>
                <w:sz w:val="21"/>
                <w:szCs w:val="21"/>
              </w:rPr>
              <w:t>.</w:t>
            </w:r>
            <w:r>
              <w:rPr>
                <w:rFonts w:hint="eastAsia"/>
                <w:sz w:val="21"/>
                <w:szCs w:val="21"/>
              </w:rPr>
              <w:t>28</w:t>
            </w:r>
          </w:p>
        </w:tc>
        <w:tc>
          <w:tcPr>
            <w:tcW w:w="1578" w:type="dxa"/>
            <w:vAlign w:val="center"/>
          </w:tcPr>
          <w:p w:rsidR="00DB7CC8" w:rsidRDefault="002B5250">
            <w:pPr>
              <w:spacing w:line="280" w:lineRule="exact"/>
              <w:ind w:firstLineChars="0" w:firstLine="0"/>
              <w:jc w:val="center"/>
              <w:rPr>
                <w:sz w:val="21"/>
                <w:szCs w:val="21"/>
              </w:rPr>
            </w:pPr>
            <w:r>
              <w:rPr>
                <w:sz w:val="21"/>
                <w:szCs w:val="21"/>
              </w:rPr>
              <w:t>井深</w:t>
            </w:r>
          </w:p>
        </w:tc>
        <w:tc>
          <w:tcPr>
            <w:tcW w:w="1520" w:type="dxa"/>
            <w:vAlign w:val="center"/>
          </w:tcPr>
          <w:p w:rsidR="00DB7CC8" w:rsidRDefault="002B5250">
            <w:pPr>
              <w:spacing w:line="280" w:lineRule="exact"/>
              <w:ind w:firstLineChars="0" w:firstLine="0"/>
              <w:jc w:val="center"/>
              <w:rPr>
                <w:sz w:val="21"/>
                <w:szCs w:val="21"/>
              </w:rPr>
            </w:pPr>
            <w:r>
              <w:rPr>
                <w:rFonts w:hint="eastAsia"/>
                <w:sz w:val="21"/>
                <w:szCs w:val="21"/>
              </w:rPr>
              <w:t>35</w:t>
            </w:r>
            <w:r>
              <w:rPr>
                <w:sz w:val="21"/>
                <w:szCs w:val="21"/>
              </w:rPr>
              <w:t>m</w:t>
            </w:r>
          </w:p>
        </w:tc>
        <w:tc>
          <w:tcPr>
            <w:tcW w:w="1078" w:type="dxa"/>
            <w:vAlign w:val="center"/>
          </w:tcPr>
          <w:p w:rsidR="00DB7CC8" w:rsidRDefault="002B5250">
            <w:pPr>
              <w:spacing w:line="280" w:lineRule="exact"/>
              <w:ind w:firstLineChars="0" w:firstLine="0"/>
              <w:jc w:val="center"/>
              <w:rPr>
                <w:sz w:val="21"/>
                <w:szCs w:val="21"/>
              </w:rPr>
            </w:pPr>
            <w:r>
              <w:rPr>
                <w:sz w:val="21"/>
                <w:szCs w:val="21"/>
              </w:rPr>
              <w:t>井径</w:t>
            </w:r>
          </w:p>
        </w:tc>
        <w:tc>
          <w:tcPr>
            <w:tcW w:w="858" w:type="dxa"/>
            <w:vAlign w:val="center"/>
          </w:tcPr>
          <w:p w:rsidR="00DB7CC8" w:rsidRDefault="002B5250">
            <w:pPr>
              <w:spacing w:line="280" w:lineRule="exact"/>
              <w:ind w:firstLineChars="0" w:firstLine="0"/>
              <w:jc w:val="center"/>
              <w:rPr>
                <w:sz w:val="21"/>
                <w:szCs w:val="21"/>
              </w:rPr>
            </w:pPr>
            <w:r>
              <w:rPr>
                <w:rFonts w:hint="eastAsia"/>
                <w:sz w:val="21"/>
                <w:szCs w:val="21"/>
              </w:rPr>
              <w:t>300mm</w:t>
            </w:r>
          </w:p>
        </w:tc>
      </w:tr>
      <w:tr w:rsidR="00DB7CC8">
        <w:trPr>
          <w:trHeight w:val="371"/>
        </w:trPr>
        <w:tc>
          <w:tcPr>
            <w:tcW w:w="1161" w:type="dxa"/>
            <w:vAlign w:val="center"/>
          </w:tcPr>
          <w:p w:rsidR="00DB7CC8" w:rsidRDefault="002B5250">
            <w:pPr>
              <w:spacing w:line="280" w:lineRule="exact"/>
              <w:ind w:firstLineChars="0" w:firstLine="0"/>
              <w:jc w:val="center"/>
              <w:rPr>
                <w:sz w:val="21"/>
                <w:szCs w:val="21"/>
              </w:rPr>
            </w:pPr>
            <w:r>
              <w:rPr>
                <w:sz w:val="21"/>
                <w:szCs w:val="21"/>
              </w:rPr>
              <w:t>地点</w:t>
            </w:r>
          </w:p>
        </w:tc>
        <w:tc>
          <w:tcPr>
            <w:tcW w:w="2327" w:type="dxa"/>
            <w:gridSpan w:val="2"/>
            <w:vAlign w:val="center"/>
          </w:tcPr>
          <w:p w:rsidR="00DB7CC8" w:rsidRDefault="002B5250">
            <w:pPr>
              <w:spacing w:line="280" w:lineRule="exact"/>
              <w:ind w:firstLineChars="0" w:firstLine="0"/>
              <w:jc w:val="center"/>
              <w:rPr>
                <w:sz w:val="21"/>
                <w:szCs w:val="21"/>
              </w:rPr>
            </w:pPr>
            <w:r>
              <w:rPr>
                <w:rFonts w:hint="eastAsia"/>
                <w:sz w:val="21"/>
                <w:szCs w:val="21"/>
              </w:rPr>
              <w:t>建明镇</w:t>
            </w:r>
          </w:p>
        </w:tc>
        <w:tc>
          <w:tcPr>
            <w:tcW w:w="3098" w:type="dxa"/>
            <w:gridSpan w:val="2"/>
            <w:vAlign w:val="center"/>
          </w:tcPr>
          <w:p w:rsidR="00DB7CC8" w:rsidRDefault="002B5250">
            <w:pPr>
              <w:spacing w:line="280" w:lineRule="exact"/>
              <w:ind w:firstLineChars="0" w:firstLine="0"/>
              <w:jc w:val="center"/>
              <w:rPr>
                <w:sz w:val="21"/>
                <w:szCs w:val="21"/>
              </w:rPr>
            </w:pPr>
            <w:r>
              <w:rPr>
                <w:sz w:val="21"/>
                <w:szCs w:val="21"/>
              </w:rPr>
              <w:t>静止水位埋深</w:t>
            </w:r>
          </w:p>
        </w:tc>
        <w:tc>
          <w:tcPr>
            <w:tcW w:w="1936" w:type="dxa"/>
            <w:gridSpan w:val="2"/>
            <w:vAlign w:val="center"/>
          </w:tcPr>
          <w:p w:rsidR="00DB7CC8" w:rsidRDefault="002B5250">
            <w:pPr>
              <w:spacing w:line="280" w:lineRule="exact"/>
              <w:ind w:firstLineChars="0" w:firstLine="0"/>
              <w:jc w:val="center"/>
              <w:rPr>
                <w:sz w:val="21"/>
                <w:szCs w:val="21"/>
              </w:rPr>
            </w:pPr>
            <w:r>
              <w:rPr>
                <w:rFonts w:hint="eastAsia"/>
                <w:sz w:val="21"/>
                <w:szCs w:val="21"/>
              </w:rPr>
              <w:t>15.0</w:t>
            </w:r>
            <w:r>
              <w:rPr>
                <w:sz w:val="21"/>
                <w:szCs w:val="21"/>
              </w:rPr>
              <w:t>m</w:t>
            </w:r>
          </w:p>
        </w:tc>
      </w:tr>
      <w:tr w:rsidR="00DB7CC8">
        <w:trPr>
          <w:trHeight w:val="555"/>
        </w:trPr>
        <w:tc>
          <w:tcPr>
            <w:tcW w:w="1161" w:type="dxa"/>
            <w:vMerge w:val="restart"/>
            <w:vAlign w:val="center"/>
          </w:tcPr>
          <w:p w:rsidR="00DB7CC8" w:rsidRDefault="002B5250">
            <w:pPr>
              <w:spacing w:line="280" w:lineRule="exact"/>
              <w:ind w:firstLineChars="0" w:firstLine="0"/>
              <w:jc w:val="center"/>
              <w:rPr>
                <w:sz w:val="21"/>
                <w:szCs w:val="21"/>
              </w:rPr>
            </w:pPr>
            <w:r>
              <w:rPr>
                <w:sz w:val="21"/>
                <w:szCs w:val="21"/>
              </w:rPr>
              <w:t>抽水</w:t>
            </w:r>
          </w:p>
          <w:p w:rsidR="00DB7CC8" w:rsidRDefault="002B5250">
            <w:pPr>
              <w:spacing w:line="280" w:lineRule="exact"/>
              <w:ind w:firstLineChars="0" w:firstLine="0"/>
              <w:jc w:val="center"/>
              <w:rPr>
                <w:sz w:val="21"/>
                <w:szCs w:val="21"/>
              </w:rPr>
            </w:pPr>
            <w:r>
              <w:rPr>
                <w:sz w:val="21"/>
                <w:szCs w:val="21"/>
              </w:rPr>
              <w:t>试验</w:t>
            </w:r>
          </w:p>
        </w:tc>
        <w:tc>
          <w:tcPr>
            <w:tcW w:w="1163" w:type="dxa"/>
            <w:vAlign w:val="center"/>
          </w:tcPr>
          <w:p w:rsidR="00DB7CC8" w:rsidRDefault="002B5250">
            <w:pPr>
              <w:spacing w:line="280" w:lineRule="exact"/>
              <w:ind w:firstLineChars="0" w:firstLine="0"/>
              <w:jc w:val="center"/>
              <w:rPr>
                <w:sz w:val="21"/>
                <w:szCs w:val="21"/>
              </w:rPr>
            </w:pPr>
            <w:r>
              <w:rPr>
                <w:sz w:val="21"/>
                <w:szCs w:val="21"/>
              </w:rPr>
              <w:t>抽水</w:t>
            </w:r>
            <w:r>
              <w:rPr>
                <w:rFonts w:hint="eastAsia"/>
                <w:sz w:val="21"/>
                <w:szCs w:val="21"/>
              </w:rPr>
              <w:t>试验</w:t>
            </w:r>
          </w:p>
          <w:p w:rsidR="00DB7CC8" w:rsidRDefault="002B5250">
            <w:pPr>
              <w:spacing w:line="280" w:lineRule="exact"/>
              <w:ind w:firstLineChars="0" w:firstLine="0"/>
              <w:jc w:val="center"/>
              <w:rPr>
                <w:sz w:val="21"/>
                <w:szCs w:val="21"/>
              </w:rPr>
            </w:pPr>
            <w:r>
              <w:rPr>
                <w:sz w:val="21"/>
                <w:szCs w:val="21"/>
              </w:rPr>
              <w:t>时间</w:t>
            </w:r>
          </w:p>
        </w:tc>
        <w:tc>
          <w:tcPr>
            <w:tcW w:w="1164" w:type="dxa"/>
            <w:vAlign w:val="center"/>
          </w:tcPr>
          <w:p w:rsidR="00DB7CC8" w:rsidRDefault="002B5250">
            <w:pPr>
              <w:spacing w:line="280" w:lineRule="exact"/>
              <w:ind w:firstLineChars="0" w:firstLine="0"/>
              <w:jc w:val="center"/>
              <w:rPr>
                <w:sz w:val="21"/>
                <w:szCs w:val="21"/>
              </w:rPr>
            </w:pPr>
            <w:r>
              <w:rPr>
                <w:sz w:val="21"/>
                <w:szCs w:val="21"/>
              </w:rPr>
              <w:t>稳定</w:t>
            </w:r>
          </w:p>
          <w:p w:rsidR="00DB7CC8" w:rsidRDefault="002B5250">
            <w:pPr>
              <w:spacing w:line="280" w:lineRule="exact"/>
              <w:ind w:firstLineChars="0" w:firstLine="0"/>
              <w:jc w:val="center"/>
              <w:rPr>
                <w:sz w:val="21"/>
                <w:szCs w:val="21"/>
              </w:rPr>
            </w:pPr>
            <w:r>
              <w:rPr>
                <w:sz w:val="21"/>
                <w:szCs w:val="21"/>
              </w:rPr>
              <w:t>时间</w:t>
            </w:r>
          </w:p>
        </w:tc>
        <w:tc>
          <w:tcPr>
            <w:tcW w:w="1578" w:type="dxa"/>
            <w:vAlign w:val="center"/>
          </w:tcPr>
          <w:p w:rsidR="00DB7CC8" w:rsidRDefault="002B5250">
            <w:pPr>
              <w:spacing w:line="280" w:lineRule="exact"/>
              <w:ind w:firstLineChars="0" w:firstLine="0"/>
              <w:jc w:val="center"/>
              <w:rPr>
                <w:sz w:val="21"/>
                <w:szCs w:val="21"/>
              </w:rPr>
            </w:pPr>
            <w:r>
              <w:rPr>
                <w:sz w:val="21"/>
                <w:szCs w:val="21"/>
              </w:rPr>
              <w:t>抽水量</w:t>
            </w:r>
          </w:p>
        </w:tc>
        <w:tc>
          <w:tcPr>
            <w:tcW w:w="1520" w:type="dxa"/>
            <w:vAlign w:val="center"/>
          </w:tcPr>
          <w:p w:rsidR="00DB7CC8" w:rsidRDefault="002B5250">
            <w:pPr>
              <w:spacing w:line="280" w:lineRule="exact"/>
              <w:ind w:firstLineChars="0" w:firstLine="0"/>
              <w:jc w:val="center"/>
              <w:rPr>
                <w:sz w:val="21"/>
                <w:szCs w:val="21"/>
              </w:rPr>
            </w:pPr>
            <w:r>
              <w:rPr>
                <w:sz w:val="21"/>
                <w:szCs w:val="21"/>
              </w:rPr>
              <w:t>降深</w:t>
            </w:r>
          </w:p>
        </w:tc>
        <w:tc>
          <w:tcPr>
            <w:tcW w:w="1936" w:type="dxa"/>
            <w:gridSpan w:val="2"/>
            <w:vAlign w:val="center"/>
          </w:tcPr>
          <w:p w:rsidR="00DB7CC8" w:rsidRDefault="002B5250">
            <w:pPr>
              <w:spacing w:line="280" w:lineRule="exact"/>
              <w:ind w:firstLineChars="0" w:firstLine="0"/>
              <w:jc w:val="center"/>
              <w:rPr>
                <w:sz w:val="21"/>
                <w:szCs w:val="21"/>
              </w:rPr>
            </w:pPr>
            <w:r>
              <w:rPr>
                <w:sz w:val="21"/>
                <w:szCs w:val="21"/>
              </w:rPr>
              <w:t>单位</w:t>
            </w:r>
          </w:p>
          <w:p w:rsidR="00DB7CC8" w:rsidRDefault="002B5250">
            <w:pPr>
              <w:spacing w:line="280" w:lineRule="exact"/>
              <w:ind w:firstLineChars="0" w:firstLine="0"/>
              <w:jc w:val="center"/>
              <w:rPr>
                <w:sz w:val="21"/>
                <w:szCs w:val="21"/>
              </w:rPr>
            </w:pPr>
            <w:r>
              <w:rPr>
                <w:sz w:val="21"/>
                <w:szCs w:val="21"/>
              </w:rPr>
              <w:t>涌水量</w:t>
            </w:r>
          </w:p>
        </w:tc>
      </w:tr>
      <w:tr w:rsidR="00DB7CC8">
        <w:trPr>
          <w:trHeight w:val="382"/>
        </w:trPr>
        <w:tc>
          <w:tcPr>
            <w:tcW w:w="1161" w:type="dxa"/>
            <w:vMerge/>
            <w:vAlign w:val="center"/>
          </w:tcPr>
          <w:p w:rsidR="00DB7CC8" w:rsidRDefault="00DB7CC8">
            <w:pPr>
              <w:spacing w:line="280" w:lineRule="exact"/>
              <w:ind w:firstLineChars="0" w:firstLine="422"/>
              <w:jc w:val="center"/>
              <w:rPr>
                <w:rFonts w:ascii="隶书"/>
                <w:b/>
                <w:bCs/>
                <w:kern w:val="44"/>
                <w:sz w:val="21"/>
                <w:szCs w:val="21"/>
              </w:rPr>
            </w:pPr>
          </w:p>
        </w:tc>
        <w:tc>
          <w:tcPr>
            <w:tcW w:w="1163" w:type="dxa"/>
            <w:vAlign w:val="center"/>
          </w:tcPr>
          <w:p w:rsidR="00DB7CC8" w:rsidRDefault="002B5250">
            <w:pPr>
              <w:spacing w:line="280" w:lineRule="exact"/>
              <w:ind w:firstLineChars="0" w:firstLine="0"/>
              <w:jc w:val="center"/>
              <w:rPr>
                <w:sz w:val="21"/>
                <w:szCs w:val="21"/>
              </w:rPr>
            </w:pPr>
            <w:r>
              <w:rPr>
                <w:rFonts w:hint="eastAsia"/>
                <w:sz w:val="21"/>
                <w:szCs w:val="21"/>
              </w:rPr>
              <w:t>min</w:t>
            </w:r>
          </w:p>
        </w:tc>
        <w:tc>
          <w:tcPr>
            <w:tcW w:w="1164" w:type="dxa"/>
            <w:vAlign w:val="center"/>
          </w:tcPr>
          <w:p w:rsidR="00DB7CC8" w:rsidRDefault="002B5250">
            <w:pPr>
              <w:spacing w:line="280" w:lineRule="exact"/>
              <w:ind w:firstLineChars="0" w:firstLine="0"/>
              <w:jc w:val="center"/>
              <w:rPr>
                <w:sz w:val="21"/>
                <w:szCs w:val="21"/>
              </w:rPr>
            </w:pPr>
            <w:r>
              <w:rPr>
                <w:rFonts w:hint="eastAsia"/>
                <w:sz w:val="21"/>
                <w:szCs w:val="21"/>
              </w:rPr>
              <w:t>min</w:t>
            </w:r>
          </w:p>
        </w:tc>
        <w:tc>
          <w:tcPr>
            <w:tcW w:w="1578" w:type="dxa"/>
            <w:vAlign w:val="center"/>
          </w:tcPr>
          <w:p w:rsidR="00DB7CC8" w:rsidRDefault="002B5250">
            <w:pPr>
              <w:spacing w:line="280" w:lineRule="exact"/>
              <w:ind w:firstLineChars="0" w:firstLine="0"/>
              <w:jc w:val="center"/>
              <w:rPr>
                <w:sz w:val="21"/>
                <w:szCs w:val="21"/>
              </w:rPr>
            </w:pPr>
            <w:r>
              <w:rPr>
                <w:sz w:val="21"/>
                <w:szCs w:val="21"/>
              </w:rPr>
              <w:t>m³/h</w:t>
            </w:r>
          </w:p>
        </w:tc>
        <w:tc>
          <w:tcPr>
            <w:tcW w:w="1520" w:type="dxa"/>
            <w:vAlign w:val="center"/>
          </w:tcPr>
          <w:p w:rsidR="00DB7CC8" w:rsidRDefault="002B5250">
            <w:pPr>
              <w:spacing w:line="280" w:lineRule="exact"/>
              <w:ind w:firstLineChars="0" w:firstLine="0"/>
              <w:jc w:val="center"/>
              <w:rPr>
                <w:sz w:val="21"/>
                <w:szCs w:val="21"/>
              </w:rPr>
            </w:pPr>
            <w:r>
              <w:rPr>
                <w:sz w:val="21"/>
                <w:szCs w:val="21"/>
              </w:rPr>
              <w:t>m</w:t>
            </w:r>
          </w:p>
        </w:tc>
        <w:tc>
          <w:tcPr>
            <w:tcW w:w="1936" w:type="dxa"/>
            <w:gridSpan w:val="2"/>
            <w:vAlign w:val="center"/>
          </w:tcPr>
          <w:p w:rsidR="00DB7CC8" w:rsidRDefault="002B5250">
            <w:pPr>
              <w:spacing w:line="280" w:lineRule="exact"/>
              <w:ind w:firstLineChars="0" w:firstLine="0"/>
              <w:jc w:val="center"/>
              <w:rPr>
                <w:sz w:val="21"/>
                <w:szCs w:val="21"/>
              </w:rPr>
            </w:pPr>
            <w:r>
              <w:rPr>
                <w:sz w:val="21"/>
                <w:szCs w:val="21"/>
              </w:rPr>
              <w:t>m³/h·m</w:t>
            </w:r>
          </w:p>
        </w:tc>
      </w:tr>
      <w:tr w:rsidR="00DB7CC8">
        <w:trPr>
          <w:trHeight w:val="392"/>
        </w:trPr>
        <w:tc>
          <w:tcPr>
            <w:tcW w:w="1161" w:type="dxa"/>
            <w:vAlign w:val="center"/>
          </w:tcPr>
          <w:p w:rsidR="00DB7CC8" w:rsidRDefault="002B5250">
            <w:pPr>
              <w:spacing w:line="280" w:lineRule="exact"/>
              <w:ind w:firstLineChars="0" w:firstLine="0"/>
              <w:jc w:val="center"/>
              <w:rPr>
                <w:sz w:val="21"/>
                <w:szCs w:val="21"/>
              </w:rPr>
            </w:pPr>
            <w:r>
              <w:rPr>
                <w:sz w:val="21"/>
                <w:szCs w:val="21"/>
              </w:rPr>
              <w:t>抽水井</w:t>
            </w:r>
          </w:p>
        </w:tc>
        <w:tc>
          <w:tcPr>
            <w:tcW w:w="1163" w:type="dxa"/>
            <w:vAlign w:val="center"/>
          </w:tcPr>
          <w:p w:rsidR="00DB7CC8" w:rsidRDefault="002B5250">
            <w:pPr>
              <w:spacing w:line="280" w:lineRule="exact"/>
              <w:ind w:firstLineChars="0" w:firstLine="0"/>
              <w:jc w:val="center"/>
              <w:rPr>
                <w:sz w:val="21"/>
                <w:szCs w:val="21"/>
              </w:rPr>
            </w:pPr>
            <w:r>
              <w:rPr>
                <w:rFonts w:hint="eastAsia"/>
                <w:sz w:val="21"/>
                <w:szCs w:val="21"/>
              </w:rPr>
              <w:t>900</w:t>
            </w:r>
          </w:p>
        </w:tc>
        <w:tc>
          <w:tcPr>
            <w:tcW w:w="1164" w:type="dxa"/>
            <w:vAlign w:val="center"/>
          </w:tcPr>
          <w:p w:rsidR="00DB7CC8" w:rsidRDefault="002B5250">
            <w:pPr>
              <w:spacing w:line="280" w:lineRule="exact"/>
              <w:ind w:firstLineChars="0" w:firstLine="0"/>
              <w:jc w:val="center"/>
              <w:rPr>
                <w:sz w:val="21"/>
                <w:szCs w:val="21"/>
              </w:rPr>
            </w:pPr>
            <w:r>
              <w:rPr>
                <w:rFonts w:hint="eastAsia"/>
                <w:sz w:val="21"/>
                <w:szCs w:val="21"/>
              </w:rPr>
              <w:t>450</w:t>
            </w:r>
          </w:p>
        </w:tc>
        <w:tc>
          <w:tcPr>
            <w:tcW w:w="1578" w:type="dxa"/>
            <w:vAlign w:val="center"/>
          </w:tcPr>
          <w:p w:rsidR="00DB7CC8" w:rsidRDefault="002B5250">
            <w:pPr>
              <w:spacing w:line="280" w:lineRule="exact"/>
              <w:ind w:firstLineChars="0" w:firstLine="0"/>
              <w:jc w:val="center"/>
              <w:rPr>
                <w:sz w:val="21"/>
                <w:szCs w:val="21"/>
              </w:rPr>
            </w:pPr>
            <w:r>
              <w:rPr>
                <w:rFonts w:hint="eastAsia"/>
                <w:sz w:val="21"/>
                <w:szCs w:val="21"/>
              </w:rPr>
              <w:t>60.417</w:t>
            </w:r>
          </w:p>
        </w:tc>
        <w:tc>
          <w:tcPr>
            <w:tcW w:w="1520" w:type="dxa"/>
            <w:vAlign w:val="center"/>
          </w:tcPr>
          <w:p w:rsidR="00DB7CC8" w:rsidRDefault="002B5250">
            <w:pPr>
              <w:spacing w:line="280" w:lineRule="exact"/>
              <w:ind w:firstLineChars="0" w:firstLine="0"/>
              <w:jc w:val="center"/>
              <w:rPr>
                <w:sz w:val="21"/>
                <w:szCs w:val="21"/>
              </w:rPr>
            </w:pPr>
            <w:r>
              <w:rPr>
                <w:rFonts w:hint="eastAsia"/>
                <w:sz w:val="21"/>
                <w:szCs w:val="21"/>
              </w:rPr>
              <w:t>3.00</w:t>
            </w:r>
          </w:p>
        </w:tc>
        <w:tc>
          <w:tcPr>
            <w:tcW w:w="1936" w:type="dxa"/>
            <w:gridSpan w:val="2"/>
            <w:vAlign w:val="center"/>
          </w:tcPr>
          <w:p w:rsidR="00DB7CC8" w:rsidRDefault="002B5250">
            <w:pPr>
              <w:spacing w:line="280" w:lineRule="exact"/>
              <w:ind w:firstLineChars="0" w:firstLine="0"/>
              <w:jc w:val="center"/>
              <w:rPr>
                <w:sz w:val="21"/>
                <w:szCs w:val="21"/>
              </w:rPr>
            </w:pPr>
            <w:r>
              <w:rPr>
                <w:rFonts w:hint="eastAsia"/>
                <w:sz w:val="21"/>
                <w:szCs w:val="21"/>
              </w:rPr>
              <w:t>20.139</w:t>
            </w:r>
          </w:p>
        </w:tc>
      </w:tr>
    </w:tbl>
    <w:p w:rsidR="00DB7CC8" w:rsidRDefault="002B5250">
      <w:pPr>
        <w:autoSpaceDE w:val="0"/>
        <w:autoSpaceDN w:val="0"/>
        <w:ind w:firstLine="480"/>
        <w:jc w:val="center"/>
        <w:rPr>
          <w:sz w:val="24"/>
        </w:rPr>
      </w:pPr>
      <w:r>
        <w:rPr>
          <w:rFonts w:hint="eastAsia"/>
          <w:noProof/>
          <w:sz w:val="24"/>
        </w:rPr>
        <w:lastRenderedPageBreak/>
        <w:drawing>
          <wp:inline distT="0" distB="0" distL="114300" distR="114300">
            <wp:extent cx="5031105" cy="2642870"/>
            <wp:effectExtent l="0" t="0" r="17145" b="5080"/>
            <wp:docPr id="18" name="图片 18" descr="1565165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565165685"/>
                    <pic:cNvPicPr>
                      <a:picLocks noChangeAspect="1"/>
                    </pic:cNvPicPr>
                  </pic:nvPicPr>
                  <pic:blipFill>
                    <a:blip r:embed="rId66"/>
                    <a:stretch>
                      <a:fillRect/>
                    </a:stretch>
                  </pic:blipFill>
                  <pic:spPr>
                    <a:xfrm>
                      <a:off x="0" y="0"/>
                      <a:ext cx="5031105" cy="2642870"/>
                    </a:xfrm>
                    <a:prstGeom prst="rect">
                      <a:avLst/>
                    </a:prstGeom>
                  </pic:spPr>
                </pic:pic>
              </a:graphicData>
            </a:graphic>
          </wp:inline>
        </w:drawing>
      </w:r>
    </w:p>
    <w:p w:rsidR="00DB7CC8" w:rsidRDefault="002B5250">
      <w:pPr>
        <w:autoSpaceDE w:val="0"/>
        <w:autoSpaceDN w:val="0"/>
        <w:ind w:firstLine="420"/>
        <w:jc w:val="center"/>
        <w:rPr>
          <w:rFonts w:eastAsia="黑体"/>
          <w:sz w:val="21"/>
          <w:szCs w:val="21"/>
        </w:rPr>
      </w:pPr>
      <w:r>
        <w:rPr>
          <w:rFonts w:eastAsia="黑体"/>
          <w:sz w:val="21"/>
          <w:szCs w:val="21"/>
        </w:rPr>
        <w:t>图</w:t>
      </w:r>
      <w:r>
        <w:rPr>
          <w:rFonts w:eastAsia="黑体"/>
          <w:sz w:val="21"/>
          <w:szCs w:val="21"/>
        </w:rPr>
        <w:t>5.2-12</w:t>
      </w:r>
      <w:r>
        <w:rPr>
          <w:rFonts w:eastAsia="黑体" w:hint="eastAsia"/>
          <w:sz w:val="21"/>
          <w:szCs w:val="21"/>
        </w:rPr>
        <w:t xml:space="preserve">  </w:t>
      </w:r>
      <w:r>
        <w:rPr>
          <w:rFonts w:eastAsia="黑体"/>
          <w:sz w:val="21"/>
          <w:szCs w:val="21"/>
        </w:rPr>
        <w:t xml:space="preserve"> </w:t>
      </w:r>
      <w:r>
        <w:rPr>
          <w:rFonts w:eastAsia="黑体"/>
          <w:sz w:val="21"/>
          <w:szCs w:val="21"/>
        </w:rPr>
        <w:t>建明镇抽水试验降深</w:t>
      </w:r>
      <w:r>
        <w:rPr>
          <w:rFonts w:eastAsia="黑体"/>
          <w:sz w:val="21"/>
          <w:szCs w:val="21"/>
        </w:rPr>
        <w:t>-</w:t>
      </w:r>
      <w:r>
        <w:rPr>
          <w:rFonts w:eastAsia="黑体"/>
          <w:sz w:val="21"/>
          <w:szCs w:val="21"/>
        </w:rPr>
        <w:t>时间曲线</w:t>
      </w:r>
    </w:p>
    <w:p w:rsidR="00DB7CC8" w:rsidRDefault="002B5250">
      <w:pPr>
        <w:autoSpaceDE w:val="0"/>
        <w:autoSpaceDN w:val="0"/>
        <w:ind w:firstLine="560"/>
        <w:jc w:val="center"/>
        <w:rPr>
          <w:rFonts w:eastAsia="黑体"/>
          <w:sz w:val="21"/>
          <w:szCs w:val="21"/>
        </w:rPr>
      </w:pPr>
      <w:r>
        <w:rPr>
          <w:rFonts w:eastAsia="黑体" w:hint="eastAsia"/>
          <w:noProof/>
        </w:rPr>
        <w:drawing>
          <wp:inline distT="0" distB="0" distL="114300" distR="114300">
            <wp:extent cx="5013960" cy="3073400"/>
            <wp:effectExtent l="12700" t="12700" r="21590" b="19050"/>
            <wp:docPr id="19" name="图片 19" descr="1565165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565165762(1)"/>
                    <pic:cNvPicPr>
                      <a:picLocks noChangeAspect="1"/>
                    </pic:cNvPicPr>
                  </pic:nvPicPr>
                  <pic:blipFill>
                    <a:blip r:embed="rId67"/>
                    <a:stretch>
                      <a:fillRect/>
                    </a:stretch>
                  </pic:blipFill>
                  <pic:spPr>
                    <a:xfrm>
                      <a:off x="0" y="0"/>
                      <a:ext cx="5013960" cy="3073400"/>
                    </a:xfrm>
                    <a:prstGeom prst="rect">
                      <a:avLst/>
                    </a:prstGeom>
                    <a:ln w="12700" cmpd="sng">
                      <a:solidFill>
                        <a:schemeClr val="tx1"/>
                      </a:solidFill>
                      <a:prstDash val="solid"/>
                    </a:ln>
                  </pic:spPr>
                </pic:pic>
              </a:graphicData>
            </a:graphic>
          </wp:inline>
        </w:drawing>
      </w:r>
    </w:p>
    <w:p w:rsidR="00DB7CC8" w:rsidRDefault="002B5250">
      <w:pPr>
        <w:autoSpaceDE w:val="0"/>
        <w:autoSpaceDN w:val="0"/>
        <w:ind w:firstLine="420"/>
        <w:jc w:val="center"/>
        <w:rPr>
          <w:rFonts w:eastAsia="黑体"/>
          <w:sz w:val="21"/>
          <w:szCs w:val="21"/>
        </w:rPr>
      </w:pPr>
      <w:r>
        <w:rPr>
          <w:rFonts w:eastAsia="黑体"/>
          <w:sz w:val="21"/>
          <w:szCs w:val="21"/>
        </w:rPr>
        <w:t>图</w:t>
      </w:r>
      <w:r>
        <w:rPr>
          <w:rFonts w:eastAsia="黑体"/>
          <w:sz w:val="21"/>
          <w:szCs w:val="21"/>
        </w:rPr>
        <w:t xml:space="preserve">5.2-13 </w:t>
      </w:r>
      <w:r>
        <w:rPr>
          <w:rFonts w:eastAsia="黑体" w:hint="eastAsia"/>
          <w:sz w:val="21"/>
          <w:szCs w:val="21"/>
        </w:rPr>
        <w:t xml:space="preserve">  </w:t>
      </w:r>
      <w:r>
        <w:rPr>
          <w:rFonts w:eastAsia="黑体"/>
          <w:sz w:val="21"/>
          <w:szCs w:val="21"/>
        </w:rPr>
        <w:t>建明镇抽水试验水位埋深</w:t>
      </w:r>
      <w:r>
        <w:rPr>
          <w:rFonts w:eastAsia="黑体"/>
          <w:sz w:val="21"/>
          <w:szCs w:val="21"/>
        </w:rPr>
        <w:t>-</w:t>
      </w:r>
      <w:r>
        <w:rPr>
          <w:rFonts w:eastAsia="黑体"/>
          <w:sz w:val="21"/>
          <w:szCs w:val="21"/>
        </w:rPr>
        <w:t>时间曲线</w:t>
      </w:r>
    </w:p>
    <w:p w:rsidR="00DB7CC8" w:rsidRDefault="002B5250">
      <w:pPr>
        <w:autoSpaceDE w:val="0"/>
        <w:autoSpaceDN w:val="0"/>
        <w:ind w:firstLine="480"/>
        <w:rPr>
          <w:sz w:val="24"/>
        </w:rPr>
      </w:pPr>
      <w:r>
        <w:rPr>
          <w:sz w:val="24"/>
        </w:rPr>
        <w:t>刁庄子村抽水试验井深为</w:t>
      </w:r>
      <w:r>
        <w:rPr>
          <w:sz w:val="24"/>
        </w:rPr>
        <w:t>32m</w:t>
      </w:r>
      <w:r>
        <w:rPr>
          <w:sz w:val="24"/>
        </w:rPr>
        <w:t>，井径</w:t>
      </w:r>
      <w:r>
        <w:rPr>
          <w:sz w:val="24"/>
        </w:rPr>
        <w:t>0.3m</w:t>
      </w:r>
      <w:r>
        <w:rPr>
          <w:sz w:val="24"/>
        </w:rPr>
        <w:t>，静止水位埋深</w:t>
      </w:r>
      <w:r>
        <w:rPr>
          <w:sz w:val="24"/>
        </w:rPr>
        <w:t>19.50m</w:t>
      </w:r>
      <w:r>
        <w:rPr>
          <w:sz w:val="24"/>
        </w:rPr>
        <w:t>，整个抽水试验历时</w:t>
      </w:r>
      <w:r>
        <w:rPr>
          <w:sz w:val="24"/>
        </w:rPr>
        <w:t>480</w:t>
      </w:r>
      <w:r>
        <w:rPr>
          <w:sz w:val="24"/>
        </w:rPr>
        <w:t>分钟，其中抽水试验阶段历时</w:t>
      </w:r>
      <w:r>
        <w:rPr>
          <w:sz w:val="24"/>
        </w:rPr>
        <w:t>300</w:t>
      </w:r>
      <w:r>
        <w:rPr>
          <w:sz w:val="24"/>
        </w:rPr>
        <w:t>分钟，水位稳定时间</w:t>
      </w:r>
      <w:r>
        <w:rPr>
          <w:sz w:val="24"/>
        </w:rPr>
        <w:t>290</w:t>
      </w:r>
      <w:r>
        <w:rPr>
          <w:sz w:val="24"/>
        </w:rPr>
        <w:t>分钟，恢复试验阶段历时</w:t>
      </w:r>
      <w:r>
        <w:rPr>
          <w:sz w:val="24"/>
        </w:rPr>
        <w:t>180</w:t>
      </w:r>
      <w:r>
        <w:rPr>
          <w:sz w:val="24"/>
        </w:rPr>
        <w:t>分钟，水位最大降深为</w:t>
      </w:r>
      <w:r>
        <w:rPr>
          <w:sz w:val="24"/>
        </w:rPr>
        <w:t>1.50m</w:t>
      </w:r>
      <w:r>
        <w:rPr>
          <w:sz w:val="24"/>
        </w:rPr>
        <w:t>，涌水量为</w:t>
      </w:r>
      <w:r>
        <w:rPr>
          <w:sz w:val="24"/>
        </w:rPr>
        <w:t>27.08m</w:t>
      </w:r>
      <w:r>
        <w:rPr>
          <w:sz w:val="24"/>
          <w:vertAlign w:val="superscript"/>
        </w:rPr>
        <w:t>3</w:t>
      </w:r>
      <w:r>
        <w:rPr>
          <w:sz w:val="24"/>
        </w:rPr>
        <w:t>/h</w:t>
      </w:r>
      <w:r>
        <w:rPr>
          <w:sz w:val="24"/>
        </w:rPr>
        <w:t>，单位涌水量</w:t>
      </w:r>
      <w:r>
        <w:rPr>
          <w:sz w:val="24"/>
        </w:rPr>
        <w:t>18.055</w:t>
      </w:r>
      <w:r>
        <w:rPr>
          <w:sz w:val="24"/>
          <w:szCs w:val="21"/>
        </w:rPr>
        <w:t>m³/h·m</w:t>
      </w:r>
      <w:r>
        <w:rPr>
          <w:sz w:val="24"/>
          <w:szCs w:val="21"/>
        </w:rPr>
        <w:t>，</w:t>
      </w:r>
      <w:r>
        <w:rPr>
          <w:sz w:val="24"/>
        </w:rPr>
        <w:t>抽水试验结束时刻水位恢复至试验前水位（</w:t>
      </w:r>
      <w:r>
        <w:rPr>
          <w:sz w:val="24"/>
        </w:rPr>
        <w:t>5.2-23</w:t>
      </w:r>
      <w:r>
        <w:rPr>
          <w:sz w:val="24"/>
        </w:rPr>
        <w:t>）。图</w:t>
      </w:r>
      <w:r>
        <w:rPr>
          <w:sz w:val="24"/>
        </w:rPr>
        <w:t>5.2-14</w:t>
      </w:r>
      <w:r>
        <w:rPr>
          <w:sz w:val="24"/>
        </w:rPr>
        <w:t>和图</w:t>
      </w:r>
      <w:r>
        <w:rPr>
          <w:sz w:val="24"/>
        </w:rPr>
        <w:t>5.2-15</w:t>
      </w:r>
      <w:r>
        <w:rPr>
          <w:sz w:val="24"/>
        </w:rPr>
        <w:t>为抽水试验水位降深和水位埋深分别对时间的变化曲线。</w:t>
      </w:r>
    </w:p>
    <w:p w:rsidR="00DB7CC8" w:rsidRDefault="002B5250">
      <w:pPr>
        <w:autoSpaceDE w:val="0"/>
        <w:autoSpaceDN w:val="0"/>
        <w:ind w:firstLine="420"/>
        <w:jc w:val="center"/>
        <w:rPr>
          <w:rFonts w:eastAsia="黑体"/>
          <w:sz w:val="21"/>
          <w:szCs w:val="21"/>
        </w:rPr>
      </w:pPr>
      <w:r>
        <w:rPr>
          <w:rFonts w:eastAsia="黑体"/>
          <w:sz w:val="21"/>
          <w:szCs w:val="21"/>
        </w:rPr>
        <w:t xml:space="preserve">5.2-23  </w:t>
      </w:r>
      <w:r>
        <w:rPr>
          <w:rFonts w:eastAsia="黑体"/>
          <w:sz w:val="21"/>
          <w:szCs w:val="21"/>
        </w:rPr>
        <w:t>刁庄子村抽水试验结果</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1"/>
        <w:gridCol w:w="1163"/>
        <w:gridCol w:w="1164"/>
        <w:gridCol w:w="1578"/>
        <w:gridCol w:w="1520"/>
        <w:gridCol w:w="1078"/>
        <w:gridCol w:w="858"/>
      </w:tblGrid>
      <w:tr w:rsidR="00DB7CC8">
        <w:trPr>
          <w:trHeight w:val="340"/>
        </w:trPr>
        <w:tc>
          <w:tcPr>
            <w:tcW w:w="1161" w:type="dxa"/>
            <w:vAlign w:val="center"/>
          </w:tcPr>
          <w:p w:rsidR="00DB7CC8" w:rsidRDefault="002B5250">
            <w:pPr>
              <w:spacing w:line="280" w:lineRule="exact"/>
              <w:ind w:firstLineChars="0" w:firstLine="0"/>
              <w:jc w:val="center"/>
              <w:rPr>
                <w:sz w:val="21"/>
                <w:szCs w:val="21"/>
              </w:rPr>
            </w:pPr>
            <w:r>
              <w:rPr>
                <w:sz w:val="21"/>
                <w:szCs w:val="21"/>
              </w:rPr>
              <w:t>试验时间</w:t>
            </w:r>
          </w:p>
        </w:tc>
        <w:tc>
          <w:tcPr>
            <w:tcW w:w="2327" w:type="dxa"/>
            <w:gridSpan w:val="2"/>
            <w:vAlign w:val="center"/>
          </w:tcPr>
          <w:p w:rsidR="00DB7CC8" w:rsidRDefault="002B5250">
            <w:pPr>
              <w:spacing w:line="280" w:lineRule="exact"/>
              <w:ind w:firstLineChars="0" w:firstLine="0"/>
              <w:jc w:val="center"/>
              <w:rPr>
                <w:sz w:val="21"/>
                <w:szCs w:val="21"/>
              </w:rPr>
            </w:pPr>
            <w:r>
              <w:rPr>
                <w:sz w:val="21"/>
                <w:szCs w:val="21"/>
              </w:rPr>
              <w:t>2018.7.28</w:t>
            </w:r>
          </w:p>
        </w:tc>
        <w:tc>
          <w:tcPr>
            <w:tcW w:w="1578" w:type="dxa"/>
            <w:vAlign w:val="center"/>
          </w:tcPr>
          <w:p w:rsidR="00DB7CC8" w:rsidRDefault="002B5250">
            <w:pPr>
              <w:spacing w:line="280" w:lineRule="exact"/>
              <w:ind w:firstLineChars="0" w:firstLine="0"/>
              <w:jc w:val="center"/>
              <w:rPr>
                <w:sz w:val="21"/>
                <w:szCs w:val="21"/>
              </w:rPr>
            </w:pPr>
            <w:r>
              <w:rPr>
                <w:sz w:val="21"/>
                <w:szCs w:val="21"/>
              </w:rPr>
              <w:t>井深</w:t>
            </w:r>
          </w:p>
        </w:tc>
        <w:tc>
          <w:tcPr>
            <w:tcW w:w="1520" w:type="dxa"/>
            <w:vAlign w:val="center"/>
          </w:tcPr>
          <w:p w:rsidR="00DB7CC8" w:rsidRDefault="002B5250">
            <w:pPr>
              <w:spacing w:line="280" w:lineRule="exact"/>
              <w:ind w:firstLineChars="0" w:firstLine="0"/>
              <w:jc w:val="center"/>
              <w:rPr>
                <w:sz w:val="21"/>
                <w:szCs w:val="21"/>
              </w:rPr>
            </w:pPr>
            <w:r>
              <w:rPr>
                <w:sz w:val="21"/>
                <w:szCs w:val="21"/>
              </w:rPr>
              <w:t>32m</w:t>
            </w:r>
          </w:p>
        </w:tc>
        <w:tc>
          <w:tcPr>
            <w:tcW w:w="1078" w:type="dxa"/>
            <w:vAlign w:val="center"/>
          </w:tcPr>
          <w:p w:rsidR="00DB7CC8" w:rsidRDefault="002B5250">
            <w:pPr>
              <w:spacing w:line="280" w:lineRule="exact"/>
              <w:ind w:firstLineChars="0" w:firstLine="0"/>
              <w:jc w:val="center"/>
              <w:rPr>
                <w:sz w:val="21"/>
                <w:szCs w:val="21"/>
              </w:rPr>
            </w:pPr>
            <w:r>
              <w:rPr>
                <w:sz w:val="21"/>
                <w:szCs w:val="21"/>
              </w:rPr>
              <w:t>井径</w:t>
            </w:r>
          </w:p>
        </w:tc>
        <w:tc>
          <w:tcPr>
            <w:tcW w:w="858" w:type="dxa"/>
            <w:vAlign w:val="center"/>
          </w:tcPr>
          <w:p w:rsidR="00DB7CC8" w:rsidRDefault="002B5250">
            <w:pPr>
              <w:spacing w:line="280" w:lineRule="exact"/>
              <w:ind w:firstLineChars="0" w:firstLine="0"/>
              <w:jc w:val="center"/>
              <w:rPr>
                <w:sz w:val="21"/>
                <w:szCs w:val="21"/>
              </w:rPr>
            </w:pPr>
            <w:r>
              <w:rPr>
                <w:sz w:val="21"/>
                <w:szCs w:val="21"/>
              </w:rPr>
              <w:t>300mm</w:t>
            </w:r>
          </w:p>
        </w:tc>
      </w:tr>
      <w:tr w:rsidR="00DB7CC8">
        <w:trPr>
          <w:trHeight w:val="371"/>
        </w:trPr>
        <w:tc>
          <w:tcPr>
            <w:tcW w:w="1161" w:type="dxa"/>
            <w:vAlign w:val="center"/>
          </w:tcPr>
          <w:p w:rsidR="00DB7CC8" w:rsidRDefault="002B5250">
            <w:pPr>
              <w:spacing w:line="280" w:lineRule="exact"/>
              <w:ind w:firstLineChars="0" w:firstLine="0"/>
              <w:jc w:val="center"/>
              <w:rPr>
                <w:sz w:val="21"/>
                <w:szCs w:val="21"/>
              </w:rPr>
            </w:pPr>
            <w:r>
              <w:rPr>
                <w:sz w:val="21"/>
                <w:szCs w:val="21"/>
              </w:rPr>
              <w:t>地点</w:t>
            </w:r>
          </w:p>
        </w:tc>
        <w:tc>
          <w:tcPr>
            <w:tcW w:w="2327" w:type="dxa"/>
            <w:gridSpan w:val="2"/>
            <w:vAlign w:val="center"/>
          </w:tcPr>
          <w:p w:rsidR="00DB7CC8" w:rsidRDefault="002B5250">
            <w:pPr>
              <w:spacing w:line="280" w:lineRule="exact"/>
              <w:ind w:firstLineChars="0" w:firstLine="0"/>
              <w:jc w:val="center"/>
              <w:rPr>
                <w:sz w:val="21"/>
                <w:szCs w:val="21"/>
              </w:rPr>
            </w:pPr>
            <w:r>
              <w:rPr>
                <w:sz w:val="21"/>
              </w:rPr>
              <w:t>刁庄子村</w:t>
            </w:r>
          </w:p>
        </w:tc>
        <w:tc>
          <w:tcPr>
            <w:tcW w:w="3098" w:type="dxa"/>
            <w:gridSpan w:val="2"/>
            <w:vAlign w:val="center"/>
          </w:tcPr>
          <w:p w:rsidR="00DB7CC8" w:rsidRDefault="002B5250">
            <w:pPr>
              <w:spacing w:line="280" w:lineRule="exact"/>
              <w:ind w:firstLineChars="0" w:firstLine="0"/>
              <w:jc w:val="center"/>
              <w:rPr>
                <w:sz w:val="21"/>
                <w:szCs w:val="21"/>
              </w:rPr>
            </w:pPr>
            <w:r>
              <w:rPr>
                <w:sz w:val="21"/>
                <w:szCs w:val="21"/>
              </w:rPr>
              <w:t>静止水位埋深</w:t>
            </w:r>
          </w:p>
        </w:tc>
        <w:tc>
          <w:tcPr>
            <w:tcW w:w="1936" w:type="dxa"/>
            <w:gridSpan w:val="2"/>
            <w:vAlign w:val="center"/>
          </w:tcPr>
          <w:p w:rsidR="00DB7CC8" w:rsidRDefault="002B5250">
            <w:pPr>
              <w:spacing w:line="280" w:lineRule="exact"/>
              <w:ind w:firstLineChars="0" w:firstLine="0"/>
              <w:jc w:val="center"/>
              <w:rPr>
                <w:sz w:val="21"/>
                <w:szCs w:val="21"/>
              </w:rPr>
            </w:pPr>
            <w:r>
              <w:rPr>
                <w:sz w:val="21"/>
                <w:szCs w:val="21"/>
              </w:rPr>
              <w:t>19.50m</w:t>
            </w:r>
          </w:p>
        </w:tc>
      </w:tr>
      <w:tr w:rsidR="00DB7CC8">
        <w:trPr>
          <w:trHeight w:val="354"/>
        </w:trPr>
        <w:tc>
          <w:tcPr>
            <w:tcW w:w="1161" w:type="dxa"/>
            <w:vMerge w:val="restart"/>
            <w:vAlign w:val="center"/>
          </w:tcPr>
          <w:p w:rsidR="00DB7CC8" w:rsidRDefault="002B5250">
            <w:pPr>
              <w:spacing w:line="280" w:lineRule="exact"/>
              <w:ind w:firstLineChars="0" w:firstLine="0"/>
              <w:jc w:val="center"/>
              <w:rPr>
                <w:sz w:val="21"/>
                <w:szCs w:val="21"/>
              </w:rPr>
            </w:pPr>
            <w:r>
              <w:rPr>
                <w:sz w:val="21"/>
                <w:szCs w:val="21"/>
              </w:rPr>
              <w:t>抽水</w:t>
            </w:r>
          </w:p>
          <w:p w:rsidR="00DB7CC8" w:rsidRDefault="002B5250">
            <w:pPr>
              <w:spacing w:line="280" w:lineRule="exact"/>
              <w:ind w:firstLineChars="0" w:firstLine="0"/>
              <w:jc w:val="center"/>
              <w:rPr>
                <w:sz w:val="21"/>
                <w:szCs w:val="21"/>
              </w:rPr>
            </w:pPr>
            <w:r>
              <w:rPr>
                <w:sz w:val="21"/>
                <w:szCs w:val="21"/>
              </w:rPr>
              <w:lastRenderedPageBreak/>
              <w:t>试验</w:t>
            </w:r>
          </w:p>
        </w:tc>
        <w:tc>
          <w:tcPr>
            <w:tcW w:w="1163" w:type="dxa"/>
            <w:vAlign w:val="center"/>
          </w:tcPr>
          <w:p w:rsidR="00DB7CC8" w:rsidRDefault="002B5250">
            <w:pPr>
              <w:spacing w:line="280" w:lineRule="exact"/>
              <w:ind w:firstLineChars="0" w:firstLine="0"/>
              <w:jc w:val="center"/>
              <w:rPr>
                <w:sz w:val="21"/>
                <w:szCs w:val="21"/>
              </w:rPr>
            </w:pPr>
            <w:r>
              <w:rPr>
                <w:sz w:val="21"/>
                <w:szCs w:val="21"/>
              </w:rPr>
              <w:lastRenderedPageBreak/>
              <w:t>抽水时间</w:t>
            </w:r>
          </w:p>
        </w:tc>
        <w:tc>
          <w:tcPr>
            <w:tcW w:w="1164" w:type="dxa"/>
            <w:vAlign w:val="center"/>
          </w:tcPr>
          <w:p w:rsidR="00DB7CC8" w:rsidRDefault="002B5250">
            <w:pPr>
              <w:spacing w:line="280" w:lineRule="exact"/>
              <w:ind w:firstLineChars="0" w:firstLine="0"/>
              <w:jc w:val="center"/>
              <w:rPr>
                <w:sz w:val="21"/>
                <w:szCs w:val="21"/>
              </w:rPr>
            </w:pPr>
            <w:r>
              <w:rPr>
                <w:sz w:val="21"/>
                <w:szCs w:val="21"/>
              </w:rPr>
              <w:t>稳定时间</w:t>
            </w:r>
          </w:p>
        </w:tc>
        <w:tc>
          <w:tcPr>
            <w:tcW w:w="1578" w:type="dxa"/>
            <w:vAlign w:val="center"/>
          </w:tcPr>
          <w:p w:rsidR="00DB7CC8" w:rsidRDefault="002B5250">
            <w:pPr>
              <w:spacing w:line="280" w:lineRule="exact"/>
              <w:ind w:firstLineChars="0" w:firstLine="0"/>
              <w:jc w:val="center"/>
              <w:rPr>
                <w:sz w:val="21"/>
                <w:szCs w:val="21"/>
              </w:rPr>
            </w:pPr>
            <w:r>
              <w:rPr>
                <w:sz w:val="21"/>
                <w:szCs w:val="21"/>
              </w:rPr>
              <w:t>抽水量</w:t>
            </w:r>
          </w:p>
        </w:tc>
        <w:tc>
          <w:tcPr>
            <w:tcW w:w="1520" w:type="dxa"/>
            <w:vAlign w:val="center"/>
          </w:tcPr>
          <w:p w:rsidR="00DB7CC8" w:rsidRDefault="002B5250">
            <w:pPr>
              <w:spacing w:line="280" w:lineRule="exact"/>
              <w:ind w:firstLineChars="0" w:firstLine="0"/>
              <w:jc w:val="center"/>
              <w:rPr>
                <w:sz w:val="21"/>
                <w:szCs w:val="21"/>
              </w:rPr>
            </w:pPr>
            <w:r>
              <w:rPr>
                <w:sz w:val="21"/>
                <w:szCs w:val="21"/>
              </w:rPr>
              <w:t>降深</w:t>
            </w:r>
          </w:p>
        </w:tc>
        <w:tc>
          <w:tcPr>
            <w:tcW w:w="1936" w:type="dxa"/>
            <w:gridSpan w:val="2"/>
            <w:vAlign w:val="center"/>
          </w:tcPr>
          <w:p w:rsidR="00DB7CC8" w:rsidRDefault="002B5250">
            <w:pPr>
              <w:spacing w:line="280" w:lineRule="exact"/>
              <w:ind w:firstLineChars="0" w:firstLine="0"/>
              <w:jc w:val="center"/>
              <w:rPr>
                <w:sz w:val="21"/>
                <w:szCs w:val="21"/>
              </w:rPr>
            </w:pPr>
            <w:r>
              <w:rPr>
                <w:sz w:val="21"/>
                <w:szCs w:val="21"/>
              </w:rPr>
              <w:t>单位涌水量</w:t>
            </w:r>
          </w:p>
        </w:tc>
      </w:tr>
      <w:tr w:rsidR="00DB7CC8">
        <w:trPr>
          <w:trHeight w:val="382"/>
        </w:trPr>
        <w:tc>
          <w:tcPr>
            <w:tcW w:w="1161" w:type="dxa"/>
            <w:vMerge/>
            <w:vAlign w:val="center"/>
          </w:tcPr>
          <w:p w:rsidR="00DB7CC8" w:rsidRDefault="00DB7CC8">
            <w:pPr>
              <w:spacing w:line="280" w:lineRule="exact"/>
              <w:ind w:firstLineChars="0" w:firstLine="422"/>
              <w:jc w:val="center"/>
              <w:rPr>
                <w:rFonts w:ascii="隶书"/>
                <w:b/>
                <w:bCs/>
                <w:kern w:val="44"/>
                <w:sz w:val="21"/>
                <w:szCs w:val="21"/>
              </w:rPr>
            </w:pPr>
          </w:p>
        </w:tc>
        <w:tc>
          <w:tcPr>
            <w:tcW w:w="1163" w:type="dxa"/>
            <w:vAlign w:val="center"/>
          </w:tcPr>
          <w:p w:rsidR="00DB7CC8" w:rsidRDefault="002B5250">
            <w:pPr>
              <w:spacing w:line="280" w:lineRule="exact"/>
              <w:ind w:firstLineChars="0" w:firstLine="0"/>
              <w:jc w:val="center"/>
              <w:rPr>
                <w:sz w:val="21"/>
                <w:szCs w:val="21"/>
              </w:rPr>
            </w:pPr>
            <w:r>
              <w:rPr>
                <w:rFonts w:hint="eastAsia"/>
                <w:sz w:val="21"/>
                <w:szCs w:val="21"/>
              </w:rPr>
              <w:t>min</w:t>
            </w:r>
          </w:p>
        </w:tc>
        <w:tc>
          <w:tcPr>
            <w:tcW w:w="1164" w:type="dxa"/>
            <w:vAlign w:val="center"/>
          </w:tcPr>
          <w:p w:rsidR="00DB7CC8" w:rsidRDefault="002B5250">
            <w:pPr>
              <w:spacing w:line="280" w:lineRule="exact"/>
              <w:ind w:firstLineChars="0" w:firstLine="0"/>
              <w:jc w:val="center"/>
              <w:rPr>
                <w:sz w:val="21"/>
                <w:szCs w:val="21"/>
              </w:rPr>
            </w:pPr>
            <w:r>
              <w:rPr>
                <w:rFonts w:hint="eastAsia"/>
                <w:sz w:val="21"/>
                <w:szCs w:val="21"/>
              </w:rPr>
              <w:t>min</w:t>
            </w:r>
          </w:p>
        </w:tc>
        <w:tc>
          <w:tcPr>
            <w:tcW w:w="1578" w:type="dxa"/>
            <w:vAlign w:val="center"/>
          </w:tcPr>
          <w:p w:rsidR="00DB7CC8" w:rsidRDefault="002B5250">
            <w:pPr>
              <w:spacing w:line="280" w:lineRule="exact"/>
              <w:ind w:firstLineChars="0" w:firstLine="0"/>
              <w:jc w:val="center"/>
              <w:rPr>
                <w:sz w:val="21"/>
                <w:szCs w:val="21"/>
              </w:rPr>
            </w:pPr>
            <w:r>
              <w:rPr>
                <w:sz w:val="21"/>
                <w:szCs w:val="21"/>
              </w:rPr>
              <w:t>m³/h</w:t>
            </w:r>
          </w:p>
        </w:tc>
        <w:tc>
          <w:tcPr>
            <w:tcW w:w="1520" w:type="dxa"/>
            <w:vAlign w:val="center"/>
          </w:tcPr>
          <w:p w:rsidR="00DB7CC8" w:rsidRDefault="002B5250">
            <w:pPr>
              <w:spacing w:line="280" w:lineRule="exact"/>
              <w:ind w:firstLineChars="0" w:firstLine="0"/>
              <w:jc w:val="center"/>
              <w:rPr>
                <w:sz w:val="21"/>
                <w:szCs w:val="21"/>
              </w:rPr>
            </w:pPr>
            <w:r>
              <w:rPr>
                <w:sz w:val="21"/>
                <w:szCs w:val="21"/>
              </w:rPr>
              <w:t>m</w:t>
            </w:r>
          </w:p>
        </w:tc>
        <w:tc>
          <w:tcPr>
            <w:tcW w:w="1936" w:type="dxa"/>
            <w:gridSpan w:val="2"/>
            <w:vAlign w:val="center"/>
          </w:tcPr>
          <w:p w:rsidR="00DB7CC8" w:rsidRDefault="002B5250">
            <w:pPr>
              <w:spacing w:line="280" w:lineRule="exact"/>
              <w:ind w:firstLineChars="0" w:firstLine="0"/>
              <w:jc w:val="center"/>
              <w:rPr>
                <w:sz w:val="21"/>
                <w:szCs w:val="21"/>
              </w:rPr>
            </w:pPr>
            <w:r>
              <w:rPr>
                <w:sz w:val="21"/>
                <w:szCs w:val="21"/>
              </w:rPr>
              <w:t>m³/h·m</w:t>
            </w:r>
          </w:p>
        </w:tc>
      </w:tr>
      <w:tr w:rsidR="00DB7CC8">
        <w:trPr>
          <w:trHeight w:val="392"/>
        </w:trPr>
        <w:tc>
          <w:tcPr>
            <w:tcW w:w="1161" w:type="dxa"/>
            <w:vAlign w:val="center"/>
          </w:tcPr>
          <w:p w:rsidR="00DB7CC8" w:rsidRDefault="002B5250">
            <w:pPr>
              <w:spacing w:line="280" w:lineRule="exact"/>
              <w:ind w:firstLineChars="0" w:firstLine="0"/>
              <w:jc w:val="center"/>
              <w:rPr>
                <w:sz w:val="21"/>
                <w:szCs w:val="21"/>
              </w:rPr>
            </w:pPr>
            <w:r>
              <w:rPr>
                <w:sz w:val="21"/>
                <w:szCs w:val="21"/>
              </w:rPr>
              <w:t>抽水井</w:t>
            </w:r>
          </w:p>
        </w:tc>
        <w:tc>
          <w:tcPr>
            <w:tcW w:w="1163" w:type="dxa"/>
            <w:vAlign w:val="center"/>
          </w:tcPr>
          <w:p w:rsidR="00DB7CC8" w:rsidRDefault="002B5250">
            <w:pPr>
              <w:spacing w:line="280" w:lineRule="exact"/>
              <w:ind w:firstLineChars="0" w:firstLine="0"/>
              <w:jc w:val="center"/>
              <w:rPr>
                <w:sz w:val="21"/>
                <w:szCs w:val="21"/>
              </w:rPr>
            </w:pPr>
            <w:r>
              <w:rPr>
                <w:rFonts w:hint="eastAsia"/>
                <w:sz w:val="21"/>
                <w:szCs w:val="21"/>
              </w:rPr>
              <w:t>480</w:t>
            </w:r>
          </w:p>
        </w:tc>
        <w:tc>
          <w:tcPr>
            <w:tcW w:w="1164" w:type="dxa"/>
            <w:vAlign w:val="center"/>
          </w:tcPr>
          <w:p w:rsidR="00DB7CC8" w:rsidRDefault="002B5250">
            <w:pPr>
              <w:spacing w:line="280" w:lineRule="exact"/>
              <w:ind w:firstLineChars="0" w:firstLine="0"/>
              <w:jc w:val="center"/>
              <w:rPr>
                <w:sz w:val="21"/>
                <w:szCs w:val="21"/>
              </w:rPr>
            </w:pPr>
            <w:r>
              <w:rPr>
                <w:rFonts w:hint="eastAsia"/>
                <w:sz w:val="21"/>
                <w:szCs w:val="21"/>
              </w:rPr>
              <w:t>290</w:t>
            </w:r>
          </w:p>
        </w:tc>
        <w:tc>
          <w:tcPr>
            <w:tcW w:w="1578" w:type="dxa"/>
            <w:vAlign w:val="center"/>
          </w:tcPr>
          <w:p w:rsidR="00DB7CC8" w:rsidRDefault="002B5250">
            <w:pPr>
              <w:spacing w:line="280" w:lineRule="exact"/>
              <w:ind w:firstLineChars="0" w:firstLine="0"/>
              <w:jc w:val="center"/>
              <w:rPr>
                <w:sz w:val="21"/>
                <w:szCs w:val="21"/>
              </w:rPr>
            </w:pPr>
            <w:r>
              <w:rPr>
                <w:rFonts w:hint="eastAsia"/>
                <w:sz w:val="21"/>
                <w:szCs w:val="21"/>
              </w:rPr>
              <w:t>27.08</w:t>
            </w:r>
          </w:p>
        </w:tc>
        <w:tc>
          <w:tcPr>
            <w:tcW w:w="1520" w:type="dxa"/>
            <w:vAlign w:val="center"/>
          </w:tcPr>
          <w:p w:rsidR="00DB7CC8" w:rsidRDefault="002B5250">
            <w:pPr>
              <w:spacing w:line="280" w:lineRule="exact"/>
              <w:ind w:firstLineChars="0" w:firstLine="0"/>
              <w:jc w:val="center"/>
              <w:rPr>
                <w:sz w:val="21"/>
                <w:szCs w:val="21"/>
              </w:rPr>
            </w:pPr>
            <w:r>
              <w:rPr>
                <w:rFonts w:hint="eastAsia"/>
                <w:sz w:val="21"/>
                <w:szCs w:val="21"/>
              </w:rPr>
              <w:t>1.50</w:t>
            </w:r>
          </w:p>
        </w:tc>
        <w:tc>
          <w:tcPr>
            <w:tcW w:w="1936" w:type="dxa"/>
            <w:gridSpan w:val="2"/>
            <w:vAlign w:val="center"/>
          </w:tcPr>
          <w:p w:rsidR="00DB7CC8" w:rsidRDefault="002B5250">
            <w:pPr>
              <w:spacing w:line="280" w:lineRule="exact"/>
              <w:ind w:firstLineChars="0" w:firstLine="0"/>
              <w:jc w:val="center"/>
              <w:rPr>
                <w:sz w:val="21"/>
                <w:szCs w:val="21"/>
              </w:rPr>
            </w:pPr>
            <w:r>
              <w:rPr>
                <w:rFonts w:hint="eastAsia"/>
                <w:sz w:val="21"/>
                <w:szCs w:val="21"/>
              </w:rPr>
              <w:t>18.055</w:t>
            </w:r>
          </w:p>
        </w:tc>
      </w:tr>
    </w:tbl>
    <w:p w:rsidR="00DB7CC8" w:rsidRDefault="002B5250">
      <w:pPr>
        <w:autoSpaceDE w:val="0"/>
        <w:autoSpaceDN w:val="0"/>
        <w:spacing w:beforeLines="50" w:before="120"/>
        <w:ind w:firstLine="560"/>
        <w:jc w:val="center"/>
        <w:rPr>
          <w:rFonts w:ascii="黑体" w:eastAsia="黑体" w:hAnsi="黑体"/>
          <w:sz w:val="21"/>
          <w:szCs w:val="21"/>
        </w:rPr>
      </w:pPr>
      <w:r>
        <w:rPr>
          <w:rFonts w:eastAsia="黑体" w:hint="eastAsia"/>
          <w:noProof/>
        </w:rPr>
        <w:drawing>
          <wp:inline distT="0" distB="0" distL="114300" distR="114300">
            <wp:extent cx="4749165" cy="2908300"/>
            <wp:effectExtent l="0" t="0" r="13335" b="6350"/>
            <wp:docPr id="20" name="图片 20" descr="15651658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565165861(1)"/>
                    <pic:cNvPicPr>
                      <a:picLocks noChangeAspect="1"/>
                    </pic:cNvPicPr>
                  </pic:nvPicPr>
                  <pic:blipFill>
                    <a:blip r:embed="rId68"/>
                    <a:stretch>
                      <a:fillRect/>
                    </a:stretch>
                  </pic:blipFill>
                  <pic:spPr>
                    <a:xfrm>
                      <a:off x="0" y="0"/>
                      <a:ext cx="4749165" cy="2908300"/>
                    </a:xfrm>
                    <a:prstGeom prst="rect">
                      <a:avLst/>
                    </a:prstGeom>
                  </pic:spPr>
                </pic:pic>
              </a:graphicData>
            </a:graphic>
          </wp:inline>
        </w:drawing>
      </w:r>
    </w:p>
    <w:p w:rsidR="00DB7CC8" w:rsidRDefault="002B5250">
      <w:pPr>
        <w:spacing w:line="240" w:lineRule="auto"/>
        <w:ind w:firstLineChars="0" w:firstLine="0"/>
        <w:jc w:val="center"/>
        <w:textAlignment w:val="auto"/>
        <w:rPr>
          <w:rFonts w:eastAsia="黑体"/>
          <w:kern w:val="2"/>
          <w:sz w:val="21"/>
          <w:szCs w:val="21"/>
        </w:rPr>
      </w:pPr>
      <w:r>
        <w:rPr>
          <w:rFonts w:eastAsia="黑体" w:hint="eastAsia"/>
          <w:kern w:val="2"/>
          <w:sz w:val="21"/>
          <w:szCs w:val="21"/>
        </w:rPr>
        <w:t>图</w:t>
      </w:r>
      <w:r>
        <w:rPr>
          <w:rFonts w:eastAsia="黑体"/>
          <w:kern w:val="2"/>
          <w:sz w:val="21"/>
          <w:szCs w:val="21"/>
        </w:rPr>
        <w:t xml:space="preserve">5.2-14 </w:t>
      </w:r>
      <w:r>
        <w:rPr>
          <w:rFonts w:eastAsia="黑体" w:hint="eastAsia"/>
          <w:kern w:val="2"/>
          <w:sz w:val="21"/>
          <w:szCs w:val="21"/>
        </w:rPr>
        <w:t xml:space="preserve">  </w:t>
      </w:r>
      <w:r>
        <w:rPr>
          <w:rFonts w:eastAsia="黑体" w:hint="eastAsia"/>
          <w:kern w:val="2"/>
          <w:sz w:val="21"/>
          <w:szCs w:val="21"/>
        </w:rPr>
        <w:t>刁庄子村抽水试验水位埋深</w:t>
      </w:r>
      <w:r>
        <w:rPr>
          <w:rFonts w:eastAsia="黑体" w:hint="eastAsia"/>
          <w:kern w:val="2"/>
          <w:sz w:val="21"/>
          <w:szCs w:val="21"/>
        </w:rPr>
        <w:t>-</w:t>
      </w:r>
      <w:r>
        <w:rPr>
          <w:rFonts w:eastAsia="黑体" w:hint="eastAsia"/>
          <w:kern w:val="2"/>
          <w:sz w:val="21"/>
          <w:szCs w:val="21"/>
        </w:rPr>
        <w:t>时间曲线</w:t>
      </w:r>
    </w:p>
    <w:p w:rsidR="00DB7CC8" w:rsidRDefault="002B5250">
      <w:pPr>
        <w:autoSpaceDE w:val="0"/>
        <w:autoSpaceDN w:val="0"/>
        <w:ind w:firstLine="420"/>
        <w:jc w:val="center"/>
        <w:rPr>
          <w:rFonts w:ascii="黑体" w:eastAsia="黑体" w:hAnsi="黑体"/>
          <w:sz w:val="21"/>
          <w:szCs w:val="21"/>
        </w:rPr>
      </w:pPr>
      <w:r>
        <w:rPr>
          <w:rFonts w:ascii="黑体" w:eastAsia="黑体" w:hAnsi="黑体" w:hint="eastAsia"/>
          <w:noProof/>
          <w:sz w:val="21"/>
          <w:szCs w:val="21"/>
        </w:rPr>
        <w:drawing>
          <wp:inline distT="0" distB="0" distL="114300" distR="114300">
            <wp:extent cx="4709160" cy="2494280"/>
            <wp:effectExtent l="0" t="0" r="15240" b="1270"/>
            <wp:docPr id="1" name="图片 1" descr="1565165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565165956(1)"/>
                    <pic:cNvPicPr>
                      <a:picLocks noChangeAspect="1"/>
                    </pic:cNvPicPr>
                  </pic:nvPicPr>
                  <pic:blipFill>
                    <a:blip r:embed="rId69"/>
                    <a:stretch>
                      <a:fillRect/>
                    </a:stretch>
                  </pic:blipFill>
                  <pic:spPr>
                    <a:xfrm>
                      <a:off x="0" y="0"/>
                      <a:ext cx="4709160" cy="2494280"/>
                    </a:xfrm>
                    <a:prstGeom prst="rect">
                      <a:avLst/>
                    </a:prstGeom>
                  </pic:spPr>
                </pic:pic>
              </a:graphicData>
            </a:graphic>
          </wp:inline>
        </w:drawing>
      </w:r>
    </w:p>
    <w:p w:rsidR="00DB7CC8" w:rsidRDefault="002B5250">
      <w:pPr>
        <w:ind w:firstLineChars="0" w:firstLine="0"/>
        <w:jc w:val="center"/>
        <w:textAlignment w:val="auto"/>
        <w:rPr>
          <w:rFonts w:eastAsia="黑体"/>
          <w:kern w:val="2"/>
          <w:sz w:val="21"/>
          <w:szCs w:val="21"/>
        </w:rPr>
      </w:pPr>
      <w:r>
        <w:rPr>
          <w:rFonts w:eastAsia="黑体" w:hint="eastAsia"/>
          <w:kern w:val="2"/>
          <w:sz w:val="21"/>
          <w:szCs w:val="21"/>
        </w:rPr>
        <w:t>图</w:t>
      </w:r>
      <w:r>
        <w:rPr>
          <w:rFonts w:eastAsia="黑体"/>
          <w:kern w:val="2"/>
          <w:sz w:val="21"/>
          <w:szCs w:val="21"/>
        </w:rPr>
        <w:t>5.2-15</w:t>
      </w:r>
      <w:r>
        <w:rPr>
          <w:rFonts w:eastAsia="黑体" w:hint="eastAsia"/>
          <w:kern w:val="2"/>
          <w:sz w:val="21"/>
          <w:szCs w:val="21"/>
        </w:rPr>
        <w:t xml:space="preserve">  </w:t>
      </w:r>
      <w:r>
        <w:rPr>
          <w:rFonts w:eastAsia="黑体"/>
          <w:kern w:val="2"/>
          <w:sz w:val="21"/>
          <w:szCs w:val="21"/>
        </w:rPr>
        <w:t xml:space="preserve"> </w:t>
      </w:r>
      <w:r>
        <w:rPr>
          <w:rFonts w:eastAsia="黑体" w:hint="eastAsia"/>
          <w:kern w:val="2"/>
          <w:sz w:val="21"/>
          <w:szCs w:val="21"/>
        </w:rPr>
        <w:t>刁庄子村抽水试验水位降深</w:t>
      </w:r>
      <w:r>
        <w:rPr>
          <w:rFonts w:eastAsia="黑体" w:hint="eastAsia"/>
          <w:kern w:val="2"/>
          <w:sz w:val="21"/>
          <w:szCs w:val="21"/>
        </w:rPr>
        <w:t>-</w:t>
      </w:r>
      <w:r>
        <w:rPr>
          <w:rFonts w:eastAsia="黑体" w:hint="eastAsia"/>
          <w:kern w:val="2"/>
          <w:sz w:val="21"/>
          <w:szCs w:val="21"/>
        </w:rPr>
        <w:t>时间曲线</w:t>
      </w:r>
    </w:p>
    <w:p w:rsidR="00DB7CC8" w:rsidRDefault="002B5250">
      <w:pPr>
        <w:autoSpaceDE w:val="0"/>
        <w:autoSpaceDN w:val="0"/>
        <w:ind w:firstLine="480"/>
        <w:rPr>
          <w:rFonts w:eastAsia="黑体"/>
          <w:sz w:val="21"/>
          <w:szCs w:val="21"/>
        </w:rPr>
      </w:pPr>
      <w:r>
        <w:rPr>
          <w:rFonts w:hint="eastAsia"/>
          <w:sz w:val="24"/>
        </w:rPr>
        <w:t>大安乐庄村抽水试验井深为</w:t>
      </w:r>
      <w:r>
        <w:rPr>
          <w:rFonts w:hint="eastAsia"/>
          <w:sz w:val="24"/>
        </w:rPr>
        <w:t>30m</w:t>
      </w:r>
      <w:r>
        <w:rPr>
          <w:rFonts w:hint="eastAsia"/>
          <w:sz w:val="24"/>
        </w:rPr>
        <w:t>，井径</w:t>
      </w:r>
      <w:r>
        <w:rPr>
          <w:rFonts w:hint="eastAsia"/>
          <w:sz w:val="24"/>
        </w:rPr>
        <w:t>0.3m</w:t>
      </w:r>
      <w:r>
        <w:rPr>
          <w:rFonts w:hint="eastAsia"/>
          <w:sz w:val="24"/>
        </w:rPr>
        <w:t>，静止水位埋深</w:t>
      </w:r>
      <w:r>
        <w:rPr>
          <w:rFonts w:hint="eastAsia"/>
          <w:sz w:val="24"/>
        </w:rPr>
        <w:t>14.2m</w:t>
      </w:r>
      <w:r>
        <w:rPr>
          <w:rFonts w:hint="eastAsia"/>
          <w:sz w:val="24"/>
        </w:rPr>
        <w:t>，整个抽水试验历时</w:t>
      </w:r>
      <w:r>
        <w:rPr>
          <w:rFonts w:hint="eastAsia"/>
          <w:sz w:val="24"/>
        </w:rPr>
        <w:t>600</w:t>
      </w:r>
      <w:r>
        <w:rPr>
          <w:rFonts w:hint="eastAsia"/>
          <w:sz w:val="24"/>
        </w:rPr>
        <w:t>分钟，其中抽水试验阶段历时</w:t>
      </w:r>
      <w:r>
        <w:rPr>
          <w:rFonts w:hint="eastAsia"/>
          <w:sz w:val="24"/>
        </w:rPr>
        <w:t>300</w:t>
      </w:r>
      <w:r>
        <w:rPr>
          <w:rFonts w:hint="eastAsia"/>
          <w:sz w:val="24"/>
        </w:rPr>
        <w:t>分钟，水位稳定时间</w:t>
      </w:r>
      <w:r>
        <w:rPr>
          <w:rFonts w:hint="eastAsia"/>
          <w:sz w:val="24"/>
        </w:rPr>
        <w:t>290</w:t>
      </w:r>
      <w:r>
        <w:rPr>
          <w:rFonts w:hint="eastAsia"/>
          <w:sz w:val="24"/>
        </w:rPr>
        <w:t>分钟，恢复试验阶段历时</w:t>
      </w:r>
      <w:r>
        <w:rPr>
          <w:rFonts w:hint="eastAsia"/>
          <w:sz w:val="24"/>
        </w:rPr>
        <w:t>300</w:t>
      </w:r>
      <w:r>
        <w:rPr>
          <w:rFonts w:hint="eastAsia"/>
          <w:sz w:val="24"/>
        </w:rPr>
        <w:t>分钟，水位最大降深为</w:t>
      </w:r>
      <w:r>
        <w:rPr>
          <w:rFonts w:hint="eastAsia"/>
          <w:sz w:val="24"/>
        </w:rPr>
        <w:t>2.50m</w:t>
      </w:r>
      <w:r>
        <w:rPr>
          <w:rFonts w:hint="eastAsia"/>
          <w:sz w:val="24"/>
        </w:rPr>
        <w:t>，涌水量为</w:t>
      </w:r>
      <w:r>
        <w:rPr>
          <w:rFonts w:hint="eastAsia"/>
          <w:sz w:val="24"/>
        </w:rPr>
        <w:t>43.75m</w:t>
      </w:r>
      <w:r>
        <w:rPr>
          <w:rFonts w:hint="eastAsia"/>
          <w:sz w:val="24"/>
          <w:vertAlign w:val="superscript"/>
        </w:rPr>
        <w:t>3</w:t>
      </w:r>
      <w:r>
        <w:rPr>
          <w:rFonts w:hint="eastAsia"/>
          <w:sz w:val="24"/>
        </w:rPr>
        <w:t>/h</w:t>
      </w:r>
      <w:r>
        <w:rPr>
          <w:rFonts w:hint="eastAsia"/>
          <w:sz w:val="24"/>
        </w:rPr>
        <w:t>，单位涌水量</w:t>
      </w:r>
      <w:r>
        <w:rPr>
          <w:rFonts w:hint="eastAsia"/>
          <w:sz w:val="24"/>
        </w:rPr>
        <w:t>17.5</w:t>
      </w:r>
      <w:r>
        <w:rPr>
          <w:sz w:val="24"/>
          <w:szCs w:val="21"/>
        </w:rPr>
        <w:t>m³/h·m</w:t>
      </w:r>
      <w:r>
        <w:rPr>
          <w:rFonts w:hint="eastAsia"/>
          <w:sz w:val="24"/>
        </w:rPr>
        <w:t>，抽水试验结束时刻水位恢复至试验前水位（表</w:t>
      </w:r>
      <w:r>
        <w:rPr>
          <w:sz w:val="24"/>
        </w:rPr>
        <w:t>5.2-2</w:t>
      </w:r>
      <w:r>
        <w:rPr>
          <w:rFonts w:hint="eastAsia"/>
          <w:sz w:val="24"/>
        </w:rPr>
        <w:t>4</w:t>
      </w:r>
      <w:r>
        <w:rPr>
          <w:rFonts w:hint="eastAsia"/>
          <w:sz w:val="24"/>
        </w:rPr>
        <w:t>）。图</w:t>
      </w:r>
      <w:r>
        <w:rPr>
          <w:sz w:val="24"/>
        </w:rPr>
        <w:t>5.2-16</w:t>
      </w:r>
      <w:r>
        <w:rPr>
          <w:rFonts w:hint="eastAsia"/>
          <w:sz w:val="24"/>
        </w:rPr>
        <w:t>和图</w:t>
      </w:r>
      <w:r>
        <w:rPr>
          <w:sz w:val="24"/>
        </w:rPr>
        <w:t>5.2-17</w:t>
      </w:r>
      <w:r>
        <w:rPr>
          <w:rFonts w:hint="eastAsia"/>
          <w:sz w:val="24"/>
        </w:rPr>
        <w:t>为抽水试验水位降深和水位埋深分别对时间的变化曲线。</w:t>
      </w:r>
    </w:p>
    <w:p w:rsidR="00DB7CC8" w:rsidRDefault="002B5250">
      <w:pPr>
        <w:autoSpaceDE w:val="0"/>
        <w:autoSpaceDN w:val="0"/>
        <w:ind w:firstLine="420"/>
        <w:jc w:val="center"/>
        <w:rPr>
          <w:rFonts w:ascii="黑体" w:eastAsia="黑体" w:hAnsi="黑体"/>
          <w:sz w:val="21"/>
          <w:szCs w:val="21"/>
        </w:rPr>
      </w:pPr>
      <w:r>
        <w:rPr>
          <w:rFonts w:eastAsia="黑体"/>
          <w:sz w:val="21"/>
          <w:szCs w:val="21"/>
        </w:rPr>
        <w:t xml:space="preserve">5.2-24   </w:t>
      </w:r>
      <w:r>
        <w:rPr>
          <w:rFonts w:ascii="黑体" w:eastAsia="黑体" w:hAnsi="黑体"/>
          <w:sz w:val="21"/>
          <w:szCs w:val="21"/>
        </w:rPr>
        <w:t>大</w:t>
      </w:r>
      <w:r>
        <w:rPr>
          <w:rFonts w:ascii="黑体" w:eastAsia="黑体" w:hAnsi="黑体" w:hint="eastAsia"/>
          <w:sz w:val="21"/>
          <w:szCs w:val="21"/>
        </w:rPr>
        <w:t>安乐庄村抽水试验结果</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1"/>
        <w:gridCol w:w="1163"/>
        <w:gridCol w:w="1164"/>
        <w:gridCol w:w="1578"/>
        <w:gridCol w:w="1520"/>
        <w:gridCol w:w="1078"/>
        <w:gridCol w:w="858"/>
      </w:tblGrid>
      <w:tr w:rsidR="00DB7CC8">
        <w:trPr>
          <w:trHeight w:val="555"/>
        </w:trPr>
        <w:tc>
          <w:tcPr>
            <w:tcW w:w="1161" w:type="dxa"/>
            <w:vAlign w:val="center"/>
          </w:tcPr>
          <w:p w:rsidR="00DB7CC8" w:rsidRDefault="002B5250">
            <w:pPr>
              <w:spacing w:line="240" w:lineRule="exact"/>
              <w:ind w:firstLineChars="0" w:firstLine="0"/>
              <w:jc w:val="center"/>
              <w:rPr>
                <w:sz w:val="21"/>
                <w:szCs w:val="21"/>
              </w:rPr>
            </w:pPr>
            <w:r>
              <w:rPr>
                <w:sz w:val="21"/>
                <w:szCs w:val="21"/>
              </w:rPr>
              <w:t>试验</w:t>
            </w:r>
          </w:p>
          <w:p w:rsidR="00DB7CC8" w:rsidRDefault="002B5250">
            <w:pPr>
              <w:spacing w:line="240" w:lineRule="exact"/>
              <w:ind w:firstLineChars="0" w:firstLine="0"/>
              <w:jc w:val="center"/>
              <w:rPr>
                <w:sz w:val="21"/>
                <w:szCs w:val="21"/>
              </w:rPr>
            </w:pPr>
            <w:r>
              <w:rPr>
                <w:sz w:val="21"/>
                <w:szCs w:val="21"/>
              </w:rPr>
              <w:t>时间</w:t>
            </w:r>
          </w:p>
        </w:tc>
        <w:tc>
          <w:tcPr>
            <w:tcW w:w="2327" w:type="dxa"/>
            <w:gridSpan w:val="2"/>
            <w:vAlign w:val="center"/>
          </w:tcPr>
          <w:p w:rsidR="00DB7CC8" w:rsidRDefault="002B5250">
            <w:pPr>
              <w:spacing w:line="240" w:lineRule="exact"/>
              <w:ind w:firstLineChars="0" w:firstLine="0"/>
              <w:jc w:val="center"/>
              <w:rPr>
                <w:sz w:val="21"/>
                <w:szCs w:val="21"/>
              </w:rPr>
            </w:pPr>
            <w:r>
              <w:rPr>
                <w:sz w:val="21"/>
                <w:szCs w:val="21"/>
              </w:rPr>
              <w:t>201</w:t>
            </w:r>
            <w:r>
              <w:rPr>
                <w:rFonts w:hint="eastAsia"/>
                <w:sz w:val="21"/>
                <w:szCs w:val="21"/>
              </w:rPr>
              <w:t>8</w:t>
            </w:r>
            <w:r>
              <w:rPr>
                <w:sz w:val="21"/>
                <w:szCs w:val="21"/>
              </w:rPr>
              <w:t>.</w:t>
            </w:r>
            <w:r>
              <w:rPr>
                <w:rFonts w:hint="eastAsia"/>
                <w:sz w:val="21"/>
                <w:szCs w:val="21"/>
              </w:rPr>
              <w:t>7</w:t>
            </w:r>
            <w:r>
              <w:rPr>
                <w:sz w:val="21"/>
                <w:szCs w:val="21"/>
              </w:rPr>
              <w:t>.</w:t>
            </w:r>
            <w:r>
              <w:rPr>
                <w:rFonts w:hint="eastAsia"/>
                <w:sz w:val="21"/>
                <w:szCs w:val="21"/>
              </w:rPr>
              <w:t>28</w:t>
            </w:r>
          </w:p>
        </w:tc>
        <w:tc>
          <w:tcPr>
            <w:tcW w:w="1578" w:type="dxa"/>
            <w:vAlign w:val="center"/>
          </w:tcPr>
          <w:p w:rsidR="00DB7CC8" w:rsidRDefault="002B5250">
            <w:pPr>
              <w:spacing w:line="240" w:lineRule="exact"/>
              <w:ind w:firstLineChars="0" w:firstLine="0"/>
              <w:jc w:val="center"/>
              <w:rPr>
                <w:sz w:val="21"/>
                <w:szCs w:val="21"/>
              </w:rPr>
            </w:pPr>
            <w:r>
              <w:rPr>
                <w:sz w:val="21"/>
                <w:szCs w:val="21"/>
              </w:rPr>
              <w:t>井深</w:t>
            </w:r>
          </w:p>
        </w:tc>
        <w:tc>
          <w:tcPr>
            <w:tcW w:w="1520" w:type="dxa"/>
            <w:vAlign w:val="center"/>
          </w:tcPr>
          <w:p w:rsidR="00DB7CC8" w:rsidRDefault="002B5250">
            <w:pPr>
              <w:spacing w:line="240" w:lineRule="exact"/>
              <w:ind w:firstLineChars="0" w:firstLine="0"/>
              <w:jc w:val="center"/>
              <w:rPr>
                <w:sz w:val="21"/>
                <w:szCs w:val="21"/>
              </w:rPr>
            </w:pPr>
            <w:r>
              <w:rPr>
                <w:rFonts w:hint="eastAsia"/>
                <w:sz w:val="21"/>
                <w:szCs w:val="21"/>
              </w:rPr>
              <w:t>32</w:t>
            </w:r>
            <w:r>
              <w:rPr>
                <w:sz w:val="21"/>
                <w:szCs w:val="21"/>
              </w:rPr>
              <w:t>m</w:t>
            </w:r>
          </w:p>
        </w:tc>
        <w:tc>
          <w:tcPr>
            <w:tcW w:w="1078" w:type="dxa"/>
            <w:vAlign w:val="center"/>
          </w:tcPr>
          <w:p w:rsidR="00DB7CC8" w:rsidRDefault="002B5250">
            <w:pPr>
              <w:spacing w:line="240" w:lineRule="exact"/>
              <w:ind w:firstLineChars="0" w:firstLine="0"/>
              <w:jc w:val="center"/>
              <w:rPr>
                <w:sz w:val="21"/>
                <w:szCs w:val="21"/>
              </w:rPr>
            </w:pPr>
            <w:r>
              <w:rPr>
                <w:sz w:val="21"/>
                <w:szCs w:val="21"/>
              </w:rPr>
              <w:t>井径</w:t>
            </w:r>
          </w:p>
        </w:tc>
        <w:tc>
          <w:tcPr>
            <w:tcW w:w="858" w:type="dxa"/>
            <w:vAlign w:val="center"/>
          </w:tcPr>
          <w:p w:rsidR="00DB7CC8" w:rsidRDefault="002B5250">
            <w:pPr>
              <w:spacing w:line="240" w:lineRule="exact"/>
              <w:ind w:firstLineChars="0" w:firstLine="0"/>
              <w:jc w:val="center"/>
              <w:rPr>
                <w:sz w:val="21"/>
                <w:szCs w:val="21"/>
              </w:rPr>
            </w:pPr>
            <w:r>
              <w:rPr>
                <w:rFonts w:hint="eastAsia"/>
                <w:sz w:val="21"/>
                <w:szCs w:val="21"/>
              </w:rPr>
              <w:t>300mm</w:t>
            </w:r>
          </w:p>
        </w:tc>
      </w:tr>
      <w:tr w:rsidR="00DB7CC8">
        <w:trPr>
          <w:trHeight w:val="371"/>
        </w:trPr>
        <w:tc>
          <w:tcPr>
            <w:tcW w:w="1161" w:type="dxa"/>
            <w:vAlign w:val="center"/>
          </w:tcPr>
          <w:p w:rsidR="00DB7CC8" w:rsidRDefault="002B5250">
            <w:pPr>
              <w:spacing w:line="240" w:lineRule="exact"/>
              <w:ind w:firstLineChars="0" w:firstLine="0"/>
              <w:jc w:val="center"/>
              <w:rPr>
                <w:sz w:val="21"/>
                <w:szCs w:val="21"/>
              </w:rPr>
            </w:pPr>
            <w:r>
              <w:rPr>
                <w:sz w:val="21"/>
                <w:szCs w:val="21"/>
              </w:rPr>
              <w:t>地点</w:t>
            </w:r>
          </w:p>
        </w:tc>
        <w:tc>
          <w:tcPr>
            <w:tcW w:w="2327" w:type="dxa"/>
            <w:gridSpan w:val="2"/>
            <w:vAlign w:val="center"/>
          </w:tcPr>
          <w:p w:rsidR="00DB7CC8" w:rsidRDefault="002B5250">
            <w:pPr>
              <w:spacing w:line="240" w:lineRule="exact"/>
              <w:ind w:firstLineChars="0" w:firstLine="0"/>
              <w:jc w:val="center"/>
              <w:rPr>
                <w:sz w:val="21"/>
                <w:szCs w:val="21"/>
              </w:rPr>
            </w:pPr>
            <w:r>
              <w:rPr>
                <w:rFonts w:hint="eastAsia"/>
                <w:sz w:val="21"/>
              </w:rPr>
              <w:t>大安乐庄村</w:t>
            </w:r>
          </w:p>
        </w:tc>
        <w:tc>
          <w:tcPr>
            <w:tcW w:w="3098" w:type="dxa"/>
            <w:gridSpan w:val="2"/>
            <w:vAlign w:val="center"/>
          </w:tcPr>
          <w:p w:rsidR="00DB7CC8" w:rsidRDefault="002B5250">
            <w:pPr>
              <w:spacing w:line="240" w:lineRule="exact"/>
              <w:ind w:firstLineChars="0" w:firstLine="0"/>
              <w:jc w:val="center"/>
              <w:rPr>
                <w:sz w:val="21"/>
                <w:szCs w:val="21"/>
              </w:rPr>
            </w:pPr>
            <w:r>
              <w:rPr>
                <w:sz w:val="21"/>
                <w:szCs w:val="21"/>
              </w:rPr>
              <w:t>静止水位埋深</w:t>
            </w:r>
          </w:p>
        </w:tc>
        <w:tc>
          <w:tcPr>
            <w:tcW w:w="1936" w:type="dxa"/>
            <w:gridSpan w:val="2"/>
            <w:vAlign w:val="center"/>
          </w:tcPr>
          <w:p w:rsidR="00DB7CC8" w:rsidRDefault="002B5250">
            <w:pPr>
              <w:spacing w:line="240" w:lineRule="exact"/>
              <w:ind w:firstLineChars="0" w:firstLine="0"/>
              <w:jc w:val="center"/>
              <w:rPr>
                <w:sz w:val="21"/>
                <w:szCs w:val="21"/>
              </w:rPr>
            </w:pPr>
            <w:r>
              <w:rPr>
                <w:rFonts w:hint="eastAsia"/>
                <w:sz w:val="21"/>
                <w:szCs w:val="21"/>
              </w:rPr>
              <w:t>14.2</w:t>
            </w:r>
            <w:r>
              <w:rPr>
                <w:sz w:val="21"/>
                <w:szCs w:val="21"/>
              </w:rPr>
              <w:t>m</w:t>
            </w:r>
          </w:p>
        </w:tc>
      </w:tr>
      <w:tr w:rsidR="00DB7CC8">
        <w:trPr>
          <w:trHeight w:val="555"/>
        </w:trPr>
        <w:tc>
          <w:tcPr>
            <w:tcW w:w="1161" w:type="dxa"/>
            <w:vMerge w:val="restart"/>
            <w:vAlign w:val="center"/>
          </w:tcPr>
          <w:p w:rsidR="00DB7CC8" w:rsidRDefault="002B5250">
            <w:pPr>
              <w:spacing w:line="240" w:lineRule="exact"/>
              <w:ind w:firstLineChars="0" w:firstLine="0"/>
              <w:jc w:val="center"/>
              <w:rPr>
                <w:sz w:val="21"/>
                <w:szCs w:val="21"/>
              </w:rPr>
            </w:pPr>
            <w:r>
              <w:rPr>
                <w:sz w:val="21"/>
                <w:szCs w:val="21"/>
              </w:rPr>
              <w:lastRenderedPageBreak/>
              <w:t>抽水</w:t>
            </w:r>
          </w:p>
          <w:p w:rsidR="00DB7CC8" w:rsidRDefault="002B5250">
            <w:pPr>
              <w:spacing w:line="240" w:lineRule="exact"/>
              <w:ind w:firstLineChars="0" w:firstLine="0"/>
              <w:jc w:val="center"/>
              <w:rPr>
                <w:sz w:val="21"/>
                <w:szCs w:val="21"/>
              </w:rPr>
            </w:pPr>
            <w:r>
              <w:rPr>
                <w:sz w:val="21"/>
                <w:szCs w:val="21"/>
              </w:rPr>
              <w:t>试验</w:t>
            </w:r>
          </w:p>
        </w:tc>
        <w:tc>
          <w:tcPr>
            <w:tcW w:w="1163" w:type="dxa"/>
            <w:vAlign w:val="center"/>
          </w:tcPr>
          <w:p w:rsidR="00DB7CC8" w:rsidRDefault="002B5250">
            <w:pPr>
              <w:spacing w:line="240" w:lineRule="exact"/>
              <w:ind w:firstLineChars="0" w:firstLine="0"/>
              <w:jc w:val="center"/>
              <w:rPr>
                <w:sz w:val="21"/>
                <w:szCs w:val="21"/>
              </w:rPr>
            </w:pPr>
            <w:r>
              <w:rPr>
                <w:sz w:val="21"/>
                <w:szCs w:val="21"/>
              </w:rPr>
              <w:t>抽水</w:t>
            </w:r>
          </w:p>
          <w:p w:rsidR="00DB7CC8" w:rsidRDefault="002B5250">
            <w:pPr>
              <w:spacing w:line="240" w:lineRule="exact"/>
              <w:ind w:firstLineChars="0" w:firstLine="0"/>
              <w:jc w:val="center"/>
              <w:rPr>
                <w:sz w:val="21"/>
                <w:szCs w:val="21"/>
              </w:rPr>
            </w:pPr>
            <w:r>
              <w:rPr>
                <w:sz w:val="21"/>
                <w:szCs w:val="21"/>
              </w:rPr>
              <w:t>时间</w:t>
            </w:r>
          </w:p>
        </w:tc>
        <w:tc>
          <w:tcPr>
            <w:tcW w:w="1164" w:type="dxa"/>
            <w:vAlign w:val="center"/>
          </w:tcPr>
          <w:p w:rsidR="00DB7CC8" w:rsidRDefault="002B5250">
            <w:pPr>
              <w:spacing w:line="240" w:lineRule="exact"/>
              <w:ind w:firstLineChars="0" w:firstLine="0"/>
              <w:jc w:val="center"/>
              <w:rPr>
                <w:sz w:val="21"/>
                <w:szCs w:val="21"/>
              </w:rPr>
            </w:pPr>
            <w:r>
              <w:rPr>
                <w:sz w:val="21"/>
                <w:szCs w:val="21"/>
              </w:rPr>
              <w:t>稳定</w:t>
            </w:r>
          </w:p>
          <w:p w:rsidR="00DB7CC8" w:rsidRDefault="002B5250">
            <w:pPr>
              <w:spacing w:line="240" w:lineRule="exact"/>
              <w:ind w:firstLineChars="0" w:firstLine="0"/>
              <w:jc w:val="center"/>
              <w:rPr>
                <w:sz w:val="21"/>
                <w:szCs w:val="21"/>
              </w:rPr>
            </w:pPr>
            <w:r>
              <w:rPr>
                <w:sz w:val="21"/>
                <w:szCs w:val="21"/>
              </w:rPr>
              <w:t>时间</w:t>
            </w:r>
          </w:p>
        </w:tc>
        <w:tc>
          <w:tcPr>
            <w:tcW w:w="1578" w:type="dxa"/>
            <w:vAlign w:val="center"/>
          </w:tcPr>
          <w:p w:rsidR="00DB7CC8" w:rsidRDefault="002B5250">
            <w:pPr>
              <w:spacing w:line="240" w:lineRule="exact"/>
              <w:ind w:firstLineChars="0" w:firstLine="0"/>
              <w:jc w:val="center"/>
              <w:rPr>
                <w:sz w:val="21"/>
                <w:szCs w:val="21"/>
              </w:rPr>
            </w:pPr>
            <w:r>
              <w:rPr>
                <w:sz w:val="21"/>
                <w:szCs w:val="21"/>
              </w:rPr>
              <w:t>抽水量</w:t>
            </w:r>
          </w:p>
        </w:tc>
        <w:tc>
          <w:tcPr>
            <w:tcW w:w="1520" w:type="dxa"/>
            <w:vAlign w:val="center"/>
          </w:tcPr>
          <w:p w:rsidR="00DB7CC8" w:rsidRDefault="002B5250">
            <w:pPr>
              <w:spacing w:line="240" w:lineRule="exact"/>
              <w:ind w:firstLineChars="0" w:firstLine="0"/>
              <w:jc w:val="center"/>
              <w:rPr>
                <w:sz w:val="21"/>
                <w:szCs w:val="21"/>
              </w:rPr>
            </w:pPr>
            <w:r>
              <w:rPr>
                <w:sz w:val="21"/>
                <w:szCs w:val="21"/>
              </w:rPr>
              <w:t>降深</w:t>
            </w:r>
          </w:p>
        </w:tc>
        <w:tc>
          <w:tcPr>
            <w:tcW w:w="1936" w:type="dxa"/>
            <w:gridSpan w:val="2"/>
            <w:vAlign w:val="center"/>
          </w:tcPr>
          <w:p w:rsidR="00DB7CC8" w:rsidRDefault="002B5250">
            <w:pPr>
              <w:spacing w:line="240" w:lineRule="exact"/>
              <w:ind w:firstLineChars="0" w:firstLine="0"/>
              <w:jc w:val="center"/>
              <w:rPr>
                <w:sz w:val="21"/>
                <w:szCs w:val="21"/>
              </w:rPr>
            </w:pPr>
            <w:r>
              <w:rPr>
                <w:sz w:val="21"/>
                <w:szCs w:val="21"/>
              </w:rPr>
              <w:t>单位</w:t>
            </w:r>
          </w:p>
          <w:p w:rsidR="00DB7CC8" w:rsidRDefault="002B5250">
            <w:pPr>
              <w:spacing w:line="240" w:lineRule="exact"/>
              <w:ind w:firstLineChars="0" w:firstLine="0"/>
              <w:jc w:val="center"/>
              <w:rPr>
                <w:sz w:val="21"/>
                <w:szCs w:val="21"/>
              </w:rPr>
            </w:pPr>
            <w:r>
              <w:rPr>
                <w:sz w:val="21"/>
                <w:szCs w:val="21"/>
              </w:rPr>
              <w:t>涌水量</w:t>
            </w:r>
          </w:p>
        </w:tc>
      </w:tr>
      <w:tr w:rsidR="00DB7CC8">
        <w:trPr>
          <w:trHeight w:val="382"/>
        </w:trPr>
        <w:tc>
          <w:tcPr>
            <w:tcW w:w="1161" w:type="dxa"/>
            <w:vMerge/>
            <w:vAlign w:val="center"/>
          </w:tcPr>
          <w:p w:rsidR="00DB7CC8" w:rsidRDefault="00DB7CC8">
            <w:pPr>
              <w:spacing w:line="240" w:lineRule="exact"/>
              <w:ind w:firstLineChars="0" w:firstLine="422"/>
              <w:jc w:val="center"/>
              <w:rPr>
                <w:rFonts w:ascii="隶书"/>
                <w:b/>
                <w:bCs/>
                <w:kern w:val="44"/>
                <w:sz w:val="21"/>
                <w:szCs w:val="21"/>
              </w:rPr>
            </w:pPr>
          </w:p>
        </w:tc>
        <w:tc>
          <w:tcPr>
            <w:tcW w:w="1163" w:type="dxa"/>
            <w:vAlign w:val="center"/>
          </w:tcPr>
          <w:p w:rsidR="00DB7CC8" w:rsidRDefault="002B5250">
            <w:pPr>
              <w:spacing w:line="240" w:lineRule="exact"/>
              <w:ind w:firstLineChars="0" w:firstLine="0"/>
              <w:jc w:val="center"/>
              <w:rPr>
                <w:sz w:val="21"/>
                <w:szCs w:val="21"/>
              </w:rPr>
            </w:pPr>
            <w:r>
              <w:rPr>
                <w:rFonts w:hint="eastAsia"/>
                <w:sz w:val="21"/>
                <w:szCs w:val="21"/>
              </w:rPr>
              <w:t>min</w:t>
            </w:r>
          </w:p>
        </w:tc>
        <w:tc>
          <w:tcPr>
            <w:tcW w:w="1164" w:type="dxa"/>
            <w:vAlign w:val="center"/>
          </w:tcPr>
          <w:p w:rsidR="00DB7CC8" w:rsidRDefault="002B5250">
            <w:pPr>
              <w:spacing w:line="240" w:lineRule="exact"/>
              <w:ind w:firstLineChars="0" w:firstLine="0"/>
              <w:jc w:val="center"/>
              <w:rPr>
                <w:sz w:val="21"/>
                <w:szCs w:val="21"/>
              </w:rPr>
            </w:pPr>
            <w:r>
              <w:rPr>
                <w:rFonts w:hint="eastAsia"/>
                <w:sz w:val="21"/>
                <w:szCs w:val="21"/>
              </w:rPr>
              <w:t>min</w:t>
            </w:r>
          </w:p>
        </w:tc>
        <w:tc>
          <w:tcPr>
            <w:tcW w:w="1578" w:type="dxa"/>
            <w:vAlign w:val="center"/>
          </w:tcPr>
          <w:p w:rsidR="00DB7CC8" w:rsidRDefault="002B5250">
            <w:pPr>
              <w:spacing w:line="240" w:lineRule="exact"/>
              <w:ind w:firstLineChars="0" w:firstLine="0"/>
              <w:jc w:val="center"/>
              <w:rPr>
                <w:sz w:val="21"/>
                <w:szCs w:val="21"/>
              </w:rPr>
            </w:pPr>
            <w:r>
              <w:rPr>
                <w:sz w:val="21"/>
                <w:szCs w:val="21"/>
              </w:rPr>
              <w:t>m³/h</w:t>
            </w:r>
          </w:p>
        </w:tc>
        <w:tc>
          <w:tcPr>
            <w:tcW w:w="1520" w:type="dxa"/>
            <w:vAlign w:val="center"/>
          </w:tcPr>
          <w:p w:rsidR="00DB7CC8" w:rsidRDefault="002B5250">
            <w:pPr>
              <w:spacing w:line="240" w:lineRule="exact"/>
              <w:ind w:firstLineChars="0" w:firstLine="0"/>
              <w:jc w:val="center"/>
              <w:rPr>
                <w:sz w:val="21"/>
                <w:szCs w:val="21"/>
              </w:rPr>
            </w:pPr>
            <w:r>
              <w:rPr>
                <w:sz w:val="21"/>
                <w:szCs w:val="21"/>
              </w:rPr>
              <w:t>m</w:t>
            </w:r>
          </w:p>
        </w:tc>
        <w:tc>
          <w:tcPr>
            <w:tcW w:w="1936" w:type="dxa"/>
            <w:gridSpan w:val="2"/>
            <w:vAlign w:val="center"/>
          </w:tcPr>
          <w:p w:rsidR="00DB7CC8" w:rsidRDefault="002B5250">
            <w:pPr>
              <w:spacing w:line="240" w:lineRule="exact"/>
              <w:ind w:firstLineChars="0" w:firstLine="0"/>
              <w:jc w:val="center"/>
              <w:rPr>
                <w:sz w:val="21"/>
                <w:szCs w:val="21"/>
              </w:rPr>
            </w:pPr>
            <w:r>
              <w:rPr>
                <w:sz w:val="21"/>
                <w:szCs w:val="21"/>
              </w:rPr>
              <w:t>m³/h·m</w:t>
            </w:r>
          </w:p>
        </w:tc>
      </w:tr>
      <w:tr w:rsidR="00DB7CC8">
        <w:trPr>
          <w:trHeight w:val="392"/>
        </w:trPr>
        <w:tc>
          <w:tcPr>
            <w:tcW w:w="1161" w:type="dxa"/>
            <w:vAlign w:val="center"/>
          </w:tcPr>
          <w:p w:rsidR="00DB7CC8" w:rsidRDefault="002B5250">
            <w:pPr>
              <w:spacing w:line="240" w:lineRule="exact"/>
              <w:ind w:firstLineChars="0" w:firstLine="0"/>
              <w:jc w:val="center"/>
              <w:rPr>
                <w:sz w:val="21"/>
                <w:szCs w:val="21"/>
              </w:rPr>
            </w:pPr>
            <w:r>
              <w:rPr>
                <w:sz w:val="21"/>
                <w:szCs w:val="21"/>
              </w:rPr>
              <w:t>抽水井</w:t>
            </w:r>
          </w:p>
        </w:tc>
        <w:tc>
          <w:tcPr>
            <w:tcW w:w="1163" w:type="dxa"/>
            <w:vAlign w:val="center"/>
          </w:tcPr>
          <w:p w:rsidR="00DB7CC8" w:rsidRDefault="002B5250">
            <w:pPr>
              <w:spacing w:line="240" w:lineRule="exact"/>
              <w:ind w:firstLineChars="0" w:firstLine="0"/>
              <w:jc w:val="center"/>
              <w:rPr>
                <w:sz w:val="21"/>
                <w:szCs w:val="21"/>
              </w:rPr>
            </w:pPr>
            <w:r>
              <w:rPr>
                <w:rFonts w:hint="eastAsia"/>
                <w:sz w:val="21"/>
                <w:szCs w:val="21"/>
              </w:rPr>
              <w:t>600</w:t>
            </w:r>
          </w:p>
        </w:tc>
        <w:tc>
          <w:tcPr>
            <w:tcW w:w="1164" w:type="dxa"/>
            <w:vAlign w:val="center"/>
          </w:tcPr>
          <w:p w:rsidR="00DB7CC8" w:rsidRDefault="002B5250">
            <w:pPr>
              <w:spacing w:line="240" w:lineRule="exact"/>
              <w:ind w:firstLineChars="0" w:firstLine="0"/>
              <w:jc w:val="center"/>
              <w:rPr>
                <w:sz w:val="21"/>
                <w:szCs w:val="21"/>
              </w:rPr>
            </w:pPr>
            <w:r>
              <w:rPr>
                <w:rFonts w:hint="eastAsia"/>
                <w:sz w:val="21"/>
                <w:szCs w:val="21"/>
              </w:rPr>
              <w:t>290</w:t>
            </w:r>
          </w:p>
        </w:tc>
        <w:tc>
          <w:tcPr>
            <w:tcW w:w="1578" w:type="dxa"/>
            <w:vAlign w:val="center"/>
          </w:tcPr>
          <w:p w:rsidR="00DB7CC8" w:rsidRDefault="002B5250">
            <w:pPr>
              <w:spacing w:line="240" w:lineRule="exact"/>
              <w:ind w:firstLineChars="0" w:firstLine="0"/>
              <w:jc w:val="center"/>
              <w:rPr>
                <w:sz w:val="21"/>
                <w:szCs w:val="21"/>
              </w:rPr>
            </w:pPr>
            <w:r>
              <w:rPr>
                <w:rFonts w:hint="eastAsia"/>
                <w:sz w:val="21"/>
                <w:szCs w:val="21"/>
              </w:rPr>
              <w:t>43.75</w:t>
            </w:r>
          </w:p>
        </w:tc>
        <w:tc>
          <w:tcPr>
            <w:tcW w:w="1520" w:type="dxa"/>
            <w:vAlign w:val="center"/>
          </w:tcPr>
          <w:p w:rsidR="00DB7CC8" w:rsidRDefault="002B5250">
            <w:pPr>
              <w:spacing w:line="240" w:lineRule="exact"/>
              <w:ind w:firstLineChars="0" w:firstLine="0"/>
              <w:jc w:val="center"/>
              <w:rPr>
                <w:sz w:val="21"/>
                <w:szCs w:val="21"/>
              </w:rPr>
            </w:pPr>
            <w:r>
              <w:rPr>
                <w:rFonts w:hint="eastAsia"/>
                <w:sz w:val="21"/>
                <w:szCs w:val="21"/>
              </w:rPr>
              <w:t>2.50</w:t>
            </w:r>
          </w:p>
        </w:tc>
        <w:tc>
          <w:tcPr>
            <w:tcW w:w="1936" w:type="dxa"/>
            <w:gridSpan w:val="2"/>
            <w:vAlign w:val="center"/>
          </w:tcPr>
          <w:p w:rsidR="00DB7CC8" w:rsidRDefault="002B5250">
            <w:pPr>
              <w:spacing w:line="240" w:lineRule="exact"/>
              <w:ind w:firstLineChars="0" w:firstLine="0"/>
              <w:jc w:val="center"/>
              <w:rPr>
                <w:sz w:val="21"/>
                <w:szCs w:val="21"/>
              </w:rPr>
            </w:pPr>
            <w:r>
              <w:rPr>
                <w:rFonts w:hint="eastAsia"/>
                <w:sz w:val="21"/>
                <w:szCs w:val="21"/>
              </w:rPr>
              <w:t>17.5</w:t>
            </w:r>
          </w:p>
        </w:tc>
      </w:tr>
    </w:tbl>
    <w:p w:rsidR="00DB7CC8" w:rsidRDefault="002B5250">
      <w:pPr>
        <w:autoSpaceDE w:val="0"/>
        <w:autoSpaceDN w:val="0"/>
        <w:spacing w:beforeLines="50" w:before="120"/>
        <w:ind w:firstLine="480"/>
        <w:jc w:val="center"/>
        <w:rPr>
          <w:sz w:val="24"/>
        </w:rPr>
      </w:pPr>
      <w:r>
        <w:rPr>
          <w:noProof/>
          <w:sz w:val="24"/>
        </w:rPr>
        <w:drawing>
          <wp:inline distT="0" distB="0" distL="0" distR="0">
            <wp:extent cx="4577080" cy="2748915"/>
            <wp:effectExtent l="4445" t="5080" r="9525" b="8255"/>
            <wp:docPr id="17"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DB7CC8" w:rsidRDefault="002B5250">
      <w:pPr>
        <w:spacing w:line="240" w:lineRule="auto"/>
        <w:ind w:firstLineChars="0" w:firstLine="0"/>
        <w:jc w:val="center"/>
        <w:textAlignment w:val="auto"/>
        <w:rPr>
          <w:rFonts w:eastAsia="黑体"/>
          <w:kern w:val="2"/>
          <w:sz w:val="21"/>
          <w:szCs w:val="21"/>
        </w:rPr>
      </w:pPr>
      <w:r>
        <w:rPr>
          <w:rFonts w:eastAsia="黑体" w:hint="eastAsia"/>
          <w:kern w:val="2"/>
          <w:sz w:val="21"/>
          <w:szCs w:val="21"/>
        </w:rPr>
        <w:t>图</w:t>
      </w:r>
      <w:r>
        <w:rPr>
          <w:rFonts w:eastAsia="黑体"/>
          <w:kern w:val="2"/>
          <w:sz w:val="21"/>
          <w:szCs w:val="21"/>
        </w:rPr>
        <w:t xml:space="preserve">5.2-16  </w:t>
      </w:r>
      <w:r>
        <w:rPr>
          <w:rFonts w:eastAsia="黑体" w:hint="eastAsia"/>
          <w:kern w:val="2"/>
          <w:sz w:val="21"/>
          <w:szCs w:val="21"/>
        </w:rPr>
        <w:t>大安乐庄村抽水试验水位埋深</w:t>
      </w:r>
      <w:r>
        <w:rPr>
          <w:rFonts w:eastAsia="黑体" w:hint="eastAsia"/>
          <w:kern w:val="2"/>
          <w:sz w:val="21"/>
          <w:szCs w:val="21"/>
        </w:rPr>
        <w:t>-</w:t>
      </w:r>
      <w:r>
        <w:rPr>
          <w:rFonts w:eastAsia="黑体" w:hint="eastAsia"/>
          <w:kern w:val="2"/>
          <w:sz w:val="21"/>
          <w:szCs w:val="21"/>
        </w:rPr>
        <w:t>时间曲线</w:t>
      </w:r>
    </w:p>
    <w:p w:rsidR="00DB7CC8" w:rsidRDefault="002B5250">
      <w:pPr>
        <w:autoSpaceDE w:val="0"/>
        <w:autoSpaceDN w:val="0"/>
        <w:ind w:firstLine="480"/>
        <w:jc w:val="center"/>
        <w:rPr>
          <w:sz w:val="24"/>
        </w:rPr>
      </w:pPr>
      <w:r>
        <w:rPr>
          <w:rFonts w:hint="eastAsia"/>
          <w:noProof/>
          <w:sz w:val="24"/>
        </w:rPr>
        <w:drawing>
          <wp:inline distT="0" distB="0" distL="114300" distR="114300">
            <wp:extent cx="4636135" cy="2456180"/>
            <wp:effectExtent l="0" t="0" r="12065" b="1270"/>
            <wp:docPr id="23" name="图片 23" descr="1565166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565166127(1)"/>
                    <pic:cNvPicPr>
                      <a:picLocks noChangeAspect="1"/>
                    </pic:cNvPicPr>
                  </pic:nvPicPr>
                  <pic:blipFill>
                    <a:blip r:embed="rId71"/>
                    <a:stretch>
                      <a:fillRect/>
                    </a:stretch>
                  </pic:blipFill>
                  <pic:spPr>
                    <a:xfrm>
                      <a:off x="0" y="0"/>
                      <a:ext cx="4636135" cy="2456180"/>
                    </a:xfrm>
                    <a:prstGeom prst="rect">
                      <a:avLst/>
                    </a:prstGeom>
                  </pic:spPr>
                </pic:pic>
              </a:graphicData>
            </a:graphic>
          </wp:inline>
        </w:drawing>
      </w:r>
    </w:p>
    <w:p w:rsidR="00DB7CC8" w:rsidRDefault="002B5250">
      <w:pPr>
        <w:spacing w:line="240" w:lineRule="auto"/>
        <w:ind w:firstLineChars="0" w:firstLine="0"/>
        <w:jc w:val="center"/>
        <w:textAlignment w:val="auto"/>
        <w:rPr>
          <w:rFonts w:eastAsia="黑体"/>
          <w:kern w:val="2"/>
          <w:sz w:val="21"/>
          <w:szCs w:val="21"/>
        </w:rPr>
      </w:pPr>
      <w:r>
        <w:rPr>
          <w:rFonts w:eastAsia="黑体" w:hint="eastAsia"/>
          <w:kern w:val="2"/>
          <w:sz w:val="21"/>
          <w:szCs w:val="21"/>
        </w:rPr>
        <w:t>图</w:t>
      </w:r>
      <w:r>
        <w:rPr>
          <w:rFonts w:eastAsia="黑体"/>
          <w:kern w:val="2"/>
          <w:sz w:val="21"/>
          <w:szCs w:val="21"/>
        </w:rPr>
        <w:t>5.2-17</w:t>
      </w:r>
      <w:r>
        <w:rPr>
          <w:rFonts w:eastAsia="黑体" w:hint="eastAsia"/>
          <w:kern w:val="2"/>
          <w:sz w:val="21"/>
          <w:szCs w:val="21"/>
        </w:rPr>
        <w:t xml:space="preserve">  </w:t>
      </w:r>
      <w:r>
        <w:rPr>
          <w:rFonts w:eastAsia="黑体" w:hint="eastAsia"/>
          <w:kern w:val="2"/>
          <w:sz w:val="21"/>
          <w:szCs w:val="21"/>
        </w:rPr>
        <w:t>大安乐庄村抽水试验水位降深</w:t>
      </w:r>
      <w:r>
        <w:rPr>
          <w:rFonts w:eastAsia="黑体" w:hint="eastAsia"/>
          <w:kern w:val="2"/>
          <w:sz w:val="21"/>
          <w:szCs w:val="21"/>
        </w:rPr>
        <w:t>-</w:t>
      </w:r>
      <w:r>
        <w:rPr>
          <w:rFonts w:eastAsia="黑体" w:hint="eastAsia"/>
          <w:kern w:val="2"/>
          <w:sz w:val="21"/>
          <w:szCs w:val="21"/>
        </w:rPr>
        <w:t>时间曲线</w:t>
      </w:r>
    </w:p>
    <w:p w:rsidR="00DB7CC8" w:rsidRDefault="002B5250">
      <w:pPr>
        <w:autoSpaceDE w:val="0"/>
        <w:autoSpaceDN w:val="0"/>
        <w:spacing w:line="440" w:lineRule="atLeast"/>
        <w:ind w:firstLine="480"/>
        <w:rPr>
          <w:sz w:val="24"/>
        </w:rPr>
      </w:pPr>
      <w:r>
        <w:rPr>
          <w:rFonts w:hint="eastAsia"/>
          <w:sz w:val="24"/>
        </w:rPr>
        <w:t>b</w:t>
      </w:r>
      <w:r>
        <w:rPr>
          <w:sz w:val="24"/>
        </w:rPr>
        <w:t>.</w:t>
      </w:r>
      <w:r>
        <w:rPr>
          <w:sz w:val="24"/>
        </w:rPr>
        <w:t>参数计算</w:t>
      </w:r>
      <w:r>
        <w:rPr>
          <w:rFonts w:hint="eastAsia"/>
          <w:sz w:val="24"/>
        </w:rPr>
        <w:t>方法</w:t>
      </w:r>
    </w:p>
    <w:p w:rsidR="00DB7CC8" w:rsidRDefault="002B5250">
      <w:pPr>
        <w:spacing w:line="440" w:lineRule="atLeast"/>
        <w:ind w:firstLine="482"/>
        <w:rPr>
          <w:b/>
          <w:sz w:val="24"/>
          <w:szCs w:val="24"/>
        </w:rPr>
      </w:pPr>
      <w:r>
        <w:rPr>
          <w:b/>
          <w:sz w:val="24"/>
          <w:szCs w:val="24"/>
        </w:rPr>
        <w:t>潜水井</w:t>
      </w:r>
      <w:r>
        <w:rPr>
          <w:b/>
          <w:sz w:val="24"/>
          <w:szCs w:val="24"/>
        </w:rPr>
        <w:t>Dupuit</w:t>
      </w:r>
      <w:r>
        <w:rPr>
          <w:b/>
          <w:sz w:val="24"/>
          <w:szCs w:val="24"/>
        </w:rPr>
        <w:t>公式法</w:t>
      </w:r>
    </w:p>
    <w:p w:rsidR="00DB7CC8" w:rsidRDefault="002B5250">
      <w:pPr>
        <w:wordWrap w:val="0"/>
        <w:spacing w:line="440" w:lineRule="atLeast"/>
        <w:ind w:firstLine="480"/>
        <w:jc w:val="right"/>
        <w:rPr>
          <w:sz w:val="24"/>
          <w:szCs w:val="24"/>
        </w:rPr>
      </w:pPr>
      <w:r>
        <w:rPr>
          <w:position w:val="-30"/>
          <w:sz w:val="24"/>
          <w:szCs w:val="24"/>
        </w:rPr>
        <w:object w:dxaOrig="3504" w:dyaOrig="672">
          <v:shape id="_x0000_i1027" type="#_x0000_t75" style="width:175.2pt;height:33.6pt" o:ole="">
            <v:imagedata r:id="rId72" o:title=""/>
          </v:shape>
          <o:OLEObject Type="Embed" ProgID="Equation.3" ShapeID="_x0000_i1027" DrawAspect="Content" ObjectID="_1772523724" r:id="rId73"/>
        </w:object>
      </w:r>
      <w:r>
        <w:rPr>
          <w:rFonts w:hint="eastAsia"/>
          <w:position w:val="-30"/>
          <w:sz w:val="24"/>
          <w:szCs w:val="24"/>
        </w:rPr>
        <w:t xml:space="preserve">             </w:t>
      </w:r>
      <w:r>
        <w:rPr>
          <w:sz w:val="24"/>
          <w:szCs w:val="24"/>
        </w:rPr>
        <w:t>（</w:t>
      </w:r>
      <w:r>
        <w:rPr>
          <w:rFonts w:hint="eastAsia"/>
          <w:sz w:val="24"/>
          <w:szCs w:val="24"/>
        </w:rPr>
        <w:t>5</w:t>
      </w:r>
      <w:r>
        <w:rPr>
          <w:sz w:val="24"/>
          <w:szCs w:val="24"/>
        </w:rPr>
        <w:t>.2-4</w:t>
      </w:r>
      <w:r>
        <w:rPr>
          <w:sz w:val="24"/>
          <w:szCs w:val="24"/>
        </w:rPr>
        <w:t>）</w:t>
      </w:r>
    </w:p>
    <w:p w:rsidR="00DB7CC8" w:rsidRDefault="002B5250">
      <w:pPr>
        <w:wordWrap w:val="0"/>
        <w:spacing w:line="440" w:lineRule="atLeast"/>
        <w:ind w:firstLine="480"/>
        <w:jc w:val="right"/>
        <w:rPr>
          <w:sz w:val="24"/>
          <w:szCs w:val="24"/>
        </w:rPr>
      </w:pPr>
      <w:r>
        <w:rPr>
          <w:position w:val="-14"/>
          <w:sz w:val="24"/>
          <w:szCs w:val="24"/>
        </w:rPr>
        <w:object w:dxaOrig="1500" w:dyaOrig="432">
          <v:shape id="_x0000_i1028" type="#_x0000_t75" style="width:75pt;height:21.6pt" o:ole="">
            <v:imagedata r:id="rId74" o:title=""/>
          </v:shape>
          <o:OLEObject Type="Embed" ProgID="Equation.3" ShapeID="_x0000_i1028" DrawAspect="Content" ObjectID="_1772523725" r:id="rId75"/>
        </w:object>
      </w:r>
      <w:r>
        <w:rPr>
          <w:sz w:val="24"/>
          <w:szCs w:val="24"/>
        </w:rPr>
        <w:t xml:space="preserve"> (</w:t>
      </w:r>
      <w:r>
        <w:rPr>
          <w:sz w:val="24"/>
          <w:szCs w:val="24"/>
        </w:rPr>
        <w:t>库萨金公式</w:t>
      </w:r>
      <w:r>
        <w:rPr>
          <w:sz w:val="24"/>
          <w:szCs w:val="24"/>
        </w:rPr>
        <w:t xml:space="preserve">)              </w:t>
      </w:r>
      <w:r>
        <w:rPr>
          <w:sz w:val="24"/>
          <w:szCs w:val="24"/>
        </w:rPr>
        <w:t>（</w:t>
      </w:r>
      <w:r>
        <w:rPr>
          <w:rFonts w:hint="eastAsia"/>
          <w:sz w:val="24"/>
          <w:szCs w:val="24"/>
        </w:rPr>
        <w:t>5</w:t>
      </w:r>
      <w:r>
        <w:rPr>
          <w:sz w:val="24"/>
          <w:szCs w:val="24"/>
        </w:rPr>
        <w:t>.2-5</w:t>
      </w:r>
      <w:r>
        <w:rPr>
          <w:sz w:val="24"/>
          <w:szCs w:val="24"/>
        </w:rPr>
        <w:t>）</w:t>
      </w:r>
    </w:p>
    <w:p w:rsidR="00DB7CC8" w:rsidRDefault="002B5250">
      <w:pPr>
        <w:pStyle w:val="af7"/>
        <w:wordWrap w:val="0"/>
        <w:spacing w:line="440" w:lineRule="atLeast"/>
        <w:jc w:val="right"/>
        <w:rPr>
          <w:rFonts w:ascii="Times New Roman" w:hAnsi="Times New Roman"/>
          <w:szCs w:val="24"/>
        </w:rPr>
      </w:pPr>
      <w:r>
        <w:rPr>
          <w:rFonts w:ascii="Times New Roman" w:hAnsi="Times New Roman"/>
          <w:position w:val="-30"/>
          <w:szCs w:val="24"/>
        </w:rPr>
        <w:object w:dxaOrig="2412" w:dyaOrig="672">
          <v:shape id="_x0000_i1029" type="#_x0000_t75" style="width:120.6pt;height:33.6pt" o:ole="">
            <v:imagedata r:id="rId76" o:title=""/>
          </v:shape>
          <o:OLEObject Type="Embed" ProgID="Equation.3" ShapeID="_x0000_i1029" DrawAspect="Content" ObjectID="_1772523726" r:id="rId77"/>
        </w:object>
      </w:r>
      <w:r>
        <w:rPr>
          <w:rFonts w:ascii="Times New Roman" w:hAnsi="Times New Roman"/>
          <w:szCs w:val="24"/>
        </w:rPr>
        <w:t xml:space="preserve">          </w:t>
      </w:r>
      <w:r>
        <w:rPr>
          <w:rFonts w:ascii="Times New Roman" w:hAnsi="Times New Roman" w:hint="eastAsia"/>
          <w:szCs w:val="24"/>
        </w:rPr>
        <w:t xml:space="preserve">          </w:t>
      </w:r>
      <w:r>
        <w:rPr>
          <w:rFonts w:ascii="Times New Roman" w:hAnsi="Times New Roman"/>
          <w:szCs w:val="24"/>
        </w:rPr>
        <w:t xml:space="preserve">      </w:t>
      </w:r>
      <w:r>
        <w:rPr>
          <w:rFonts w:ascii="Times New Roman" w:hAnsi="Times New Roman"/>
          <w:sz w:val="24"/>
          <w:szCs w:val="24"/>
        </w:rPr>
        <w:t xml:space="preserve"> </w:t>
      </w:r>
      <w:r>
        <w:rPr>
          <w:rFonts w:ascii="Times New Roman" w:hAnsi="Times New Roman"/>
          <w:sz w:val="24"/>
          <w:szCs w:val="24"/>
        </w:rPr>
        <w:t>（</w:t>
      </w:r>
      <w:r>
        <w:rPr>
          <w:rFonts w:ascii="Times New Roman" w:hAnsi="Times New Roman"/>
          <w:sz w:val="24"/>
          <w:szCs w:val="24"/>
        </w:rPr>
        <w:t>5.2-6</w:t>
      </w:r>
      <w:r>
        <w:rPr>
          <w:rFonts w:ascii="Times New Roman" w:hAnsi="Times New Roman"/>
          <w:sz w:val="24"/>
          <w:szCs w:val="24"/>
        </w:rPr>
        <w:t>）</w:t>
      </w:r>
    </w:p>
    <w:p w:rsidR="00DB7CC8" w:rsidRDefault="002B5250">
      <w:pPr>
        <w:autoSpaceDE w:val="0"/>
        <w:autoSpaceDN w:val="0"/>
        <w:ind w:firstLine="480"/>
        <w:jc w:val="both"/>
        <w:rPr>
          <w:sz w:val="24"/>
        </w:rPr>
      </w:pPr>
      <w:r>
        <w:rPr>
          <w:sz w:val="24"/>
        </w:rPr>
        <w:t>式中，</w:t>
      </w:r>
    </w:p>
    <w:p w:rsidR="00DB7CC8" w:rsidRDefault="002B5250">
      <w:pPr>
        <w:autoSpaceDE w:val="0"/>
        <w:autoSpaceDN w:val="0"/>
        <w:ind w:firstLine="480"/>
        <w:jc w:val="both"/>
        <w:rPr>
          <w:sz w:val="24"/>
        </w:rPr>
      </w:pPr>
      <w:r>
        <w:rPr>
          <w:i/>
          <w:sz w:val="24"/>
        </w:rPr>
        <w:t>s</w:t>
      </w:r>
      <w:r>
        <w:rPr>
          <w:sz w:val="24"/>
          <w:vertAlign w:val="subscript"/>
        </w:rPr>
        <w:t>w</w:t>
      </w:r>
      <w:r>
        <w:rPr>
          <w:sz w:val="24"/>
        </w:rPr>
        <w:t>—</w:t>
      </w:r>
      <w:r>
        <w:rPr>
          <w:sz w:val="24"/>
        </w:rPr>
        <w:t>井中水位降深，</w:t>
      </w:r>
      <w:r>
        <w:rPr>
          <w:sz w:val="24"/>
        </w:rPr>
        <w:t>m</w:t>
      </w:r>
      <w:r>
        <w:rPr>
          <w:sz w:val="24"/>
        </w:rPr>
        <w:t>；</w:t>
      </w:r>
    </w:p>
    <w:p w:rsidR="00DB7CC8" w:rsidRDefault="002B5250">
      <w:pPr>
        <w:autoSpaceDE w:val="0"/>
        <w:autoSpaceDN w:val="0"/>
        <w:ind w:firstLine="480"/>
        <w:jc w:val="both"/>
        <w:rPr>
          <w:sz w:val="24"/>
        </w:rPr>
      </w:pPr>
      <w:r>
        <w:rPr>
          <w:i/>
          <w:sz w:val="24"/>
        </w:rPr>
        <w:lastRenderedPageBreak/>
        <w:t>Q</w:t>
      </w:r>
      <w:r>
        <w:rPr>
          <w:sz w:val="24"/>
        </w:rPr>
        <w:t>—</w:t>
      </w:r>
      <w:r>
        <w:rPr>
          <w:sz w:val="24"/>
          <w:szCs w:val="24"/>
        </w:rPr>
        <w:t>抽水井</w:t>
      </w:r>
      <w:r>
        <w:rPr>
          <w:sz w:val="24"/>
        </w:rPr>
        <w:t>流量，</w:t>
      </w:r>
      <w:r>
        <w:rPr>
          <w:sz w:val="24"/>
        </w:rPr>
        <w:t>m</w:t>
      </w:r>
      <w:r>
        <w:rPr>
          <w:sz w:val="24"/>
          <w:vertAlign w:val="superscript"/>
        </w:rPr>
        <w:t>3</w:t>
      </w:r>
      <w:r>
        <w:rPr>
          <w:sz w:val="24"/>
        </w:rPr>
        <w:t>/d</w:t>
      </w:r>
      <w:r>
        <w:rPr>
          <w:sz w:val="24"/>
        </w:rPr>
        <w:t>；</w:t>
      </w:r>
    </w:p>
    <w:p w:rsidR="00DB7CC8" w:rsidRDefault="002B5250">
      <w:pPr>
        <w:autoSpaceDE w:val="0"/>
        <w:autoSpaceDN w:val="0"/>
        <w:ind w:firstLine="480"/>
        <w:jc w:val="both"/>
        <w:rPr>
          <w:sz w:val="24"/>
        </w:rPr>
      </w:pPr>
      <w:r>
        <w:rPr>
          <w:i/>
          <w:sz w:val="24"/>
        </w:rPr>
        <w:t>H</w:t>
      </w:r>
      <w:r>
        <w:rPr>
          <w:i/>
          <w:sz w:val="24"/>
          <w:vertAlign w:val="subscript"/>
        </w:rPr>
        <w:t>0</w:t>
      </w:r>
      <w:r>
        <w:rPr>
          <w:sz w:val="24"/>
        </w:rPr>
        <w:t>—</w:t>
      </w:r>
      <w:r>
        <w:rPr>
          <w:sz w:val="24"/>
          <w:szCs w:val="24"/>
        </w:rPr>
        <w:t>潜水含水层</w:t>
      </w:r>
      <w:r>
        <w:rPr>
          <w:sz w:val="24"/>
        </w:rPr>
        <w:t>初始厚度，</w:t>
      </w:r>
      <w:r>
        <w:rPr>
          <w:sz w:val="24"/>
        </w:rPr>
        <w:t>m</w:t>
      </w:r>
      <w:r>
        <w:rPr>
          <w:sz w:val="24"/>
        </w:rPr>
        <w:t>；</w:t>
      </w:r>
    </w:p>
    <w:p w:rsidR="00DB7CC8" w:rsidRDefault="002B5250">
      <w:pPr>
        <w:autoSpaceDE w:val="0"/>
        <w:autoSpaceDN w:val="0"/>
        <w:ind w:firstLine="480"/>
        <w:jc w:val="both"/>
        <w:rPr>
          <w:sz w:val="24"/>
        </w:rPr>
      </w:pPr>
      <w:r>
        <w:rPr>
          <w:i/>
          <w:sz w:val="24"/>
        </w:rPr>
        <w:t>K</w:t>
      </w:r>
      <w:r>
        <w:rPr>
          <w:sz w:val="24"/>
        </w:rPr>
        <w:t>—</w:t>
      </w:r>
      <w:r>
        <w:rPr>
          <w:sz w:val="24"/>
          <w:szCs w:val="24"/>
        </w:rPr>
        <w:t>渗透系数</w:t>
      </w:r>
      <w:r>
        <w:rPr>
          <w:sz w:val="24"/>
        </w:rPr>
        <w:t>，</w:t>
      </w:r>
      <w:r>
        <w:rPr>
          <w:sz w:val="24"/>
        </w:rPr>
        <w:t>m/d</w:t>
      </w:r>
      <w:r>
        <w:rPr>
          <w:sz w:val="24"/>
        </w:rPr>
        <w:t>；</w:t>
      </w:r>
    </w:p>
    <w:p w:rsidR="00DB7CC8" w:rsidRDefault="002B5250">
      <w:pPr>
        <w:autoSpaceDE w:val="0"/>
        <w:autoSpaceDN w:val="0"/>
        <w:ind w:firstLine="480"/>
        <w:jc w:val="both"/>
        <w:rPr>
          <w:sz w:val="24"/>
        </w:rPr>
      </w:pPr>
      <w:r>
        <w:rPr>
          <w:i/>
          <w:sz w:val="24"/>
        </w:rPr>
        <w:t>r</w:t>
      </w:r>
      <w:r>
        <w:rPr>
          <w:sz w:val="24"/>
          <w:vertAlign w:val="subscript"/>
        </w:rPr>
        <w:t>w</w:t>
      </w:r>
      <w:r>
        <w:rPr>
          <w:sz w:val="24"/>
        </w:rPr>
        <w:t>—</w:t>
      </w:r>
      <w:r>
        <w:rPr>
          <w:sz w:val="24"/>
        </w:rPr>
        <w:t>井半径，</w:t>
      </w:r>
      <w:r>
        <w:rPr>
          <w:sz w:val="24"/>
        </w:rPr>
        <w:t>m</w:t>
      </w:r>
      <w:r>
        <w:rPr>
          <w:sz w:val="24"/>
        </w:rPr>
        <w:t>；</w:t>
      </w:r>
    </w:p>
    <w:p w:rsidR="00DB7CC8" w:rsidRDefault="002B5250">
      <w:pPr>
        <w:autoSpaceDE w:val="0"/>
        <w:autoSpaceDN w:val="0"/>
        <w:ind w:firstLine="480"/>
        <w:jc w:val="both"/>
        <w:rPr>
          <w:sz w:val="24"/>
        </w:rPr>
      </w:pPr>
      <w:r>
        <w:rPr>
          <w:i/>
          <w:sz w:val="24"/>
        </w:rPr>
        <w:t>R</w:t>
      </w:r>
      <w:r>
        <w:rPr>
          <w:sz w:val="24"/>
        </w:rPr>
        <w:t>—</w:t>
      </w:r>
      <w:r>
        <w:rPr>
          <w:sz w:val="24"/>
          <w:szCs w:val="24"/>
        </w:rPr>
        <w:t>影响半径</w:t>
      </w:r>
      <w:r>
        <w:rPr>
          <w:sz w:val="24"/>
        </w:rPr>
        <w:t>（圆岛半径），</w:t>
      </w:r>
      <w:r>
        <w:rPr>
          <w:sz w:val="24"/>
        </w:rPr>
        <w:t>m</w:t>
      </w:r>
      <w:r>
        <w:rPr>
          <w:sz w:val="24"/>
        </w:rPr>
        <w:t>；</w:t>
      </w:r>
    </w:p>
    <w:p w:rsidR="00DB7CC8" w:rsidRDefault="002B5250">
      <w:pPr>
        <w:autoSpaceDE w:val="0"/>
        <w:autoSpaceDN w:val="0"/>
        <w:ind w:firstLine="480"/>
        <w:jc w:val="both"/>
        <w:rPr>
          <w:sz w:val="24"/>
          <w:szCs w:val="24"/>
        </w:rPr>
      </w:pPr>
      <w:bookmarkStart w:id="397" w:name="_Toc294819699"/>
      <w:bookmarkStart w:id="398" w:name="_Toc468692998"/>
      <w:bookmarkStart w:id="399" w:name="_Toc247286207"/>
      <w:r>
        <w:rPr>
          <w:rFonts w:hint="eastAsia"/>
          <w:sz w:val="24"/>
          <w:szCs w:val="24"/>
        </w:rPr>
        <w:t>（</w:t>
      </w:r>
      <w:r>
        <w:rPr>
          <w:rFonts w:hint="eastAsia"/>
          <w:sz w:val="24"/>
          <w:szCs w:val="24"/>
        </w:rPr>
        <w:t>5</w:t>
      </w:r>
      <w:r>
        <w:rPr>
          <w:rFonts w:hint="eastAsia"/>
          <w:sz w:val="24"/>
          <w:szCs w:val="24"/>
        </w:rPr>
        <w:t>）水文地质参数计算结果与分析</w:t>
      </w:r>
      <w:bookmarkEnd w:id="397"/>
      <w:bookmarkEnd w:id="398"/>
      <w:bookmarkEnd w:id="399"/>
    </w:p>
    <w:p w:rsidR="00DB7CC8" w:rsidRDefault="002B5250">
      <w:pPr>
        <w:autoSpaceDE w:val="0"/>
        <w:autoSpaceDN w:val="0"/>
        <w:ind w:firstLine="480"/>
        <w:rPr>
          <w:rFonts w:eastAsia="黑体"/>
          <w:sz w:val="24"/>
          <w:szCs w:val="24"/>
        </w:rPr>
      </w:pPr>
      <w:r>
        <w:rPr>
          <w:rFonts w:hint="eastAsia"/>
          <w:sz w:val="24"/>
          <w:szCs w:val="24"/>
        </w:rPr>
        <w:t>①</w:t>
      </w:r>
      <w:r>
        <w:rPr>
          <w:sz w:val="24"/>
          <w:szCs w:val="24"/>
        </w:rPr>
        <w:t>潜水井</w:t>
      </w:r>
      <w:r>
        <w:rPr>
          <w:sz w:val="24"/>
          <w:szCs w:val="24"/>
        </w:rPr>
        <w:t>Dupuit</w:t>
      </w:r>
      <w:r>
        <w:rPr>
          <w:sz w:val="24"/>
          <w:szCs w:val="24"/>
        </w:rPr>
        <w:t>公式法</w:t>
      </w:r>
    </w:p>
    <w:p w:rsidR="00DB7CC8" w:rsidRDefault="002B5250">
      <w:pPr>
        <w:autoSpaceDE w:val="0"/>
        <w:autoSpaceDN w:val="0"/>
        <w:ind w:firstLine="480"/>
        <w:jc w:val="both"/>
        <w:rPr>
          <w:sz w:val="24"/>
          <w:szCs w:val="24"/>
        </w:rPr>
      </w:pPr>
      <w:r>
        <w:rPr>
          <w:sz w:val="24"/>
          <w:szCs w:val="24"/>
        </w:rPr>
        <w:t>采用潜水井流</w:t>
      </w:r>
      <w:r>
        <w:rPr>
          <w:sz w:val="24"/>
          <w:szCs w:val="24"/>
        </w:rPr>
        <w:t>Dupuit</w:t>
      </w:r>
      <w:r>
        <w:rPr>
          <w:sz w:val="24"/>
          <w:szCs w:val="24"/>
        </w:rPr>
        <w:t>公式（</w:t>
      </w:r>
      <w:r>
        <w:rPr>
          <w:rFonts w:hint="eastAsia"/>
          <w:sz w:val="24"/>
          <w:szCs w:val="24"/>
        </w:rPr>
        <w:t>5</w:t>
      </w:r>
      <w:r>
        <w:rPr>
          <w:sz w:val="24"/>
          <w:szCs w:val="24"/>
        </w:rPr>
        <w:t>.2-4</w:t>
      </w:r>
      <w:r>
        <w:rPr>
          <w:sz w:val="24"/>
          <w:szCs w:val="24"/>
        </w:rPr>
        <w:t>）至（</w:t>
      </w:r>
      <w:r>
        <w:rPr>
          <w:rFonts w:hint="eastAsia"/>
          <w:sz w:val="24"/>
          <w:szCs w:val="24"/>
        </w:rPr>
        <w:t>5</w:t>
      </w:r>
      <w:r>
        <w:rPr>
          <w:sz w:val="24"/>
          <w:szCs w:val="24"/>
        </w:rPr>
        <w:t>.2-6</w:t>
      </w:r>
      <w:r>
        <w:rPr>
          <w:sz w:val="24"/>
          <w:szCs w:val="24"/>
        </w:rPr>
        <w:t>）对三个抽水试验场地进行渗透系数（</w:t>
      </w:r>
      <w:r>
        <w:rPr>
          <w:sz w:val="24"/>
          <w:szCs w:val="24"/>
        </w:rPr>
        <w:t>K</w:t>
      </w:r>
      <w:r>
        <w:rPr>
          <w:sz w:val="24"/>
          <w:szCs w:val="24"/>
        </w:rPr>
        <w:t>）和影响半径（</w:t>
      </w:r>
      <w:r>
        <w:rPr>
          <w:sz w:val="24"/>
          <w:szCs w:val="24"/>
        </w:rPr>
        <w:t>R</w:t>
      </w:r>
      <w:r>
        <w:rPr>
          <w:sz w:val="24"/>
          <w:szCs w:val="24"/>
        </w:rPr>
        <w:t>），结果见表</w:t>
      </w:r>
      <w:r>
        <w:rPr>
          <w:sz w:val="24"/>
          <w:szCs w:val="24"/>
        </w:rPr>
        <w:t>5.2-25</w:t>
      </w:r>
      <w:r>
        <w:rPr>
          <w:sz w:val="24"/>
          <w:szCs w:val="24"/>
        </w:rPr>
        <w:t>。</w:t>
      </w:r>
      <w:r>
        <w:rPr>
          <w:rFonts w:hint="eastAsia"/>
          <w:sz w:val="24"/>
        </w:rPr>
        <w:t>建明镇</w:t>
      </w:r>
      <w:r>
        <w:rPr>
          <w:sz w:val="24"/>
          <w:szCs w:val="24"/>
        </w:rPr>
        <w:t>渗透系数</w:t>
      </w:r>
      <w:r>
        <w:rPr>
          <w:sz w:val="24"/>
          <w:szCs w:val="24"/>
        </w:rPr>
        <w:t>K</w:t>
      </w:r>
      <w:r>
        <w:rPr>
          <w:sz w:val="24"/>
          <w:szCs w:val="24"/>
        </w:rPr>
        <w:t>和影响半径分别为</w:t>
      </w:r>
      <w:r>
        <w:rPr>
          <w:sz w:val="24"/>
          <w:szCs w:val="24"/>
        </w:rPr>
        <w:t>15.72m/d</w:t>
      </w:r>
      <w:r>
        <w:rPr>
          <w:sz w:val="24"/>
          <w:szCs w:val="24"/>
        </w:rPr>
        <w:t>和</w:t>
      </w:r>
      <w:r>
        <w:rPr>
          <w:sz w:val="24"/>
          <w:szCs w:val="24"/>
        </w:rPr>
        <w:t>140.75m</w:t>
      </w:r>
      <w:r>
        <w:rPr>
          <w:sz w:val="24"/>
          <w:szCs w:val="24"/>
        </w:rPr>
        <w:t>；</w:t>
      </w:r>
      <w:r>
        <w:rPr>
          <w:rFonts w:hint="eastAsia"/>
          <w:sz w:val="21"/>
        </w:rPr>
        <w:t>刁庄子村</w:t>
      </w:r>
      <w:r>
        <w:rPr>
          <w:sz w:val="24"/>
          <w:szCs w:val="24"/>
        </w:rPr>
        <w:t>渗透系数</w:t>
      </w:r>
      <w:r>
        <w:rPr>
          <w:sz w:val="24"/>
          <w:szCs w:val="24"/>
        </w:rPr>
        <w:t>K</w:t>
      </w:r>
      <w:r>
        <w:rPr>
          <w:sz w:val="24"/>
          <w:szCs w:val="24"/>
        </w:rPr>
        <w:t>和影响半径分别为</w:t>
      </w:r>
      <w:r>
        <w:rPr>
          <w:sz w:val="24"/>
          <w:szCs w:val="24"/>
        </w:rPr>
        <w:t>13.30m/d</w:t>
      </w:r>
      <w:r>
        <w:rPr>
          <w:sz w:val="24"/>
          <w:szCs w:val="24"/>
        </w:rPr>
        <w:t>和</w:t>
      </w:r>
      <w:r>
        <w:rPr>
          <w:sz w:val="24"/>
          <w:szCs w:val="24"/>
        </w:rPr>
        <w:t>61.88m</w:t>
      </w:r>
      <w:r>
        <w:rPr>
          <w:sz w:val="24"/>
          <w:szCs w:val="24"/>
        </w:rPr>
        <w:t>；</w:t>
      </w:r>
      <w:r>
        <w:rPr>
          <w:rFonts w:hint="eastAsia"/>
          <w:sz w:val="24"/>
        </w:rPr>
        <w:t>大安乐庄村</w:t>
      </w:r>
      <w:r>
        <w:rPr>
          <w:sz w:val="24"/>
          <w:szCs w:val="24"/>
        </w:rPr>
        <w:t>渗透系数</w:t>
      </w:r>
      <w:r>
        <w:rPr>
          <w:sz w:val="24"/>
          <w:szCs w:val="24"/>
        </w:rPr>
        <w:t>K</w:t>
      </w:r>
      <w:r>
        <w:rPr>
          <w:sz w:val="24"/>
          <w:szCs w:val="24"/>
        </w:rPr>
        <w:t>和影响半径分别为</w:t>
      </w:r>
      <w:r>
        <w:rPr>
          <w:sz w:val="24"/>
          <w:szCs w:val="24"/>
        </w:rPr>
        <w:t>14.29m/d</w:t>
      </w:r>
      <w:r>
        <w:rPr>
          <w:sz w:val="24"/>
          <w:szCs w:val="24"/>
        </w:rPr>
        <w:t>和</w:t>
      </w:r>
      <w:r>
        <w:rPr>
          <w:sz w:val="24"/>
          <w:szCs w:val="24"/>
        </w:rPr>
        <w:t>106.91m</w:t>
      </w:r>
      <w:r>
        <w:rPr>
          <w:sz w:val="24"/>
          <w:szCs w:val="24"/>
        </w:rPr>
        <w:t>；</w:t>
      </w:r>
    </w:p>
    <w:p w:rsidR="00DB7CC8" w:rsidRDefault="002B5250">
      <w:pPr>
        <w:ind w:firstLine="420"/>
        <w:jc w:val="center"/>
        <w:rPr>
          <w:rFonts w:eastAsia="黑体"/>
          <w:sz w:val="21"/>
          <w:szCs w:val="21"/>
        </w:rPr>
      </w:pPr>
      <w:r>
        <w:rPr>
          <w:rFonts w:eastAsia="黑体"/>
          <w:sz w:val="21"/>
          <w:szCs w:val="21"/>
        </w:rPr>
        <w:t xml:space="preserve">5.2-25 </w:t>
      </w:r>
      <w:r>
        <w:rPr>
          <w:rFonts w:eastAsia="黑体" w:hint="eastAsia"/>
          <w:sz w:val="21"/>
          <w:szCs w:val="21"/>
        </w:rPr>
        <w:t xml:space="preserve"> </w:t>
      </w:r>
      <w:r>
        <w:rPr>
          <w:rFonts w:eastAsia="黑体"/>
          <w:sz w:val="21"/>
          <w:szCs w:val="21"/>
        </w:rPr>
        <w:t xml:space="preserve"> </w:t>
      </w:r>
      <w:r>
        <w:rPr>
          <w:rFonts w:eastAsia="黑体"/>
          <w:sz w:val="21"/>
          <w:szCs w:val="21"/>
        </w:rPr>
        <w:t>三个抽水试验潜水井流</w:t>
      </w:r>
      <w:r>
        <w:rPr>
          <w:rFonts w:eastAsia="黑体"/>
          <w:sz w:val="21"/>
          <w:szCs w:val="21"/>
        </w:rPr>
        <w:t>Dupuit</w:t>
      </w:r>
      <w:r>
        <w:rPr>
          <w:rFonts w:eastAsia="黑体"/>
          <w:sz w:val="21"/>
          <w:szCs w:val="21"/>
        </w:rPr>
        <w:t>计算成果表</w:t>
      </w:r>
    </w:p>
    <w:tbl>
      <w:tblPr>
        <w:tblW w:w="8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8"/>
        <w:gridCol w:w="1153"/>
        <w:gridCol w:w="1157"/>
        <w:gridCol w:w="1157"/>
        <w:gridCol w:w="1157"/>
        <w:gridCol w:w="1157"/>
        <w:gridCol w:w="1150"/>
      </w:tblGrid>
      <w:tr w:rsidR="00DB7CC8">
        <w:trPr>
          <w:trHeight w:val="240"/>
        </w:trPr>
        <w:tc>
          <w:tcPr>
            <w:tcW w:w="1588" w:type="dxa"/>
            <w:vAlign w:val="center"/>
          </w:tcPr>
          <w:p w:rsidR="00DB7CC8" w:rsidRDefault="002B5250">
            <w:pPr>
              <w:widowControl/>
              <w:ind w:firstLineChars="0" w:firstLine="0"/>
              <w:jc w:val="center"/>
              <w:rPr>
                <w:sz w:val="21"/>
                <w:szCs w:val="21"/>
              </w:rPr>
            </w:pPr>
            <w:r>
              <w:rPr>
                <w:sz w:val="21"/>
                <w:szCs w:val="21"/>
              </w:rPr>
              <w:t>抽水试验位置</w:t>
            </w:r>
          </w:p>
        </w:tc>
        <w:tc>
          <w:tcPr>
            <w:tcW w:w="1153" w:type="dxa"/>
            <w:vAlign w:val="center"/>
          </w:tcPr>
          <w:p w:rsidR="00DB7CC8" w:rsidRDefault="002B5250">
            <w:pPr>
              <w:widowControl/>
              <w:ind w:firstLineChars="0" w:firstLine="0"/>
              <w:jc w:val="center"/>
              <w:rPr>
                <w:sz w:val="21"/>
                <w:szCs w:val="21"/>
              </w:rPr>
            </w:pPr>
            <w:r>
              <w:rPr>
                <w:rFonts w:hint="eastAsia"/>
                <w:sz w:val="21"/>
                <w:szCs w:val="21"/>
              </w:rPr>
              <w:t>（</w:t>
            </w:r>
            <w:r>
              <w:rPr>
                <w:sz w:val="21"/>
                <w:szCs w:val="21"/>
              </w:rPr>
              <w:t>H</w:t>
            </w:r>
            <w:r>
              <w:rPr>
                <w:rFonts w:hint="eastAsia"/>
                <w:sz w:val="21"/>
                <w:szCs w:val="21"/>
              </w:rPr>
              <w:t>-h</w:t>
            </w:r>
            <w:r>
              <w:rPr>
                <w:rFonts w:hint="eastAsia"/>
                <w:sz w:val="21"/>
                <w:szCs w:val="21"/>
              </w:rPr>
              <w:t>）</w:t>
            </w:r>
            <w:r>
              <w:rPr>
                <w:rFonts w:hint="eastAsia"/>
                <w:sz w:val="21"/>
                <w:szCs w:val="21"/>
              </w:rPr>
              <w:t>/m</w:t>
            </w:r>
          </w:p>
        </w:tc>
        <w:tc>
          <w:tcPr>
            <w:tcW w:w="1157" w:type="dxa"/>
            <w:vAlign w:val="center"/>
          </w:tcPr>
          <w:p w:rsidR="00DB7CC8" w:rsidRDefault="002B5250">
            <w:pPr>
              <w:widowControl/>
              <w:ind w:firstLineChars="0" w:firstLine="0"/>
              <w:jc w:val="center"/>
              <w:rPr>
                <w:sz w:val="21"/>
                <w:szCs w:val="21"/>
              </w:rPr>
            </w:pPr>
            <w:r>
              <w:rPr>
                <w:sz w:val="21"/>
                <w:szCs w:val="21"/>
              </w:rPr>
              <w:t>S</w:t>
            </w:r>
            <w:r>
              <w:rPr>
                <w:sz w:val="21"/>
                <w:szCs w:val="21"/>
                <w:vertAlign w:val="subscript"/>
              </w:rPr>
              <w:t>w</w:t>
            </w:r>
            <w:r>
              <w:rPr>
                <w:rFonts w:hint="eastAsia"/>
                <w:sz w:val="21"/>
                <w:szCs w:val="21"/>
              </w:rPr>
              <w:t>/m</w:t>
            </w:r>
          </w:p>
        </w:tc>
        <w:tc>
          <w:tcPr>
            <w:tcW w:w="1157" w:type="dxa"/>
            <w:vAlign w:val="center"/>
          </w:tcPr>
          <w:p w:rsidR="00DB7CC8" w:rsidRDefault="002B5250">
            <w:pPr>
              <w:widowControl/>
              <w:ind w:firstLineChars="0" w:firstLine="0"/>
              <w:jc w:val="center"/>
              <w:rPr>
                <w:sz w:val="21"/>
                <w:szCs w:val="21"/>
              </w:rPr>
            </w:pPr>
            <w:r>
              <w:rPr>
                <w:sz w:val="21"/>
                <w:szCs w:val="21"/>
              </w:rPr>
              <w:t>Q</w:t>
            </w:r>
            <w:r>
              <w:rPr>
                <w:rFonts w:hint="eastAsia"/>
                <w:sz w:val="21"/>
                <w:szCs w:val="21"/>
              </w:rPr>
              <w:t>/m</w:t>
            </w:r>
            <w:r>
              <w:rPr>
                <w:rFonts w:hint="eastAsia"/>
                <w:sz w:val="21"/>
                <w:szCs w:val="21"/>
                <w:vertAlign w:val="superscript"/>
              </w:rPr>
              <w:t>3</w:t>
            </w:r>
            <w:r>
              <w:rPr>
                <w:rFonts w:hint="eastAsia"/>
                <w:sz w:val="21"/>
                <w:szCs w:val="21"/>
              </w:rPr>
              <w:t>/d</w:t>
            </w:r>
          </w:p>
        </w:tc>
        <w:tc>
          <w:tcPr>
            <w:tcW w:w="1157" w:type="dxa"/>
            <w:vAlign w:val="center"/>
          </w:tcPr>
          <w:p w:rsidR="00DB7CC8" w:rsidRDefault="002B5250">
            <w:pPr>
              <w:widowControl/>
              <w:ind w:firstLineChars="0" w:firstLine="0"/>
              <w:jc w:val="center"/>
              <w:rPr>
                <w:sz w:val="21"/>
                <w:szCs w:val="21"/>
              </w:rPr>
            </w:pPr>
            <w:r>
              <w:rPr>
                <w:sz w:val="21"/>
                <w:szCs w:val="21"/>
              </w:rPr>
              <w:t>r</w:t>
            </w:r>
            <w:r>
              <w:rPr>
                <w:rFonts w:hint="eastAsia"/>
                <w:sz w:val="21"/>
                <w:szCs w:val="21"/>
              </w:rPr>
              <w:t>/m</w:t>
            </w:r>
          </w:p>
        </w:tc>
        <w:tc>
          <w:tcPr>
            <w:tcW w:w="1157" w:type="dxa"/>
            <w:vAlign w:val="center"/>
          </w:tcPr>
          <w:p w:rsidR="00DB7CC8" w:rsidRDefault="002B5250">
            <w:pPr>
              <w:widowControl/>
              <w:ind w:firstLineChars="0" w:firstLine="0"/>
              <w:jc w:val="center"/>
              <w:rPr>
                <w:sz w:val="21"/>
                <w:szCs w:val="21"/>
              </w:rPr>
            </w:pPr>
            <w:r>
              <w:rPr>
                <w:sz w:val="21"/>
                <w:szCs w:val="21"/>
              </w:rPr>
              <w:t>R</w:t>
            </w:r>
            <w:r>
              <w:rPr>
                <w:rFonts w:hint="eastAsia"/>
                <w:sz w:val="21"/>
                <w:szCs w:val="21"/>
              </w:rPr>
              <w:t>/m</w:t>
            </w:r>
          </w:p>
        </w:tc>
        <w:tc>
          <w:tcPr>
            <w:tcW w:w="1150" w:type="dxa"/>
            <w:vAlign w:val="center"/>
          </w:tcPr>
          <w:p w:rsidR="00DB7CC8" w:rsidRDefault="002B5250">
            <w:pPr>
              <w:widowControl/>
              <w:ind w:firstLineChars="0" w:firstLine="0"/>
              <w:jc w:val="center"/>
              <w:rPr>
                <w:sz w:val="21"/>
                <w:szCs w:val="21"/>
              </w:rPr>
            </w:pPr>
            <w:r>
              <w:rPr>
                <w:sz w:val="21"/>
                <w:szCs w:val="21"/>
              </w:rPr>
              <w:t>K</w:t>
            </w:r>
            <w:r>
              <w:rPr>
                <w:rFonts w:hint="eastAsia"/>
                <w:sz w:val="21"/>
                <w:szCs w:val="21"/>
              </w:rPr>
              <w:t>/m/d</w:t>
            </w:r>
          </w:p>
        </w:tc>
      </w:tr>
      <w:tr w:rsidR="00DB7CC8">
        <w:trPr>
          <w:trHeight w:val="240"/>
        </w:trPr>
        <w:tc>
          <w:tcPr>
            <w:tcW w:w="1588" w:type="dxa"/>
            <w:vAlign w:val="center"/>
          </w:tcPr>
          <w:p w:rsidR="00DB7CC8" w:rsidRDefault="002B5250">
            <w:pPr>
              <w:widowControl/>
              <w:ind w:firstLineChars="0" w:firstLine="0"/>
              <w:jc w:val="center"/>
              <w:rPr>
                <w:sz w:val="21"/>
                <w:szCs w:val="21"/>
              </w:rPr>
            </w:pPr>
            <w:r>
              <w:rPr>
                <w:rFonts w:hint="eastAsia"/>
                <w:sz w:val="21"/>
                <w:szCs w:val="21"/>
              </w:rPr>
              <w:t>建明镇</w:t>
            </w:r>
          </w:p>
        </w:tc>
        <w:tc>
          <w:tcPr>
            <w:tcW w:w="1153" w:type="dxa"/>
            <w:vAlign w:val="center"/>
          </w:tcPr>
          <w:p w:rsidR="00DB7CC8" w:rsidRDefault="002B5250">
            <w:pPr>
              <w:ind w:firstLineChars="0" w:firstLine="0"/>
              <w:jc w:val="center"/>
              <w:rPr>
                <w:sz w:val="21"/>
                <w:szCs w:val="21"/>
              </w:rPr>
            </w:pPr>
            <w:r>
              <w:rPr>
                <w:rFonts w:hint="eastAsia"/>
                <w:sz w:val="21"/>
                <w:szCs w:val="21"/>
              </w:rPr>
              <w:t>20.0</w:t>
            </w:r>
          </w:p>
        </w:tc>
        <w:tc>
          <w:tcPr>
            <w:tcW w:w="1157" w:type="dxa"/>
            <w:vAlign w:val="center"/>
          </w:tcPr>
          <w:p w:rsidR="00DB7CC8" w:rsidRDefault="002B5250">
            <w:pPr>
              <w:ind w:firstLineChars="0" w:firstLine="0"/>
              <w:jc w:val="center"/>
              <w:rPr>
                <w:sz w:val="21"/>
                <w:szCs w:val="21"/>
              </w:rPr>
            </w:pPr>
            <w:r>
              <w:rPr>
                <w:rFonts w:hint="eastAsia"/>
                <w:sz w:val="21"/>
                <w:szCs w:val="21"/>
              </w:rPr>
              <w:t>3</w:t>
            </w:r>
            <w:r>
              <w:rPr>
                <w:sz w:val="21"/>
                <w:szCs w:val="21"/>
              </w:rPr>
              <w:t>.0</w:t>
            </w:r>
            <w:r>
              <w:rPr>
                <w:rFonts w:hint="eastAsia"/>
                <w:sz w:val="21"/>
                <w:szCs w:val="21"/>
              </w:rPr>
              <w:t>0</w:t>
            </w:r>
          </w:p>
        </w:tc>
        <w:tc>
          <w:tcPr>
            <w:tcW w:w="1157" w:type="dxa"/>
            <w:vAlign w:val="center"/>
          </w:tcPr>
          <w:p w:rsidR="00DB7CC8" w:rsidRDefault="002B5250">
            <w:pPr>
              <w:ind w:firstLineChars="0" w:firstLine="0"/>
              <w:jc w:val="center"/>
              <w:rPr>
                <w:sz w:val="21"/>
                <w:szCs w:val="21"/>
              </w:rPr>
            </w:pPr>
            <w:r>
              <w:rPr>
                <w:rFonts w:hint="eastAsia"/>
                <w:sz w:val="21"/>
                <w:szCs w:val="21"/>
              </w:rPr>
              <w:t>1450</w:t>
            </w:r>
          </w:p>
        </w:tc>
        <w:tc>
          <w:tcPr>
            <w:tcW w:w="1157" w:type="dxa"/>
            <w:vAlign w:val="center"/>
          </w:tcPr>
          <w:p w:rsidR="00DB7CC8" w:rsidRDefault="002B5250">
            <w:pPr>
              <w:ind w:firstLineChars="0" w:firstLine="0"/>
              <w:jc w:val="center"/>
              <w:rPr>
                <w:sz w:val="21"/>
                <w:szCs w:val="21"/>
              </w:rPr>
            </w:pPr>
            <w:r>
              <w:rPr>
                <w:sz w:val="21"/>
                <w:szCs w:val="21"/>
              </w:rPr>
              <w:t xml:space="preserve">0.15 </w:t>
            </w:r>
          </w:p>
        </w:tc>
        <w:tc>
          <w:tcPr>
            <w:tcW w:w="1157" w:type="dxa"/>
            <w:vAlign w:val="center"/>
          </w:tcPr>
          <w:p w:rsidR="00DB7CC8" w:rsidRDefault="002B5250">
            <w:pPr>
              <w:ind w:firstLineChars="0" w:firstLine="0"/>
              <w:jc w:val="center"/>
              <w:rPr>
                <w:sz w:val="21"/>
                <w:szCs w:val="21"/>
              </w:rPr>
            </w:pPr>
            <w:r>
              <w:rPr>
                <w:rFonts w:hint="eastAsia"/>
                <w:sz w:val="21"/>
                <w:szCs w:val="21"/>
              </w:rPr>
              <w:t>140.75</w:t>
            </w:r>
          </w:p>
        </w:tc>
        <w:tc>
          <w:tcPr>
            <w:tcW w:w="1150" w:type="dxa"/>
            <w:vAlign w:val="center"/>
          </w:tcPr>
          <w:p w:rsidR="00DB7CC8" w:rsidRDefault="002B5250">
            <w:pPr>
              <w:ind w:firstLineChars="0" w:firstLine="0"/>
              <w:jc w:val="center"/>
              <w:rPr>
                <w:sz w:val="21"/>
                <w:szCs w:val="21"/>
              </w:rPr>
            </w:pPr>
            <w:r>
              <w:rPr>
                <w:rFonts w:hint="eastAsia"/>
                <w:sz w:val="21"/>
                <w:szCs w:val="21"/>
              </w:rPr>
              <w:t>15.72</w:t>
            </w:r>
          </w:p>
        </w:tc>
      </w:tr>
      <w:tr w:rsidR="00DB7CC8">
        <w:trPr>
          <w:trHeight w:val="255"/>
        </w:trPr>
        <w:tc>
          <w:tcPr>
            <w:tcW w:w="1588" w:type="dxa"/>
            <w:vAlign w:val="center"/>
          </w:tcPr>
          <w:p w:rsidR="00DB7CC8" w:rsidRDefault="002B5250">
            <w:pPr>
              <w:widowControl/>
              <w:ind w:firstLineChars="0" w:firstLine="0"/>
              <w:jc w:val="center"/>
              <w:rPr>
                <w:sz w:val="21"/>
                <w:szCs w:val="21"/>
              </w:rPr>
            </w:pPr>
            <w:r>
              <w:rPr>
                <w:rFonts w:hint="eastAsia"/>
                <w:sz w:val="21"/>
              </w:rPr>
              <w:t>刁庄子村</w:t>
            </w:r>
          </w:p>
        </w:tc>
        <w:tc>
          <w:tcPr>
            <w:tcW w:w="1153" w:type="dxa"/>
            <w:vAlign w:val="center"/>
          </w:tcPr>
          <w:p w:rsidR="00DB7CC8" w:rsidRDefault="002B5250">
            <w:pPr>
              <w:ind w:firstLineChars="0" w:firstLine="0"/>
              <w:jc w:val="center"/>
              <w:rPr>
                <w:sz w:val="21"/>
                <w:szCs w:val="21"/>
              </w:rPr>
            </w:pPr>
            <w:r>
              <w:rPr>
                <w:rFonts w:hint="eastAsia"/>
                <w:sz w:val="21"/>
                <w:szCs w:val="21"/>
              </w:rPr>
              <w:t>12.5</w:t>
            </w:r>
          </w:p>
        </w:tc>
        <w:tc>
          <w:tcPr>
            <w:tcW w:w="1157" w:type="dxa"/>
            <w:vAlign w:val="center"/>
          </w:tcPr>
          <w:p w:rsidR="00DB7CC8" w:rsidRDefault="002B5250">
            <w:pPr>
              <w:ind w:firstLineChars="0" w:firstLine="0"/>
              <w:jc w:val="center"/>
              <w:rPr>
                <w:sz w:val="21"/>
                <w:szCs w:val="21"/>
              </w:rPr>
            </w:pPr>
            <w:r>
              <w:rPr>
                <w:rFonts w:hint="eastAsia"/>
                <w:sz w:val="21"/>
                <w:szCs w:val="21"/>
              </w:rPr>
              <w:t>1.50</w:t>
            </w:r>
          </w:p>
        </w:tc>
        <w:tc>
          <w:tcPr>
            <w:tcW w:w="1157" w:type="dxa"/>
            <w:vAlign w:val="center"/>
          </w:tcPr>
          <w:p w:rsidR="00DB7CC8" w:rsidRDefault="002B5250">
            <w:pPr>
              <w:ind w:firstLineChars="0" w:firstLine="0"/>
              <w:jc w:val="center"/>
              <w:rPr>
                <w:sz w:val="21"/>
                <w:szCs w:val="21"/>
              </w:rPr>
            </w:pPr>
            <w:r>
              <w:rPr>
                <w:rFonts w:hint="eastAsia"/>
                <w:sz w:val="21"/>
                <w:szCs w:val="21"/>
              </w:rPr>
              <w:t>650</w:t>
            </w:r>
          </w:p>
        </w:tc>
        <w:tc>
          <w:tcPr>
            <w:tcW w:w="1157" w:type="dxa"/>
            <w:vAlign w:val="center"/>
          </w:tcPr>
          <w:p w:rsidR="00DB7CC8" w:rsidRDefault="002B5250">
            <w:pPr>
              <w:ind w:firstLineChars="0" w:firstLine="0"/>
              <w:jc w:val="center"/>
              <w:rPr>
                <w:sz w:val="21"/>
                <w:szCs w:val="21"/>
              </w:rPr>
            </w:pPr>
            <w:r>
              <w:rPr>
                <w:sz w:val="21"/>
                <w:szCs w:val="21"/>
              </w:rPr>
              <w:t xml:space="preserve">0.15 </w:t>
            </w:r>
          </w:p>
        </w:tc>
        <w:tc>
          <w:tcPr>
            <w:tcW w:w="1157" w:type="dxa"/>
            <w:vAlign w:val="center"/>
          </w:tcPr>
          <w:p w:rsidR="00DB7CC8" w:rsidRDefault="002B5250">
            <w:pPr>
              <w:ind w:firstLineChars="0" w:firstLine="0"/>
              <w:jc w:val="center"/>
              <w:rPr>
                <w:sz w:val="21"/>
                <w:szCs w:val="21"/>
              </w:rPr>
            </w:pPr>
            <w:r>
              <w:rPr>
                <w:rFonts w:hint="eastAsia"/>
                <w:sz w:val="21"/>
                <w:szCs w:val="21"/>
              </w:rPr>
              <w:t>61.88</w:t>
            </w:r>
          </w:p>
        </w:tc>
        <w:tc>
          <w:tcPr>
            <w:tcW w:w="1150" w:type="dxa"/>
            <w:vAlign w:val="center"/>
          </w:tcPr>
          <w:p w:rsidR="00DB7CC8" w:rsidRDefault="002B5250">
            <w:pPr>
              <w:ind w:firstLineChars="0" w:firstLine="0"/>
              <w:jc w:val="center"/>
              <w:rPr>
                <w:sz w:val="21"/>
                <w:szCs w:val="21"/>
              </w:rPr>
            </w:pPr>
            <w:r>
              <w:rPr>
                <w:rFonts w:hint="eastAsia"/>
                <w:sz w:val="21"/>
                <w:szCs w:val="21"/>
              </w:rPr>
              <w:t>13.30</w:t>
            </w:r>
          </w:p>
        </w:tc>
      </w:tr>
      <w:tr w:rsidR="00DB7CC8">
        <w:trPr>
          <w:trHeight w:val="255"/>
        </w:trPr>
        <w:tc>
          <w:tcPr>
            <w:tcW w:w="1588" w:type="dxa"/>
            <w:vAlign w:val="center"/>
          </w:tcPr>
          <w:p w:rsidR="00DB7CC8" w:rsidRDefault="002B5250">
            <w:pPr>
              <w:widowControl/>
              <w:ind w:firstLineChars="0" w:firstLine="0"/>
              <w:jc w:val="center"/>
              <w:rPr>
                <w:sz w:val="21"/>
                <w:szCs w:val="21"/>
              </w:rPr>
            </w:pPr>
            <w:r>
              <w:rPr>
                <w:rFonts w:hint="eastAsia"/>
                <w:sz w:val="21"/>
              </w:rPr>
              <w:t>大安乐庄村</w:t>
            </w:r>
          </w:p>
        </w:tc>
        <w:tc>
          <w:tcPr>
            <w:tcW w:w="1153" w:type="dxa"/>
            <w:vAlign w:val="center"/>
          </w:tcPr>
          <w:p w:rsidR="00DB7CC8" w:rsidRDefault="002B5250">
            <w:pPr>
              <w:ind w:firstLineChars="0" w:firstLine="0"/>
              <w:jc w:val="center"/>
              <w:rPr>
                <w:sz w:val="21"/>
                <w:szCs w:val="21"/>
              </w:rPr>
            </w:pPr>
            <w:r>
              <w:rPr>
                <w:rFonts w:hint="eastAsia"/>
                <w:sz w:val="21"/>
                <w:szCs w:val="21"/>
              </w:rPr>
              <w:t>14.8</w:t>
            </w:r>
          </w:p>
        </w:tc>
        <w:tc>
          <w:tcPr>
            <w:tcW w:w="1157" w:type="dxa"/>
            <w:vAlign w:val="center"/>
          </w:tcPr>
          <w:p w:rsidR="00DB7CC8" w:rsidRDefault="002B5250">
            <w:pPr>
              <w:ind w:firstLineChars="0" w:firstLine="0"/>
              <w:jc w:val="center"/>
              <w:rPr>
                <w:sz w:val="21"/>
                <w:szCs w:val="21"/>
              </w:rPr>
            </w:pPr>
            <w:r>
              <w:rPr>
                <w:rFonts w:hint="eastAsia"/>
                <w:sz w:val="21"/>
                <w:szCs w:val="21"/>
              </w:rPr>
              <w:t>2.50</w:t>
            </w:r>
          </w:p>
        </w:tc>
        <w:tc>
          <w:tcPr>
            <w:tcW w:w="1157" w:type="dxa"/>
            <w:vAlign w:val="center"/>
          </w:tcPr>
          <w:p w:rsidR="00DB7CC8" w:rsidRDefault="002B5250">
            <w:pPr>
              <w:ind w:firstLineChars="0" w:firstLine="0"/>
              <w:jc w:val="center"/>
              <w:rPr>
                <w:sz w:val="21"/>
                <w:szCs w:val="21"/>
              </w:rPr>
            </w:pPr>
            <w:r>
              <w:rPr>
                <w:rFonts w:hint="eastAsia"/>
                <w:sz w:val="21"/>
                <w:szCs w:val="21"/>
              </w:rPr>
              <w:t>1050</w:t>
            </w:r>
          </w:p>
        </w:tc>
        <w:tc>
          <w:tcPr>
            <w:tcW w:w="1157" w:type="dxa"/>
            <w:vAlign w:val="center"/>
          </w:tcPr>
          <w:p w:rsidR="00DB7CC8" w:rsidRDefault="002B5250">
            <w:pPr>
              <w:ind w:firstLineChars="0" w:firstLine="0"/>
              <w:jc w:val="center"/>
              <w:rPr>
                <w:sz w:val="21"/>
                <w:szCs w:val="21"/>
              </w:rPr>
            </w:pPr>
            <w:r>
              <w:rPr>
                <w:rFonts w:hint="eastAsia"/>
                <w:sz w:val="21"/>
                <w:szCs w:val="21"/>
              </w:rPr>
              <w:t>0.15</w:t>
            </w:r>
          </w:p>
        </w:tc>
        <w:tc>
          <w:tcPr>
            <w:tcW w:w="1157" w:type="dxa"/>
            <w:vAlign w:val="center"/>
          </w:tcPr>
          <w:p w:rsidR="00DB7CC8" w:rsidRDefault="002B5250">
            <w:pPr>
              <w:ind w:firstLineChars="0" w:firstLine="0"/>
              <w:jc w:val="center"/>
              <w:rPr>
                <w:sz w:val="21"/>
                <w:szCs w:val="21"/>
              </w:rPr>
            </w:pPr>
            <w:r>
              <w:rPr>
                <w:rFonts w:hint="eastAsia"/>
                <w:sz w:val="21"/>
                <w:szCs w:val="21"/>
              </w:rPr>
              <w:t>106.91</w:t>
            </w:r>
          </w:p>
        </w:tc>
        <w:tc>
          <w:tcPr>
            <w:tcW w:w="1150" w:type="dxa"/>
            <w:vAlign w:val="center"/>
          </w:tcPr>
          <w:p w:rsidR="00DB7CC8" w:rsidRDefault="002B5250">
            <w:pPr>
              <w:ind w:firstLineChars="0" w:firstLine="0"/>
              <w:jc w:val="center"/>
              <w:rPr>
                <w:sz w:val="21"/>
                <w:szCs w:val="21"/>
              </w:rPr>
            </w:pPr>
            <w:r>
              <w:rPr>
                <w:rFonts w:hint="eastAsia"/>
                <w:sz w:val="21"/>
                <w:szCs w:val="21"/>
              </w:rPr>
              <w:t>14.29</w:t>
            </w:r>
          </w:p>
        </w:tc>
      </w:tr>
    </w:tbl>
    <w:p w:rsidR="00DB7CC8" w:rsidRDefault="002B5250">
      <w:pPr>
        <w:autoSpaceDE w:val="0"/>
        <w:autoSpaceDN w:val="0"/>
        <w:ind w:firstLine="480"/>
        <w:rPr>
          <w:sz w:val="24"/>
          <w:szCs w:val="24"/>
        </w:rPr>
      </w:pPr>
      <w:r>
        <w:rPr>
          <w:rFonts w:hint="eastAsia"/>
          <w:sz w:val="24"/>
          <w:szCs w:val="24"/>
        </w:rPr>
        <w:t>②</w:t>
      </w:r>
      <w:r>
        <w:rPr>
          <w:sz w:val="24"/>
          <w:szCs w:val="24"/>
        </w:rPr>
        <w:t>渗水试验与参数计算</w:t>
      </w:r>
    </w:p>
    <w:p w:rsidR="00DB7CC8" w:rsidRDefault="002B5250">
      <w:pPr>
        <w:autoSpaceDE w:val="0"/>
        <w:autoSpaceDN w:val="0"/>
        <w:ind w:firstLine="480"/>
        <w:rPr>
          <w:sz w:val="24"/>
          <w:szCs w:val="24"/>
        </w:rPr>
      </w:pPr>
      <w:r>
        <w:rPr>
          <w:sz w:val="24"/>
          <w:szCs w:val="24"/>
        </w:rPr>
        <w:t>为查明项目区包气带的防污性能，为地下水污染防治措施的设计提供科学依据，本次分别完成了</w:t>
      </w:r>
      <w:r>
        <w:rPr>
          <w:rFonts w:hint="eastAsia"/>
          <w:sz w:val="24"/>
          <w:szCs w:val="24"/>
        </w:rPr>
        <w:t>3</w:t>
      </w:r>
      <w:r>
        <w:rPr>
          <w:sz w:val="24"/>
          <w:szCs w:val="24"/>
        </w:rPr>
        <w:t>处渗水试验，通过野外现场测定了包气带地层的垂向渗透系数。</w:t>
      </w:r>
    </w:p>
    <w:p w:rsidR="00DB7CC8" w:rsidRDefault="002B5250">
      <w:pPr>
        <w:autoSpaceDE w:val="0"/>
        <w:autoSpaceDN w:val="0"/>
        <w:ind w:firstLine="480"/>
        <w:rPr>
          <w:sz w:val="24"/>
          <w:szCs w:val="24"/>
        </w:rPr>
      </w:pPr>
      <w:r>
        <w:rPr>
          <w:rFonts w:hint="eastAsia"/>
          <w:sz w:val="24"/>
          <w:szCs w:val="24"/>
        </w:rPr>
        <w:t>a</w:t>
      </w:r>
      <w:r>
        <w:rPr>
          <w:sz w:val="24"/>
          <w:szCs w:val="24"/>
        </w:rPr>
        <w:t>.</w:t>
      </w:r>
      <w:r>
        <w:rPr>
          <w:sz w:val="24"/>
          <w:szCs w:val="24"/>
        </w:rPr>
        <w:t>渗水实验求参原理</w:t>
      </w:r>
    </w:p>
    <w:p w:rsidR="00DB7CC8" w:rsidRDefault="002B5250">
      <w:pPr>
        <w:autoSpaceDE w:val="0"/>
        <w:autoSpaceDN w:val="0"/>
        <w:ind w:firstLine="480"/>
        <w:rPr>
          <w:sz w:val="24"/>
          <w:szCs w:val="24"/>
        </w:rPr>
      </w:pPr>
      <w:r>
        <w:rPr>
          <w:sz w:val="24"/>
          <w:szCs w:val="24"/>
        </w:rPr>
        <w:t>试验采用双环渗水试验，分别将直径为</w:t>
      </w:r>
      <w:r>
        <w:rPr>
          <w:sz w:val="24"/>
          <w:szCs w:val="24"/>
        </w:rPr>
        <w:t>0.5m</w:t>
      </w:r>
      <w:r>
        <w:rPr>
          <w:sz w:val="24"/>
          <w:szCs w:val="24"/>
        </w:rPr>
        <w:t>和</w:t>
      </w:r>
      <w:r>
        <w:rPr>
          <w:sz w:val="24"/>
          <w:szCs w:val="24"/>
        </w:rPr>
        <w:t>0.25m</w:t>
      </w:r>
      <w:r>
        <w:rPr>
          <w:sz w:val="24"/>
          <w:szCs w:val="24"/>
        </w:rPr>
        <w:t>的铁圈插入地下土层内，试验时向内、外环同时注入清水，并保持内外环的水位基本一致，都为</w:t>
      </w:r>
      <w:r>
        <w:rPr>
          <w:sz w:val="24"/>
          <w:szCs w:val="24"/>
        </w:rPr>
        <w:t>0.1m</w:t>
      </w:r>
      <w:r>
        <w:rPr>
          <w:sz w:val="24"/>
          <w:szCs w:val="24"/>
        </w:rPr>
        <w:t>，由于外环渗透场的约束作用使内环的水只能垂向渗入，因而排除了侧向渗流的误差。当向内环单位时间注入水量稳定时，则根据达西渗透定律计算包气带地层饱和渗透系数</w:t>
      </w:r>
      <w:r>
        <w:rPr>
          <w:sz w:val="24"/>
          <w:szCs w:val="24"/>
        </w:rPr>
        <w:t>K</w:t>
      </w:r>
      <w:r>
        <w:rPr>
          <w:sz w:val="24"/>
          <w:szCs w:val="24"/>
        </w:rPr>
        <w:t>。</w:t>
      </w:r>
    </w:p>
    <w:p w:rsidR="00DB7CC8" w:rsidRDefault="002B5250">
      <w:pPr>
        <w:ind w:firstLine="480"/>
        <w:rPr>
          <w:sz w:val="24"/>
        </w:rPr>
      </w:pPr>
      <w:r>
        <w:rPr>
          <w:sz w:val="24"/>
        </w:rPr>
        <w:t>如图</w:t>
      </w:r>
      <w:r>
        <w:rPr>
          <w:sz w:val="24"/>
        </w:rPr>
        <w:t>5.2-18</w:t>
      </w:r>
      <w:r>
        <w:rPr>
          <w:sz w:val="24"/>
        </w:rPr>
        <w:t>进行试验，根据达西定律：</w:t>
      </w:r>
    </w:p>
    <w:p w:rsidR="00DB7CC8" w:rsidRDefault="002B5250">
      <w:pPr>
        <w:ind w:firstLine="480"/>
        <w:rPr>
          <w:sz w:val="24"/>
        </w:rPr>
      </w:pPr>
      <w:r>
        <w:rPr>
          <w:noProof/>
          <w:sz w:val="24"/>
        </w:rPr>
        <w:drawing>
          <wp:inline distT="0" distB="0" distL="0" distR="0">
            <wp:extent cx="1162050" cy="400050"/>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162050" cy="400050"/>
                    </a:xfrm>
                    <a:prstGeom prst="rect">
                      <a:avLst/>
                    </a:prstGeom>
                    <a:noFill/>
                    <a:ln>
                      <a:noFill/>
                    </a:ln>
                  </pic:spPr>
                </pic:pic>
              </a:graphicData>
            </a:graphic>
          </wp:inline>
        </w:drawing>
      </w:r>
    </w:p>
    <w:p w:rsidR="00DB7CC8" w:rsidRDefault="002B5250">
      <w:pPr>
        <w:spacing w:line="540" w:lineRule="exact"/>
        <w:ind w:firstLine="480"/>
        <w:rPr>
          <w:sz w:val="24"/>
        </w:rPr>
      </w:pPr>
      <w:r>
        <w:rPr>
          <w:sz w:val="24"/>
        </w:rPr>
        <w:t>当水柱高度不大时，</w:t>
      </w:r>
      <w:r>
        <w:rPr>
          <w:sz w:val="24"/>
        </w:rPr>
        <w:t>h</w:t>
      </w:r>
      <w:r>
        <w:rPr>
          <w:sz w:val="24"/>
          <w:vertAlign w:val="subscript"/>
        </w:rPr>
        <w:t>0</w:t>
      </w:r>
      <w:r>
        <w:rPr>
          <w:sz w:val="24"/>
        </w:rPr>
        <w:t>可以忽略不计，所以</w:t>
      </w:r>
      <w:r>
        <w:rPr>
          <w:sz w:val="24"/>
        </w:rPr>
        <w:t>V=K</w:t>
      </w:r>
      <w:r>
        <w:rPr>
          <w:sz w:val="24"/>
        </w:rPr>
        <w:t>。渗水达到稳定时，下渗</w:t>
      </w:r>
      <w:r>
        <w:rPr>
          <w:sz w:val="24"/>
        </w:rPr>
        <w:lastRenderedPageBreak/>
        <w:t>速度为：</w:t>
      </w:r>
    </w:p>
    <w:p w:rsidR="00DB7CC8" w:rsidRDefault="002B5250">
      <w:pPr>
        <w:ind w:firstLine="480"/>
        <w:rPr>
          <w:sz w:val="24"/>
        </w:rPr>
      </w:pPr>
      <w:r>
        <w:rPr>
          <w:noProof/>
          <w:sz w:val="24"/>
        </w:rPr>
        <w:drawing>
          <wp:inline distT="0" distB="0" distL="0" distR="0">
            <wp:extent cx="466725" cy="400050"/>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466725" cy="400050"/>
                    </a:xfrm>
                    <a:prstGeom prst="rect">
                      <a:avLst/>
                    </a:prstGeom>
                    <a:noFill/>
                    <a:ln>
                      <a:noFill/>
                    </a:ln>
                  </pic:spPr>
                </pic:pic>
              </a:graphicData>
            </a:graphic>
          </wp:inline>
        </w:drawing>
      </w:r>
    </w:p>
    <w:p w:rsidR="00DB7CC8" w:rsidRDefault="002B5250">
      <w:pPr>
        <w:spacing w:line="540" w:lineRule="exact"/>
        <w:ind w:firstLine="480"/>
        <w:rPr>
          <w:sz w:val="24"/>
        </w:rPr>
      </w:pPr>
      <w:r>
        <w:rPr>
          <w:sz w:val="24"/>
        </w:rPr>
        <w:t>式中：</w:t>
      </w:r>
      <w:r>
        <w:rPr>
          <w:sz w:val="24"/>
        </w:rPr>
        <w:t>V—</w:t>
      </w:r>
      <w:r>
        <w:rPr>
          <w:sz w:val="24"/>
        </w:rPr>
        <w:t>下渗速度；</w:t>
      </w:r>
      <w:r>
        <w:rPr>
          <w:sz w:val="24"/>
        </w:rPr>
        <w:t>Q—</w:t>
      </w:r>
      <w:r>
        <w:rPr>
          <w:sz w:val="24"/>
        </w:rPr>
        <w:t>内环渗入流量；</w:t>
      </w:r>
      <w:r>
        <w:rPr>
          <w:sz w:val="24"/>
        </w:rPr>
        <w:t>W—</w:t>
      </w:r>
      <w:r>
        <w:rPr>
          <w:sz w:val="24"/>
        </w:rPr>
        <w:t>内环面积。</w:t>
      </w:r>
    </w:p>
    <w:p w:rsidR="00DB7CC8" w:rsidRDefault="002B5250">
      <w:pPr>
        <w:widowControl/>
        <w:ind w:firstLine="480"/>
        <w:jc w:val="center"/>
        <w:rPr>
          <w:sz w:val="24"/>
        </w:rPr>
      </w:pPr>
      <w:r>
        <w:rPr>
          <w:noProof/>
          <w:sz w:val="24"/>
        </w:rPr>
        <w:drawing>
          <wp:inline distT="0" distB="0" distL="0" distR="0">
            <wp:extent cx="3686175" cy="3505200"/>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noChangeArrowheads="1"/>
                    </pic:cNvPicPr>
                  </pic:nvPicPr>
                  <pic:blipFill>
                    <a:blip r:embed="rId80">
                      <a:extLst>
                        <a:ext uri="{28A0092B-C50C-407E-A947-70E740481C1C}">
                          <a14:useLocalDpi xmlns:a14="http://schemas.microsoft.com/office/drawing/2010/main" val="0"/>
                        </a:ext>
                      </a:extLst>
                    </a:blip>
                    <a:srcRect l="12076" t="4533" r="4926" b="30418"/>
                    <a:stretch>
                      <a:fillRect/>
                    </a:stretch>
                  </pic:blipFill>
                  <pic:spPr>
                    <a:xfrm>
                      <a:off x="0" y="0"/>
                      <a:ext cx="3686175" cy="3505200"/>
                    </a:xfrm>
                    <a:prstGeom prst="rect">
                      <a:avLst/>
                    </a:prstGeom>
                    <a:noFill/>
                    <a:ln>
                      <a:noFill/>
                    </a:ln>
                  </pic:spPr>
                </pic:pic>
              </a:graphicData>
            </a:graphic>
          </wp:inline>
        </w:drawing>
      </w:r>
    </w:p>
    <w:p w:rsidR="00DB7CC8" w:rsidRDefault="002B5250">
      <w:pPr>
        <w:spacing w:line="240" w:lineRule="auto"/>
        <w:ind w:firstLineChars="0" w:firstLine="0"/>
        <w:jc w:val="center"/>
        <w:textAlignment w:val="auto"/>
        <w:rPr>
          <w:rFonts w:eastAsia="黑体"/>
          <w:kern w:val="2"/>
          <w:sz w:val="21"/>
          <w:szCs w:val="21"/>
        </w:rPr>
      </w:pPr>
      <w:r>
        <w:rPr>
          <w:rFonts w:eastAsia="黑体" w:hint="eastAsia"/>
          <w:kern w:val="2"/>
          <w:sz w:val="21"/>
          <w:szCs w:val="21"/>
        </w:rPr>
        <w:t>图</w:t>
      </w:r>
      <w:r>
        <w:rPr>
          <w:rFonts w:eastAsia="黑体"/>
          <w:kern w:val="2"/>
          <w:sz w:val="21"/>
          <w:szCs w:val="21"/>
        </w:rPr>
        <w:t>5.2-18</w:t>
      </w:r>
      <w:r>
        <w:rPr>
          <w:rFonts w:eastAsia="黑体" w:hint="eastAsia"/>
          <w:kern w:val="2"/>
          <w:sz w:val="21"/>
          <w:szCs w:val="21"/>
        </w:rPr>
        <w:t xml:space="preserve">   </w:t>
      </w:r>
      <w:r>
        <w:rPr>
          <w:rFonts w:eastAsia="黑体" w:hint="eastAsia"/>
          <w:kern w:val="2"/>
          <w:sz w:val="21"/>
          <w:szCs w:val="21"/>
        </w:rPr>
        <w:t>双环渗水试验原理图</w:t>
      </w:r>
    </w:p>
    <w:p w:rsidR="00DB7CC8" w:rsidRDefault="002B5250">
      <w:pPr>
        <w:spacing w:line="540" w:lineRule="exact"/>
        <w:ind w:firstLine="480"/>
        <w:rPr>
          <w:sz w:val="24"/>
        </w:rPr>
      </w:pPr>
      <w:r>
        <w:rPr>
          <w:rFonts w:hint="eastAsia"/>
          <w:sz w:val="24"/>
        </w:rPr>
        <w:t>b.</w:t>
      </w:r>
      <w:r>
        <w:rPr>
          <w:sz w:val="24"/>
        </w:rPr>
        <w:t>渗水实验求参结果</w:t>
      </w:r>
    </w:p>
    <w:p w:rsidR="00DB7CC8" w:rsidRDefault="002B5250">
      <w:pPr>
        <w:spacing w:line="540" w:lineRule="exact"/>
        <w:ind w:firstLine="480"/>
        <w:rPr>
          <w:sz w:val="24"/>
        </w:rPr>
      </w:pPr>
      <w:r>
        <w:rPr>
          <w:sz w:val="24"/>
        </w:rPr>
        <w:t>双环渗水试验的计算结果参见</w:t>
      </w:r>
      <w:r>
        <w:rPr>
          <w:sz w:val="24"/>
        </w:rPr>
        <w:t>5.2-2</w:t>
      </w:r>
      <w:r>
        <w:rPr>
          <w:rFonts w:hint="eastAsia"/>
          <w:sz w:val="24"/>
        </w:rPr>
        <w:t>6</w:t>
      </w:r>
      <w:r>
        <w:rPr>
          <w:sz w:val="24"/>
        </w:rPr>
        <w:t>。</w:t>
      </w:r>
    </w:p>
    <w:p w:rsidR="00DB7CC8" w:rsidRDefault="002B5250">
      <w:pPr>
        <w:autoSpaceDE w:val="0"/>
        <w:autoSpaceDN w:val="0"/>
        <w:ind w:firstLine="420"/>
        <w:jc w:val="center"/>
        <w:rPr>
          <w:rFonts w:ascii="黑体" w:eastAsia="黑体" w:hAnsi="黑体"/>
          <w:sz w:val="21"/>
          <w:szCs w:val="21"/>
          <w:lang w:val="zh-CN"/>
        </w:rPr>
      </w:pPr>
      <w:r>
        <w:rPr>
          <w:rFonts w:eastAsia="黑体"/>
          <w:sz w:val="21"/>
          <w:szCs w:val="21"/>
        </w:rPr>
        <w:t xml:space="preserve">5.2-26 </w:t>
      </w:r>
      <w:r>
        <w:rPr>
          <w:rFonts w:eastAsia="黑体"/>
          <w:sz w:val="21"/>
          <w:szCs w:val="21"/>
          <w:lang w:val="zh-CN"/>
        </w:rPr>
        <w:t xml:space="preserve">  </w:t>
      </w:r>
      <w:r>
        <w:rPr>
          <w:rFonts w:eastAsia="黑体"/>
          <w:sz w:val="21"/>
          <w:szCs w:val="21"/>
          <w:lang w:val="zh-CN"/>
        </w:rPr>
        <w:t>渗水</w:t>
      </w:r>
      <w:r>
        <w:rPr>
          <w:rFonts w:ascii="黑体" w:eastAsia="黑体" w:hAnsi="黑体" w:hint="eastAsia"/>
          <w:sz w:val="21"/>
          <w:szCs w:val="21"/>
          <w:lang w:val="zh-CN"/>
        </w:rPr>
        <w:t>试验渗透系数结果统计表</w:t>
      </w:r>
      <w:r>
        <w:rPr>
          <w:rFonts w:ascii="黑体" w:eastAsia="黑体" w:hAnsi="黑体" w:hint="eastAsia"/>
          <w:sz w:val="21"/>
          <w:szCs w:val="21"/>
          <w:lang w:val="zh-CN"/>
        </w:rPr>
        <w:tab/>
      </w:r>
    </w:p>
    <w:tbl>
      <w:tblPr>
        <w:tblW w:w="8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33"/>
        <w:gridCol w:w="1962"/>
        <w:gridCol w:w="1844"/>
        <w:gridCol w:w="1362"/>
        <w:gridCol w:w="2021"/>
      </w:tblGrid>
      <w:tr w:rsidR="00DB7CC8">
        <w:trPr>
          <w:trHeight w:val="237"/>
        </w:trPr>
        <w:tc>
          <w:tcPr>
            <w:tcW w:w="1333" w:type="dxa"/>
            <w:vMerge w:val="restart"/>
            <w:vAlign w:val="center"/>
          </w:tcPr>
          <w:p w:rsidR="00DB7CC8" w:rsidRDefault="002B5250">
            <w:pPr>
              <w:spacing w:line="260" w:lineRule="exact"/>
              <w:ind w:firstLineChars="0" w:firstLine="0"/>
              <w:jc w:val="center"/>
              <w:rPr>
                <w:sz w:val="21"/>
                <w:szCs w:val="21"/>
              </w:rPr>
            </w:pPr>
            <w:r>
              <w:rPr>
                <w:sz w:val="21"/>
                <w:szCs w:val="21"/>
              </w:rPr>
              <w:t>实验点</w:t>
            </w:r>
          </w:p>
          <w:p w:rsidR="00DB7CC8" w:rsidRDefault="002B5250">
            <w:pPr>
              <w:spacing w:line="260" w:lineRule="exact"/>
              <w:ind w:firstLineChars="0" w:firstLine="0"/>
              <w:jc w:val="center"/>
              <w:rPr>
                <w:sz w:val="21"/>
                <w:szCs w:val="21"/>
              </w:rPr>
            </w:pPr>
            <w:r>
              <w:rPr>
                <w:sz w:val="21"/>
                <w:szCs w:val="21"/>
              </w:rPr>
              <w:t>编号</w:t>
            </w:r>
          </w:p>
        </w:tc>
        <w:tc>
          <w:tcPr>
            <w:tcW w:w="3806" w:type="dxa"/>
            <w:gridSpan w:val="2"/>
            <w:vAlign w:val="center"/>
          </w:tcPr>
          <w:p w:rsidR="00DB7CC8" w:rsidRDefault="002B5250">
            <w:pPr>
              <w:spacing w:line="260" w:lineRule="exact"/>
              <w:ind w:firstLineChars="0" w:firstLine="0"/>
              <w:jc w:val="center"/>
              <w:rPr>
                <w:sz w:val="21"/>
                <w:szCs w:val="21"/>
              </w:rPr>
            </w:pPr>
            <w:r>
              <w:rPr>
                <w:sz w:val="21"/>
                <w:szCs w:val="21"/>
              </w:rPr>
              <w:t>试验点坐标</w:t>
            </w:r>
          </w:p>
        </w:tc>
        <w:tc>
          <w:tcPr>
            <w:tcW w:w="1362" w:type="dxa"/>
            <w:vMerge w:val="restart"/>
            <w:vAlign w:val="center"/>
          </w:tcPr>
          <w:p w:rsidR="00DB7CC8" w:rsidRDefault="002B5250">
            <w:pPr>
              <w:spacing w:line="260" w:lineRule="exact"/>
              <w:ind w:firstLineChars="0" w:firstLine="0"/>
              <w:jc w:val="center"/>
              <w:rPr>
                <w:sz w:val="21"/>
                <w:szCs w:val="21"/>
              </w:rPr>
            </w:pPr>
            <w:r>
              <w:rPr>
                <w:sz w:val="21"/>
                <w:szCs w:val="21"/>
              </w:rPr>
              <w:t>水头高度</w:t>
            </w:r>
          </w:p>
          <w:p w:rsidR="00DB7CC8" w:rsidRDefault="002B5250">
            <w:pPr>
              <w:spacing w:line="260" w:lineRule="exact"/>
              <w:ind w:firstLineChars="0" w:firstLine="0"/>
              <w:jc w:val="center"/>
              <w:rPr>
                <w:sz w:val="21"/>
                <w:szCs w:val="21"/>
              </w:rPr>
            </w:pPr>
            <w:r>
              <w:rPr>
                <w:sz w:val="21"/>
                <w:szCs w:val="21"/>
              </w:rPr>
              <w:t>（</w:t>
            </w:r>
            <w:r>
              <w:rPr>
                <w:sz w:val="21"/>
                <w:szCs w:val="21"/>
              </w:rPr>
              <w:t>cm</w:t>
            </w:r>
            <w:r>
              <w:rPr>
                <w:sz w:val="21"/>
                <w:szCs w:val="21"/>
              </w:rPr>
              <w:t>）</w:t>
            </w:r>
          </w:p>
        </w:tc>
        <w:tc>
          <w:tcPr>
            <w:tcW w:w="2021" w:type="dxa"/>
            <w:vMerge w:val="restart"/>
            <w:vAlign w:val="center"/>
          </w:tcPr>
          <w:p w:rsidR="00DB7CC8" w:rsidRDefault="002B5250">
            <w:pPr>
              <w:spacing w:line="260" w:lineRule="exact"/>
              <w:ind w:firstLineChars="0" w:firstLine="0"/>
              <w:jc w:val="center"/>
              <w:rPr>
                <w:sz w:val="21"/>
                <w:szCs w:val="21"/>
              </w:rPr>
            </w:pPr>
            <w:r>
              <w:rPr>
                <w:sz w:val="21"/>
                <w:szCs w:val="21"/>
              </w:rPr>
              <w:t>渗透系数</w:t>
            </w:r>
            <w:r>
              <w:rPr>
                <w:sz w:val="21"/>
                <w:szCs w:val="21"/>
              </w:rPr>
              <w:t>K</w:t>
            </w:r>
          </w:p>
          <w:p w:rsidR="00DB7CC8" w:rsidRDefault="002B5250">
            <w:pPr>
              <w:spacing w:line="260" w:lineRule="exact"/>
              <w:ind w:firstLineChars="0" w:firstLine="0"/>
              <w:jc w:val="center"/>
              <w:rPr>
                <w:sz w:val="21"/>
                <w:szCs w:val="21"/>
              </w:rPr>
            </w:pPr>
            <w:r>
              <w:rPr>
                <w:sz w:val="21"/>
                <w:szCs w:val="21"/>
              </w:rPr>
              <w:t>（</w:t>
            </w:r>
            <w:r>
              <w:rPr>
                <w:sz w:val="21"/>
                <w:szCs w:val="21"/>
              </w:rPr>
              <w:t>cm/s</w:t>
            </w:r>
            <w:r>
              <w:rPr>
                <w:sz w:val="21"/>
                <w:szCs w:val="21"/>
              </w:rPr>
              <w:t>）</w:t>
            </w:r>
          </w:p>
        </w:tc>
      </w:tr>
      <w:tr w:rsidR="00DB7CC8">
        <w:trPr>
          <w:trHeight w:val="293"/>
        </w:trPr>
        <w:tc>
          <w:tcPr>
            <w:tcW w:w="1333" w:type="dxa"/>
            <w:vMerge/>
            <w:vAlign w:val="center"/>
          </w:tcPr>
          <w:p w:rsidR="00DB7CC8" w:rsidRDefault="00DB7CC8">
            <w:pPr>
              <w:spacing w:line="260" w:lineRule="exact"/>
              <w:ind w:firstLineChars="0" w:firstLine="422"/>
              <w:jc w:val="center"/>
              <w:rPr>
                <w:rFonts w:ascii="隶书"/>
                <w:b/>
                <w:bCs/>
                <w:kern w:val="44"/>
                <w:sz w:val="21"/>
                <w:szCs w:val="21"/>
              </w:rPr>
            </w:pPr>
          </w:p>
        </w:tc>
        <w:tc>
          <w:tcPr>
            <w:tcW w:w="1962" w:type="dxa"/>
            <w:vAlign w:val="center"/>
          </w:tcPr>
          <w:p w:rsidR="00DB7CC8" w:rsidRDefault="002B5250">
            <w:pPr>
              <w:spacing w:line="260" w:lineRule="exact"/>
              <w:ind w:firstLineChars="0" w:firstLine="0"/>
              <w:jc w:val="center"/>
              <w:rPr>
                <w:sz w:val="21"/>
                <w:szCs w:val="21"/>
              </w:rPr>
            </w:pPr>
            <w:r>
              <w:rPr>
                <w:rFonts w:hint="eastAsia"/>
                <w:sz w:val="21"/>
                <w:szCs w:val="21"/>
              </w:rPr>
              <w:t>X</w:t>
            </w:r>
          </w:p>
        </w:tc>
        <w:tc>
          <w:tcPr>
            <w:tcW w:w="1844" w:type="dxa"/>
            <w:vAlign w:val="center"/>
          </w:tcPr>
          <w:p w:rsidR="00DB7CC8" w:rsidRDefault="002B5250">
            <w:pPr>
              <w:spacing w:line="260" w:lineRule="exact"/>
              <w:ind w:firstLineChars="0" w:firstLine="0"/>
              <w:jc w:val="center"/>
              <w:rPr>
                <w:sz w:val="21"/>
                <w:szCs w:val="21"/>
              </w:rPr>
            </w:pPr>
            <w:r>
              <w:rPr>
                <w:rFonts w:hint="eastAsia"/>
                <w:sz w:val="21"/>
                <w:szCs w:val="21"/>
              </w:rPr>
              <w:t>Y</w:t>
            </w:r>
          </w:p>
        </w:tc>
        <w:tc>
          <w:tcPr>
            <w:tcW w:w="1362" w:type="dxa"/>
            <w:vMerge/>
            <w:vAlign w:val="center"/>
          </w:tcPr>
          <w:p w:rsidR="00DB7CC8" w:rsidRDefault="00DB7CC8">
            <w:pPr>
              <w:spacing w:line="260" w:lineRule="exact"/>
              <w:ind w:firstLineChars="0" w:firstLine="422"/>
              <w:jc w:val="center"/>
              <w:rPr>
                <w:rFonts w:ascii="隶书"/>
                <w:b/>
                <w:bCs/>
                <w:kern w:val="44"/>
                <w:sz w:val="21"/>
                <w:szCs w:val="21"/>
              </w:rPr>
            </w:pPr>
          </w:p>
        </w:tc>
        <w:tc>
          <w:tcPr>
            <w:tcW w:w="2021" w:type="dxa"/>
            <w:vMerge/>
            <w:vAlign w:val="center"/>
          </w:tcPr>
          <w:p w:rsidR="00DB7CC8" w:rsidRDefault="00DB7CC8">
            <w:pPr>
              <w:spacing w:line="260" w:lineRule="exact"/>
              <w:ind w:firstLineChars="0" w:firstLine="422"/>
              <w:jc w:val="center"/>
              <w:rPr>
                <w:rFonts w:ascii="隶书"/>
                <w:b/>
                <w:bCs/>
                <w:kern w:val="44"/>
                <w:sz w:val="21"/>
                <w:szCs w:val="21"/>
              </w:rPr>
            </w:pPr>
          </w:p>
        </w:tc>
      </w:tr>
      <w:tr w:rsidR="00DB7CC8">
        <w:tc>
          <w:tcPr>
            <w:tcW w:w="1333" w:type="dxa"/>
            <w:vAlign w:val="center"/>
          </w:tcPr>
          <w:p w:rsidR="00DB7CC8" w:rsidRDefault="002B5250">
            <w:pPr>
              <w:spacing w:line="260" w:lineRule="exact"/>
              <w:ind w:firstLineChars="0" w:firstLine="0"/>
              <w:jc w:val="center"/>
              <w:rPr>
                <w:sz w:val="21"/>
                <w:szCs w:val="21"/>
              </w:rPr>
            </w:pPr>
            <w:r>
              <w:rPr>
                <w:sz w:val="21"/>
                <w:szCs w:val="21"/>
              </w:rPr>
              <w:t>S</w:t>
            </w:r>
            <w:r>
              <w:rPr>
                <w:rFonts w:hint="eastAsia"/>
                <w:sz w:val="21"/>
                <w:szCs w:val="21"/>
              </w:rPr>
              <w:t>-1</w:t>
            </w:r>
          </w:p>
        </w:tc>
        <w:tc>
          <w:tcPr>
            <w:tcW w:w="1962" w:type="dxa"/>
            <w:vAlign w:val="center"/>
          </w:tcPr>
          <w:p w:rsidR="00DB7CC8" w:rsidRDefault="002B5250">
            <w:pPr>
              <w:widowControl/>
              <w:ind w:firstLineChars="0" w:firstLine="0"/>
              <w:jc w:val="center"/>
              <w:textAlignment w:val="center"/>
              <w:rPr>
                <w:sz w:val="21"/>
                <w:szCs w:val="21"/>
              </w:rPr>
            </w:pPr>
            <w:r>
              <w:rPr>
                <w:sz w:val="21"/>
                <w:szCs w:val="21"/>
              </w:rPr>
              <w:t>20595395.76</w:t>
            </w:r>
          </w:p>
        </w:tc>
        <w:tc>
          <w:tcPr>
            <w:tcW w:w="1844" w:type="dxa"/>
            <w:vAlign w:val="center"/>
          </w:tcPr>
          <w:p w:rsidR="00DB7CC8" w:rsidRDefault="002B5250">
            <w:pPr>
              <w:widowControl/>
              <w:ind w:firstLineChars="0" w:firstLine="0"/>
              <w:jc w:val="center"/>
              <w:textAlignment w:val="center"/>
              <w:rPr>
                <w:sz w:val="21"/>
                <w:szCs w:val="21"/>
              </w:rPr>
            </w:pPr>
            <w:r>
              <w:rPr>
                <w:sz w:val="21"/>
                <w:szCs w:val="21"/>
              </w:rPr>
              <w:t>4451249.57</w:t>
            </w:r>
          </w:p>
        </w:tc>
        <w:tc>
          <w:tcPr>
            <w:tcW w:w="1362" w:type="dxa"/>
            <w:vAlign w:val="center"/>
          </w:tcPr>
          <w:p w:rsidR="00DB7CC8" w:rsidRDefault="002B5250">
            <w:pPr>
              <w:spacing w:line="260" w:lineRule="exact"/>
              <w:ind w:firstLineChars="0" w:firstLine="0"/>
              <w:jc w:val="center"/>
              <w:rPr>
                <w:sz w:val="21"/>
                <w:szCs w:val="21"/>
              </w:rPr>
            </w:pPr>
            <w:r>
              <w:rPr>
                <w:sz w:val="21"/>
                <w:szCs w:val="21"/>
              </w:rPr>
              <w:t>10</w:t>
            </w:r>
          </w:p>
        </w:tc>
        <w:tc>
          <w:tcPr>
            <w:tcW w:w="2021" w:type="dxa"/>
            <w:vAlign w:val="center"/>
          </w:tcPr>
          <w:p w:rsidR="00DB7CC8" w:rsidRDefault="002B5250">
            <w:pPr>
              <w:spacing w:line="280" w:lineRule="exact"/>
              <w:ind w:firstLineChars="0" w:firstLine="0"/>
              <w:jc w:val="center"/>
              <w:rPr>
                <w:sz w:val="21"/>
                <w:szCs w:val="21"/>
              </w:rPr>
            </w:pPr>
            <w:r>
              <w:rPr>
                <w:rFonts w:hint="eastAsia"/>
                <w:sz w:val="21"/>
                <w:szCs w:val="21"/>
              </w:rPr>
              <w:t>4.93</w:t>
            </w:r>
            <w:r>
              <w:rPr>
                <w:sz w:val="21"/>
                <w:szCs w:val="21"/>
              </w:rPr>
              <w:t>×10</w:t>
            </w:r>
            <w:r>
              <w:rPr>
                <w:sz w:val="21"/>
                <w:szCs w:val="21"/>
                <w:vertAlign w:val="superscript"/>
              </w:rPr>
              <w:t>-5</w:t>
            </w:r>
          </w:p>
        </w:tc>
      </w:tr>
      <w:tr w:rsidR="00DB7CC8">
        <w:tc>
          <w:tcPr>
            <w:tcW w:w="1333" w:type="dxa"/>
            <w:vAlign w:val="center"/>
          </w:tcPr>
          <w:p w:rsidR="00DB7CC8" w:rsidRDefault="002B5250">
            <w:pPr>
              <w:spacing w:line="260" w:lineRule="exact"/>
              <w:ind w:firstLineChars="0" w:firstLine="0"/>
              <w:jc w:val="center"/>
              <w:rPr>
                <w:sz w:val="21"/>
                <w:szCs w:val="21"/>
              </w:rPr>
            </w:pPr>
            <w:r>
              <w:rPr>
                <w:sz w:val="21"/>
                <w:szCs w:val="21"/>
              </w:rPr>
              <w:t>S</w:t>
            </w:r>
            <w:r>
              <w:rPr>
                <w:rFonts w:hint="eastAsia"/>
                <w:sz w:val="21"/>
                <w:szCs w:val="21"/>
              </w:rPr>
              <w:t>-2</w:t>
            </w:r>
          </w:p>
        </w:tc>
        <w:tc>
          <w:tcPr>
            <w:tcW w:w="1962" w:type="dxa"/>
            <w:vAlign w:val="center"/>
          </w:tcPr>
          <w:p w:rsidR="00DB7CC8" w:rsidRDefault="002B5250">
            <w:pPr>
              <w:widowControl/>
              <w:ind w:firstLineChars="0" w:firstLine="0"/>
              <w:jc w:val="center"/>
              <w:textAlignment w:val="center"/>
              <w:rPr>
                <w:sz w:val="21"/>
                <w:szCs w:val="21"/>
              </w:rPr>
            </w:pPr>
            <w:r>
              <w:rPr>
                <w:sz w:val="21"/>
                <w:szCs w:val="21"/>
              </w:rPr>
              <w:t>20595334.71</w:t>
            </w:r>
          </w:p>
        </w:tc>
        <w:tc>
          <w:tcPr>
            <w:tcW w:w="1844" w:type="dxa"/>
            <w:vAlign w:val="center"/>
          </w:tcPr>
          <w:p w:rsidR="00DB7CC8" w:rsidRDefault="002B5250">
            <w:pPr>
              <w:widowControl/>
              <w:ind w:firstLineChars="0" w:firstLine="0"/>
              <w:jc w:val="center"/>
              <w:textAlignment w:val="center"/>
              <w:rPr>
                <w:sz w:val="21"/>
                <w:szCs w:val="21"/>
              </w:rPr>
            </w:pPr>
            <w:r>
              <w:rPr>
                <w:sz w:val="21"/>
                <w:szCs w:val="21"/>
              </w:rPr>
              <w:t>4450823.03</w:t>
            </w:r>
          </w:p>
        </w:tc>
        <w:tc>
          <w:tcPr>
            <w:tcW w:w="1362" w:type="dxa"/>
            <w:vAlign w:val="center"/>
          </w:tcPr>
          <w:p w:rsidR="00DB7CC8" w:rsidRDefault="002B5250">
            <w:pPr>
              <w:spacing w:line="260" w:lineRule="exact"/>
              <w:ind w:firstLineChars="0" w:firstLine="0"/>
              <w:jc w:val="center"/>
              <w:rPr>
                <w:sz w:val="21"/>
                <w:szCs w:val="21"/>
              </w:rPr>
            </w:pPr>
            <w:r>
              <w:rPr>
                <w:sz w:val="21"/>
                <w:szCs w:val="21"/>
              </w:rPr>
              <w:t>10</w:t>
            </w:r>
          </w:p>
        </w:tc>
        <w:tc>
          <w:tcPr>
            <w:tcW w:w="2021" w:type="dxa"/>
            <w:vAlign w:val="center"/>
          </w:tcPr>
          <w:p w:rsidR="00DB7CC8" w:rsidRDefault="002B5250">
            <w:pPr>
              <w:spacing w:line="280" w:lineRule="exact"/>
              <w:ind w:firstLineChars="0" w:firstLine="0"/>
              <w:jc w:val="center"/>
              <w:rPr>
                <w:sz w:val="21"/>
                <w:szCs w:val="21"/>
              </w:rPr>
            </w:pPr>
            <w:r>
              <w:rPr>
                <w:rFonts w:hint="eastAsia"/>
                <w:sz w:val="21"/>
                <w:szCs w:val="21"/>
              </w:rPr>
              <w:t>5.50</w:t>
            </w:r>
            <w:r>
              <w:rPr>
                <w:sz w:val="21"/>
                <w:szCs w:val="21"/>
              </w:rPr>
              <w:t>×10</w:t>
            </w:r>
            <w:r>
              <w:rPr>
                <w:sz w:val="21"/>
                <w:szCs w:val="21"/>
                <w:vertAlign w:val="superscript"/>
              </w:rPr>
              <w:t>-5</w:t>
            </w:r>
          </w:p>
        </w:tc>
      </w:tr>
      <w:tr w:rsidR="00DB7CC8">
        <w:tc>
          <w:tcPr>
            <w:tcW w:w="1333" w:type="dxa"/>
            <w:vAlign w:val="center"/>
          </w:tcPr>
          <w:p w:rsidR="00DB7CC8" w:rsidRDefault="002B5250">
            <w:pPr>
              <w:spacing w:line="260" w:lineRule="exact"/>
              <w:ind w:firstLineChars="0" w:firstLine="0"/>
              <w:jc w:val="center"/>
              <w:rPr>
                <w:sz w:val="21"/>
                <w:szCs w:val="21"/>
              </w:rPr>
            </w:pPr>
            <w:r>
              <w:rPr>
                <w:sz w:val="21"/>
                <w:szCs w:val="21"/>
              </w:rPr>
              <w:t>S</w:t>
            </w:r>
            <w:r>
              <w:rPr>
                <w:rFonts w:hint="eastAsia"/>
                <w:sz w:val="21"/>
                <w:szCs w:val="21"/>
              </w:rPr>
              <w:t>-3</w:t>
            </w:r>
          </w:p>
        </w:tc>
        <w:tc>
          <w:tcPr>
            <w:tcW w:w="1962" w:type="dxa"/>
            <w:vAlign w:val="center"/>
          </w:tcPr>
          <w:p w:rsidR="00DB7CC8" w:rsidRDefault="002B5250">
            <w:pPr>
              <w:widowControl/>
              <w:ind w:firstLineChars="0" w:firstLine="0"/>
              <w:jc w:val="center"/>
              <w:textAlignment w:val="center"/>
              <w:rPr>
                <w:sz w:val="21"/>
                <w:szCs w:val="21"/>
              </w:rPr>
            </w:pPr>
            <w:r>
              <w:rPr>
                <w:sz w:val="21"/>
                <w:szCs w:val="21"/>
              </w:rPr>
              <w:t>20595806.00</w:t>
            </w:r>
          </w:p>
        </w:tc>
        <w:tc>
          <w:tcPr>
            <w:tcW w:w="1844" w:type="dxa"/>
            <w:vAlign w:val="center"/>
          </w:tcPr>
          <w:p w:rsidR="00DB7CC8" w:rsidRDefault="002B5250">
            <w:pPr>
              <w:widowControl/>
              <w:ind w:firstLineChars="0" w:firstLine="0"/>
              <w:jc w:val="center"/>
              <w:textAlignment w:val="center"/>
              <w:rPr>
                <w:sz w:val="21"/>
                <w:szCs w:val="21"/>
              </w:rPr>
            </w:pPr>
            <w:r>
              <w:rPr>
                <w:sz w:val="21"/>
                <w:szCs w:val="21"/>
              </w:rPr>
              <w:t>4451001.14</w:t>
            </w:r>
          </w:p>
        </w:tc>
        <w:tc>
          <w:tcPr>
            <w:tcW w:w="1362" w:type="dxa"/>
            <w:vAlign w:val="center"/>
          </w:tcPr>
          <w:p w:rsidR="00DB7CC8" w:rsidRDefault="002B5250">
            <w:pPr>
              <w:spacing w:line="260" w:lineRule="exact"/>
              <w:ind w:firstLineChars="0" w:firstLine="0"/>
              <w:jc w:val="center"/>
              <w:rPr>
                <w:sz w:val="21"/>
                <w:szCs w:val="21"/>
              </w:rPr>
            </w:pPr>
            <w:r>
              <w:rPr>
                <w:rFonts w:hint="eastAsia"/>
                <w:sz w:val="21"/>
                <w:szCs w:val="21"/>
              </w:rPr>
              <w:t>10</w:t>
            </w:r>
          </w:p>
        </w:tc>
        <w:tc>
          <w:tcPr>
            <w:tcW w:w="2021" w:type="dxa"/>
            <w:vAlign w:val="center"/>
          </w:tcPr>
          <w:p w:rsidR="00DB7CC8" w:rsidRDefault="002B5250">
            <w:pPr>
              <w:spacing w:line="280" w:lineRule="exact"/>
              <w:ind w:firstLineChars="0" w:firstLine="0"/>
              <w:jc w:val="center"/>
              <w:rPr>
                <w:sz w:val="21"/>
                <w:szCs w:val="21"/>
              </w:rPr>
            </w:pPr>
            <w:r>
              <w:rPr>
                <w:rFonts w:hint="eastAsia"/>
                <w:sz w:val="21"/>
                <w:szCs w:val="21"/>
              </w:rPr>
              <w:t>4.50</w:t>
            </w:r>
            <w:r>
              <w:rPr>
                <w:sz w:val="21"/>
                <w:szCs w:val="21"/>
              </w:rPr>
              <w:t>×10</w:t>
            </w:r>
            <w:r>
              <w:rPr>
                <w:sz w:val="21"/>
                <w:szCs w:val="21"/>
                <w:vertAlign w:val="superscript"/>
              </w:rPr>
              <w:t>-5</w:t>
            </w:r>
          </w:p>
        </w:tc>
      </w:tr>
    </w:tbl>
    <w:p w:rsidR="00DB7CC8" w:rsidRDefault="002B5250">
      <w:pPr>
        <w:adjustRightInd w:val="0"/>
        <w:snapToGrid w:val="0"/>
        <w:spacing w:line="240" w:lineRule="atLeast"/>
        <w:ind w:firstLine="560"/>
        <w:jc w:val="center"/>
      </w:pPr>
      <w:r>
        <w:rPr>
          <w:rFonts w:hint="eastAsia"/>
          <w:noProof/>
        </w:rPr>
        <w:lastRenderedPageBreak/>
        <w:drawing>
          <wp:inline distT="0" distB="0" distL="114300" distR="114300">
            <wp:extent cx="4910455" cy="2534285"/>
            <wp:effectExtent l="0" t="0" r="4445" b="18415"/>
            <wp:docPr id="5" name="图片 5" descr="1565162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565162147(1)"/>
                    <pic:cNvPicPr>
                      <a:picLocks noChangeAspect="1"/>
                    </pic:cNvPicPr>
                  </pic:nvPicPr>
                  <pic:blipFill>
                    <a:blip r:embed="rId81"/>
                    <a:stretch>
                      <a:fillRect/>
                    </a:stretch>
                  </pic:blipFill>
                  <pic:spPr>
                    <a:xfrm>
                      <a:off x="0" y="0"/>
                      <a:ext cx="4910455" cy="2534285"/>
                    </a:xfrm>
                    <a:prstGeom prst="rect">
                      <a:avLst/>
                    </a:prstGeom>
                  </pic:spPr>
                </pic:pic>
              </a:graphicData>
            </a:graphic>
          </wp:inline>
        </w:drawing>
      </w:r>
    </w:p>
    <w:p w:rsidR="00DB7CC8" w:rsidRDefault="002B5250">
      <w:pPr>
        <w:spacing w:line="240" w:lineRule="auto"/>
        <w:ind w:firstLineChars="0" w:firstLine="0"/>
        <w:jc w:val="center"/>
        <w:textAlignment w:val="auto"/>
        <w:rPr>
          <w:rFonts w:eastAsia="黑体"/>
          <w:kern w:val="2"/>
          <w:sz w:val="21"/>
          <w:szCs w:val="21"/>
        </w:rPr>
      </w:pPr>
      <w:r>
        <w:rPr>
          <w:rFonts w:eastAsia="黑体" w:hint="eastAsia"/>
          <w:kern w:val="2"/>
          <w:sz w:val="21"/>
          <w:szCs w:val="21"/>
        </w:rPr>
        <w:t>图</w:t>
      </w:r>
      <w:r>
        <w:rPr>
          <w:rFonts w:eastAsia="黑体"/>
          <w:kern w:val="2"/>
          <w:sz w:val="21"/>
          <w:szCs w:val="21"/>
        </w:rPr>
        <w:t>5.2-19</w:t>
      </w:r>
      <w:r>
        <w:rPr>
          <w:rFonts w:eastAsia="黑体" w:hint="eastAsia"/>
          <w:kern w:val="2"/>
          <w:sz w:val="21"/>
          <w:szCs w:val="21"/>
        </w:rPr>
        <w:t xml:space="preserve">   S-1</w:t>
      </w:r>
      <w:r>
        <w:rPr>
          <w:rFonts w:eastAsia="黑体" w:hint="eastAsia"/>
          <w:kern w:val="2"/>
          <w:sz w:val="21"/>
          <w:szCs w:val="21"/>
        </w:rPr>
        <w:t>渗水试验成果图</w:t>
      </w:r>
    </w:p>
    <w:p w:rsidR="00DB7CC8" w:rsidRDefault="002B5250">
      <w:pPr>
        <w:adjustRightInd w:val="0"/>
        <w:snapToGrid w:val="0"/>
        <w:spacing w:line="240" w:lineRule="atLeast"/>
        <w:ind w:firstLine="560"/>
        <w:jc w:val="center"/>
      </w:pPr>
      <w:r>
        <w:rPr>
          <w:rFonts w:hint="eastAsia"/>
          <w:noProof/>
        </w:rPr>
        <w:drawing>
          <wp:inline distT="0" distB="0" distL="114300" distR="114300">
            <wp:extent cx="4712335" cy="2042795"/>
            <wp:effectExtent l="0" t="0" r="12065" b="14605"/>
            <wp:docPr id="24" name="图片 24" descr="1565165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565165125(1)"/>
                    <pic:cNvPicPr>
                      <a:picLocks noChangeAspect="1"/>
                    </pic:cNvPicPr>
                  </pic:nvPicPr>
                  <pic:blipFill>
                    <a:blip r:embed="rId82"/>
                    <a:srcRect t="1308"/>
                    <a:stretch>
                      <a:fillRect/>
                    </a:stretch>
                  </pic:blipFill>
                  <pic:spPr>
                    <a:xfrm>
                      <a:off x="0" y="0"/>
                      <a:ext cx="4712335" cy="2042795"/>
                    </a:xfrm>
                    <a:prstGeom prst="rect">
                      <a:avLst/>
                    </a:prstGeom>
                  </pic:spPr>
                </pic:pic>
              </a:graphicData>
            </a:graphic>
          </wp:inline>
        </w:drawing>
      </w:r>
    </w:p>
    <w:p w:rsidR="00DB7CC8" w:rsidRDefault="002B5250">
      <w:pPr>
        <w:spacing w:line="240" w:lineRule="auto"/>
        <w:ind w:firstLineChars="0" w:firstLine="0"/>
        <w:jc w:val="center"/>
        <w:textAlignment w:val="auto"/>
        <w:rPr>
          <w:rFonts w:eastAsia="黑体"/>
          <w:kern w:val="2"/>
          <w:sz w:val="21"/>
          <w:szCs w:val="21"/>
        </w:rPr>
      </w:pPr>
      <w:r>
        <w:rPr>
          <w:rFonts w:eastAsia="黑体" w:hint="eastAsia"/>
          <w:kern w:val="2"/>
          <w:sz w:val="21"/>
          <w:szCs w:val="21"/>
        </w:rPr>
        <w:t>图</w:t>
      </w:r>
      <w:r>
        <w:rPr>
          <w:rFonts w:eastAsia="黑体"/>
          <w:kern w:val="2"/>
          <w:sz w:val="21"/>
          <w:szCs w:val="21"/>
        </w:rPr>
        <w:t>5.2-20</w:t>
      </w:r>
      <w:r>
        <w:rPr>
          <w:rFonts w:eastAsia="黑体" w:hint="eastAsia"/>
          <w:kern w:val="2"/>
          <w:sz w:val="21"/>
          <w:szCs w:val="21"/>
        </w:rPr>
        <w:t xml:space="preserve">   S-2</w:t>
      </w:r>
      <w:r>
        <w:rPr>
          <w:rFonts w:eastAsia="黑体" w:hint="eastAsia"/>
          <w:kern w:val="2"/>
          <w:sz w:val="21"/>
          <w:szCs w:val="21"/>
        </w:rPr>
        <w:t>渗水试验成果图</w:t>
      </w:r>
    </w:p>
    <w:p w:rsidR="00DB7CC8" w:rsidRDefault="002B5250">
      <w:pPr>
        <w:adjustRightInd w:val="0"/>
        <w:snapToGrid w:val="0"/>
        <w:spacing w:line="240" w:lineRule="atLeast"/>
        <w:ind w:firstLine="560"/>
        <w:jc w:val="center"/>
      </w:pPr>
      <w:r>
        <w:rPr>
          <w:rFonts w:hint="eastAsia"/>
          <w:noProof/>
        </w:rPr>
        <w:drawing>
          <wp:inline distT="0" distB="0" distL="114300" distR="114300">
            <wp:extent cx="4404360" cy="2134870"/>
            <wp:effectExtent l="0" t="0" r="15240" b="17780"/>
            <wp:docPr id="32" name="图片 32" descr="1565165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565165340(1)"/>
                    <pic:cNvPicPr>
                      <a:picLocks noChangeAspect="1"/>
                    </pic:cNvPicPr>
                  </pic:nvPicPr>
                  <pic:blipFill>
                    <a:blip r:embed="rId83"/>
                    <a:stretch>
                      <a:fillRect/>
                    </a:stretch>
                  </pic:blipFill>
                  <pic:spPr>
                    <a:xfrm>
                      <a:off x="0" y="0"/>
                      <a:ext cx="4404360" cy="2134870"/>
                    </a:xfrm>
                    <a:prstGeom prst="rect">
                      <a:avLst/>
                    </a:prstGeom>
                  </pic:spPr>
                </pic:pic>
              </a:graphicData>
            </a:graphic>
          </wp:inline>
        </w:drawing>
      </w:r>
    </w:p>
    <w:p w:rsidR="00DB7CC8" w:rsidRDefault="002B5250">
      <w:pPr>
        <w:spacing w:line="240" w:lineRule="atLeast"/>
        <w:ind w:firstLine="420"/>
        <w:jc w:val="center"/>
        <w:rPr>
          <w:rFonts w:ascii="黑体" w:eastAsia="黑体" w:hAnsi="黑体"/>
          <w:sz w:val="21"/>
          <w:szCs w:val="21"/>
          <w:lang w:val="zh-CN"/>
        </w:rPr>
      </w:pPr>
      <w:r>
        <w:rPr>
          <w:rFonts w:eastAsia="黑体"/>
          <w:sz w:val="21"/>
          <w:szCs w:val="21"/>
          <w:lang w:val="zh-CN"/>
        </w:rPr>
        <w:t>图</w:t>
      </w:r>
      <w:r>
        <w:rPr>
          <w:rFonts w:eastAsia="黑体"/>
          <w:sz w:val="21"/>
          <w:szCs w:val="21"/>
          <w:lang w:val="zh-CN"/>
        </w:rPr>
        <w:t xml:space="preserve">5.2-21 </w:t>
      </w:r>
      <w:r>
        <w:rPr>
          <w:rFonts w:eastAsia="黑体"/>
          <w:sz w:val="21"/>
          <w:szCs w:val="21"/>
        </w:rPr>
        <w:t xml:space="preserve"> </w:t>
      </w:r>
      <w:r>
        <w:rPr>
          <w:rFonts w:eastAsia="黑体"/>
          <w:sz w:val="21"/>
          <w:szCs w:val="21"/>
          <w:lang w:val="zh-CN"/>
        </w:rPr>
        <w:t xml:space="preserve"> S-</w:t>
      </w:r>
      <w:r>
        <w:rPr>
          <w:rFonts w:eastAsia="黑体"/>
          <w:sz w:val="21"/>
          <w:szCs w:val="21"/>
        </w:rPr>
        <w:t>3</w:t>
      </w:r>
      <w:r>
        <w:rPr>
          <w:rFonts w:ascii="黑体" w:eastAsia="黑体" w:hAnsi="黑体" w:hint="eastAsia"/>
          <w:sz w:val="21"/>
          <w:szCs w:val="21"/>
          <w:lang w:val="zh-CN"/>
        </w:rPr>
        <w:t>渗水试验成果图</w:t>
      </w:r>
    </w:p>
    <w:p w:rsidR="00DB7CC8" w:rsidRDefault="002B5250">
      <w:pPr>
        <w:pStyle w:val="4"/>
        <w:numPr>
          <w:ilvl w:val="3"/>
          <w:numId w:val="1"/>
        </w:numPr>
        <w:ind w:left="709" w:hanging="709"/>
        <w:rPr>
          <w:rFonts w:eastAsia="宋体"/>
          <w:b/>
        </w:rPr>
      </w:pPr>
      <w:bookmarkStart w:id="400" w:name="_Toc468692999"/>
      <w:bookmarkStart w:id="401" w:name="_Toc2969"/>
      <w:bookmarkStart w:id="402" w:name="_Toc468693001"/>
      <w:bookmarkStart w:id="403" w:name="_Toc325797833"/>
      <w:r>
        <w:rPr>
          <w:rFonts w:eastAsia="宋体"/>
          <w:b/>
        </w:rPr>
        <w:t>地下水环境影响评价</w:t>
      </w:r>
      <w:bookmarkEnd w:id="400"/>
    </w:p>
    <w:p w:rsidR="00DB7CC8" w:rsidRDefault="002B5250">
      <w:pPr>
        <w:ind w:firstLine="480"/>
        <w:rPr>
          <w:sz w:val="24"/>
        </w:rPr>
      </w:pPr>
      <w:r>
        <w:rPr>
          <w:sz w:val="24"/>
        </w:rPr>
        <w:t>根据建设项目自身性质及其对地下水环境影响的特点，为预测和评价项目建设对地下水环境可能造成的影响和危害，并针对这种影响和危害提出防治策略，从而达到预防与控制环境恶化、保护地下水资源的目的。本次工作将采用数值模拟法进行预测与评价。</w:t>
      </w:r>
    </w:p>
    <w:p w:rsidR="00DB7CC8" w:rsidRDefault="002B5250">
      <w:pPr>
        <w:ind w:firstLine="480"/>
        <w:rPr>
          <w:sz w:val="24"/>
        </w:rPr>
      </w:pPr>
      <w:r>
        <w:rPr>
          <w:sz w:val="24"/>
        </w:rPr>
        <w:t>总体思路是：在对评价区水文地质条件综合分析的基础上确定模拟范围，通</w:t>
      </w:r>
      <w:r>
        <w:rPr>
          <w:sz w:val="24"/>
        </w:rPr>
        <w:lastRenderedPageBreak/>
        <w:t>过边界条件、地下水流动特征及含水层系统结构的概化，建立评价区的水文地质概念模型，进一步采用有限差分原理进行空间离散、高程插值、非均质分区、边界条件设置等，从而构建评价区地下水渗流数值模型。利用已有的水位观测资料及区域地下水运动规律，完成模型的识别验证。最后按照根据项目的特点，设计了污染泄漏情景，在地下水渗流数值模型的基础上耦合污染物迁移方程，得到地下水溶质运移模型，利用此模型对污染情景进行预测评价。</w:t>
      </w:r>
    </w:p>
    <w:p w:rsidR="00DB7CC8" w:rsidRDefault="002B5250">
      <w:pPr>
        <w:ind w:firstLine="480"/>
        <w:rPr>
          <w:sz w:val="24"/>
        </w:rPr>
      </w:pPr>
      <w:bookmarkStart w:id="404" w:name="_Toc468693000"/>
      <w:bookmarkStart w:id="405" w:name="_Toc3233"/>
      <w:r>
        <w:rPr>
          <w:rFonts w:hint="eastAsia"/>
          <w:sz w:val="24"/>
        </w:rPr>
        <w:t>（</w:t>
      </w:r>
      <w:r>
        <w:rPr>
          <w:rFonts w:hint="eastAsia"/>
          <w:sz w:val="24"/>
        </w:rPr>
        <w:t>1</w:t>
      </w:r>
      <w:r>
        <w:rPr>
          <w:rFonts w:hint="eastAsia"/>
          <w:sz w:val="24"/>
        </w:rPr>
        <w:t>）</w:t>
      </w:r>
      <w:r>
        <w:rPr>
          <w:sz w:val="24"/>
        </w:rPr>
        <w:t>水文地质概念模型</w:t>
      </w:r>
      <w:bookmarkEnd w:id="404"/>
      <w:bookmarkEnd w:id="405"/>
    </w:p>
    <w:p w:rsidR="00DB7CC8" w:rsidRDefault="002B5250">
      <w:pPr>
        <w:ind w:firstLine="480"/>
        <w:rPr>
          <w:sz w:val="24"/>
        </w:rPr>
      </w:pPr>
      <w:r>
        <w:rPr>
          <w:rFonts w:hint="eastAsia"/>
          <w:sz w:val="24"/>
        </w:rPr>
        <w:t>①</w:t>
      </w:r>
      <w:r>
        <w:rPr>
          <w:sz w:val="24"/>
        </w:rPr>
        <w:t>计算区范围</w:t>
      </w:r>
    </w:p>
    <w:p w:rsidR="00DB7CC8" w:rsidRDefault="002B5250">
      <w:pPr>
        <w:ind w:firstLine="480"/>
        <w:rPr>
          <w:rFonts w:ascii="宋体" w:hAnsi="宋体" w:cs="宋体"/>
          <w:sz w:val="24"/>
          <w:szCs w:val="24"/>
        </w:rPr>
      </w:pPr>
      <w:bookmarkStart w:id="406" w:name="_Toc345078944"/>
      <w:r>
        <w:rPr>
          <w:sz w:val="24"/>
        </w:rPr>
        <w:t>根据本区地质及水文地质条件，同时考虑拟建项目对地下水环境影响范围及影响程度，以及评价区内地下水敏感点的分布和数量，导则规定的面积要求等，以能满足环境影响预测和分析的要求为依据，确定本次模拟区总面积约为</w:t>
      </w:r>
      <w:r>
        <w:rPr>
          <w:rFonts w:hint="eastAsia"/>
          <w:sz w:val="24"/>
        </w:rPr>
        <w:t>16</w:t>
      </w:r>
      <w:r>
        <w:rPr>
          <w:sz w:val="24"/>
        </w:rPr>
        <w:t>km</w:t>
      </w:r>
      <w:r>
        <w:rPr>
          <w:sz w:val="24"/>
          <w:vertAlign w:val="superscript"/>
        </w:rPr>
        <w:t>2</w:t>
      </w:r>
      <w:bookmarkEnd w:id="406"/>
      <w:r>
        <w:rPr>
          <w:sz w:val="24"/>
        </w:rPr>
        <w:t>（图</w:t>
      </w:r>
      <w:r>
        <w:rPr>
          <w:sz w:val="24"/>
        </w:rPr>
        <w:t>5.2-22</w:t>
      </w:r>
      <w:r>
        <w:rPr>
          <w:sz w:val="24"/>
        </w:rPr>
        <w:t>）。</w:t>
      </w:r>
    </w:p>
    <w:p w:rsidR="00DB7CC8" w:rsidRDefault="002B5250">
      <w:pPr>
        <w:widowControl/>
        <w:ind w:firstLine="560"/>
        <w:jc w:val="center"/>
        <w:rPr>
          <w:rFonts w:ascii="宋体" w:hAnsi="宋体" w:cs="宋体"/>
          <w:sz w:val="24"/>
          <w:szCs w:val="24"/>
        </w:rPr>
      </w:pPr>
      <w:r>
        <w:rPr>
          <w:noProof/>
        </w:rPr>
        <w:drawing>
          <wp:inline distT="0" distB="0" distL="0" distR="0">
            <wp:extent cx="5274310" cy="3644265"/>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noChangeArrowheads="1"/>
                    </pic:cNvPicPr>
                  </pic:nvPicPr>
                  <pic:blipFill>
                    <a:blip r:embed="rId84" cstate="print">
                      <a:extLst>
                        <a:ext uri="{28A0092B-C50C-407E-A947-70E740481C1C}">
                          <a14:useLocalDpi xmlns:a14="http://schemas.microsoft.com/office/drawing/2010/main" val="0"/>
                        </a:ext>
                      </a:extLst>
                    </a:blip>
                    <a:srcRect l="4257" t="3662" r="6938" b="1465"/>
                    <a:stretch>
                      <a:fillRect/>
                    </a:stretch>
                  </pic:blipFill>
                  <pic:spPr>
                    <a:xfrm>
                      <a:off x="0" y="0"/>
                      <a:ext cx="5274310" cy="3644265"/>
                    </a:xfrm>
                    <a:prstGeom prst="rect">
                      <a:avLst/>
                    </a:prstGeom>
                    <a:noFill/>
                    <a:ln>
                      <a:noFill/>
                    </a:ln>
                  </pic:spPr>
                </pic:pic>
              </a:graphicData>
            </a:graphic>
          </wp:inline>
        </w:drawing>
      </w:r>
    </w:p>
    <w:p w:rsidR="00DB7CC8" w:rsidRDefault="00DB7CC8">
      <w:pPr>
        <w:widowControl/>
        <w:ind w:firstLine="480"/>
        <w:jc w:val="center"/>
        <w:rPr>
          <w:sz w:val="24"/>
          <w:szCs w:val="24"/>
        </w:rPr>
      </w:pPr>
    </w:p>
    <w:p w:rsidR="00DB7CC8" w:rsidRDefault="002B5250">
      <w:pPr>
        <w:ind w:firstLine="420"/>
        <w:jc w:val="center"/>
        <w:rPr>
          <w:rFonts w:ascii="黑体" w:eastAsia="黑体" w:hAnsi="黑体"/>
          <w:sz w:val="21"/>
          <w:szCs w:val="21"/>
          <w:lang w:val="zh-CN"/>
        </w:rPr>
      </w:pPr>
      <w:r>
        <w:rPr>
          <w:rFonts w:eastAsia="黑体"/>
          <w:sz w:val="21"/>
          <w:szCs w:val="21"/>
          <w:lang w:val="zh-CN"/>
        </w:rPr>
        <w:t>图</w:t>
      </w:r>
      <w:r>
        <w:rPr>
          <w:rFonts w:eastAsia="黑体"/>
          <w:sz w:val="21"/>
          <w:szCs w:val="21"/>
          <w:lang w:val="zh-CN"/>
        </w:rPr>
        <w:t xml:space="preserve">5.2-22 </w:t>
      </w:r>
      <w:r>
        <w:rPr>
          <w:rFonts w:eastAsia="黑体" w:hint="eastAsia"/>
          <w:sz w:val="21"/>
          <w:szCs w:val="21"/>
        </w:rPr>
        <w:t xml:space="preserve">  </w:t>
      </w:r>
      <w:r>
        <w:rPr>
          <w:rFonts w:eastAsia="黑体"/>
          <w:sz w:val="21"/>
          <w:szCs w:val="21"/>
          <w:lang w:val="zh-CN"/>
        </w:rPr>
        <w:t>模拟</w:t>
      </w:r>
      <w:r>
        <w:rPr>
          <w:rFonts w:ascii="黑体" w:eastAsia="黑体" w:hAnsi="黑体"/>
          <w:sz w:val="21"/>
          <w:szCs w:val="21"/>
          <w:lang w:val="zh-CN"/>
        </w:rPr>
        <w:t>计算区范围示意图</w:t>
      </w:r>
    </w:p>
    <w:p w:rsidR="00DB7CC8" w:rsidRDefault="002B5250">
      <w:pPr>
        <w:tabs>
          <w:tab w:val="left" w:pos="0"/>
          <w:tab w:val="left" w:pos="251"/>
        </w:tabs>
        <w:ind w:firstLine="480"/>
        <w:rPr>
          <w:sz w:val="24"/>
          <w:szCs w:val="24"/>
        </w:rPr>
      </w:pPr>
      <w:r>
        <w:rPr>
          <w:rFonts w:hint="eastAsia"/>
          <w:sz w:val="24"/>
          <w:szCs w:val="24"/>
        </w:rPr>
        <w:t>②</w:t>
      </w:r>
      <w:r>
        <w:rPr>
          <w:sz w:val="24"/>
          <w:szCs w:val="24"/>
        </w:rPr>
        <w:t>边界条件</w:t>
      </w:r>
    </w:p>
    <w:p w:rsidR="00DB7CC8" w:rsidRDefault="002B5250">
      <w:pPr>
        <w:pStyle w:val="p0"/>
        <w:spacing w:line="360" w:lineRule="auto"/>
        <w:ind w:firstLineChars="200" w:firstLine="480"/>
        <w:rPr>
          <w:szCs w:val="24"/>
        </w:rPr>
      </w:pPr>
      <w:r>
        <w:rPr>
          <w:szCs w:val="24"/>
        </w:rPr>
        <w:t>模拟区</w:t>
      </w:r>
      <w:r>
        <w:rPr>
          <w:rFonts w:hint="eastAsia"/>
          <w:szCs w:val="24"/>
        </w:rPr>
        <w:t>北、南、东</w:t>
      </w:r>
      <w:r>
        <w:rPr>
          <w:szCs w:val="24"/>
        </w:rPr>
        <w:t>部</w:t>
      </w:r>
      <w:r>
        <w:rPr>
          <w:rFonts w:hint="eastAsia"/>
          <w:szCs w:val="24"/>
        </w:rPr>
        <w:t>边界均</w:t>
      </w:r>
      <w:r>
        <w:rPr>
          <w:szCs w:val="24"/>
        </w:rPr>
        <w:t>为</w:t>
      </w:r>
      <w:r>
        <w:rPr>
          <w:rFonts w:hint="eastAsia"/>
          <w:szCs w:val="24"/>
        </w:rPr>
        <w:t>山区和平原界线，地下水由山区流向平原，此次将这些边界概化为</w:t>
      </w:r>
      <w:r>
        <w:rPr>
          <w:szCs w:val="24"/>
        </w:rPr>
        <w:t>流量边界</w:t>
      </w:r>
      <w:r>
        <w:rPr>
          <w:rFonts w:hint="eastAsia"/>
          <w:szCs w:val="24"/>
        </w:rPr>
        <w:t>；</w:t>
      </w:r>
      <w:r>
        <w:rPr>
          <w:szCs w:val="24"/>
        </w:rPr>
        <w:t>从地下水等水位线图来看，</w:t>
      </w:r>
      <w:r>
        <w:rPr>
          <w:rFonts w:hint="eastAsia"/>
          <w:szCs w:val="24"/>
        </w:rPr>
        <w:t>西部边界为流出边界，</w:t>
      </w:r>
      <w:r>
        <w:rPr>
          <w:szCs w:val="24"/>
        </w:rPr>
        <w:t>边界流量根据</w:t>
      </w:r>
      <w:r>
        <w:rPr>
          <w:rFonts w:hint="eastAsia"/>
          <w:szCs w:val="24"/>
        </w:rPr>
        <w:t>达西</w:t>
      </w:r>
      <w:r>
        <w:rPr>
          <w:szCs w:val="24"/>
        </w:rPr>
        <w:t>断面法进行计算。鉴于本次地下水数值模拟目的是在地下水识</w:t>
      </w:r>
      <w:r>
        <w:rPr>
          <w:szCs w:val="24"/>
        </w:rPr>
        <w:lastRenderedPageBreak/>
        <w:t>别模型的基础</w:t>
      </w:r>
      <w:r>
        <w:rPr>
          <w:szCs w:val="24"/>
        </w:rPr>
        <w:t>上预测厂区在事故条件下地下水污染的时空分布特征，因此，此次只建立评价区域</w:t>
      </w:r>
      <w:r>
        <w:rPr>
          <w:rFonts w:hint="eastAsia"/>
          <w:szCs w:val="24"/>
        </w:rPr>
        <w:t>孔隙含水层</w:t>
      </w:r>
      <w:r>
        <w:rPr>
          <w:szCs w:val="24"/>
        </w:rPr>
        <w:t>的数值模型。</w:t>
      </w:r>
    </w:p>
    <w:p w:rsidR="00DB7CC8" w:rsidRDefault="002B5250">
      <w:pPr>
        <w:pStyle w:val="p0"/>
        <w:spacing w:line="360" w:lineRule="auto"/>
        <w:ind w:firstLineChars="200" w:firstLine="480"/>
        <w:rPr>
          <w:b/>
        </w:rPr>
      </w:pPr>
      <w:r>
        <w:rPr>
          <w:rFonts w:hint="eastAsia"/>
        </w:rPr>
        <w:t>③</w:t>
      </w:r>
      <w:r>
        <w:t>水文地质特征</w:t>
      </w:r>
    </w:p>
    <w:p w:rsidR="00DB7CC8" w:rsidRDefault="002B5250">
      <w:pPr>
        <w:tabs>
          <w:tab w:val="left" w:pos="0"/>
          <w:tab w:val="left" w:pos="251"/>
        </w:tabs>
        <w:spacing w:line="500" w:lineRule="exact"/>
        <w:ind w:firstLine="480"/>
        <w:rPr>
          <w:sz w:val="24"/>
        </w:rPr>
      </w:pPr>
      <w:r>
        <w:rPr>
          <w:rFonts w:hint="eastAsia"/>
          <w:sz w:val="24"/>
        </w:rPr>
        <w:t>a</w:t>
      </w:r>
      <w:r>
        <w:rPr>
          <w:sz w:val="24"/>
        </w:rPr>
        <w:t>.</w:t>
      </w:r>
      <w:r>
        <w:rPr>
          <w:sz w:val="24"/>
        </w:rPr>
        <w:t>含水层</w:t>
      </w:r>
    </w:p>
    <w:p w:rsidR="00DB7CC8" w:rsidRDefault="002B5250">
      <w:pPr>
        <w:tabs>
          <w:tab w:val="left" w:pos="0"/>
          <w:tab w:val="left" w:pos="251"/>
        </w:tabs>
        <w:spacing w:line="500" w:lineRule="exact"/>
        <w:ind w:firstLine="480"/>
        <w:rPr>
          <w:sz w:val="24"/>
        </w:rPr>
      </w:pPr>
      <w:r>
        <w:rPr>
          <w:sz w:val="24"/>
        </w:rPr>
        <w:t>计算区含水层主要为第四系潜水含水层</w:t>
      </w:r>
      <w:r>
        <w:rPr>
          <w:sz w:val="24"/>
          <w:szCs w:val="24"/>
        </w:rPr>
        <w:t>，</w:t>
      </w:r>
      <w:r>
        <w:rPr>
          <w:sz w:val="24"/>
        </w:rPr>
        <w:t>与区外具有统一的水力联系，计算时概化为一个统一的单层含水层。</w:t>
      </w:r>
    </w:p>
    <w:p w:rsidR="00DB7CC8" w:rsidRDefault="002B5250">
      <w:pPr>
        <w:tabs>
          <w:tab w:val="left" w:pos="0"/>
          <w:tab w:val="left" w:pos="251"/>
        </w:tabs>
        <w:spacing w:line="500" w:lineRule="exact"/>
        <w:ind w:firstLine="480"/>
        <w:rPr>
          <w:sz w:val="24"/>
        </w:rPr>
      </w:pPr>
      <w:r>
        <w:rPr>
          <w:rFonts w:hint="eastAsia"/>
          <w:sz w:val="24"/>
        </w:rPr>
        <w:t>b</w:t>
      </w:r>
      <w:r>
        <w:rPr>
          <w:sz w:val="24"/>
        </w:rPr>
        <w:t>.</w:t>
      </w:r>
      <w:r>
        <w:rPr>
          <w:sz w:val="24"/>
        </w:rPr>
        <w:t>地下水流动特征</w:t>
      </w:r>
    </w:p>
    <w:p w:rsidR="00DB7CC8" w:rsidRDefault="002B5250">
      <w:pPr>
        <w:tabs>
          <w:tab w:val="left" w:pos="0"/>
          <w:tab w:val="left" w:pos="251"/>
        </w:tabs>
        <w:spacing w:line="500" w:lineRule="exact"/>
        <w:ind w:firstLine="480"/>
        <w:rPr>
          <w:sz w:val="24"/>
        </w:rPr>
      </w:pPr>
      <w:r>
        <w:rPr>
          <w:sz w:val="24"/>
        </w:rPr>
        <w:t>区内孔隙潜水含水层连通性较好、具有统一的径流场，地下水运动以水平方式为主，自</w:t>
      </w:r>
      <w:r>
        <w:rPr>
          <w:rFonts w:hint="eastAsia"/>
          <w:sz w:val="24"/>
        </w:rPr>
        <w:t>东</w:t>
      </w:r>
      <w:r>
        <w:rPr>
          <w:sz w:val="24"/>
        </w:rPr>
        <w:t>北向</w:t>
      </w:r>
      <w:r>
        <w:rPr>
          <w:rFonts w:hint="eastAsia"/>
          <w:sz w:val="24"/>
        </w:rPr>
        <w:t>西</w:t>
      </w:r>
      <w:r>
        <w:rPr>
          <w:sz w:val="24"/>
        </w:rPr>
        <w:t>南方向径流。计算时将地下水流的垂向分量忽略、概化为二维流渗流。</w:t>
      </w:r>
    </w:p>
    <w:p w:rsidR="00DB7CC8" w:rsidRDefault="002B5250">
      <w:pPr>
        <w:tabs>
          <w:tab w:val="left" w:pos="0"/>
          <w:tab w:val="left" w:pos="251"/>
        </w:tabs>
        <w:spacing w:line="500" w:lineRule="exact"/>
        <w:ind w:firstLine="480"/>
        <w:rPr>
          <w:sz w:val="24"/>
        </w:rPr>
      </w:pPr>
      <w:r>
        <w:rPr>
          <w:rFonts w:hint="eastAsia"/>
          <w:sz w:val="24"/>
        </w:rPr>
        <w:t>c.</w:t>
      </w:r>
      <w:r>
        <w:rPr>
          <w:sz w:val="24"/>
        </w:rPr>
        <w:t>地下水补给、排泄和动态特征</w:t>
      </w:r>
    </w:p>
    <w:p w:rsidR="00DB7CC8" w:rsidRDefault="002B5250">
      <w:pPr>
        <w:tabs>
          <w:tab w:val="left" w:pos="0"/>
          <w:tab w:val="left" w:pos="251"/>
        </w:tabs>
        <w:spacing w:line="500" w:lineRule="exact"/>
        <w:ind w:firstLine="480"/>
        <w:rPr>
          <w:sz w:val="24"/>
        </w:rPr>
      </w:pPr>
      <w:r>
        <w:rPr>
          <w:sz w:val="24"/>
        </w:rPr>
        <w:t>计算区内潜水的主要补给来源为降水入渗，排泄方式以分散的人饮以及灌溉开采为主，其次为向下游的侧向径流。地下水水位动态变化受大气降水以及人工开采影响显著。</w:t>
      </w:r>
    </w:p>
    <w:p w:rsidR="00DB7CC8" w:rsidRDefault="002B5250">
      <w:pPr>
        <w:ind w:firstLine="480"/>
        <w:rPr>
          <w:sz w:val="24"/>
        </w:rPr>
      </w:pPr>
      <w:r>
        <w:rPr>
          <w:rFonts w:hint="eastAsia"/>
          <w:sz w:val="24"/>
        </w:rPr>
        <w:t>（</w:t>
      </w:r>
      <w:r>
        <w:rPr>
          <w:rFonts w:hint="eastAsia"/>
          <w:sz w:val="24"/>
        </w:rPr>
        <w:t>2</w:t>
      </w:r>
      <w:r>
        <w:rPr>
          <w:rFonts w:hint="eastAsia"/>
          <w:sz w:val="24"/>
        </w:rPr>
        <w:t>）</w:t>
      </w:r>
      <w:r>
        <w:rPr>
          <w:sz w:val="24"/>
        </w:rPr>
        <w:t>地下水流数学模型</w:t>
      </w:r>
      <w:bookmarkEnd w:id="401"/>
      <w:bookmarkEnd w:id="402"/>
    </w:p>
    <w:p w:rsidR="00DB7CC8" w:rsidRDefault="002B5250">
      <w:pPr>
        <w:autoSpaceDE w:val="0"/>
        <w:autoSpaceDN w:val="0"/>
        <w:ind w:firstLine="480"/>
        <w:rPr>
          <w:sz w:val="24"/>
        </w:rPr>
      </w:pPr>
      <w:r>
        <w:rPr>
          <w:sz w:val="24"/>
        </w:rPr>
        <w:t>根据模拟区内的含水介质特征、地下水补给、径流、排泄条件等，模拟区内地下水运动呈现出二维运动特征，且符合达西定律。模拟区内地下水二维非稳定流运动可采用下列数学模型进行描述：</w:t>
      </w:r>
    </w:p>
    <w:p w:rsidR="00DB7CC8" w:rsidRDefault="002B5250">
      <w:pPr>
        <w:tabs>
          <w:tab w:val="left" w:pos="0"/>
          <w:tab w:val="left" w:pos="251"/>
        </w:tabs>
        <w:ind w:firstLineChars="230" w:firstLine="644"/>
      </w:pPr>
      <w:r>
        <w:rPr>
          <w:position w:val="-92"/>
        </w:rPr>
        <w:object w:dxaOrig="6228" w:dyaOrig="1716">
          <v:shape id="_x0000_i1030" type="#_x0000_t75" style="width:311.4pt;height:85.8pt" o:ole="">
            <v:imagedata r:id="rId85" o:title="" cropright="990f"/>
          </v:shape>
          <o:OLEObject Type="Embed" ProgID="Equation.3" ShapeID="_x0000_i1030" DrawAspect="Content" ObjectID="_1772523727" r:id="rId86"/>
        </w:object>
      </w:r>
      <w:r>
        <w:rPr>
          <w:sz w:val="24"/>
          <w:szCs w:val="24"/>
        </w:rPr>
        <w:t>（</w:t>
      </w:r>
      <w:r>
        <w:rPr>
          <w:rFonts w:hint="eastAsia"/>
          <w:sz w:val="24"/>
          <w:szCs w:val="24"/>
        </w:rPr>
        <w:t>5</w:t>
      </w:r>
      <w:r>
        <w:rPr>
          <w:sz w:val="24"/>
          <w:szCs w:val="24"/>
        </w:rPr>
        <w:t>.</w:t>
      </w:r>
      <w:r>
        <w:rPr>
          <w:rFonts w:hint="eastAsia"/>
          <w:sz w:val="24"/>
          <w:szCs w:val="24"/>
        </w:rPr>
        <w:t>2</w:t>
      </w:r>
      <w:r>
        <w:rPr>
          <w:sz w:val="24"/>
          <w:szCs w:val="24"/>
        </w:rPr>
        <w:t>-</w:t>
      </w:r>
      <w:r>
        <w:rPr>
          <w:rFonts w:hint="eastAsia"/>
          <w:sz w:val="24"/>
          <w:szCs w:val="24"/>
        </w:rPr>
        <w:t>7</w:t>
      </w:r>
      <w:r>
        <w:rPr>
          <w:sz w:val="24"/>
          <w:szCs w:val="24"/>
        </w:rPr>
        <w:t>）</w:t>
      </w:r>
    </w:p>
    <w:p w:rsidR="00DB7CC8" w:rsidRDefault="002B5250">
      <w:pPr>
        <w:tabs>
          <w:tab w:val="left" w:pos="0"/>
          <w:tab w:val="left" w:pos="251"/>
        </w:tabs>
        <w:ind w:firstLineChars="230" w:firstLine="552"/>
        <w:rPr>
          <w:sz w:val="24"/>
        </w:rPr>
      </w:pPr>
      <w:r>
        <w:rPr>
          <w:sz w:val="24"/>
        </w:rPr>
        <w:t>式中，</w:t>
      </w:r>
    </w:p>
    <w:p w:rsidR="00DB7CC8" w:rsidRDefault="002B5250">
      <w:pPr>
        <w:tabs>
          <w:tab w:val="left" w:pos="0"/>
          <w:tab w:val="left" w:pos="251"/>
        </w:tabs>
        <w:ind w:firstLineChars="330" w:firstLine="792"/>
        <w:rPr>
          <w:sz w:val="24"/>
        </w:rPr>
      </w:pPr>
      <w:r>
        <w:rPr>
          <w:sz w:val="24"/>
        </w:rPr>
        <w:t xml:space="preserve"> Ω</w:t>
      </w:r>
      <w:r>
        <w:rPr>
          <w:sz w:val="24"/>
        </w:rPr>
        <w:t>－渗流区域；</w:t>
      </w:r>
    </w:p>
    <w:p w:rsidR="00DB7CC8" w:rsidRDefault="002B5250">
      <w:pPr>
        <w:pStyle w:val="1b"/>
        <w:ind w:firstLineChars="357" w:firstLine="857"/>
        <w:rPr>
          <w:rFonts w:cs="Times New Roman"/>
          <w:szCs w:val="24"/>
        </w:rPr>
      </w:pPr>
      <w:r>
        <w:rPr>
          <w:rFonts w:cs="Times New Roman"/>
          <w:szCs w:val="24"/>
        </w:rPr>
        <w:t>H</w:t>
      </w:r>
      <w:r>
        <w:rPr>
          <w:rFonts w:cs="Times New Roman"/>
          <w:szCs w:val="24"/>
        </w:rPr>
        <w:t>－地下水水位标高（</w:t>
      </w:r>
      <w:r>
        <w:rPr>
          <w:rFonts w:cs="Times New Roman"/>
          <w:szCs w:val="24"/>
        </w:rPr>
        <w:t>m</w:t>
      </w:r>
      <w:r>
        <w:rPr>
          <w:rFonts w:cs="Times New Roman"/>
          <w:szCs w:val="24"/>
        </w:rPr>
        <w:t>）；</w:t>
      </w:r>
    </w:p>
    <w:p w:rsidR="00DB7CC8" w:rsidRDefault="002B5250">
      <w:pPr>
        <w:pStyle w:val="1b"/>
        <w:ind w:firstLineChars="357" w:firstLine="857"/>
        <w:rPr>
          <w:rFonts w:cs="Times New Roman"/>
          <w:szCs w:val="24"/>
        </w:rPr>
      </w:pPr>
      <w:r>
        <w:rPr>
          <w:rFonts w:cs="Times New Roman"/>
          <w:szCs w:val="24"/>
        </w:rPr>
        <w:t>K</w:t>
      </w:r>
      <w:r>
        <w:rPr>
          <w:rFonts w:cs="Times New Roman"/>
          <w:szCs w:val="24"/>
        </w:rPr>
        <w:t>－含水层在水平方向上的渗透系数（</w:t>
      </w:r>
      <w:r>
        <w:rPr>
          <w:rFonts w:cs="Times New Roman"/>
          <w:szCs w:val="24"/>
        </w:rPr>
        <w:t>m/d</w:t>
      </w:r>
      <w:r>
        <w:rPr>
          <w:rFonts w:cs="Times New Roman"/>
          <w:szCs w:val="24"/>
        </w:rPr>
        <w:t>）；</w:t>
      </w:r>
    </w:p>
    <w:p w:rsidR="00DB7CC8" w:rsidRDefault="002B5250">
      <w:pPr>
        <w:pStyle w:val="1b"/>
        <w:ind w:firstLineChars="357" w:firstLine="857"/>
        <w:rPr>
          <w:rFonts w:cs="Times New Roman"/>
          <w:szCs w:val="24"/>
        </w:rPr>
      </w:pPr>
      <w:r>
        <w:rPr>
          <w:rFonts w:cs="Times New Roman"/>
          <w:szCs w:val="24"/>
        </w:rPr>
        <w:t>ε</w:t>
      </w:r>
      <w:r>
        <w:rPr>
          <w:rFonts w:cs="Times New Roman"/>
          <w:szCs w:val="24"/>
        </w:rPr>
        <w:t>－含水层的源汇项（</w:t>
      </w:r>
      <w:r>
        <w:rPr>
          <w:rFonts w:cs="Times New Roman"/>
          <w:szCs w:val="24"/>
        </w:rPr>
        <w:t>m/d</w:t>
      </w:r>
      <w:r>
        <w:rPr>
          <w:rFonts w:cs="Times New Roman"/>
          <w:szCs w:val="24"/>
        </w:rPr>
        <w:t>）；</w:t>
      </w:r>
    </w:p>
    <w:p w:rsidR="00DB7CC8" w:rsidRDefault="002B5250">
      <w:pPr>
        <w:pStyle w:val="1b"/>
        <w:ind w:firstLineChars="357" w:firstLine="857"/>
        <w:rPr>
          <w:rFonts w:cs="Times New Roman"/>
          <w:szCs w:val="24"/>
        </w:rPr>
      </w:pPr>
      <w:r>
        <w:rPr>
          <w:rFonts w:cs="Times New Roman"/>
          <w:szCs w:val="24"/>
        </w:rPr>
        <w:t>H</w:t>
      </w:r>
      <w:r>
        <w:rPr>
          <w:rFonts w:cs="Times New Roman"/>
          <w:szCs w:val="24"/>
          <w:vertAlign w:val="subscript"/>
        </w:rPr>
        <w:t>0</w:t>
      </w:r>
      <w:r>
        <w:rPr>
          <w:rFonts w:cs="Times New Roman"/>
          <w:szCs w:val="24"/>
        </w:rPr>
        <w:t>－初始流场（</w:t>
      </w:r>
      <w:r>
        <w:rPr>
          <w:rFonts w:cs="Times New Roman"/>
          <w:szCs w:val="24"/>
        </w:rPr>
        <w:t>m</w:t>
      </w:r>
      <w:r>
        <w:rPr>
          <w:rFonts w:cs="Times New Roman"/>
          <w:szCs w:val="24"/>
        </w:rPr>
        <w:t>）；</w:t>
      </w:r>
    </w:p>
    <w:p w:rsidR="00DB7CC8" w:rsidRDefault="002B5250">
      <w:pPr>
        <w:pStyle w:val="1b"/>
        <w:ind w:firstLineChars="357" w:firstLine="857"/>
        <w:rPr>
          <w:rFonts w:cs="Times New Roman"/>
          <w:szCs w:val="24"/>
        </w:rPr>
      </w:pPr>
      <w:r>
        <w:rPr>
          <w:rFonts w:cs="Times New Roman"/>
          <w:szCs w:val="24"/>
        </w:rPr>
        <w:t>Γ</w:t>
      </w:r>
      <w:r>
        <w:rPr>
          <w:rFonts w:cs="Times New Roman"/>
          <w:szCs w:val="24"/>
          <w:vertAlign w:val="subscript"/>
        </w:rPr>
        <w:t>2</w:t>
      </w:r>
      <w:r>
        <w:rPr>
          <w:rFonts w:cs="Times New Roman"/>
          <w:szCs w:val="24"/>
        </w:rPr>
        <w:t>—</w:t>
      </w:r>
      <w:r>
        <w:rPr>
          <w:rFonts w:cs="Times New Roman"/>
          <w:szCs w:val="24"/>
        </w:rPr>
        <w:t>渗流区域的二类边界；</w:t>
      </w:r>
    </w:p>
    <w:p w:rsidR="00DB7CC8" w:rsidRDefault="002B5250">
      <w:pPr>
        <w:pStyle w:val="1b"/>
        <w:ind w:firstLineChars="307" w:firstLine="737"/>
        <w:rPr>
          <w:rFonts w:cs="Times New Roman"/>
          <w:szCs w:val="24"/>
        </w:rPr>
      </w:pPr>
      <w:r>
        <w:rPr>
          <w:rFonts w:cs="Times New Roman"/>
          <w:szCs w:val="24"/>
        </w:rPr>
        <w:lastRenderedPageBreak/>
        <w:t xml:space="preserve"> n</w:t>
      </w:r>
      <w:r>
        <w:rPr>
          <w:rFonts w:cs="Times New Roman"/>
          <w:szCs w:val="24"/>
        </w:rPr>
        <w:t>－边界面的法线方向；</w:t>
      </w:r>
    </w:p>
    <w:p w:rsidR="00DB7CC8" w:rsidRDefault="002B5250">
      <w:pPr>
        <w:pStyle w:val="1b"/>
        <w:ind w:firstLineChars="357" w:firstLine="857"/>
        <w:rPr>
          <w:rFonts w:cs="Times New Roman"/>
          <w:szCs w:val="24"/>
        </w:rPr>
      </w:pPr>
      <w:r>
        <w:rPr>
          <w:rFonts w:cs="Times New Roman"/>
          <w:szCs w:val="24"/>
        </w:rPr>
        <w:object w:dxaOrig="348" w:dyaOrig="516">
          <v:shape id="_x0000_i1031" type="#_x0000_t75" style="width:17.4pt;height:25.8pt" o:ole="">
            <v:imagedata r:id="rId87" o:title=""/>
          </v:shape>
          <o:OLEObject Type="Embed" ProgID="Equation.3" ShapeID="_x0000_i1031" DrawAspect="Content" ObjectID="_1772523728" r:id="rId88"/>
        </w:object>
      </w:r>
      <w:r>
        <w:rPr>
          <w:rFonts w:cs="Times New Roman"/>
          <w:szCs w:val="24"/>
        </w:rPr>
        <w:t>—H</w:t>
      </w:r>
      <w:r>
        <w:rPr>
          <w:rFonts w:cs="Times New Roman"/>
          <w:szCs w:val="24"/>
        </w:rPr>
        <w:t>沿外法线方向</w:t>
      </w:r>
      <w:r>
        <w:rPr>
          <w:rFonts w:cs="Times New Roman"/>
          <w:szCs w:val="24"/>
        </w:rPr>
        <w:t>n</w:t>
      </w:r>
      <w:r>
        <w:rPr>
          <w:rFonts w:cs="Times New Roman"/>
          <w:szCs w:val="24"/>
        </w:rPr>
        <w:t>的导数（无量纲）；</w:t>
      </w:r>
    </w:p>
    <w:p w:rsidR="00DB7CC8" w:rsidRDefault="002B5250">
      <w:pPr>
        <w:pStyle w:val="1b"/>
        <w:ind w:firstLineChars="357" w:firstLine="857"/>
        <w:rPr>
          <w:rFonts w:cs="Times New Roman"/>
          <w:szCs w:val="24"/>
        </w:rPr>
      </w:pPr>
      <w:r>
        <w:rPr>
          <w:rFonts w:cs="Times New Roman"/>
          <w:szCs w:val="24"/>
        </w:rPr>
        <w:t>q</w:t>
      </w:r>
      <w:r>
        <w:rPr>
          <w:rFonts w:cs="Times New Roman"/>
          <w:szCs w:val="24"/>
        </w:rPr>
        <w:t>－</w:t>
      </w:r>
      <w:r>
        <w:rPr>
          <w:rFonts w:cs="Times New Roman"/>
          <w:szCs w:val="24"/>
        </w:rPr>
        <w:t>Γ</w:t>
      </w:r>
      <w:r>
        <w:rPr>
          <w:rFonts w:cs="Times New Roman"/>
          <w:szCs w:val="24"/>
          <w:vertAlign w:val="subscript"/>
        </w:rPr>
        <w:t>2</w:t>
      </w:r>
      <w:r>
        <w:rPr>
          <w:rFonts w:cs="Times New Roman"/>
          <w:szCs w:val="24"/>
        </w:rPr>
        <w:t>边界上的单宽流量（</w:t>
      </w:r>
      <w:r>
        <w:rPr>
          <w:rFonts w:cs="Times New Roman"/>
          <w:szCs w:val="24"/>
        </w:rPr>
        <w:t>m</w:t>
      </w:r>
      <w:r>
        <w:rPr>
          <w:rFonts w:cs="Times New Roman"/>
          <w:szCs w:val="24"/>
          <w:vertAlign w:val="superscript"/>
        </w:rPr>
        <w:t>2</w:t>
      </w:r>
      <w:r>
        <w:rPr>
          <w:rFonts w:cs="Times New Roman"/>
          <w:szCs w:val="24"/>
        </w:rPr>
        <w:t>/d</w:t>
      </w:r>
      <w:r>
        <w:rPr>
          <w:rFonts w:cs="Times New Roman"/>
          <w:szCs w:val="24"/>
        </w:rPr>
        <w:t>），流入为正，流出为负；</w:t>
      </w:r>
    </w:p>
    <w:p w:rsidR="00DB7CC8" w:rsidRDefault="002B5250">
      <w:pPr>
        <w:pStyle w:val="1b"/>
        <w:ind w:firstLineChars="357" w:firstLine="857"/>
        <w:rPr>
          <w:rFonts w:cs="Times New Roman"/>
          <w:szCs w:val="24"/>
        </w:rPr>
      </w:pPr>
      <w:r>
        <w:rPr>
          <w:rFonts w:cs="Times New Roman"/>
          <w:szCs w:val="24"/>
        </w:rPr>
        <w:t>Z(x,y) —</w:t>
      </w:r>
      <w:r>
        <w:rPr>
          <w:rFonts w:cs="Times New Roman"/>
          <w:szCs w:val="24"/>
        </w:rPr>
        <w:t>含水层底板高程。</w:t>
      </w:r>
    </w:p>
    <w:p w:rsidR="00DB7CC8" w:rsidRDefault="002B5250">
      <w:pPr>
        <w:spacing w:line="440" w:lineRule="exact"/>
        <w:ind w:firstLine="480"/>
        <w:rPr>
          <w:sz w:val="24"/>
        </w:rPr>
      </w:pPr>
      <w:bookmarkStart w:id="407" w:name="_Toc9671"/>
      <w:r>
        <w:rPr>
          <w:rFonts w:hint="eastAsia"/>
          <w:sz w:val="24"/>
        </w:rPr>
        <w:t>（</w:t>
      </w:r>
      <w:r>
        <w:rPr>
          <w:rFonts w:hint="eastAsia"/>
          <w:sz w:val="24"/>
        </w:rPr>
        <w:t>3</w:t>
      </w:r>
      <w:r>
        <w:rPr>
          <w:rFonts w:hint="eastAsia"/>
          <w:sz w:val="24"/>
        </w:rPr>
        <w:t>）</w:t>
      </w:r>
      <w:r>
        <w:rPr>
          <w:sz w:val="24"/>
        </w:rPr>
        <w:t>地下水流数值模型的建立</w:t>
      </w:r>
      <w:bookmarkEnd w:id="407"/>
    </w:p>
    <w:p w:rsidR="00DB7CC8" w:rsidRDefault="002B5250">
      <w:pPr>
        <w:autoSpaceDE w:val="0"/>
        <w:autoSpaceDN w:val="0"/>
        <w:spacing w:line="440" w:lineRule="exact"/>
        <w:ind w:firstLine="480"/>
        <w:rPr>
          <w:sz w:val="24"/>
        </w:rPr>
      </w:pPr>
      <w:r>
        <w:rPr>
          <w:rFonts w:hint="eastAsia"/>
          <w:sz w:val="24"/>
        </w:rPr>
        <w:t>①</w:t>
      </w:r>
      <w:r>
        <w:rPr>
          <w:sz w:val="24"/>
        </w:rPr>
        <w:t>模型剖分</w:t>
      </w:r>
    </w:p>
    <w:p w:rsidR="00DB7CC8" w:rsidRDefault="002B5250">
      <w:pPr>
        <w:autoSpaceDE w:val="0"/>
        <w:autoSpaceDN w:val="0"/>
        <w:spacing w:line="440" w:lineRule="exact"/>
        <w:ind w:firstLine="480"/>
        <w:rPr>
          <w:sz w:val="24"/>
        </w:rPr>
      </w:pPr>
      <w:r>
        <w:rPr>
          <w:sz w:val="24"/>
        </w:rPr>
        <w:t>模拟区范围地理位置属于高斯投影的第</w:t>
      </w:r>
      <w:r>
        <w:rPr>
          <w:sz w:val="24"/>
        </w:rPr>
        <w:t>20</w:t>
      </w:r>
      <w:r>
        <w:rPr>
          <w:sz w:val="24"/>
        </w:rPr>
        <w:t>个投影带（</w:t>
      </w:r>
      <w:r>
        <w:rPr>
          <w:sz w:val="24"/>
        </w:rPr>
        <w:t>6°</w:t>
      </w:r>
      <w:r>
        <w:rPr>
          <w:sz w:val="24"/>
        </w:rPr>
        <w:t>带），由于以前在区内进行的有关地质及水文地质工作主要是建立在高斯投影坐标的基础上，本次模拟仍选用高斯投影坐标系（</w:t>
      </w:r>
      <w:r>
        <w:rPr>
          <w:sz w:val="24"/>
        </w:rPr>
        <w:t>6°</w:t>
      </w:r>
      <w:r>
        <w:rPr>
          <w:sz w:val="24"/>
        </w:rPr>
        <w:t>带）。</w:t>
      </w:r>
    </w:p>
    <w:p w:rsidR="00DB7CC8" w:rsidRDefault="002B5250">
      <w:pPr>
        <w:pStyle w:val="29"/>
        <w:spacing w:after="0" w:line="440" w:lineRule="exact"/>
        <w:ind w:leftChars="0" w:left="0" w:firstLine="480"/>
        <w:rPr>
          <w:sz w:val="24"/>
        </w:rPr>
      </w:pPr>
      <w:r>
        <w:rPr>
          <w:sz w:val="24"/>
        </w:rPr>
        <w:t>本次地下水流数值模拟采用二维规则网格有限差分法进行模拟计算，计算剖分包括空间剖分和时间剖分。</w:t>
      </w:r>
    </w:p>
    <w:bookmarkEnd w:id="403"/>
    <w:p w:rsidR="00DB7CC8" w:rsidRDefault="002B5250">
      <w:pPr>
        <w:spacing w:line="440" w:lineRule="exact"/>
        <w:ind w:firstLine="480"/>
        <w:rPr>
          <w:sz w:val="24"/>
        </w:rPr>
      </w:pPr>
      <w:r>
        <w:rPr>
          <w:sz w:val="24"/>
        </w:rPr>
        <w:t>在平面上，根据本次地下水数值模拟的目的，对评价区域模型采用矩形网格剖分，共剖分有效单元</w:t>
      </w:r>
      <w:r>
        <w:rPr>
          <w:rFonts w:hint="eastAsia"/>
          <w:sz w:val="24"/>
        </w:rPr>
        <w:t>1600</w:t>
      </w:r>
      <w:r>
        <w:rPr>
          <w:sz w:val="24"/>
        </w:rPr>
        <w:t>个，边长为</w:t>
      </w:r>
      <w:r>
        <w:rPr>
          <w:sz w:val="24"/>
        </w:rPr>
        <w:t>0.1km×0.1km</w:t>
      </w:r>
      <w:r>
        <w:rPr>
          <w:sz w:val="24"/>
        </w:rPr>
        <w:t>，，计算节点位于单元中心。模拟区网格平面剖分见</w:t>
      </w:r>
      <w:r>
        <w:rPr>
          <w:rFonts w:hint="eastAsia"/>
          <w:sz w:val="24"/>
        </w:rPr>
        <w:t>图</w:t>
      </w:r>
      <w:r>
        <w:rPr>
          <w:sz w:val="24"/>
        </w:rPr>
        <w:t>5.2-23</w:t>
      </w:r>
      <w:r>
        <w:rPr>
          <w:sz w:val="24"/>
        </w:rPr>
        <w:t>。</w:t>
      </w:r>
    </w:p>
    <w:p w:rsidR="00DB7CC8" w:rsidRDefault="002B5250">
      <w:pPr>
        <w:pStyle w:val="yyp"/>
        <w:spacing w:after="0" w:line="440" w:lineRule="exact"/>
        <w:rPr>
          <w:rFonts w:ascii="Times New Roman" w:hAnsi="Times New Roman"/>
        </w:rPr>
      </w:pPr>
      <w:r>
        <w:rPr>
          <w:rFonts w:ascii="Times New Roman" w:hAnsi="Times New Roman"/>
        </w:rPr>
        <w:t>根据所掌握的资料，本次模拟期选为</w:t>
      </w:r>
      <w:r>
        <w:rPr>
          <w:rFonts w:ascii="Times New Roman" w:hAnsi="Times New Roman"/>
        </w:rPr>
        <w:t>2018</w:t>
      </w:r>
      <w:r>
        <w:rPr>
          <w:rFonts w:ascii="Times New Roman" w:hAnsi="Times New Roman"/>
        </w:rPr>
        <w:t>年</w:t>
      </w:r>
      <w:r>
        <w:rPr>
          <w:rFonts w:ascii="Times New Roman" w:hAnsi="Times New Roman"/>
        </w:rPr>
        <w:t>5</w:t>
      </w:r>
      <w:r>
        <w:rPr>
          <w:rFonts w:ascii="Times New Roman" w:hAnsi="Times New Roman"/>
        </w:rPr>
        <w:t>月到</w:t>
      </w:r>
      <w:r>
        <w:rPr>
          <w:rFonts w:ascii="Times New Roman" w:hAnsi="Times New Roman"/>
        </w:rPr>
        <w:t>2018</w:t>
      </w:r>
      <w:r>
        <w:rPr>
          <w:rFonts w:ascii="Times New Roman" w:hAnsi="Times New Roman"/>
        </w:rPr>
        <w:t>年</w:t>
      </w:r>
      <w:r>
        <w:rPr>
          <w:rFonts w:ascii="Times New Roman" w:hAnsi="Times New Roman" w:hint="eastAsia"/>
        </w:rPr>
        <w:t>8</w:t>
      </w:r>
      <w:r>
        <w:rPr>
          <w:rFonts w:ascii="Times New Roman" w:hAnsi="Times New Roman"/>
        </w:rPr>
        <w:t>月，其中以</w:t>
      </w:r>
      <w:r>
        <w:rPr>
          <w:rFonts w:ascii="Times New Roman" w:hAnsi="Times New Roman"/>
        </w:rPr>
        <w:t>2018</w:t>
      </w:r>
      <w:r>
        <w:rPr>
          <w:rFonts w:ascii="Times New Roman" w:hAnsi="Times New Roman"/>
        </w:rPr>
        <w:t>年</w:t>
      </w:r>
      <w:r>
        <w:rPr>
          <w:rFonts w:ascii="Times New Roman" w:hAnsi="Times New Roman"/>
        </w:rPr>
        <w:t>5</w:t>
      </w:r>
      <w:r>
        <w:rPr>
          <w:rFonts w:ascii="Times New Roman" w:hAnsi="Times New Roman"/>
        </w:rPr>
        <w:t>月作为模型的初始流场，</w:t>
      </w:r>
      <w:r>
        <w:rPr>
          <w:rFonts w:ascii="Times New Roman" w:hAnsi="Times New Roman"/>
        </w:rPr>
        <w:t>2018</w:t>
      </w:r>
      <w:r>
        <w:rPr>
          <w:rFonts w:ascii="Times New Roman" w:hAnsi="Times New Roman"/>
        </w:rPr>
        <w:t>年</w:t>
      </w:r>
      <w:r>
        <w:rPr>
          <w:rFonts w:ascii="Times New Roman" w:hAnsi="Times New Roman" w:hint="eastAsia"/>
        </w:rPr>
        <w:t>8</w:t>
      </w:r>
      <w:r>
        <w:rPr>
          <w:rFonts w:ascii="Times New Roman" w:hAnsi="Times New Roman"/>
        </w:rPr>
        <w:t>月作为模型识别验证流场，以月作为时间步长。</w:t>
      </w:r>
    </w:p>
    <w:p w:rsidR="00DB7CC8" w:rsidRDefault="002B5250">
      <w:pPr>
        <w:widowControl/>
        <w:ind w:firstLine="560"/>
        <w:jc w:val="center"/>
      </w:pPr>
      <w:r>
        <w:rPr>
          <w:noProof/>
        </w:rPr>
        <w:drawing>
          <wp:inline distT="0" distB="0" distL="0" distR="0">
            <wp:extent cx="5274310" cy="3670300"/>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noChangeArrowheads="1"/>
                    </pic:cNvPicPr>
                  </pic:nvPicPr>
                  <pic:blipFill>
                    <a:blip r:embed="rId89" cstate="print">
                      <a:extLst>
                        <a:ext uri="{28A0092B-C50C-407E-A947-70E740481C1C}">
                          <a14:useLocalDpi xmlns:a14="http://schemas.microsoft.com/office/drawing/2010/main" val="0"/>
                        </a:ext>
                      </a:extLst>
                    </a:blip>
                    <a:srcRect l="7240" t="4510" r="11403" b="7329"/>
                    <a:stretch>
                      <a:fillRect/>
                    </a:stretch>
                  </pic:blipFill>
                  <pic:spPr>
                    <a:xfrm>
                      <a:off x="0" y="0"/>
                      <a:ext cx="5274310" cy="3670300"/>
                    </a:xfrm>
                    <a:prstGeom prst="rect">
                      <a:avLst/>
                    </a:prstGeom>
                    <a:noFill/>
                    <a:ln>
                      <a:noFill/>
                    </a:ln>
                  </pic:spPr>
                </pic:pic>
              </a:graphicData>
            </a:graphic>
          </wp:inline>
        </w:drawing>
      </w:r>
    </w:p>
    <w:p w:rsidR="00DB7CC8" w:rsidRDefault="002B5250">
      <w:pPr>
        <w:ind w:firstLine="420"/>
        <w:jc w:val="center"/>
        <w:rPr>
          <w:rFonts w:eastAsia="黑体"/>
          <w:sz w:val="21"/>
          <w:szCs w:val="21"/>
          <w:lang w:val="zh-CN"/>
        </w:rPr>
      </w:pPr>
      <w:r>
        <w:rPr>
          <w:rFonts w:eastAsia="黑体"/>
          <w:sz w:val="21"/>
          <w:szCs w:val="21"/>
          <w:lang w:val="zh-CN"/>
        </w:rPr>
        <w:t>图</w:t>
      </w:r>
      <w:r>
        <w:rPr>
          <w:rFonts w:eastAsia="黑体"/>
          <w:sz w:val="21"/>
          <w:szCs w:val="21"/>
          <w:lang w:val="zh-CN"/>
        </w:rPr>
        <w:t xml:space="preserve">5.2-23 </w:t>
      </w:r>
      <w:r>
        <w:rPr>
          <w:rFonts w:eastAsia="黑体" w:hint="eastAsia"/>
          <w:sz w:val="21"/>
          <w:szCs w:val="21"/>
        </w:rPr>
        <w:t xml:space="preserve">  </w:t>
      </w:r>
      <w:r>
        <w:rPr>
          <w:rFonts w:eastAsia="黑体"/>
          <w:sz w:val="21"/>
          <w:szCs w:val="21"/>
          <w:lang w:val="zh-CN"/>
        </w:rPr>
        <w:t>模拟区网格剖分图</w:t>
      </w:r>
    </w:p>
    <w:p w:rsidR="00DB7CC8" w:rsidRDefault="002B5250">
      <w:pPr>
        <w:autoSpaceDE w:val="0"/>
        <w:autoSpaceDN w:val="0"/>
        <w:ind w:firstLine="480"/>
        <w:rPr>
          <w:bCs/>
          <w:sz w:val="24"/>
        </w:rPr>
      </w:pPr>
      <w:bookmarkStart w:id="408" w:name="_Toc405317346"/>
      <w:r>
        <w:rPr>
          <w:rFonts w:hint="eastAsia"/>
          <w:bCs/>
          <w:sz w:val="24"/>
        </w:rPr>
        <w:lastRenderedPageBreak/>
        <w:t>②</w:t>
      </w:r>
      <w:r>
        <w:rPr>
          <w:bCs/>
          <w:sz w:val="24"/>
        </w:rPr>
        <w:t>源汇项的处理</w:t>
      </w:r>
      <w:bookmarkEnd w:id="408"/>
    </w:p>
    <w:p w:rsidR="00DB7CC8" w:rsidRDefault="002B5250">
      <w:pPr>
        <w:autoSpaceDE w:val="0"/>
        <w:autoSpaceDN w:val="0"/>
        <w:ind w:firstLine="480"/>
        <w:rPr>
          <w:bCs/>
          <w:sz w:val="24"/>
        </w:rPr>
      </w:pPr>
      <w:r>
        <w:rPr>
          <w:rFonts w:hint="eastAsia"/>
          <w:bCs/>
          <w:sz w:val="24"/>
        </w:rPr>
        <w:t>a.</w:t>
      </w:r>
      <w:r>
        <w:rPr>
          <w:bCs/>
          <w:sz w:val="24"/>
        </w:rPr>
        <w:t>大气降水入渗补给</w:t>
      </w:r>
    </w:p>
    <w:p w:rsidR="00DB7CC8" w:rsidRDefault="002B5250">
      <w:pPr>
        <w:autoSpaceDE w:val="0"/>
        <w:autoSpaceDN w:val="0"/>
        <w:ind w:firstLine="480"/>
        <w:rPr>
          <w:sz w:val="24"/>
        </w:rPr>
      </w:pPr>
      <w:r>
        <w:rPr>
          <w:sz w:val="24"/>
        </w:rPr>
        <w:t>浅层含水层通过包气带接受大气降水入渗补给，在模型中大气降水入渗补给量的计算公式为：</w:t>
      </w:r>
    </w:p>
    <w:p w:rsidR="00DB7CC8" w:rsidRDefault="002B5250">
      <w:pPr>
        <w:autoSpaceDE w:val="0"/>
        <w:autoSpaceDN w:val="0"/>
        <w:ind w:firstLine="480"/>
        <w:jc w:val="center"/>
        <w:rPr>
          <w:sz w:val="24"/>
        </w:rPr>
      </w:pPr>
      <w:r>
        <w:rPr>
          <w:position w:val="-28"/>
          <w:sz w:val="24"/>
        </w:rPr>
        <w:object w:dxaOrig="1560" w:dyaOrig="540">
          <v:shape id="_x0000_i1032" type="#_x0000_t75" style="width:78pt;height:27pt" o:ole="">
            <v:imagedata r:id="rId90" o:title=""/>
          </v:shape>
          <o:OLEObject Type="Embed" ProgID="Equation.3" ShapeID="_x0000_i1032" DrawAspect="Content" ObjectID="_1772523729" r:id="rId91"/>
        </w:object>
      </w:r>
      <w:r>
        <w:rPr>
          <w:sz w:val="24"/>
        </w:rPr>
        <w:t>（</w:t>
      </w:r>
      <w:r>
        <w:rPr>
          <w:sz w:val="24"/>
        </w:rPr>
        <w:t>5</w:t>
      </w:r>
      <w:r>
        <w:rPr>
          <w:rFonts w:hint="eastAsia"/>
          <w:sz w:val="24"/>
        </w:rPr>
        <w:t>.</w:t>
      </w:r>
      <w:r>
        <w:rPr>
          <w:sz w:val="24"/>
        </w:rPr>
        <w:t>2</w:t>
      </w:r>
      <w:r>
        <w:rPr>
          <w:rFonts w:hint="eastAsia"/>
          <w:sz w:val="24"/>
        </w:rPr>
        <w:t>-</w:t>
      </w:r>
      <w:r>
        <w:rPr>
          <w:sz w:val="24"/>
        </w:rPr>
        <w:t>8</w:t>
      </w:r>
      <w:r>
        <w:rPr>
          <w:sz w:val="24"/>
        </w:rPr>
        <w:t>）</w:t>
      </w:r>
    </w:p>
    <w:p w:rsidR="00DB7CC8" w:rsidRDefault="002B5250">
      <w:pPr>
        <w:autoSpaceDE w:val="0"/>
        <w:autoSpaceDN w:val="0"/>
        <w:ind w:firstLine="480"/>
        <w:rPr>
          <w:sz w:val="24"/>
        </w:rPr>
      </w:pPr>
      <w:r>
        <w:rPr>
          <w:sz w:val="24"/>
        </w:rPr>
        <w:t>式中，</w:t>
      </w:r>
    </w:p>
    <w:p w:rsidR="00DB7CC8" w:rsidRDefault="002B5250">
      <w:pPr>
        <w:autoSpaceDE w:val="0"/>
        <w:autoSpaceDN w:val="0"/>
        <w:ind w:firstLineChars="250" w:firstLine="600"/>
        <w:rPr>
          <w:sz w:val="24"/>
          <w:szCs w:val="24"/>
        </w:rPr>
      </w:pPr>
      <w:r>
        <w:rPr>
          <w:i/>
          <w:sz w:val="24"/>
          <w:szCs w:val="24"/>
        </w:rPr>
        <w:t>Q</w:t>
      </w:r>
      <w:r>
        <w:rPr>
          <w:sz w:val="24"/>
          <w:szCs w:val="24"/>
          <w:vertAlign w:val="subscript"/>
        </w:rPr>
        <w:t>降</w:t>
      </w:r>
      <w:r>
        <w:rPr>
          <w:sz w:val="24"/>
          <w:szCs w:val="24"/>
        </w:rPr>
        <w:t>—</w:t>
      </w:r>
      <w:r>
        <w:rPr>
          <w:sz w:val="24"/>
          <w:szCs w:val="24"/>
        </w:rPr>
        <w:t>大气降水入渗补给量（</w:t>
      </w:r>
      <w:r>
        <w:rPr>
          <w:sz w:val="24"/>
          <w:szCs w:val="24"/>
        </w:rPr>
        <w:t>m</w:t>
      </w:r>
      <w:r>
        <w:rPr>
          <w:sz w:val="24"/>
          <w:szCs w:val="24"/>
          <w:vertAlign w:val="superscript"/>
        </w:rPr>
        <w:t>3</w:t>
      </w:r>
      <w:r>
        <w:rPr>
          <w:sz w:val="24"/>
          <w:szCs w:val="24"/>
        </w:rPr>
        <w:t>/d</w:t>
      </w:r>
      <w:r>
        <w:rPr>
          <w:sz w:val="24"/>
          <w:szCs w:val="24"/>
        </w:rPr>
        <w:t>）；</w:t>
      </w:r>
    </w:p>
    <w:p w:rsidR="00DB7CC8" w:rsidRDefault="002B5250">
      <w:pPr>
        <w:autoSpaceDE w:val="0"/>
        <w:autoSpaceDN w:val="0"/>
        <w:ind w:firstLine="480"/>
        <w:rPr>
          <w:sz w:val="24"/>
          <w:szCs w:val="24"/>
        </w:rPr>
      </w:pPr>
      <w:r>
        <w:rPr>
          <w:i/>
          <w:sz w:val="24"/>
          <w:szCs w:val="24"/>
        </w:rPr>
        <w:t>α</w:t>
      </w:r>
      <w:r>
        <w:rPr>
          <w:sz w:val="24"/>
          <w:szCs w:val="24"/>
          <w:vertAlign w:val="subscript"/>
        </w:rPr>
        <w:t>i</w:t>
      </w:r>
      <w:r>
        <w:rPr>
          <w:sz w:val="24"/>
          <w:szCs w:val="24"/>
        </w:rPr>
        <w:t>—</w:t>
      </w:r>
      <w:r>
        <w:rPr>
          <w:sz w:val="24"/>
          <w:szCs w:val="24"/>
        </w:rPr>
        <w:t>各计算分区大气降水</w:t>
      </w:r>
      <w:r>
        <w:rPr>
          <w:bCs/>
          <w:sz w:val="24"/>
        </w:rPr>
        <w:t>入渗</w:t>
      </w:r>
      <w:r>
        <w:rPr>
          <w:sz w:val="24"/>
          <w:szCs w:val="24"/>
        </w:rPr>
        <w:t>系数；</w:t>
      </w:r>
    </w:p>
    <w:p w:rsidR="00DB7CC8" w:rsidRDefault="002B5250">
      <w:pPr>
        <w:autoSpaceDE w:val="0"/>
        <w:autoSpaceDN w:val="0"/>
        <w:ind w:firstLineChars="250" w:firstLine="600"/>
        <w:rPr>
          <w:sz w:val="24"/>
          <w:szCs w:val="24"/>
        </w:rPr>
      </w:pPr>
      <w:r>
        <w:rPr>
          <w:i/>
          <w:sz w:val="24"/>
          <w:szCs w:val="24"/>
        </w:rPr>
        <w:t>P</w:t>
      </w:r>
      <w:r>
        <w:rPr>
          <w:sz w:val="24"/>
          <w:szCs w:val="24"/>
          <w:vertAlign w:val="subscript"/>
        </w:rPr>
        <w:t>i</w:t>
      </w:r>
      <w:r>
        <w:rPr>
          <w:sz w:val="24"/>
          <w:szCs w:val="24"/>
        </w:rPr>
        <w:t>—</w:t>
      </w:r>
      <w:r>
        <w:rPr>
          <w:sz w:val="24"/>
          <w:szCs w:val="24"/>
        </w:rPr>
        <w:t>各计算分区降水量（</w:t>
      </w:r>
      <w:r>
        <w:rPr>
          <w:sz w:val="24"/>
          <w:szCs w:val="24"/>
        </w:rPr>
        <w:t>m/d</w:t>
      </w:r>
      <w:r>
        <w:rPr>
          <w:sz w:val="24"/>
          <w:szCs w:val="24"/>
        </w:rPr>
        <w:t>）；</w:t>
      </w:r>
    </w:p>
    <w:p w:rsidR="00DB7CC8" w:rsidRDefault="002B5250">
      <w:pPr>
        <w:autoSpaceDE w:val="0"/>
        <w:autoSpaceDN w:val="0"/>
        <w:ind w:firstLineChars="250" w:firstLine="600"/>
        <w:rPr>
          <w:sz w:val="24"/>
        </w:rPr>
      </w:pPr>
      <w:r>
        <w:rPr>
          <w:i/>
          <w:sz w:val="24"/>
          <w:szCs w:val="24"/>
        </w:rPr>
        <w:t>A</w:t>
      </w:r>
      <w:r>
        <w:rPr>
          <w:sz w:val="24"/>
          <w:szCs w:val="24"/>
          <w:vertAlign w:val="subscript"/>
        </w:rPr>
        <w:t>i</w:t>
      </w:r>
      <w:r>
        <w:rPr>
          <w:sz w:val="24"/>
          <w:szCs w:val="24"/>
        </w:rPr>
        <w:t>—</w:t>
      </w:r>
      <w:r>
        <w:rPr>
          <w:sz w:val="24"/>
          <w:szCs w:val="24"/>
        </w:rPr>
        <w:t>各计算分区面积（</w:t>
      </w:r>
      <w:r>
        <w:rPr>
          <w:sz w:val="24"/>
          <w:szCs w:val="24"/>
        </w:rPr>
        <w:t>m</w:t>
      </w:r>
      <w:r>
        <w:rPr>
          <w:sz w:val="24"/>
          <w:szCs w:val="24"/>
          <w:vertAlign w:val="superscript"/>
        </w:rPr>
        <w:t>2</w:t>
      </w:r>
      <w:r>
        <w:rPr>
          <w:sz w:val="24"/>
          <w:szCs w:val="24"/>
        </w:rPr>
        <w:t>）。</w:t>
      </w:r>
    </w:p>
    <w:p w:rsidR="00DB7CC8" w:rsidRDefault="002B5250">
      <w:pPr>
        <w:widowControl/>
        <w:ind w:firstLine="480"/>
      </w:pPr>
      <w:r>
        <w:rPr>
          <w:sz w:val="24"/>
        </w:rPr>
        <w:t>降水入渗补给条件的不均匀性用入渗分区概化处理。依据有关降水入渗资料，并参考包气带岩性、潜水位埋深、地形、植被等因素，绘出全区降水入渗系数分区图，分别给出各区降水入渗系数平均值，加在模型对应的剖分网格单元上。根据各区面积、降水量以及降水入渗系数计算大气降水入渗补给量。</w:t>
      </w:r>
    </w:p>
    <w:p w:rsidR="00DB7CC8" w:rsidRDefault="002B5250">
      <w:pPr>
        <w:ind w:firstLine="480"/>
        <w:rPr>
          <w:sz w:val="24"/>
        </w:rPr>
      </w:pPr>
      <w:r>
        <w:rPr>
          <w:sz w:val="24"/>
        </w:rPr>
        <w:t>本次模拟降水入渗系数参照河北省水文站与</w:t>
      </w:r>
      <w:r>
        <w:rPr>
          <w:sz w:val="24"/>
        </w:rPr>
        <w:t>“</w:t>
      </w:r>
      <w:r>
        <w:rPr>
          <w:sz w:val="24"/>
        </w:rPr>
        <w:t>六五</w:t>
      </w:r>
      <w:r>
        <w:rPr>
          <w:sz w:val="24"/>
        </w:rPr>
        <w:t>”</w:t>
      </w:r>
      <w:r>
        <w:rPr>
          <w:sz w:val="24"/>
        </w:rPr>
        <w:t>科技攻关</w:t>
      </w:r>
      <w:r>
        <w:rPr>
          <w:sz w:val="24"/>
        </w:rPr>
        <w:t>38</w:t>
      </w:r>
      <w:r>
        <w:rPr>
          <w:sz w:val="24"/>
        </w:rPr>
        <w:t>项科研报告中提供的数值，并考虑现有的地下水位埋深，综合考虑确定如下。</w:t>
      </w:r>
    </w:p>
    <w:p w:rsidR="00DB7CC8" w:rsidRDefault="002B5250">
      <w:pPr>
        <w:ind w:firstLine="420"/>
        <w:jc w:val="center"/>
        <w:rPr>
          <w:sz w:val="24"/>
          <w:szCs w:val="24"/>
        </w:rPr>
      </w:pPr>
      <w:r>
        <w:rPr>
          <w:rFonts w:eastAsia="黑体"/>
          <w:sz w:val="21"/>
          <w:szCs w:val="21"/>
        </w:rPr>
        <w:t>表</w:t>
      </w:r>
      <w:r>
        <w:rPr>
          <w:rFonts w:eastAsia="黑体"/>
          <w:sz w:val="21"/>
          <w:szCs w:val="21"/>
        </w:rPr>
        <w:t xml:space="preserve">5.2-27  </w:t>
      </w:r>
      <w:r>
        <w:rPr>
          <w:rFonts w:eastAsia="黑体" w:hint="eastAsia"/>
          <w:sz w:val="21"/>
          <w:szCs w:val="21"/>
        </w:rPr>
        <w:t xml:space="preserve"> </w:t>
      </w:r>
      <w:r>
        <w:rPr>
          <w:rFonts w:eastAsia="黑体"/>
          <w:sz w:val="21"/>
          <w:szCs w:val="21"/>
        </w:rPr>
        <w:t>模</w:t>
      </w:r>
      <w:r>
        <w:rPr>
          <w:rFonts w:ascii="黑体" w:eastAsia="黑体" w:hAnsi="黑体"/>
          <w:sz w:val="21"/>
          <w:szCs w:val="21"/>
        </w:rPr>
        <w:t>型区大气降水入渗补给系数取值一览表</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1"/>
        <w:gridCol w:w="1888"/>
        <w:gridCol w:w="2373"/>
        <w:gridCol w:w="1890"/>
      </w:tblGrid>
      <w:tr w:rsidR="00DB7CC8">
        <w:trPr>
          <w:trHeight w:val="493"/>
          <w:jc w:val="center"/>
        </w:trPr>
        <w:tc>
          <w:tcPr>
            <w:tcW w:w="2371" w:type="dxa"/>
            <w:vAlign w:val="center"/>
          </w:tcPr>
          <w:p w:rsidR="00DB7CC8" w:rsidRDefault="002B5250">
            <w:pPr>
              <w:adjustRightInd w:val="0"/>
              <w:snapToGrid w:val="0"/>
              <w:spacing w:line="240" w:lineRule="auto"/>
              <w:ind w:firstLineChars="0" w:firstLine="0"/>
              <w:jc w:val="center"/>
              <w:rPr>
                <w:sz w:val="21"/>
                <w:szCs w:val="21"/>
              </w:rPr>
            </w:pPr>
            <w:r>
              <w:rPr>
                <w:sz w:val="21"/>
                <w:szCs w:val="21"/>
              </w:rPr>
              <w:t>计算分区</w:t>
            </w:r>
          </w:p>
        </w:tc>
        <w:tc>
          <w:tcPr>
            <w:tcW w:w="1888" w:type="dxa"/>
            <w:vAlign w:val="center"/>
          </w:tcPr>
          <w:p w:rsidR="00DB7CC8" w:rsidRDefault="002B5250">
            <w:pPr>
              <w:adjustRightInd w:val="0"/>
              <w:snapToGrid w:val="0"/>
              <w:spacing w:line="240" w:lineRule="auto"/>
              <w:ind w:firstLineChars="0" w:firstLine="0"/>
              <w:jc w:val="center"/>
              <w:rPr>
                <w:sz w:val="21"/>
                <w:szCs w:val="21"/>
              </w:rPr>
            </w:pPr>
            <w:r>
              <w:rPr>
                <w:sz w:val="21"/>
                <w:szCs w:val="21"/>
              </w:rPr>
              <w:t>参数值</w:t>
            </w:r>
          </w:p>
        </w:tc>
        <w:tc>
          <w:tcPr>
            <w:tcW w:w="2373" w:type="dxa"/>
            <w:vAlign w:val="center"/>
          </w:tcPr>
          <w:p w:rsidR="00DB7CC8" w:rsidRDefault="002B5250">
            <w:pPr>
              <w:adjustRightInd w:val="0"/>
              <w:snapToGrid w:val="0"/>
              <w:spacing w:line="240" w:lineRule="auto"/>
              <w:ind w:firstLineChars="0" w:firstLine="0"/>
              <w:jc w:val="center"/>
              <w:rPr>
                <w:sz w:val="21"/>
                <w:szCs w:val="21"/>
              </w:rPr>
            </w:pPr>
            <w:r>
              <w:rPr>
                <w:sz w:val="21"/>
                <w:szCs w:val="21"/>
              </w:rPr>
              <w:t>计算分区</w:t>
            </w:r>
          </w:p>
        </w:tc>
        <w:tc>
          <w:tcPr>
            <w:tcW w:w="1890" w:type="dxa"/>
            <w:vAlign w:val="center"/>
          </w:tcPr>
          <w:p w:rsidR="00DB7CC8" w:rsidRDefault="002B5250">
            <w:pPr>
              <w:adjustRightInd w:val="0"/>
              <w:snapToGrid w:val="0"/>
              <w:spacing w:line="240" w:lineRule="auto"/>
              <w:ind w:firstLineChars="0" w:firstLine="0"/>
              <w:jc w:val="center"/>
              <w:rPr>
                <w:sz w:val="21"/>
                <w:szCs w:val="21"/>
              </w:rPr>
            </w:pPr>
            <w:r>
              <w:rPr>
                <w:sz w:val="21"/>
                <w:szCs w:val="21"/>
              </w:rPr>
              <w:t>参数值</w:t>
            </w:r>
          </w:p>
        </w:tc>
      </w:tr>
      <w:tr w:rsidR="00DB7CC8">
        <w:trPr>
          <w:trHeight w:val="493"/>
          <w:jc w:val="center"/>
        </w:trPr>
        <w:tc>
          <w:tcPr>
            <w:tcW w:w="2371" w:type="dxa"/>
            <w:vAlign w:val="center"/>
          </w:tcPr>
          <w:p w:rsidR="00DB7CC8" w:rsidRDefault="002B5250">
            <w:pPr>
              <w:adjustRightInd w:val="0"/>
              <w:snapToGrid w:val="0"/>
              <w:spacing w:line="240" w:lineRule="auto"/>
              <w:ind w:firstLineChars="0" w:firstLine="0"/>
              <w:jc w:val="center"/>
              <w:rPr>
                <w:sz w:val="21"/>
                <w:szCs w:val="21"/>
              </w:rPr>
            </w:pPr>
            <w:r>
              <w:rPr>
                <w:sz w:val="21"/>
                <w:szCs w:val="21"/>
              </w:rPr>
              <w:t>1</w:t>
            </w:r>
          </w:p>
        </w:tc>
        <w:tc>
          <w:tcPr>
            <w:tcW w:w="1888" w:type="dxa"/>
            <w:vAlign w:val="center"/>
          </w:tcPr>
          <w:p w:rsidR="00DB7CC8" w:rsidRDefault="002B5250">
            <w:pPr>
              <w:adjustRightInd w:val="0"/>
              <w:snapToGrid w:val="0"/>
              <w:spacing w:line="240" w:lineRule="auto"/>
              <w:ind w:firstLineChars="0" w:firstLine="0"/>
              <w:jc w:val="center"/>
              <w:rPr>
                <w:sz w:val="21"/>
                <w:szCs w:val="21"/>
              </w:rPr>
            </w:pPr>
            <w:r>
              <w:rPr>
                <w:sz w:val="21"/>
                <w:szCs w:val="21"/>
              </w:rPr>
              <w:t>0.</w:t>
            </w:r>
            <w:r>
              <w:rPr>
                <w:rFonts w:hint="eastAsia"/>
                <w:sz w:val="21"/>
                <w:szCs w:val="21"/>
              </w:rPr>
              <w:t>22</w:t>
            </w:r>
          </w:p>
        </w:tc>
        <w:tc>
          <w:tcPr>
            <w:tcW w:w="2373" w:type="dxa"/>
            <w:vAlign w:val="center"/>
          </w:tcPr>
          <w:p w:rsidR="00DB7CC8" w:rsidRDefault="002B5250">
            <w:pPr>
              <w:adjustRightInd w:val="0"/>
              <w:snapToGrid w:val="0"/>
              <w:spacing w:line="240" w:lineRule="auto"/>
              <w:ind w:firstLineChars="0" w:firstLine="0"/>
              <w:jc w:val="center"/>
              <w:rPr>
                <w:sz w:val="21"/>
                <w:szCs w:val="21"/>
              </w:rPr>
            </w:pPr>
            <w:r>
              <w:rPr>
                <w:sz w:val="21"/>
                <w:szCs w:val="21"/>
              </w:rPr>
              <w:t>2</w:t>
            </w:r>
          </w:p>
        </w:tc>
        <w:tc>
          <w:tcPr>
            <w:tcW w:w="1890" w:type="dxa"/>
            <w:vAlign w:val="center"/>
          </w:tcPr>
          <w:p w:rsidR="00DB7CC8" w:rsidRDefault="002B5250">
            <w:pPr>
              <w:adjustRightInd w:val="0"/>
              <w:snapToGrid w:val="0"/>
              <w:spacing w:line="240" w:lineRule="auto"/>
              <w:ind w:firstLineChars="0" w:firstLine="0"/>
              <w:jc w:val="center"/>
              <w:rPr>
                <w:sz w:val="21"/>
                <w:szCs w:val="21"/>
              </w:rPr>
            </w:pPr>
            <w:r>
              <w:rPr>
                <w:sz w:val="21"/>
                <w:szCs w:val="21"/>
              </w:rPr>
              <w:t>0.</w:t>
            </w:r>
            <w:r>
              <w:rPr>
                <w:rFonts w:hint="eastAsia"/>
                <w:sz w:val="21"/>
                <w:szCs w:val="21"/>
              </w:rPr>
              <w:t>20</w:t>
            </w:r>
          </w:p>
        </w:tc>
      </w:tr>
    </w:tbl>
    <w:p w:rsidR="00DB7CC8" w:rsidRDefault="00DB7CC8">
      <w:pPr>
        <w:widowControl/>
        <w:ind w:firstLine="480"/>
        <w:rPr>
          <w:rFonts w:ascii="宋体" w:hAnsi="宋体" w:cs="宋体"/>
          <w:sz w:val="24"/>
          <w:szCs w:val="24"/>
        </w:rPr>
      </w:pPr>
    </w:p>
    <w:p w:rsidR="00DB7CC8" w:rsidRDefault="002B5250">
      <w:pPr>
        <w:widowControl/>
        <w:ind w:firstLine="480"/>
        <w:jc w:val="center"/>
        <w:rPr>
          <w:rFonts w:ascii="宋体" w:hAnsi="宋体" w:cs="宋体"/>
          <w:sz w:val="24"/>
          <w:szCs w:val="24"/>
        </w:rPr>
      </w:pPr>
      <w:r>
        <w:rPr>
          <w:rFonts w:ascii="宋体" w:hAnsi="宋体" w:cs="宋体"/>
          <w:sz w:val="24"/>
          <w:szCs w:val="24"/>
        </w:rPr>
        <w:lastRenderedPageBreak/>
        <w:fldChar w:fldCharType="begin"/>
      </w:r>
      <w:r>
        <w:rPr>
          <w:rFonts w:ascii="宋体" w:hAnsi="宋体" w:cs="宋体"/>
          <w:sz w:val="24"/>
          <w:szCs w:val="24"/>
        </w:rPr>
        <w:instrText xml:space="preserve">INCLUDEPICTURE \d "C:\\Users\\Administrator\\AppData\\Roaming\\Tencent\\Users\\552396278\\QQ\\WinTemp\\RichOle\\%[I8T`P{0E}0%4VQCIGGS.png" \* MERGEFORMATINET </w:instrText>
      </w:r>
      <w:r>
        <w:rPr>
          <w:rFonts w:ascii="宋体" w:hAnsi="宋体" w:cs="宋体"/>
          <w:sz w:val="24"/>
          <w:szCs w:val="24"/>
        </w:rPr>
        <w:fldChar w:fldCharType="end"/>
      </w:r>
      <w:r>
        <w:rPr>
          <w:noProof/>
        </w:rPr>
        <w:drawing>
          <wp:inline distT="0" distB="0" distL="0" distR="0">
            <wp:extent cx="5274310" cy="3650615"/>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noChangeArrowheads="1"/>
                    </pic:cNvPicPr>
                  </pic:nvPicPr>
                  <pic:blipFill>
                    <a:blip r:embed="rId92" cstate="print">
                      <a:extLst>
                        <a:ext uri="{28A0092B-C50C-407E-A947-70E740481C1C}">
                          <a14:useLocalDpi xmlns:a14="http://schemas.microsoft.com/office/drawing/2010/main" val="0"/>
                        </a:ext>
                      </a:extLst>
                    </a:blip>
                    <a:srcRect l="7977" t="4250" r="5077" b="7436"/>
                    <a:stretch>
                      <a:fillRect/>
                    </a:stretch>
                  </pic:blipFill>
                  <pic:spPr>
                    <a:xfrm>
                      <a:off x="0" y="0"/>
                      <a:ext cx="5274310" cy="3650615"/>
                    </a:xfrm>
                    <a:prstGeom prst="rect">
                      <a:avLst/>
                    </a:prstGeom>
                    <a:noFill/>
                    <a:ln>
                      <a:noFill/>
                    </a:ln>
                  </pic:spPr>
                </pic:pic>
              </a:graphicData>
            </a:graphic>
          </wp:inline>
        </w:drawing>
      </w:r>
    </w:p>
    <w:p w:rsidR="00DB7CC8" w:rsidRDefault="002B5250">
      <w:pPr>
        <w:ind w:firstLine="420"/>
        <w:jc w:val="center"/>
        <w:rPr>
          <w:rFonts w:eastAsia="黑体"/>
          <w:sz w:val="21"/>
          <w:szCs w:val="21"/>
          <w:lang w:val="zh-CN"/>
        </w:rPr>
      </w:pPr>
      <w:r>
        <w:rPr>
          <w:rFonts w:eastAsia="黑体"/>
          <w:sz w:val="21"/>
          <w:szCs w:val="21"/>
          <w:lang w:val="zh-CN"/>
        </w:rPr>
        <w:t>图</w:t>
      </w:r>
      <w:r>
        <w:rPr>
          <w:rFonts w:eastAsia="黑体"/>
          <w:sz w:val="21"/>
          <w:szCs w:val="21"/>
          <w:lang w:val="zh-CN"/>
        </w:rPr>
        <w:t xml:space="preserve">5.2-24 </w:t>
      </w:r>
      <w:r>
        <w:rPr>
          <w:rFonts w:eastAsia="黑体" w:hint="eastAsia"/>
          <w:sz w:val="21"/>
          <w:szCs w:val="21"/>
        </w:rPr>
        <w:t xml:space="preserve">  </w:t>
      </w:r>
      <w:r>
        <w:rPr>
          <w:rFonts w:eastAsia="黑体"/>
          <w:sz w:val="21"/>
          <w:szCs w:val="21"/>
          <w:lang w:val="zh-CN"/>
        </w:rPr>
        <w:t>大气降水入渗补给系数平面分区图</w:t>
      </w:r>
    </w:p>
    <w:p w:rsidR="00DB7CC8" w:rsidRDefault="002B5250">
      <w:pPr>
        <w:overflowPunct w:val="0"/>
        <w:autoSpaceDE w:val="0"/>
        <w:autoSpaceDN w:val="0"/>
        <w:ind w:firstLine="480"/>
        <w:rPr>
          <w:sz w:val="24"/>
        </w:rPr>
      </w:pPr>
      <w:r>
        <w:rPr>
          <w:sz w:val="24"/>
        </w:rPr>
        <w:t>b.</w:t>
      </w:r>
      <w:r>
        <w:rPr>
          <w:sz w:val="24"/>
        </w:rPr>
        <w:t>地下水侧向径流补排量</w:t>
      </w:r>
    </w:p>
    <w:p w:rsidR="00DB7CC8" w:rsidRDefault="002B5250">
      <w:pPr>
        <w:overflowPunct w:val="0"/>
        <w:autoSpaceDE w:val="0"/>
        <w:autoSpaceDN w:val="0"/>
        <w:ind w:firstLine="480"/>
        <w:rPr>
          <w:sz w:val="24"/>
        </w:rPr>
      </w:pPr>
      <w:r>
        <w:rPr>
          <w:sz w:val="24"/>
        </w:rPr>
        <w:t>由于缺少多年的水位监测资料，所以仅计算均衡期内的地下水侧向补给量和排泄量。计算区地下水侧向补给和排泄量，可分段采用达西定律计算，公式为：</w:t>
      </w:r>
    </w:p>
    <w:p w:rsidR="00DB7CC8" w:rsidRDefault="002B5250">
      <w:pPr>
        <w:overflowPunct w:val="0"/>
        <w:autoSpaceDE w:val="0"/>
        <w:autoSpaceDN w:val="0"/>
        <w:ind w:firstLine="480"/>
        <w:rPr>
          <w:sz w:val="24"/>
        </w:rPr>
      </w:pPr>
      <w:r>
        <w:rPr>
          <w:position w:val="-28"/>
          <w:sz w:val="24"/>
        </w:rPr>
        <w:object w:dxaOrig="2328" w:dyaOrig="540">
          <v:shape id="_x0000_i1033" type="#_x0000_t75" style="width:116.4pt;height:27pt" o:ole="">
            <v:imagedata r:id="rId93" o:title=""/>
          </v:shape>
          <o:OLEObject Type="Embed" ProgID="Equation.3" ShapeID="_x0000_i1033" DrawAspect="Content" ObjectID="_1772523730" r:id="rId94"/>
        </w:object>
      </w:r>
      <w:r>
        <w:rPr>
          <w:rFonts w:hint="eastAsia"/>
          <w:position w:val="-28"/>
          <w:sz w:val="24"/>
        </w:rPr>
        <w:t xml:space="preserve">     </w:t>
      </w:r>
      <w:r>
        <w:rPr>
          <w:rFonts w:hint="eastAsia"/>
          <w:sz w:val="24"/>
        </w:rPr>
        <w:t>（</w:t>
      </w:r>
      <w:r>
        <w:rPr>
          <w:rFonts w:hint="eastAsia"/>
          <w:sz w:val="24"/>
        </w:rPr>
        <w:t>5.</w:t>
      </w:r>
      <w:r>
        <w:rPr>
          <w:sz w:val="24"/>
        </w:rPr>
        <w:t>2</w:t>
      </w:r>
      <w:r>
        <w:rPr>
          <w:rFonts w:hint="eastAsia"/>
          <w:sz w:val="24"/>
        </w:rPr>
        <w:t>-</w:t>
      </w:r>
      <w:r>
        <w:rPr>
          <w:sz w:val="24"/>
        </w:rPr>
        <w:t>9</w:t>
      </w:r>
      <w:r>
        <w:rPr>
          <w:rFonts w:hint="eastAsia"/>
          <w:sz w:val="24"/>
        </w:rPr>
        <w:t>）</w:t>
      </w:r>
    </w:p>
    <w:p w:rsidR="00DB7CC8" w:rsidRDefault="002B5250">
      <w:pPr>
        <w:overflowPunct w:val="0"/>
        <w:autoSpaceDE w:val="0"/>
        <w:autoSpaceDN w:val="0"/>
        <w:ind w:firstLine="480"/>
        <w:rPr>
          <w:sz w:val="24"/>
        </w:rPr>
      </w:pPr>
      <w:r>
        <w:rPr>
          <w:sz w:val="24"/>
        </w:rPr>
        <w:t>式中，</w:t>
      </w:r>
    </w:p>
    <w:p w:rsidR="00DB7CC8" w:rsidRDefault="002B5250">
      <w:pPr>
        <w:overflowPunct w:val="0"/>
        <w:autoSpaceDE w:val="0"/>
        <w:autoSpaceDN w:val="0"/>
        <w:ind w:firstLine="480"/>
        <w:rPr>
          <w:sz w:val="24"/>
          <w:szCs w:val="24"/>
        </w:rPr>
      </w:pPr>
      <w:r>
        <w:rPr>
          <w:position w:val="-12"/>
          <w:sz w:val="24"/>
          <w:szCs w:val="24"/>
        </w:rPr>
        <w:object w:dxaOrig="780" w:dyaOrig="372">
          <v:shape id="_x0000_i1034" type="#_x0000_t75" style="width:39pt;height:18.6pt" o:ole="">
            <v:imagedata r:id="rId95" o:title=""/>
          </v:shape>
          <o:OLEObject Type="Embed" ProgID="Equation.3" ShapeID="_x0000_i1034" DrawAspect="Content" ObjectID="_1772523731" r:id="rId96"/>
        </w:object>
      </w:r>
      <w:r>
        <w:rPr>
          <w:sz w:val="24"/>
          <w:szCs w:val="24"/>
        </w:rPr>
        <w:t>—</w:t>
      </w:r>
      <w:r>
        <w:rPr>
          <w:sz w:val="24"/>
          <w:szCs w:val="24"/>
        </w:rPr>
        <w:t>地下水侧向径流补给量</w:t>
      </w:r>
      <w:r>
        <w:rPr>
          <w:sz w:val="24"/>
          <w:szCs w:val="24"/>
        </w:rPr>
        <w:t>(m</w:t>
      </w:r>
      <w:r>
        <w:rPr>
          <w:sz w:val="24"/>
          <w:szCs w:val="24"/>
          <w:vertAlign w:val="superscript"/>
        </w:rPr>
        <w:t>3</w:t>
      </w:r>
      <w:r>
        <w:rPr>
          <w:sz w:val="24"/>
          <w:szCs w:val="24"/>
        </w:rPr>
        <w:t>/d)</w:t>
      </w:r>
      <w:r>
        <w:rPr>
          <w:sz w:val="24"/>
          <w:szCs w:val="24"/>
        </w:rPr>
        <w:t>；</w:t>
      </w:r>
    </w:p>
    <w:p w:rsidR="00DB7CC8" w:rsidRDefault="002B5250">
      <w:pPr>
        <w:overflowPunct w:val="0"/>
        <w:autoSpaceDE w:val="0"/>
        <w:autoSpaceDN w:val="0"/>
        <w:ind w:firstLine="480"/>
        <w:rPr>
          <w:sz w:val="24"/>
          <w:szCs w:val="24"/>
        </w:rPr>
      </w:pPr>
      <w:r>
        <w:rPr>
          <w:position w:val="-12"/>
          <w:sz w:val="24"/>
          <w:szCs w:val="24"/>
        </w:rPr>
        <w:object w:dxaOrig="312" w:dyaOrig="348">
          <v:shape id="_x0000_i1035" type="#_x0000_t75" style="width:15.6pt;height:17.4pt" o:ole="">
            <v:imagedata r:id="rId97" o:title=""/>
          </v:shape>
          <o:OLEObject Type="Embed" ProgID="Equation.3" ShapeID="_x0000_i1035" DrawAspect="Content" ObjectID="_1772523732" r:id="rId98"/>
        </w:object>
      </w:r>
      <w:r>
        <w:rPr>
          <w:sz w:val="24"/>
          <w:szCs w:val="24"/>
        </w:rPr>
        <w:t>—</w:t>
      </w:r>
      <w:r>
        <w:rPr>
          <w:sz w:val="24"/>
          <w:szCs w:val="24"/>
        </w:rPr>
        <w:t>第</w:t>
      </w:r>
      <w:r>
        <w:rPr>
          <w:sz w:val="24"/>
          <w:szCs w:val="24"/>
        </w:rPr>
        <w:t>i</w:t>
      </w:r>
      <w:r>
        <w:rPr>
          <w:sz w:val="24"/>
          <w:szCs w:val="24"/>
        </w:rPr>
        <w:t>分段含水层渗透系数</w:t>
      </w:r>
      <w:r>
        <w:rPr>
          <w:sz w:val="24"/>
          <w:szCs w:val="24"/>
        </w:rPr>
        <w:t>(m/d)</w:t>
      </w:r>
      <w:r>
        <w:rPr>
          <w:sz w:val="24"/>
          <w:szCs w:val="24"/>
        </w:rPr>
        <w:t>；</w:t>
      </w:r>
    </w:p>
    <w:p w:rsidR="00DB7CC8" w:rsidRDefault="002B5250">
      <w:pPr>
        <w:overflowPunct w:val="0"/>
        <w:autoSpaceDE w:val="0"/>
        <w:autoSpaceDN w:val="0"/>
        <w:ind w:firstLine="480"/>
        <w:rPr>
          <w:sz w:val="24"/>
          <w:szCs w:val="24"/>
        </w:rPr>
      </w:pPr>
      <w:r>
        <w:rPr>
          <w:position w:val="-12"/>
          <w:sz w:val="24"/>
          <w:szCs w:val="24"/>
        </w:rPr>
        <w:object w:dxaOrig="240" w:dyaOrig="348">
          <v:shape id="_x0000_i1036" type="#_x0000_t75" style="width:12pt;height:17.4pt" o:ole="">
            <v:imagedata r:id="rId99" o:title=""/>
          </v:shape>
          <o:OLEObject Type="Embed" ProgID="Equation.3" ShapeID="_x0000_i1036" DrawAspect="Content" ObjectID="_1772523733" r:id="rId100"/>
        </w:object>
      </w:r>
      <w:r>
        <w:rPr>
          <w:sz w:val="24"/>
          <w:szCs w:val="24"/>
        </w:rPr>
        <w:t>—</w:t>
      </w:r>
      <w:r>
        <w:rPr>
          <w:sz w:val="24"/>
          <w:szCs w:val="24"/>
        </w:rPr>
        <w:t>第</w:t>
      </w:r>
      <w:r>
        <w:rPr>
          <w:sz w:val="24"/>
          <w:szCs w:val="24"/>
        </w:rPr>
        <w:t>i</w:t>
      </w:r>
      <w:r>
        <w:rPr>
          <w:sz w:val="24"/>
          <w:szCs w:val="24"/>
        </w:rPr>
        <w:t>分段断面的法向水力坡度；</w:t>
      </w:r>
    </w:p>
    <w:p w:rsidR="00DB7CC8" w:rsidRDefault="002B5250">
      <w:pPr>
        <w:overflowPunct w:val="0"/>
        <w:autoSpaceDE w:val="0"/>
        <w:autoSpaceDN w:val="0"/>
        <w:ind w:firstLine="480"/>
        <w:rPr>
          <w:sz w:val="24"/>
          <w:szCs w:val="24"/>
        </w:rPr>
      </w:pPr>
      <w:r>
        <w:rPr>
          <w:position w:val="-12"/>
          <w:sz w:val="24"/>
          <w:szCs w:val="24"/>
          <w:vertAlign w:val="subscript"/>
        </w:rPr>
        <w:object w:dxaOrig="288" w:dyaOrig="348">
          <v:shape id="_x0000_i1037" type="#_x0000_t75" style="width:14.4pt;height:17.4pt" o:ole="">
            <v:imagedata r:id="rId101" o:title=""/>
          </v:shape>
          <o:OLEObject Type="Embed" ProgID="Equation.3" ShapeID="_x0000_i1037" DrawAspect="Content" ObjectID="_1772523734" r:id="rId102"/>
        </w:object>
      </w:r>
      <w:r>
        <w:rPr>
          <w:sz w:val="24"/>
          <w:szCs w:val="24"/>
          <w:vertAlign w:val="subscript"/>
        </w:rPr>
        <w:t>——</w:t>
      </w:r>
      <w:r>
        <w:rPr>
          <w:sz w:val="24"/>
          <w:szCs w:val="24"/>
        </w:rPr>
        <w:t>第</w:t>
      </w:r>
      <w:r>
        <w:rPr>
          <w:sz w:val="24"/>
          <w:szCs w:val="24"/>
        </w:rPr>
        <w:t>i</w:t>
      </w:r>
      <w:r>
        <w:rPr>
          <w:sz w:val="24"/>
          <w:szCs w:val="24"/>
        </w:rPr>
        <w:t>分段含水层断面面积</w:t>
      </w:r>
      <w:r>
        <w:rPr>
          <w:sz w:val="24"/>
          <w:szCs w:val="24"/>
        </w:rPr>
        <w:t>(m</w:t>
      </w:r>
      <w:r>
        <w:rPr>
          <w:sz w:val="24"/>
          <w:szCs w:val="24"/>
          <w:vertAlign w:val="superscript"/>
        </w:rPr>
        <w:t>2</w:t>
      </w:r>
      <w:r>
        <w:rPr>
          <w:sz w:val="24"/>
          <w:szCs w:val="24"/>
        </w:rPr>
        <w:t>)</w:t>
      </w:r>
      <w:r>
        <w:rPr>
          <w:sz w:val="24"/>
          <w:szCs w:val="24"/>
        </w:rPr>
        <w:t>。</w:t>
      </w:r>
    </w:p>
    <w:p w:rsidR="00DB7CC8" w:rsidRDefault="002B5250">
      <w:pPr>
        <w:tabs>
          <w:tab w:val="left" w:pos="3120"/>
        </w:tabs>
        <w:overflowPunct w:val="0"/>
        <w:autoSpaceDE w:val="0"/>
        <w:autoSpaceDN w:val="0"/>
        <w:ind w:firstLine="480"/>
        <w:rPr>
          <w:sz w:val="24"/>
        </w:rPr>
      </w:pPr>
      <w:r>
        <w:rPr>
          <w:rFonts w:hint="eastAsia"/>
          <w:sz w:val="24"/>
        </w:rPr>
        <w:t>c.</w:t>
      </w:r>
      <w:r>
        <w:rPr>
          <w:sz w:val="24"/>
        </w:rPr>
        <w:t>灌溉回归入渗补给</w:t>
      </w:r>
    </w:p>
    <w:p w:rsidR="00DB7CC8" w:rsidRDefault="002B5250">
      <w:pPr>
        <w:tabs>
          <w:tab w:val="left" w:pos="2955"/>
        </w:tabs>
        <w:ind w:firstLine="480"/>
        <w:rPr>
          <w:sz w:val="24"/>
        </w:rPr>
      </w:pPr>
      <w:r>
        <w:rPr>
          <w:sz w:val="24"/>
        </w:rPr>
        <w:t>计算公式：</w:t>
      </w:r>
      <w:r>
        <w:rPr>
          <w:sz w:val="24"/>
        </w:rPr>
        <w:t>Q</w:t>
      </w:r>
      <w:r>
        <w:rPr>
          <w:sz w:val="24"/>
          <w:vertAlign w:val="subscript"/>
        </w:rPr>
        <w:t>井</w:t>
      </w:r>
      <w:r>
        <w:rPr>
          <w:sz w:val="24"/>
        </w:rPr>
        <w:t>＝</w:t>
      </w:r>
      <w:r>
        <w:rPr>
          <w:sz w:val="24"/>
        </w:rPr>
        <w:t>Q</w:t>
      </w:r>
      <w:r>
        <w:rPr>
          <w:sz w:val="24"/>
          <w:vertAlign w:val="subscript"/>
        </w:rPr>
        <w:t>农开</w:t>
      </w:r>
      <w:r>
        <w:rPr>
          <w:sz w:val="24"/>
        </w:rPr>
        <w:t xml:space="preserve">·β             </w:t>
      </w:r>
      <w:r>
        <w:rPr>
          <w:rFonts w:hint="eastAsia"/>
          <w:sz w:val="24"/>
        </w:rPr>
        <w:t>（</w:t>
      </w:r>
      <w:r>
        <w:rPr>
          <w:sz w:val="24"/>
        </w:rPr>
        <w:t>5</w:t>
      </w:r>
      <w:r>
        <w:rPr>
          <w:rFonts w:hint="eastAsia"/>
          <w:sz w:val="24"/>
        </w:rPr>
        <w:t>.2-</w:t>
      </w:r>
      <w:r>
        <w:rPr>
          <w:sz w:val="24"/>
        </w:rPr>
        <w:t>10</w:t>
      </w:r>
      <w:r>
        <w:rPr>
          <w:rFonts w:hint="eastAsia"/>
          <w:sz w:val="24"/>
        </w:rPr>
        <w:t>）</w:t>
      </w:r>
      <w:r>
        <w:rPr>
          <w:sz w:val="24"/>
        </w:rPr>
        <w:t xml:space="preserve"> </w:t>
      </w:r>
    </w:p>
    <w:p w:rsidR="00DB7CC8" w:rsidRDefault="002B5250">
      <w:pPr>
        <w:ind w:firstLine="480"/>
        <w:rPr>
          <w:sz w:val="24"/>
        </w:rPr>
      </w:pPr>
      <w:r>
        <w:rPr>
          <w:sz w:val="24"/>
        </w:rPr>
        <w:t>式中，</w:t>
      </w:r>
    </w:p>
    <w:p w:rsidR="00DB7CC8" w:rsidRDefault="002B5250">
      <w:pPr>
        <w:ind w:firstLine="480"/>
        <w:rPr>
          <w:sz w:val="24"/>
        </w:rPr>
      </w:pPr>
      <w:r>
        <w:rPr>
          <w:sz w:val="24"/>
        </w:rPr>
        <w:t>Q</w:t>
      </w:r>
      <w:r>
        <w:rPr>
          <w:sz w:val="24"/>
          <w:vertAlign w:val="subscript"/>
        </w:rPr>
        <w:t>井</w:t>
      </w:r>
      <w:r>
        <w:rPr>
          <w:sz w:val="24"/>
        </w:rPr>
        <w:t>—</w:t>
      </w:r>
      <w:r>
        <w:rPr>
          <w:sz w:val="24"/>
        </w:rPr>
        <w:t>井灌回归量</w:t>
      </w:r>
      <w:r>
        <w:rPr>
          <w:sz w:val="24"/>
        </w:rPr>
        <w:t>(10</w:t>
      </w:r>
      <w:r>
        <w:rPr>
          <w:sz w:val="24"/>
          <w:vertAlign w:val="superscript"/>
        </w:rPr>
        <w:t>4</w:t>
      </w:r>
      <w:r>
        <w:rPr>
          <w:sz w:val="24"/>
        </w:rPr>
        <w:t>m</w:t>
      </w:r>
      <w:r>
        <w:rPr>
          <w:sz w:val="24"/>
          <w:vertAlign w:val="superscript"/>
        </w:rPr>
        <w:t>3</w:t>
      </w:r>
      <w:r>
        <w:rPr>
          <w:sz w:val="24"/>
        </w:rPr>
        <w:t>/a)</w:t>
      </w:r>
    </w:p>
    <w:p w:rsidR="00DB7CC8" w:rsidRDefault="002B5250">
      <w:pPr>
        <w:ind w:firstLine="480"/>
        <w:rPr>
          <w:sz w:val="24"/>
        </w:rPr>
      </w:pPr>
      <w:r>
        <w:rPr>
          <w:sz w:val="24"/>
        </w:rPr>
        <w:t>Q</w:t>
      </w:r>
      <w:r>
        <w:rPr>
          <w:sz w:val="24"/>
          <w:vertAlign w:val="subscript"/>
        </w:rPr>
        <w:t>农开</w:t>
      </w:r>
      <w:r>
        <w:rPr>
          <w:sz w:val="24"/>
        </w:rPr>
        <w:t>—</w:t>
      </w:r>
      <w:r>
        <w:rPr>
          <w:sz w:val="24"/>
        </w:rPr>
        <w:t>农业开采量</w:t>
      </w:r>
      <w:r>
        <w:rPr>
          <w:sz w:val="24"/>
        </w:rPr>
        <w:t>(10</w:t>
      </w:r>
      <w:r>
        <w:rPr>
          <w:sz w:val="24"/>
          <w:vertAlign w:val="superscript"/>
        </w:rPr>
        <w:t>4</w:t>
      </w:r>
      <w:r>
        <w:rPr>
          <w:sz w:val="24"/>
        </w:rPr>
        <w:t>m</w:t>
      </w:r>
      <w:r>
        <w:rPr>
          <w:sz w:val="24"/>
          <w:vertAlign w:val="superscript"/>
        </w:rPr>
        <w:t>3</w:t>
      </w:r>
      <w:r>
        <w:rPr>
          <w:sz w:val="24"/>
        </w:rPr>
        <w:t>/a)</w:t>
      </w:r>
    </w:p>
    <w:p w:rsidR="00DB7CC8" w:rsidRDefault="002B5250">
      <w:pPr>
        <w:ind w:firstLine="480"/>
        <w:rPr>
          <w:sz w:val="24"/>
        </w:rPr>
      </w:pPr>
      <w:r>
        <w:rPr>
          <w:sz w:val="24"/>
        </w:rPr>
        <w:t>β—</w:t>
      </w:r>
      <w:r>
        <w:rPr>
          <w:sz w:val="24"/>
        </w:rPr>
        <w:t>井灌回归系数</w:t>
      </w:r>
    </w:p>
    <w:p w:rsidR="00DB7CC8" w:rsidRDefault="002B5250">
      <w:pPr>
        <w:ind w:firstLine="480"/>
        <w:rPr>
          <w:sz w:val="24"/>
          <w:szCs w:val="24"/>
        </w:rPr>
      </w:pPr>
      <w:r>
        <w:rPr>
          <w:rFonts w:hint="eastAsia"/>
          <w:sz w:val="24"/>
          <w:szCs w:val="24"/>
        </w:rPr>
        <w:t>d</w:t>
      </w:r>
      <w:r>
        <w:rPr>
          <w:sz w:val="24"/>
          <w:szCs w:val="24"/>
        </w:rPr>
        <w:t>.</w:t>
      </w:r>
      <w:r>
        <w:rPr>
          <w:sz w:val="24"/>
          <w:szCs w:val="24"/>
        </w:rPr>
        <w:t>河流入渗</w:t>
      </w:r>
    </w:p>
    <w:p w:rsidR="00DB7CC8" w:rsidRDefault="002B5250">
      <w:pPr>
        <w:ind w:firstLine="480"/>
        <w:rPr>
          <w:sz w:val="24"/>
          <w:szCs w:val="24"/>
        </w:rPr>
      </w:pPr>
      <w:r>
        <w:rPr>
          <w:sz w:val="24"/>
          <w:szCs w:val="24"/>
        </w:rPr>
        <w:lastRenderedPageBreak/>
        <w:t>模型中将</w:t>
      </w:r>
      <w:r>
        <w:rPr>
          <w:rFonts w:hint="eastAsia"/>
          <w:sz w:val="24"/>
          <w:szCs w:val="24"/>
        </w:rPr>
        <w:t>河流</w:t>
      </w:r>
      <w:r>
        <w:rPr>
          <w:sz w:val="24"/>
          <w:szCs w:val="24"/>
        </w:rPr>
        <w:t>作为第三类边界条件</w:t>
      </w:r>
      <w:r>
        <w:rPr>
          <w:sz w:val="24"/>
          <w:szCs w:val="24"/>
        </w:rPr>
        <w:t>——</w:t>
      </w:r>
      <w:r>
        <w:rPr>
          <w:sz w:val="24"/>
          <w:szCs w:val="24"/>
        </w:rPr>
        <w:t>混合边界（</w:t>
      </w:r>
      <w:r>
        <w:rPr>
          <w:sz w:val="24"/>
          <w:szCs w:val="24"/>
        </w:rPr>
        <w:t>River</w:t>
      </w:r>
      <w:r>
        <w:rPr>
          <w:sz w:val="24"/>
          <w:szCs w:val="24"/>
        </w:rPr>
        <w:t>）处理。因此，把河流水位和河流垂向渗透参数写入</w:t>
      </w:r>
      <w:r>
        <w:rPr>
          <w:sz w:val="24"/>
          <w:szCs w:val="24"/>
        </w:rPr>
        <w:t>Visual Modflow</w:t>
      </w:r>
      <w:r>
        <w:rPr>
          <w:sz w:val="24"/>
          <w:szCs w:val="24"/>
        </w:rPr>
        <w:t>中的</w:t>
      </w:r>
      <w:r>
        <w:rPr>
          <w:sz w:val="24"/>
          <w:szCs w:val="24"/>
        </w:rPr>
        <w:t>River</w:t>
      </w:r>
      <w:r>
        <w:rPr>
          <w:sz w:val="24"/>
          <w:szCs w:val="24"/>
        </w:rPr>
        <w:t>程序包，便可计算河</w:t>
      </w:r>
      <w:r>
        <w:rPr>
          <w:rFonts w:hint="eastAsia"/>
          <w:sz w:val="24"/>
          <w:szCs w:val="24"/>
        </w:rPr>
        <w:t>流</w:t>
      </w:r>
      <w:r>
        <w:rPr>
          <w:sz w:val="24"/>
          <w:szCs w:val="24"/>
        </w:rPr>
        <w:t>的渗漏补给。</w:t>
      </w:r>
    </w:p>
    <w:p w:rsidR="00DB7CC8" w:rsidRDefault="002B5250">
      <w:pPr>
        <w:ind w:firstLine="480"/>
        <w:rPr>
          <w:sz w:val="24"/>
          <w:szCs w:val="24"/>
        </w:rPr>
      </w:pPr>
      <w:r>
        <w:rPr>
          <w:rFonts w:hint="eastAsia"/>
          <w:sz w:val="24"/>
          <w:szCs w:val="24"/>
        </w:rPr>
        <w:t>e</w:t>
      </w:r>
      <w:r>
        <w:rPr>
          <w:sz w:val="24"/>
          <w:szCs w:val="24"/>
        </w:rPr>
        <w:t>.</w:t>
      </w:r>
      <w:r>
        <w:rPr>
          <w:sz w:val="24"/>
          <w:szCs w:val="24"/>
        </w:rPr>
        <w:t>人工开采量</w:t>
      </w:r>
    </w:p>
    <w:p w:rsidR="00DB7CC8" w:rsidRDefault="002B5250">
      <w:pPr>
        <w:ind w:firstLine="480"/>
        <w:rPr>
          <w:sz w:val="24"/>
          <w:szCs w:val="24"/>
        </w:rPr>
      </w:pPr>
      <w:r>
        <w:rPr>
          <w:sz w:val="24"/>
          <w:szCs w:val="24"/>
        </w:rPr>
        <w:t>根据调查，评价区浅层地下水目前主要用于农业灌溉和人饮，少量用于工业开采。农业灌溉为面状开采，根据模拟区井浇地分布范围，并依据开采井的密度和单井抽水量进行分区，分别给出各区开采强度，加在模型对应的剖分网格单元上。</w:t>
      </w:r>
    </w:p>
    <w:p w:rsidR="00DB7CC8" w:rsidRDefault="002B5250">
      <w:pPr>
        <w:ind w:firstLine="480"/>
        <w:rPr>
          <w:sz w:val="24"/>
          <w:szCs w:val="24"/>
        </w:rPr>
      </w:pPr>
      <w:r>
        <w:rPr>
          <w:rFonts w:hint="eastAsia"/>
          <w:sz w:val="24"/>
          <w:szCs w:val="24"/>
        </w:rPr>
        <w:t>f</w:t>
      </w:r>
      <w:r>
        <w:rPr>
          <w:sz w:val="24"/>
          <w:szCs w:val="24"/>
        </w:rPr>
        <w:t>.</w:t>
      </w:r>
      <w:r>
        <w:rPr>
          <w:sz w:val="24"/>
          <w:szCs w:val="24"/>
        </w:rPr>
        <w:t>潜水蒸发</w:t>
      </w:r>
    </w:p>
    <w:p w:rsidR="00DB7CC8" w:rsidRDefault="002B5250">
      <w:pPr>
        <w:ind w:firstLine="480"/>
        <w:rPr>
          <w:sz w:val="24"/>
          <w:szCs w:val="24"/>
        </w:rPr>
      </w:pPr>
      <w:r>
        <w:rPr>
          <w:sz w:val="24"/>
          <w:szCs w:val="24"/>
        </w:rPr>
        <w:t>潜水蒸发是指潜水（埋深小于</w:t>
      </w:r>
      <w:r>
        <w:rPr>
          <w:sz w:val="24"/>
          <w:szCs w:val="24"/>
        </w:rPr>
        <w:t>4</w:t>
      </w:r>
      <w:r>
        <w:rPr>
          <w:sz w:val="24"/>
          <w:szCs w:val="24"/>
        </w:rPr>
        <w:t>米时）在毛细管力的作用下向上运动，最终以参加陆面蒸散发形式散逸到大气中的水分损失量。评价期内潜水埋深均超过了</w:t>
      </w:r>
      <w:r>
        <w:rPr>
          <w:sz w:val="24"/>
          <w:szCs w:val="24"/>
        </w:rPr>
        <w:t>4</w:t>
      </w:r>
      <w:r>
        <w:rPr>
          <w:sz w:val="24"/>
          <w:szCs w:val="24"/>
        </w:rPr>
        <w:t>米，潜水蒸发量按零计。</w:t>
      </w:r>
    </w:p>
    <w:p w:rsidR="00DB7CC8" w:rsidRDefault="002B5250">
      <w:pPr>
        <w:ind w:firstLine="480"/>
        <w:rPr>
          <w:sz w:val="24"/>
          <w:szCs w:val="24"/>
        </w:rPr>
      </w:pPr>
      <w:bookmarkStart w:id="409" w:name="_Toc468693002"/>
      <w:bookmarkStart w:id="410" w:name="_Toc405317347"/>
      <w:bookmarkStart w:id="411" w:name="_Toc1066"/>
      <w:bookmarkStart w:id="412" w:name="_Hlk514968884"/>
      <w:r>
        <w:rPr>
          <w:rFonts w:hint="eastAsia"/>
          <w:sz w:val="24"/>
          <w:szCs w:val="24"/>
        </w:rPr>
        <w:t>（</w:t>
      </w:r>
      <w:r>
        <w:rPr>
          <w:rFonts w:hint="eastAsia"/>
          <w:sz w:val="24"/>
          <w:szCs w:val="24"/>
        </w:rPr>
        <w:t>4</w:t>
      </w:r>
      <w:r>
        <w:rPr>
          <w:rFonts w:hint="eastAsia"/>
          <w:sz w:val="24"/>
          <w:szCs w:val="24"/>
        </w:rPr>
        <w:t>）</w:t>
      </w:r>
      <w:r>
        <w:rPr>
          <w:sz w:val="24"/>
          <w:szCs w:val="24"/>
        </w:rPr>
        <w:t>模型的识别与检验</w:t>
      </w:r>
      <w:bookmarkEnd w:id="409"/>
      <w:bookmarkEnd w:id="410"/>
      <w:bookmarkEnd w:id="411"/>
    </w:p>
    <w:p w:rsidR="00DB7CC8" w:rsidRDefault="002B5250">
      <w:pPr>
        <w:widowControl/>
        <w:ind w:firstLine="480"/>
        <w:rPr>
          <w:sz w:val="24"/>
        </w:rPr>
      </w:pPr>
      <w:r>
        <w:rPr>
          <w:sz w:val="24"/>
        </w:rPr>
        <w:t>模型的识别与验证过程是整个模拟中极为重要的一步工作，通常要在反复修改参数和调整某些源汇项基础上才能达</w:t>
      </w:r>
      <w:r>
        <w:rPr>
          <w:sz w:val="24"/>
        </w:rPr>
        <w:t>到较为理想的拟合结果。此模型的识别与检验过程采用的方法称为试估</w:t>
      </w:r>
      <w:r>
        <w:rPr>
          <w:sz w:val="24"/>
        </w:rPr>
        <w:t>—</w:t>
      </w:r>
      <w:r>
        <w:rPr>
          <w:sz w:val="24"/>
        </w:rPr>
        <w:t>校正法，属于反求参数的间接方法之一。为了确保模型求解的唯一性，在模型调试过程中充分利用各种定解条件，也就是用那些靠得住的实测资料，如边界断面流量、灌溉井开采量等来约束模型对原形的拟合。在模型调试过程中，还充分利用水文地质调查中获得的有关信息及计算者对水文地质条件的认识，来约束模型的调试和识别。</w:t>
      </w:r>
    </w:p>
    <w:p w:rsidR="00DB7CC8" w:rsidRDefault="002B5250">
      <w:pPr>
        <w:pStyle w:val="yyp"/>
        <w:spacing w:after="0"/>
        <w:rPr>
          <w:rFonts w:ascii="Times New Roman" w:hAnsi="Times New Roman"/>
          <w:spacing w:val="10"/>
        </w:rPr>
      </w:pPr>
      <w:r>
        <w:rPr>
          <w:rFonts w:ascii="Times New Roman" w:hAnsi="Times New Roman"/>
        </w:rPr>
        <w:t>根据所掌握的资料，本次</w:t>
      </w:r>
      <w:r>
        <w:rPr>
          <w:rFonts w:ascii="Times New Roman" w:hAnsi="Times New Roman"/>
          <w:spacing w:val="10"/>
        </w:rPr>
        <w:t>模拟期选为</w:t>
      </w:r>
      <w:r>
        <w:rPr>
          <w:rFonts w:ascii="Times New Roman" w:hAnsi="Times New Roman"/>
          <w:spacing w:val="10"/>
        </w:rPr>
        <w:t>2018</w:t>
      </w:r>
      <w:r>
        <w:rPr>
          <w:rFonts w:ascii="Times New Roman" w:hAnsi="Times New Roman"/>
          <w:spacing w:val="10"/>
        </w:rPr>
        <w:t>年</w:t>
      </w:r>
      <w:r>
        <w:rPr>
          <w:rFonts w:ascii="Times New Roman" w:hAnsi="Times New Roman"/>
          <w:spacing w:val="10"/>
        </w:rPr>
        <w:t>5</w:t>
      </w:r>
      <w:r>
        <w:rPr>
          <w:rFonts w:ascii="Times New Roman" w:hAnsi="Times New Roman"/>
          <w:spacing w:val="10"/>
        </w:rPr>
        <w:t>月到</w:t>
      </w:r>
      <w:r>
        <w:rPr>
          <w:rFonts w:ascii="Times New Roman" w:hAnsi="Times New Roman"/>
          <w:spacing w:val="10"/>
        </w:rPr>
        <w:t>2018</w:t>
      </w:r>
      <w:r>
        <w:rPr>
          <w:rFonts w:ascii="Times New Roman" w:hAnsi="Times New Roman"/>
          <w:spacing w:val="10"/>
        </w:rPr>
        <w:t>年</w:t>
      </w:r>
      <w:r>
        <w:rPr>
          <w:rFonts w:ascii="Times New Roman" w:hAnsi="Times New Roman" w:hint="eastAsia"/>
          <w:spacing w:val="10"/>
        </w:rPr>
        <w:t>8</w:t>
      </w:r>
      <w:r>
        <w:rPr>
          <w:rFonts w:ascii="Times New Roman" w:hAnsi="Times New Roman"/>
          <w:spacing w:val="10"/>
        </w:rPr>
        <w:t>月，其中以</w:t>
      </w:r>
      <w:r>
        <w:rPr>
          <w:rFonts w:ascii="Times New Roman" w:hAnsi="Times New Roman"/>
          <w:spacing w:val="10"/>
        </w:rPr>
        <w:t>2018</w:t>
      </w:r>
      <w:r>
        <w:rPr>
          <w:rFonts w:ascii="Times New Roman" w:hAnsi="Times New Roman"/>
          <w:spacing w:val="10"/>
        </w:rPr>
        <w:t>年</w:t>
      </w:r>
      <w:r>
        <w:rPr>
          <w:rFonts w:ascii="Times New Roman" w:hAnsi="Times New Roman"/>
          <w:spacing w:val="10"/>
        </w:rPr>
        <w:t>5</w:t>
      </w:r>
      <w:r>
        <w:rPr>
          <w:rFonts w:ascii="Times New Roman" w:hAnsi="Times New Roman"/>
          <w:spacing w:val="10"/>
        </w:rPr>
        <w:t>月作为模型的初始流场，</w:t>
      </w:r>
      <w:r>
        <w:rPr>
          <w:rFonts w:ascii="Times New Roman" w:hAnsi="Times New Roman"/>
          <w:spacing w:val="10"/>
        </w:rPr>
        <w:t>2018</w:t>
      </w:r>
      <w:r>
        <w:rPr>
          <w:rFonts w:ascii="Times New Roman" w:hAnsi="Times New Roman"/>
          <w:spacing w:val="10"/>
        </w:rPr>
        <w:t>年</w:t>
      </w:r>
      <w:r>
        <w:rPr>
          <w:rFonts w:ascii="Times New Roman" w:hAnsi="Times New Roman" w:hint="eastAsia"/>
          <w:spacing w:val="10"/>
        </w:rPr>
        <w:t>8</w:t>
      </w:r>
      <w:r>
        <w:rPr>
          <w:rFonts w:ascii="Times New Roman" w:hAnsi="Times New Roman"/>
          <w:spacing w:val="10"/>
        </w:rPr>
        <w:t>月作为模型识别验证流场，以月作为时间</w:t>
      </w:r>
      <w:r>
        <w:rPr>
          <w:rFonts w:ascii="Times New Roman" w:hAnsi="Times New Roman"/>
          <w:spacing w:val="10"/>
        </w:rPr>
        <w:t>步长。</w:t>
      </w:r>
    </w:p>
    <w:p w:rsidR="00DB7CC8" w:rsidRDefault="002B5250">
      <w:pPr>
        <w:tabs>
          <w:tab w:val="left" w:pos="900"/>
        </w:tabs>
        <w:ind w:firstLine="480"/>
        <w:rPr>
          <w:sz w:val="24"/>
        </w:rPr>
      </w:pPr>
      <w:r>
        <w:rPr>
          <w:sz w:val="24"/>
        </w:rPr>
        <w:t>初始水位以</w:t>
      </w:r>
      <w:r>
        <w:rPr>
          <w:sz w:val="24"/>
        </w:rPr>
        <w:t>2018</w:t>
      </w:r>
      <w:r>
        <w:rPr>
          <w:sz w:val="24"/>
        </w:rPr>
        <w:t>年</w:t>
      </w:r>
      <w:r>
        <w:rPr>
          <w:sz w:val="24"/>
        </w:rPr>
        <w:t>5</w:t>
      </w:r>
      <w:r>
        <w:rPr>
          <w:sz w:val="24"/>
        </w:rPr>
        <w:t>月水位为基础，对其余地区进行外推概化，然后按照内插法和外推法得到潜水含水层的初始流场。</w:t>
      </w:r>
    </w:p>
    <w:p w:rsidR="00DB7CC8" w:rsidRDefault="002B5250">
      <w:pPr>
        <w:tabs>
          <w:tab w:val="left" w:pos="900"/>
        </w:tabs>
        <w:ind w:firstLine="520"/>
        <w:rPr>
          <w:spacing w:val="10"/>
          <w:sz w:val="24"/>
        </w:rPr>
      </w:pPr>
      <w:r>
        <w:rPr>
          <w:spacing w:val="10"/>
          <w:sz w:val="24"/>
        </w:rPr>
        <w:t>运行计算程序，可得到这种水文地质概念模型在给定水文地质参数和各均衡项条件下的地下水位时空分布，通过拟合同时期的流场，识别水文地质参数、边界值和其它均衡项，使建立的模型更加符合模拟区的水文地质条件。</w:t>
      </w:r>
    </w:p>
    <w:p w:rsidR="00DB7CC8" w:rsidRDefault="002B5250">
      <w:pPr>
        <w:ind w:firstLine="480"/>
        <w:rPr>
          <w:sz w:val="24"/>
        </w:rPr>
      </w:pPr>
      <w:r>
        <w:rPr>
          <w:sz w:val="24"/>
        </w:rPr>
        <w:t>模型的识别和验证主要遵循以下原则：</w:t>
      </w:r>
      <w:r>
        <w:rPr>
          <w:rFonts w:ascii="宋体" w:hAnsi="宋体" w:cs="宋体" w:hint="eastAsia"/>
          <w:sz w:val="24"/>
        </w:rPr>
        <w:t>①</w:t>
      </w:r>
      <w:r>
        <w:rPr>
          <w:sz w:val="24"/>
        </w:rPr>
        <w:t>模拟的地下水流场要与实际地下水</w:t>
      </w:r>
      <w:r>
        <w:rPr>
          <w:sz w:val="24"/>
        </w:rPr>
        <w:lastRenderedPageBreak/>
        <w:t>流场基本一致，即要求地下水模拟等值线与实测地下水位等值线形状相似；</w:t>
      </w:r>
      <w:r>
        <w:rPr>
          <w:rFonts w:ascii="宋体" w:hAnsi="宋体" w:cs="宋体" w:hint="eastAsia"/>
          <w:sz w:val="24"/>
        </w:rPr>
        <w:t>②</w:t>
      </w:r>
      <w:r>
        <w:rPr>
          <w:sz w:val="24"/>
        </w:rPr>
        <w:t>从均衡的角度出发，模拟的地下水均衡变化与实际要基本相符；</w:t>
      </w:r>
      <w:r>
        <w:rPr>
          <w:rFonts w:ascii="宋体" w:hAnsi="宋体" w:cs="宋体" w:hint="eastAsia"/>
          <w:sz w:val="24"/>
        </w:rPr>
        <w:t>③</w:t>
      </w:r>
      <w:r>
        <w:rPr>
          <w:sz w:val="24"/>
        </w:rPr>
        <w:t>识别的水文地质参数要符合实际水文地质条件。根据以上三个原则，对模拟区地下水系统进行了识别和验证。通过反复模拟、识别验证后的水文地质参数较好的刻划了地下水系统的水文地质特征，基本反映了地下水随时间和空间的变化规律，使水位拟合误差较小，达到预期效果。识别验证后的平面流场（</w:t>
      </w:r>
      <w:r>
        <w:rPr>
          <w:rFonts w:hint="eastAsia"/>
          <w:sz w:val="24"/>
        </w:rPr>
        <w:t>图</w:t>
      </w:r>
      <w:r>
        <w:rPr>
          <w:sz w:val="24"/>
        </w:rPr>
        <w:t>5.2-25</w:t>
      </w:r>
      <w:r>
        <w:rPr>
          <w:sz w:val="24"/>
        </w:rPr>
        <w:t>）和参数分区图见</w:t>
      </w:r>
      <w:r>
        <w:rPr>
          <w:rFonts w:hint="eastAsia"/>
          <w:sz w:val="24"/>
        </w:rPr>
        <w:t>图</w:t>
      </w:r>
      <w:r>
        <w:rPr>
          <w:sz w:val="24"/>
        </w:rPr>
        <w:t>5.2-26</w:t>
      </w:r>
      <w:r>
        <w:rPr>
          <w:sz w:val="24"/>
        </w:rPr>
        <w:t>，参数值见表</w:t>
      </w:r>
      <w:r>
        <w:rPr>
          <w:rFonts w:hint="eastAsia"/>
          <w:sz w:val="24"/>
        </w:rPr>
        <w:t>5.2-28</w:t>
      </w:r>
      <w:r>
        <w:rPr>
          <w:sz w:val="24"/>
        </w:rPr>
        <w:t>。</w:t>
      </w:r>
    </w:p>
    <w:p w:rsidR="00DB7CC8" w:rsidRDefault="002B5250">
      <w:pPr>
        <w:ind w:firstLine="480"/>
        <w:rPr>
          <w:bCs/>
          <w:sz w:val="24"/>
        </w:rPr>
      </w:pPr>
      <w:r>
        <w:rPr>
          <w:bCs/>
          <w:sz w:val="24"/>
        </w:rPr>
        <w:t>通过上述拟合对比，可以说明本次建立的地下水模型基本符合评价区实际水文地质条件，基本反映了地下水系统的流场特征，故利用该模型为基础，对建设区地下水环境影响进行预测评价是合理可</w:t>
      </w:r>
      <w:r>
        <w:rPr>
          <w:bCs/>
          <w:sz w:val="24"/>
        </w:rPr>
        <w:t>信的。</w:t>
      </w:r>
    </w:p>
    <w:p w:rsidR="00DB7CC8" w:rsidRDefault="00DB7CC8">
      <w:pPr>
        <w:widowControl/>
        <w:ind w:firstLine="480"/>
        <w:jc w:val="center"/>
        <w:rPr>
          <w:rFonts w:ascii="宋体" w:hAnsi="宋体" w:cs="宋体"/>
          <w:sz w:val="24"/>
          <w:szCs w:val="24"/>
        </w:rPr>
      </w:pPr>
    </w:p>
    <w:p w:rsidR="00DB7CC8" w:rsidRDefault="00DB7CC8">
      <w:pPr>
        <w:widowControl/>
        <w:ind w:firstLine="480"/>
        <w:jc w:val="center"/>
        <w:rPr>
          <w:rFonts w:ascii="宋体" w:hAnsi="宋体" w:cs="宋体"/>
          <w:sz w:val="24"/>
          <w:szCs w:val="24"/>
        </w:rPr>
      </w:pPr>
    </w:p>
    <w:p w:rsidR="00DB7CC8" w:rsidRDefault="002B5250">
      <w:pPr>
        <w:widowControl/>
        <w:ind w:firstLineChars="0" w:firstLine="0"/>
        <w:jc w:val="center"/>
        <w:rPr>
          <w:rFonts w:ascii="宋体" w:hAnsi="宋体" w:cs="宋体"/>
          <w:sz w:val="24"/>
          <w:szCs w:val="24"/>
        </w:rPr>
      </w:pPr>
      <w:r>
        <w:rPr>
          <w:noProof/>
        </w:rPr>
        <w:drawing>
          <wp:inline distT="0" distB="0" distL="0" distR="0">
            <wp:extent cx="5267325" cy="396240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5267325" cy="3962400"/>
                    </a:xfrm>
                    <a:prstGeom prst="rect">
                      <a:avLst/>
                    </a:prstGeom>
                    <a:noFill/>
                    <a:ln>
                      <a:noFill/>
                    </a:ln>
                  </pic:spPr>
                </pic:pic>
              </a:graphicData>
            </a:graphic>
          </wp:inline>
        </w:drawing>
      </w:r>
    </w:p>
    <w:p w:rsidR="00DB7CC8" w:rsidRDefault="002B5250">
      <w:pPr>
        <w:widowControl/>
        <w:ind w:firstLineChars="0" w:firstLine="0"/>
        <w:jc w:val="center"/>
        <w:rPr>
          <w:rFonts w:eastAsia="黑体"/>
          <w:sz w:val="21"/>
          <w:szCs w:val="21"/>
          <w:lang w:val="zh-CN"/>
        </w:rPr>
      </w:pPr>
      <w:r>
        <w:rPr>
          <w:rFonts w:eastAsia="黑体"/>
          <w:sz w:val="21"/>
          <w:szCs w:val="21"/>
          <w:lang w:val="zh-CN"/>
        </w:rPr>
        <w:t>图</w:t>
      </w:r>
      <w:r>
        <w:rPr>
          <w:rFonts w:eastAsia="黑体"/>
          <w:sz w:val="21"/>
          <w:szCs w:val="21"/>
          <w:lang w:val="zh-CN"/>
        </w:rPr>
        <w:t>5.2-25  2018</w:t>
      </w:r>
      <w:r>
        <w:rPr>
          <w:rFonts w:eastAsia="黑体"/>
          <w:sz w:val="21"/>
          <w:szCs w:val="21"/>
          <w:lang w:val="zh-CN"/>
        </w:rPr>
        <w:t>年</w:t>
      </w:r>
      <w:r>
        <w:rPr>
          <w:rFonts w:eastAsia="黑体"/>
          <w:sz w:val="21"/>
          <w:szCs w:val="21"/>
          <w:lang w:val="zh-CN"/>
        </w:rPr>
        <w:t>8</w:t>
      </w:r>
      <w:r>
        <w:rPr>
          <w:rFonts w:eastAsia="黑体"/>
          <w:sz w:val="21"/>
          <w:szCs w:val="21"/>
          <w:lang w:val="zh-CN"/>
        </w:rPr>
        <w:t>月</w:t>
      </w:r>
      <w:r>
        <w:rPr>
          <w:rFonts w:eastAsia="黑体"/>
          <w:sz w:val="21"/>
          <w:szCs w:val="21"/>
          <w:lang w:val="zh-CN"/>
        </w:rPr>
        <w:t>25</w:t>
      </w:r>
      <w:r>
        <w:rPr>
          <w:rFonts w:eastAsia="黑体"/>
          <w:sz w:val="21"/>
          <w:szCs w:val="21"/>
          <w:lang w:val="zh-CN"/>
        </w:rPr>
        <w:t>日潜水等水位线拟合图</w:t>
      </w:r>
      <w:bookmarkStart w:id="413" w:name="_Toc333490281"/>
      <w:bookmarkStart w:id="414" w:name="_Toc335353629"/>
    </w:p>
    <w:p w:rsidR="00DB7CC8" w:rsidRDefault="002B5250">
      <w:pPr>
        <w:widowControl/>
        <w:ind w:firstLineChars="0" w:firstLine="0"/>
        <w:jc w:val="center"/>
        <w:rPr>
          <w:sz w:val="24"/>
          <w:szCs w:val="24"/>
        </w:rPr>
      </w:pPr>
      <w:r>
        <w:rPr>
          <w:noProof/>
        </w:rPr>
        <w:lastRenderedPageBreak/>
        <w:drawing>
          <wp:inline distT="0" distB="0" distL="0" distR="0">
            <wp:extent cx="5229225" cy="365760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noChangeArrowheads="1"/>
                    </pic:cNvPicPr>
                  </pic:nvPicPr>
                  <pic:blipFill>
                    <a:blip r:embed="rId104" cstate="print">
                      <a:extLst>
                        <a:ext uri="{28A0092B-C50C-407E-A947-70E740481C1C}">
                          <a14:useLocalDpi xmlns:a14="http://schemas.microsoft.com/office/drawing/2010/main" val="0"/>
                        </a:ext>
                      </a:extLst>
                    </a:blip>
                    <a:srcRect l="2713" r="3618"/>
                    <a:stretch>
                      <a:fillRect/>
                    </a:stretch>
                  </pic:blipFill>
                  <pic:spPr>
                    <a:xfrm>
                      <a:off x="0" y="0"/>
                      <a:ext cx="5229225" cy="3657600"/>
                    </a:xfrm>
                    <a:prstGeom prst="rect">
                      <a:avLst/>
                    </a:prstGeom>
                    <a:noFill/>
                    <a:ln>
                      <a:noFill/>
                    </a:ln>
                    <a:effectLst/>
                  </pic:spPr>
                </pic:pic>
              </a:graphicData>
            </a:graphic>
          </wp:inline>
        </w:drawing>
      </w:r>
    </w:p>
    <w:p w:rsidR="00DB7CC8" w:rsidRDefault="002B5250">
      <w:pPr>
        <w:widowControl/>
        <w:ind w:firstLineChars="0" w:firstLine="0"/>
        <w:jc w:val="center"/>
        <w:rPr>
          <w:sz w:val="24"/>
          <w:szCs w:val="24"/>
        </w:rPr>
      </w:pPr>
      <w:r>
        <w:rPr>
          <w:rFonts w:eastAsia="黑体"/>
          <w:sz w:val="21"/>
          <w:szCs w:val="21"/>
          <w:lang w:val="zh-CN"/>
        </w:rPr>
        <w:t>图</w:t>
      </w:r>
      <w:r>
        <w:rPr>
          <w:rFonts w:eastAsia="黑体"/>
          <w:sz w:val="21"/>
          <w:szCs w:val="21"/>
          <w:lang w:val="zh-CN"/>
        </w:rPr>
        <w:t>5.2-2</w:t>
      </w:r>
      <w:bookmarkStart w:id="415" w:name="_Toc306189241"/>
      <w:r>
        <w:rPr>
          <w:rFonts w:eastAsia="黑体"/>
          <w:sz w:val="21"/>
          <w:szCs w:val="21"/>
          <w:lang w:val="zh-CN"/>
        </w:rPr>
        <w:t xml:space="preserve">6 </w:t>
      </w:r>
      <w:r>
        <w:rPr>
          <w:rFonts w:eastAsia="黑体"/>
          <w:sz w:val="21"/>
          <w:szCs w:val="21"/>
          <w:lang w:val="zh-CN"/>
        </w:rPr>
        <w:t>含水层参数分区图</w:t>
      </w:r>
      <w:bookmarkEnd w:id="415"/>
    </w:p>
    <w:p w:rsidR="00DB7CC8" w:rsidRDefault="002B5250">
      <w:pPr>
        <w:widowControl/>
        <w:ind w:firstLineChars="0" w:firstLine="0"/>
        <w:jc w:val="center"/>
        <w:rPr>
          <w:rFonts w:eastAsia="黑体"/>
          <w:kern w:val="2"/>
          <w:sz w:val="21"/>
          <w:szCs w:val="21"/>
        </w:rPr>
      </w:pPr>
      <w:r>
        <w:rPr>
          <w:rFonts w:eastAsia="黑体"/>
          <w:kern w:val="2"/>
          <w:sz w:val="21"/>
          <w:szCs w:val="21"/>
        </w:rPr>
        <w:t>表</w:t>
      </w:r>
      <w:r>
        <w:rPr>
          <w:rFonts w:eastAsia="黑体"/>
          <w:kern w:val="2"/>
          <w:sz w:val="21"/>
          <w:szCs w:val="21"/>
        </w:rPr>
        <w:t>5.2-2</w:t>
      </w:r>
      <w:r>
        <w:rPr>
          <w:rFonts w:eastAsia="黑体" w:hint="eastAsia"/>
          <w:kern w:val="2"/>
          <w:sz w:val="21"/>
          <w:szCs w:val="21"/>
        </w:rPr>
        <w:t xml:space="preserve">8   </w:t>
      </w:r>
      <w:r>
        <w:rPr>
          <w:rFonts w:eastAsia="黑体"/>
          <w:kern w:val="2"/>
          <w:sz w:val="21"/>
          <w:szCs w:val="21"/>
        </w:rPr>
        <w:t>模型识别与验证后参数取值表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1"/>
        <w:gridCol w:w="2840"/>
        <w:gridCol w:w="2841"/>
      </w:tblGrid>
      <w:tr w:rsidR="00DB7CC8">
        <w:trPr>
          <w:trHeight w:val="256"/>
        </w:trPr>
        <w:tc>
          <w:tcPr>
            <w:tcW w:w="2841"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分区号</w:t>
            </w:r>
          </w:p>
        </w:tc>
        <w:tc>
          <w:tcPr>
            <w:tcW w:w="2840"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渗透系数</w:t>
            </w:r>
            <w:r>
              <w:rPr>
                <w:sz w:val="21"/>
                <w:szCs w:val="21"/>
              </w:rPr>
              <w:t xml:space="preserve"> (m/d)</w:t>
            </w:r>
          </w:p>
        </w:tc>
        <w:tc>
          <w:tcPr>
            <w:tcW w:w="2841" w:type="dxa"/>
            <w:tcBorders>
              <w:top w:val="single" w:sz="4" w:space="0" w:color="auto"/>
              <w:bottom w:val="single" w:sz="4" w:space="0" w:color="auto"/>
            </w:tcBorders>
            <w:vAlign w:val="center"/>
          </w:tcPr>
          <w:p w:rsidR="00DB7CC8" w:rsidRDefault="002B5250">
            <w:pPr>
              <w:spacing w:line="240" w:lineRule="auto"/>
              <w:ind w:firstLineChars="0" w:firstLine="0"/>
              <w:jc w:val="center"/>
              <w:rPr>
                <w:sz w:val="21"/>
                <w:szCs w:val="21"/>
              </w:rPr>
            </w:pPr>
            <w:r>
              <w:rPr>
                <w:sz w:val="21"/>
                <w:szCs w:val="21"/>
              </w:rPr>
              <w:t>给水度</w:t>
            </w:r>
          </w:p>
        </w:tc>
      </w:tr>
      <w:tr w:rsidR="00DB7CC8">
        <w:trPr>
          <w:trHeight w:val="301"/>
        </w:trPr>
        <w:tc>
          <w:tcPr>
            <w:tcW w:w="2841" w:type="dxa"/>
            <w:tcBorders>
              <w:top w:val="single" w:sz="4" w:space="0" w:color="auto"/>
            </w:tcBorders>
            <w:vAlign w:val="center"/>
          </w:tcPr>
          <w:p w:rsidR="00DB7CC8" w:rsidRDefault="002B5250">
            <w:pPr>
              <w:tabs>
                <w:tab w:val="left" w:pos="0"/>
                <w:tab w:val="left" w:pos="251"/>
              </w:tabs>
              <w:spacing w:line="240" w:lineRule="auto"/>
              <w:ind w:firstLineChars="0" w:firstLine="0"/>
              <w:jc w:val="center"/>
              <w:rPr>
                <w:sz w:val="21"/>
                <w:szCs w:val="21"/>
              </w:rPr>
            </w:pPr>
            <w:r>
              <w:rPr>
                <w:sz w:val="21"/>
                <w:szCs w:val="21"/>
              </w:rPr>
              <w:t>1</w:t>
            </w:r>
          </w:p>
        </w:tc>
        <w:tc>
          <w:tcPr>
            <w:tcW w:w="2840" w:type="dxa"/>
            <w:tcBorders>
              <w:top w:val="single" w:sz="4" w:space="0" w:color="auto"/>
            </w:tcBorders>
            <w:vAlign w:val="center"/>
          </w:tcPr>
          <w:p w:rsidR="00DB7CC8" w:rsidRDefault="002B5250">
            <w:pPr>
              <w:tabs>
                <w:tab w:val="left" w:pos="0"/>
                <w:tab w:val="left" w:pos="251"/>
              </w:tabs>
              <w:spacing w:line="240" w:lineRule="auto"/>
              <w:ind w:firstLineChars="0" w:firstLine="0"/>
              <w:jc w:val="center"/>
              <w:rPr>
                <w:sz w:val="21"/>
                <w:szCs w:val="21"/>
              </w:rPr>
            </w:pPr>
            <w:r>
              <w:rPr>
                <w:rFonts w:hint="eastAsia"/>
                <w:sz w:val="21"/>
                <w:szCs w:val="21"/>
              </w:rPr>
              <w:t>19</w:t>
            </w:r>
          </w:p>
        </w:tc>
        <w:tc>
          <w:tcPr>
            <w:tcW w:w="2841" w:type="dxa"/>
            <w:tcBorders>
              <w:top w:val="single" w:sz="4" w:space="0" w:color="auto"/>
            </w:tcBorders>
            <w:vAlign w:val="center"/>
          </w:tcPr>
          <w:p w:rsidR="00DB7CC8" w:rsidRDefault="002B5250">
            <w:pPr>
              <w:tabs>
                <w:tab w:val="left" w:pos="0"/>
                <w:tab w:val="left" w:pos="251"/>
              </w:tabs>
              <w:spacing w:line="240" w:lineRule="auto"/>
              <w:ind w:firstLineChars="0" w:firstLine="0"/>
              <w:jc w:val="center"/>
              <w:rPr>
                <w:sz w:val="21"/>
                <w:szCs w:val="21"/>
              </w:rPr>
            </w:pPr>
            <w:r>
              <w:rPr>
                <w:sz w:val="21"/>
                <w:szCs w:val="21"/>
              </w:rPr>
              <w:t>0.1</w:t>
            </w:r>
            <w:r>
              <w:rPr>
                <w:rFonts w:hint="eastAsia"/>
                <w:sz w:val="21"/>
                <w:szCs w:val="21"/>
              </w:rPr>
              <w:t>8</w:t>
            </w:r>
          </w:p>
        </w:tc>
      </w:tr>
      <w:tr w:rsidR="00DB7CC8">
        <w:trPr>
          <w:trHeight w:val="301"/>
        </w:trPr>
        <w:tc>
          <w:tcPr>
            <w:tcW w:w="2841" w:type="dxa"/>
            <w:vAlign w:val="center"/>
          </w:tcPr>
          <w:p w:rsidR="00DB7CC8" w:rsidRDefault="002B5250">
            <w:pPr>
              <w:tabs>
                <w:tab w:val="left" w:pos="0"/>
                <w:tab w:val="left" w:pos="251"/>
              </w:tabs>
              <w:spacing w:line="240" w:lineRule="auto"/>
              <w:ind w:firstLineChars="0" w:firstLine="0"/>
              <w:jc w:val="center"/>
              <w:rPr>
                <w:sz w:val="21"/>
                <w:szCs w:val="21"/>
              </w:rPr>
            </w:pPr>
            <w:r>
              <w:rPr>
                <w:rFonts w:hint="eastAsia"/>
                <w:sz w:val="21"/>
                <w:szCs w:val="21"/>
              </w:rPr>
              <w:t>2</w:t>
            </w:r>
          </w:p>
        </w:tc>
        <w:tc>
          <w:tcPr>
            <w:tcW w:w="2840" w:type="dxa"/>
            <w:vAlign w:val="center"/>
          </w:tcPr>
          <w:p w:rsidR="00DB7CC8" w:rsidRDefault="002B5250">
            <w:pPr>
              <w:tabs>
                <w:tab w:val="left" w:pos="0"/>
                <w:tab w:val="left" w:pos="251"/>
              </w:tabs>
              <w:spacing w:line="240" w:lineRule="auto"/>
              <w:ind w:firstLineChars="0" w:firstLine="0"/>
              <w:jc w:val="center"/>
              <w:rPr>
                <w:sz w:val="21"/>
                <w:szCs w:val="21"/>
              </w:rPr>
            </w:pPr>
            <w:r>
              <w:rPr>
                <w:rFonts w:hint="eastAsia"/>
                <w:sz w:val="21"/>
                <w:szCs w:val="21"/>
              </w:rPr>
              <w:t>14</w:t>
            </w:r>
          </w:p>
        </w:tc>
        <w:tc>
          <w:tcPr>
            <w:tcW w:w="2841" w:type="dxa"/>
            <w:vAlign w:val="center"/>
          </w:tcPr>
          <w:p w:rsidR="00DB7CC8" w:rsidRDefault="002B5250">
            <w:pPr>
              <w:tabs>
                <w:tab w:val="left" w:pos="0"/>
                <w:tab w:val="left" w:pos="251"/>
              </w:tabs>
              <w:spacing w:line="240" w:lineRule="auto"/>
              <w:ind w:firstLineChars="0" w:firstLine="0"/>
              <w:jc w:val="center"/>
              <w:rPr>
                <w:sz w:val="21"/>
                <w:szCs w:val="21"/>
              </w:rPr>
            </w:pPr>
            <w:r>
              <w:rPr>
                <w:rFonts w:hint="eastAsia"/>
                <w:sz w:val="21"/>
                <w:szCs w:val="21"/>
              </w:rPr>
              <w:t>0.16</w:t>
            </w:r>
          </w:p>
        </w:tc>
      </w:tr>
      <w:tr w:rsidR="00DB7CC8">
        <w:trPr>
          <w:trHeight w:val="301"/>
        </w:trPr>
        <w:tc>
          <w:tcPr>
            <w:tcW w:w="2841" w:type="dxa"/>
            <w:vAlign w:val="center"/>
          </w:tcPr>
          <w:p w:rsidR="00DB7CC8" w:rsidRDefault="002B5250">
            <w:pPr>
              <w:tabs>
                <w:tab w:val="left" w:pos="0"/>
                <w:tab w:val="left" w:pos="251"/>
              </w:tabs>
              <w:spacing w:line="240" w:lineRule="auto"/>
              <w:ind w:firstLineChars="0" w:firstLine="0"/>
              <w:jc w:val="center"/>
              <w:rPr>
                <w:sz w:val="21"/>
                <w:szCs w:val="21"/>
              </w:rPr>
            </w:pPr>
            <w:r>
              <w:rPr>
                <w:rFonts w:hint="eastAsia"/>
                <w:sz w:val="21"/>
                <w:szCs w:val="21"/>
              </w:rPr>
              <w:t>3</w:t>
            </w:r>
          </w:p>
        </w:tc>
        <w:tc>
          <w:tcPr>
            <w:tcW w:w="2840" w:type="dxa"/>
            <w:vAlign w:val="center"/>
          </w:tcPr>
          <w:p w:rsidR="00DB7CC8" w:rsidRDefault="002B5250">
            <w:pPr>
              <w:tabs>
                <w:tab w:val="left" w:pos="0"/>
                <w:tab w:val="left" w:pos="251"/>
              </w:tabs>
              <w:spacing w:line="240" w:lineRule="auto"/>
              <w:ind w:firstLineChars="0" w:firstLine="0"/>
              <w:jc w:val="center"/>
              <w:rPr>
                <w:sz w:val="21"/>
                <w:szCs w:val="21"/>
              </w:rPr>
            </w:pPr>
            <w:r>
              <w:rPr>
                <w:rFonts w:hint="eastAsia"/>
                <w:sz w:val="21"/>
                <w:szCs w:val="21"/>
              </w:rPr>
              <w:t>10</w:t>
            </w:r>
          </w:p>
        </w:tc>
        <w:tc>
          <w:tcPr>
            <w:tcW w:w="2841" w:type="dxa"/>
            <w:vAlign w:val="center"/>
          </w:tcPr>
          <w:p w:rsidR="00DB7CC8" w:rsidRDefault="002B5250">
            <w:pPr>
              <w:tabs>
                <w:tab w:val="left" w:pos="0"/>
                <w:tab w:val="left" w:pos="251"/>
              </w:tabs>
              <w:spacing w:line="240" w:lineRule="auto"/>
              <w:ind w:firstLineChars="0" w:firstLine="0"/>
              <w:jc w:val="center"/>
              <w:rPr>
                <w:sz w:val="21"/>
                <w:szCs w:val="21"/>
              </w:rPr>
            </w:pPr>
            <w:r>
              <w:rPr>
                <w:rFonts w:hint="eastAsia"/>
                <w:sz w:val="21"/>
                <w:szCs w:val="21"/>
              </w:rPr>
              <w:t>0.15</w:t>
            </w:r>
          </w:p>
        </w:tc>
      </w:tr>
    </w:tbl>
    <w:p w:rsidR="00DB7CC8" w:rsidRDefault="002B5250">
      <w:pPr>
        <w:autoSpaceDE w:val="0"/>
        <w:autoSpaceDN w:val="0"/>
        <w:ind w:firstLine="482"/>
        <w:rPr>
          <w:b/>
          <w:bCs/>
          <w:sz w:val="24"/>
        </w:rPr>
      </w:pPr>
      <w:bookmarkStart w:id="416" w:name="_Toc361924681"/>
      <w:bookmarkStart w:id="417" w:name="_Toc23124"/>
      <w:bookmarkStart w:id="418" w:name="_Toc358498106"/>
      <w:bookmarkStart w:id="419" w:name="_Toc19375"/>
      <w:bookmarkStart w:id="420" w:name="_Toc5983"/>
      <w:bookmarkStart w:id="421" w:name="_Toc468693003"/>
      <w:bookmarkEnd w:id="413"/>
      <w:bookmarkEnd w:id="414"/>
      <w:r>
        <w:rPr>
          <w:rFonts w:hint="eastAsia"/>
          <w:b/>
          <w:bCs/>
          <w:sz w:val="24"/>
        </w:rPr>
        <w:t>（</w:t>
      </w:r>
      <w:r>
        <w:rPr>
          <w:rFonts w:hint="eastAsia"/>
          <w:b/>
          <w:bCs/>
          <w:sz w:val="24"/>
        </w:rPr>
        <w:t>5</w:t>
      </w:r>
      <w:r>
        <w:rPr>
          <w:rFonts w:hint="eastAsia"/>
          <w:b/>
          <w:bCs/>
          <w:sz w:val="24"/>
        </w:rPr>
        <w:t>）</w:t>
      </w:r>
      <w:r>
        <w:rPr>
          <w:b/>
          <w:bCs/>
          <w:sz w:val="24"/>
        </w:rPr>
        <w:t>地下水污染模拟预测</w:t>
      </w:r>
      <w:bookmarkEnd w:id="416"/>
      <w:bookmarkEnd w:id="417"/>
      <w:bookmarkEnd w:id="418"/>
      <w:bookmarkEnd w:id="419"/>
      <w:bookmarkEnd w:id="420"/>
      <w:bookmarkEnd w:id="421"/>
    </w:p>
    <w:p w:rsidR="00DB7CC8" w:rsidRDefault="002B5250">
      <w:pPr>
        <w:ind w:firstLine="480"/>
        <w:rPr>
          <w:sz w:val="24"/>
        </w:rPr>
      </w:pPr>
      <w:r>
        <w:rPr>
          <w:sz w:val="24"/>
        </w:rPr>
        <w:t>本次工作已用</w:t>
      </w:r>
      <w:r>
        <w:rPr>
          <w:sz w:val="24"/>
        </w:rPr>
        <w:t>GMS 7.1</w:t>
      </w:r>
      <w:r>
        <w:rPr>
          <w:sz w:val="24"/>
        </w:rPr>
        <w:t>中</w:t>
      </w:r>
      <w:r>
        <w:rPr>
          <w:sz w:val="24"/>
        </w:rPr>
        <w:t>Modflow</w:t>
      </w:r>
      <w:r>
        <w:rPr>
          <w:sz w:val="24"/>
        </w:rPr>
        <w:t>模块建立了水流模型，在此基础上，可利用</w:t>
      </w:r>
      <w:r>
        <w:rPr>
          <w:sz w:val="24"/>
        </w:rPr>
        <w:t>GMS7.1</w:t>
      </w:r>
      <w:r>
        <w:rPr>
          <w:sz w:val="24"/>
        </w:rPr>
        <w:t>中的</w:t>
      </w:r>
      <w:r>
        <w:rPr>
          <w:sz w:val="24"/>
        </w:rPr>
        <w:t>MT3DMS</w:t>
      </w:r>
      <w:r>
        <w:rPr>
          <w:sz w:val="24"/>
        </w:rPr>
        <w:t>模块进一步来模拟预测地下水中污染质的运移情况。</w:t>
      </w:r>
    </w:p>
    <w:p w:rsidR="00DB7CC8" w:rsidRDefault="002B5250">
      <w:pPr>
        <w:ind w:firstLine="480"/>
        <w:rPr>
          <w:sz w:val="24"/>
        </w:rPr>
      </w:pPr>
      <w:r>
        <w:rPr>
          <w:sz w:val="24"/>
        </w:rPr>
        <w:t>本次地下水污染模拟过程未考虑污染物在含水层中的吸附、挥发、生物化学反应，模型中各项参数予以保守性考虑。这样选择的理由是：</w:t>
      </w:r>
    </w:p>
    <w:p w:rsidR="00DB7CC8" w:rsidRDefault="002B5250">
      <w:pPr>
        <w:ind w:firstLine="480"/>
        <w:rPr>
          <w:sz w:val="24"/>
        </w:rPr>
      </w:pPr>
      <w:r>
        <w:rPr>
          <w:sz w:val="24"/>
        </w:rPr>
        <w:t>从保守性角度考虑，假设污染质在运移中不与含水层介质发生反应，可以被认为是保守型污染质，只按保守型污染质来计算，即只考虑运移过程中的对流、弥散作用。</w:t>
      </w:r>
    </w:p>
    <w:p w:rsidR="00DB7CC8" w:rsidRDefault="002B5250">
      <w:pPr>
        <w:ind w:firstLine="480"/>
        <w:rPr>
          <w:sz w:val="24"/>
        </w:rPr>
      </w:pPr>
      <w:r>
        <w:rPr>
          <w:sz w:val="24"/>
        </w:rPr>
        <w:t>有机污染物在地下水中的运移非常复杂，影响因素除对流、弥散作用以外，还存在物理、化学、微生物等作用，这些作用常常会使污染质浓度衰减。目前国际上对这些作用参数的准确获取还存在着困难。</w:t>
      </w:r>
    </w:p>
    <w:p w:rsidR="00DB7CC8" w:rsidRDefault="002B5250">
      <w:pPr>
        <w:ind w:firstLine="480"/>
        <w:rPr>
          <w:sz w:val="24"/>
        </w:rPr>
      </w:pPr>
      <w:r>
        <w:rPr>
          <w:sz w:val="24"/>
        </w:rPr>
        <w:t>在国际上有很多用保守型污染物作为模拟因子的环境质量评价的成功实例，保守型考虑符合工程设计的思想。</w:t>
      </w:r>
    </w:p>
    <w:p w:rsidR="00DB7CC8" w:rsidRDefault="002B5250">
      <w:pPr>
        <w:ind w:firstLine="480"/>
        <w:rPr>
          <w:sz w:val="24"/>
        </w:rPr>
      </w:pPr>
      <w:bookmarkStart w:id="422" w:name="_Toc339979658"/>
      <w:bookmarkStart w:id="423" w:name="_Toc361924682"/>
      <w:bookmarkEnd w:id="422"/>
      <w:r>
        <w:rPr>
          <w:rFonts w:hint="eastAsia"/>
          <w:sz w:val="24"/>
        </w:rPr>
        <w:lastRenderedPageBreak/>
        <w:t>①</w:t>
      </w:r>
      <w:r>
        <w:rPr>
          <w:sz w:val="24"/>
        </w:rPr>
        <w:t>溶质运移数学模型</w:t>
      </w:r>
      <w:bookmarkEnd w:id="423"/>
    </w:p>
    <w:p w:rsidR="00DB7CC8" w:rsidRDefault="002B5250">
      <w:pPr>
        <w:ind w:firstLine="480"/>
        <w:rPr>
          <w:sz w:val="24"/>
        </w:rPr>
      </w:pPr>
      <w:r>
        <w:rPr>
          <w:sz w:val="24"/>
        </w:rPr>
        <w:t>地下水中溶质运移的数学模型可表示为：</w:t>
      </w:r>
    </w:p>
    <w:p w:rsidR="00DB7CC8" w:rsidRDefault="002B5250">
      <w:pPr>
        <w:ind w:firstLine="480"/>
        <w:jc w:val="right"/>
        <w:rPr>
          <w:sz w:val="24"/>
        </w:rPr>
      </w:pPr>
      <w:r>
        <w:rPr>
          <w:position w:val="-30"/>
          <w:sz w:val="24"/>
        </w:rPr>
        <w:object w:dxaOrig="3924" w:dyaOrig="732">
          <v:shape id="_x0000_i1038" type="#_x0000_t75" style="width:196.2pt;height:36.6pt" o:ole="">
            <v:imagedata r:id="rId105" o:title=""/>
          </v:shape>
          <o:OLEObject Type="Embed" ProgID="Equation.3" ShapeID="_x0000_i1038" DrawAspect="Content" ObjectID="_1772523735" r:id="rId106"/>
        </w:object>
      </w:r>
      <w:r>
        <w:rPr>
          <w:sz w:val="24"/>
        </w:rPr>
        <w:t>（</w:t>
      </w:r>
      <w:r>
        <w:rPr>
          <w:rFonts w:hint="eastAsia"/>
          <w:sz w:val="24"/>
        </w:rPr>
        <w:t>5.2-11</w:t>
      </w:r>
      <w:r>
        <w:rPr>
          <w:sz w:val="24"/>
        </w:rPr>
        <w:t>）</w:t>
      </w:r>
    </w:p>
    <w:p w:rsidR="00DB7CC8" w:rsidRDefault="002B5250">
      <w:pPr>
        <w:widowControl/>
        <w:ind w:firstLine="480"/>
        <w:rPr>
          <w:sz w:val="24"/>
          <w:szCs w:val="24"/>
        </w:rPr>
      </w:pPr>
      <w:r>
        <w:rPr>
          <w:sz w:val="24"/>
          <w:szCs w:val="24"/>
        </w:rPr>
        <w:t>式中，</w:t>
      </w:r>
    </w:p>
    <w:p w:rsidR="00DB7CC8" w:rsidRDefault="002B5250">
      <w:pPr>
        <w:widowControl/>
        <w:ind w:firstLine="480"/>
        <w:rPr>
          <w:sz w:val="24"/>
          <w:szCs w:val="24"/>
        </w:rPr>
      </w:pPr>
      <w:r>
        <w:rPr>
          <w:position w:val="-6"/>
          <w:sz w:val="24"/>
          <w:szCs w:val="24"/>
        </w:rPr>
        <w:object w:dxaOrig="204" w:dyaOrig="288">
          <v:shape id="_x0000_i1039" type="#_x0000_t75" style="width:10.2pt;height:14.4pt" o:ole="">
            <v:imagedata r:id="rId107" o:title=""/>
          </v:shape>
          <o:OLEObject Type="Embed" ProgID="Equation.3" ShapeID="_x0000_i1039" DrawAspect="Content" ObjectID="_1772523736" r:id="rId108"/>
        </w:object>
      </w:r>
      <w:r>
        <w:rPr>
          <w:sz w:val="24"/>
          <w:szCs w:val="24"/>
        </w:rPr>
        <w:t>—</w:t>
      </w:r>
      <w:r>
        <w:rPr>
          <w:sz w:val="24"/>
          <w:szCs w:val="24"/>
        </w:rPr>
        <w:t>介质孔隙度，无量纲；</w:t>
      </w:r>
    </w:p>
    <w:p w:rsidR="00DB7CC8" w:rsidRDefault="002B5250">
      <w:pPr>
        <w:widowControl/>
        <w:ind w:firstLine="480"/>
        <w:rPr>
          <w:sz w:val="24"/>
          <w:szCs w:val="24"/>
        </w:rPr>
      </w:pPr>
      <w:r>
        <w:rPr>
          <w:i/>
          <w:sz w:val="24"/>
          <w:szCs w:val="24"/>
        </w:rPr>
        <w:t>C</w:t>
      </w:r>
      <w:r>
        <w:rPr>
          <w:sz w:val="24"/>
          <w:szCs w:val="24"/>
        </w:rPr>
        <w:t>—</w:t>
      </w:r>
      <w:r>
        <w:rPr>
          <w:sz w:val="24"/>
          <w:szCs w:val="24"/>
        </w:rPr>
        <w:t>组分的浓度，</w:t>
      </w:r>
      <w:r>
        <w:rPr>
          <w:sz w:val="24"/>
          <w:szCs w:val="24"/>
        </w:rPr>
        <w:t>mg/L</w:t>
      </w:r>
      <w:r>
        <w:rPr>
          <w:sz w:val="24"/>
          <w:szCs w:val="24"/>
        </w:rPr>
        <w:t>；</w:t>
      </w:r>
    </w:p>
    <w:p w:rsidR="00DB7CC8" w:rsidRDefault="002B5250">
      <w:pPr>
        <w:widowControl/>
        <w:ind w:firstLine="480"/>
        <w:rPr>
          <w:sz w:val="24"/>
          <w:szCs w:val="24"/>
        </w:rPr>
      </w:pPr>
      <w:r>
        <w:rPr>
          <w:i/>
          <w:sz w:val="24"/>
          <w:szCs w:val="24"/>
        </w:rPr>
        <w:t>t</w:t>
      </w:r>
      <w:r>
        <w:rPr>
          <w:sz w:val="24"/>
          <w:szCs w:val="24"/>
        </w:rPr>
        <w:t xml:space="preserve"> —</w:t>
      </w:r>
      <w:r>
        <w:rPr>
          <w:sz w:val="24"/>
          <w:szCs w:val="24"/>
        </w:rPr>
        <w:t>时间，</w:t>
      </w:r>
      <w:r>
        <w:rPr>
          <w:sz w:val="24"/>
          <w:szCs w:val="24"/>
        </w:rPr>
        <w:t>d</w:t>
      </w:r>
      <w:r>
        <w:rPr>
          <w:sz w:val="24"/>
          <w:szCs w:val="24"/>
        </w:rPr>
        <w:t>；</w:t>
      </w:r>
    </w:p>
    <w:p w:rsidR="00DB7CC8" w:rsidRDefault="002B5250">
      <w:pPr>
        <w:widowControl/>
        <w:ind w:firstLine="480"/>
        <w:rPr>
          <w:sz w:val="24"/>
          <w:szCs w:val="24"/>
        </w:rPr>
      </w:pPr>
      <w:r>
        <w:rPr>
          <w:i/>
          <w:sz w:val="24"/>
          <w:szCs w:val="24"/>
        </w:rPr>
        <w:t>x</w:t>
      </w:r>
      <w:r>
        <w:rPr>
          <w:sz w:val="24"/>
          <w:szCs w:val="24"/>
        </w:rPr>
        <w:t>，</w:t>
      </w:r>
      <w:r>
        <w:rPr>
          <w:i/>
          <w:sz w:val="24"/>
          <w:szCs w:val="24"/>
        </w:rPr>
        <w:t>y</w:t>
      </w:r>
      <w:r>
        <w:rPr>
          <w:sz w:val="24"/>
          <w:szCs w:val="24"/>
        </w:rPr>
        <w:t>，</w:t>
      </w:r>
      <w:r>
        <w:rPr>
          <w:i/>
          <w:sz w:val="24"/>
          <w:szCs w:val="24"/>
        </w:rPr>
        <w:t>z</w:t>
      </w:r>
      <w:r>
        <w:rPr>
          <w:sz w:val="24"/>
          <w:szCs w:val="24"/>
        </w:rPr>
        <w:t>—</w:t>
      </w:r>
      <w:r>
        <w:rPr>
          <w:sz w:val="24"/>
          <w:szCs w:val="24"/>
        </w:rPr>
        <w:t>空间位置坐标，</w:t>
      </w:r>
      <w:r>
        <w:rPr>
          <w:sz w:val="24"/>
          <w:szCs w:val="24"/>
        </w:rPr>
        <w:t>m</w:t>
      </w:r>
      <w:r>
        <w:rPr>
          <w:sz w:val="24"/>
          <w:szCs w:val="24"/>
        </w:rPr>
        <w:t>；</w:t>
      </w:r>
    </w:p>
    <w:p w:rsidR="00DB7CC8" w:rsidRDefault="002B5250">
      <w:pPr>
        <w:widowControl/>
        <w:ind w:firstLine="480"/>
        <w:rPr>
          <w:sz w:val="24"/>
          <w:szCs w:val="24"/>
        </w:rPr>
      </w:pPr>
      <w:r>
        <w:rPr>
          <w:i/>
          <w:sz w:val="24"/>
          <w:szCs w:val="24"/>
        </w:rPr>
        <w:t>D</w:t>
      </w:r>
      <w:r>
        <w:rPr>
          <w:i/>
          <w:sz w:val="24"/>
          <w:szCs w:val="24"/>
          <w:vertAlign w:val="subscript"/>
        </w:rPr>
        <w:t>ij</w:t>
      </w:r>
      <w:r>
        <w:rPr>
          <w:sz w:val="24"/>
          <w:szCs w:val="24"/>
        </w:rPr>
        <w:t>—</w:t>
      </w:r>
      <w:r>
        <w:rPr>
          <w:sz w:val="24"/>
          <w:szCs w:val="24"/>
        </w:rPr>
        <w:t>水动力弥散系数张量，</w:t>
      </w:r>
      <w:r>
        <w:rPr>
          <w:sz w:val="24"/>
          <w:szCs w:val="24"/>
        </w:rPr>
        <w:t>m</w:t>
      </w:r>
      <w:r>
        <w:rPr>
          <w:sz w:val="24"/>
          <w:szCs w:val="24"/>
          <w:vertAlign w:val="superscript"/>
        </w:rPr>
        <w:t>2</w:t>
      </w:r>
      <w:r>
        <w:rPr>
          <w:sz w:val="24"/>
          <w:szCs w:val="24"/>
        </w:rPr>
        <w:t>/d</w:t>
      </w:r>
      <w:r>
        <w:rPr>
          <w:sz w:val="24"/>
          <w:szCs w:val="24"/>
        </w:rPr>
        <w:t>；</w:t>
      </w:r>
    </w:p>
    <w:p w:rsidR="00DB7CC8" w:rsidRDefault="002B5250">
      <w:pPr>
        <w:widowControl/>
        <w:ind w:firstLine="480"/>
        <w:rPr>
          <w:sz w:val="24"/>
          <w:szCs w:val="24"/>
        </w:rPr>
      </w:pPr>
      <w:r>
        <w:rPr>
          <w:i/>
          <w:sz w:val="24"/>
          <w:szCs w:val="24"/>
        </w:rPr>
        <w:t>V</w:t>
      </w:r>
      <w:r>
        <w:rPr>
          <w:i/>
          <w:sz w:val="24"/>
          <w:szCs w:val="24"/>
          <w:vertAlign w:val="subscript"/>
        </w:rPr>
        <w:t>i</w:t>
      </w:r>
      <w:r>
        <w:rPr>
          <w:sz w:val="24"/>
          <w:szCs w:val="24"/>
        </w:rPr>
        <w:t>—</w:t>
      </w:r>
      <w:r>
        <w:rPr>
          <w:sz w:val="24"/>
          <w:szCs w:val="24"/>
        </w:rPr>
        <w:t>地下水渗流速度张量，</w:t>
      </w:r>
      <w:r>
        <w:rPr>
          <w:sz w:val="24"/>
          <w:szCs w:val="24"/>
        </w:rPr>
        <w:t>m/d</w:t>
      </w:r>
      <w:r>
        <w:rPr>
          <w:sz w:val="24"/>
          <w:szCs w:val="24"/>
        </w:rPr>
        <w:t>；</w:t>
      </w:r>
    </w:p>
    <w:p w:rsidR="00DB7CC8" w:rsidRDefault="002B5250">
      <w:pPr>
        <w:widowControl/>
        <w:ind w:firstLine="480"/>
        <w:rPr>
          <w:sz w:val="24"/>
          <w:szCs w:val="24"/>
        </w:rPr>
      </w:pPr>
      <w:r>
        <w:rPr>
          <w:i/>
          <w:sz w:val="24"/>
          <w:szCs w:val="24"/>
        </w:rPr>
        <w:t>W</w:t>
      </w:r>
      <w:r>
        <w:rPr>
          <w:sz w:val="24"/>
          <w:szCs w:val="24"/>
        </w:rPr>
        <w:t>—</w:t>
      </w:r>
      <w:r>
        <w:rPr>
          <w:sz w:val="24"/>
          <w:szCs w:val="24"/>
        </w:rPr>
        <w:t>水流的源和汇，</w:t>
      </w:r>
      <w:r>
        <w:rPr>
          <w:sz w:val="24"/>
          <w:szCs w:val="24"/>
        </w:rPr>
        <w:t>m</w:t>
      </w:r>
      <w:r>
        <w:rPr>
          <w:sz w:val="24"/>
          <w:szCs w:val="24"/>
          <w:vertAlign w:val="superscript"/>
        </w:rPr>
        <w:t>3</w:t>
      </w:r>
      <w:r>
        <w:rPr>
          <w:sz w:val="24"/>
          <w:szCs w:val="24"/>
        </w:rPr>
        <w:t>/d</w:t>
      </w:r>
      <w:r>
        <w:rPr>
          <w:sz w:val="24"/>
          <w:szCs w:val="24"/>
        </w:rPr>
        <w:t>；</w:t>
      </w:r>
    </w:p>
    <w:p w:rsidR="00DB7CC8" w:rsidRDefault="002B5250">
      <w:pPr>
        <w:widowControl/>
        <w:ind w:firstLine="480"/>
        <w:rPr>
          <w:sz w:val="24"/>
          <w:szCs w:val="24"/>
        </w:rPr>
      </w:pPr>
      <w:r>
        <w:rPr>
          <w:i/>
          <w:sz w:val="24"/>
          <w:szCs w:val="24"/>
        </w:rPr>
        <w:t>C</w:t>
      </w:r>
      <w:r>
        <w:rPr>
          <w:i/>
          <w:sz w:val="24"/>
          <w:szCs w:val="24"/>
          <w:vertAlign w:val="subscript"/>
        </w:rPr>
        <w:t>s</w:t>
      </w:r>
      <w:r>
        <w:rPr>
          <w:sz w:val="24"/>
          <w:szCs w:val="24"/>
        </w:rPr>
        <w:t>—</w:t>
      </w:r>
      <w:r>
        <w:rPr>
          <w:sz w:val="24"/>
          <w:szCs w:val="24"/>
        </w:rPr>
        <w:t>组分的浓度，</w:t>
      </w:r>
      <w:r>
        <w:rPr>
          <w:sz w:val="24"/>
          <w:szCs w:val="24"/>
        </w:rPr>
        <w:t>mg/L</w:t>
      </w:r>
      <w:r>
        <w:rPr>
          <w:sz w:val="24"/>
          <w:szCs w:val="24"/>
        </w:rPr>
        <w:t>；</w:t>
      </w:r>
    </w:p>
    <w:p w:rsidR="00DB7CC8" w:rsidRDefault="002B5250">
      <w:pPr>
        <w:ind w:firstLine="480"/>
        <w:rPr>
          <w:sz w:val="24"/>
        </w:rPr>
      </w:pPr>
      <w:r>
        <w:rPr>
          <w:rFonts w:hint="eastAsia"/>
          <w:sz w:val="24"/>
        </w:rPr>
        <w:t>②</w:t>
      </w:r>
      <w:r>
        <w:rPr>
          <w:sz w:val="24"/>
        </w:rPr>
        <w:t>弥散度的确定</w:t>
      </w:r>
    </w:p>
    <w:p w:rsidR="00DB7CC8" w:rsidRDefault="002B5250">
      <w:pPr>
        <w:ind w:firstLine="480"/>
        <w:rPr>
          <w:sz w:val="24"/>
        </w:rPr>
      </w:pPr>
      <w:r>
        <w:rPr>
          <w:sz w:val="24"/>
        </w:rPr>
        <w:t>地质介质中溶质运移主要受渗透系数在空间上变化的制约，即地质介质的结构影响。这一空间上变化影响到地下水流速，从而影响到溶质的对流与弥散。通常空隙介质中的弥散度随着溶质运移距离的增加而加大，这种现象称之为水动力弥散尺度效应。其具体表现为：野外弥散试验所求出的弥散度远远大于在实验室所测出的值，相差可达</w:t>
      </w:r>
      <w:r>
        <w:rPr>
          <w:sz w:val="24"/>
        </w:rPr>
        <w:t>4-5</w:t>
      </w:r>
      <w:r>
        <w:rPr>
          <w:sz w:val="24"/>
        </w:rPr>
        <w:t>个数量级；即使是同一含水层，溶质运移距离越大，所计算出的弥散度也越大。越来越多的室内外弥散试验不断地证实了空隙介质中水动力弥散尺度效应的存在。</w:t>
      </w:r>
    </w:p>
    <w:p w:rsidR="00DB7CC8" w:rsidRDefault="002B5250">
      <w:pPr>
        <w:ind w:firstLine="480"/>
        <w:rPr>
          <w:sz w:val="24"/>
        </w:rPr>
      </w:pPr>
      <w:r>
        <w:rPr>
          <w:sz w:val="24"/>
        </w:rPr>
        <w:t>据环保部环境工程评估中心在北京组织召开了《环境影响评价技术导则地下水环境》（</w:t>
      </w:r>
      <w:r>
        <w:rPr>
          <w:sz w:val="24"/>
        </w:rPr>
        <w:t>HJ610-</w:t>
      </w:r>
      <w:r>
        <w:rPr>
          <w:rFonts w:hint="eastAsia"/>
          <w:sz w:val="24"/>
        </w:rPr>
        <w:t>2016</w:t>
      </w:r>
      <w:r>
        <w:rPr>
          <w:sz w:val="24"/>
        </w:rPr>
        <w:t>）专家研讨会，与会水文地质专家一致认为弥散试验的结果受试验场地的尺度效应影响明显，其结果应用受到很大的局限性。因此，一般不推荐开展弥散试验工作。</w:t>
      </w:r>
    </w:p>
    <w:p w:rsidR="00DB7CC8" w:rsidRDefault="002B5250">
      <w:pPr>
        <w:ind w:firstLine="480"/>
        <w:rPr>
          <w:sz w:val="24"/>
        </w:rPr>
      </w:pPr>
      <w:r>
        <w:rPr>
          <w:sz w:val="24"/>
        </w:rPr>
        <w:t>许多研究者都曾用类似的图说明水动力弥散的尺度效应。</w:t>
      </w:r>
      <w:r>
        <w:rPr>
          <w:sz w:val="24"/>
        </w:rPr>
        <w:t>Geihar</w:t>
      </w:r>
      <w:r>
        <w:rPr>
          <w:sz w:val="24"/>
        </w:rPr>
        <w:t>等（</w:t>
      </w:r>
      <w:r>
        <w:rPr>
          <w:sz w:val="24"/>
        </w:rPr>
        <w:t>1992</w:t>
      </w:r>
      <w:r>
        <w:rPr>
          <w:sz w:val="24"/>
        </w:rPr>
        <w:t>）将</w:t>
      </w:r>
      <w:r>
        <w:rPr>
          <w:sz w:val="24"/>
        </w:rPr>
        <w:t>59</w:t>
      </w:r>
      <w:r>
        <w:rPr>
          <w:sz w:val="24"/>
        </w:rPr>
        <w:t>个不同现场所获得的弥散度按含水层类型、水力学特征、地下水流动状态、观测网类别、示踪剂类型、数据的获取方法、水质模型的尺度等整理后，对弥散度增大的规律进行了讨论。</w:t>
      </w:r>
      <w:r>
        <w:rPr>
          <w:sz w:val="24"/>
        </w:rPr>
        <w:t>Neuman</w:t>
      </w:r>
      <w:r>
        <w:rPr>
          <w:sz w:val="24"/>
        </w:rPr>
        <w:t>（</w:t>
      </w:r>
      <w:r>
        <w:rPr>
          <w:sz w:val="24"/>
        </w:rPr>
        <w:t>1991</w:t>
      </w:r>
      <w:r>
        <w:rPr>
          <w:sz w:val="24"/>
        </w:rPr>
        <w:t>）根据</w:t>
      </w:r>
      <w:r>
        <w:rPr>
          <w:sz w:val="24"/>
        </w:rPr>
        <w:t>前人文献中所记载的</w:t>
      </w:r>
      <w:r>
        <w:rPr>
          <w:sz w:val="24"/>
        </w:rPr>
        <w:t>130</w:t>
      </w:r>
      <w:r>
        <w:rPr>
          <w:sz w:val="24"/>
        </w:rPr>
        <w:t>余个纵向弥散度进行了线性回归分析，并综合前人发展的准线性扩散理论，对尺度效</w:t>
      </w:r>
      <w:r>
        <w:rPr>
          <w:sz w:val="24"/>
        </w:rPr>
        <w:lastRenderedPageBreak/>
        <w:t>应进行了解释与讨论。李国敏等（</w:t>
      </w:r>
      <w:r>
        <w:rPr>
          <w:sz w:val="24"/>
        </w:rPr>
        <w:t>1995</w:t>
      </w:r>
      <w:r>
        <w:rPr>
          <w:sz w:val="24"/>
        </w:rPr>
        <w:t>）综合了前人文献中记录的弥散度数值按介质类型（孔隙与非孔隙的裂隙等介质）、模型类别（解析模型与数值模型）等分别作出弥散度与基准尺度的双对数分布，并分别给出了不同介质中使用不同模型所求出参数的分维数。如前述分析，由于水动力弥散尺度效应的存在，难以通过野外或室内弥散试验获得真实的弥散度。因此，由于水动力弥散尺度效应的存在，本次工作参考前人的研究成果，和类似溶质运移模拟的经验，从</w:t>
      </w:r>
      <w:r>
        <w:rPr>
          <w:sz w:val="24"/>
        </w:rPr>
        <w:t>保守角度考虑，取弥散度参数值取</w:t>
      </w:r>
      <w:r>
        <w:rPr>
          <w:sz w:val="24"/>
        </w:rPr>
        <w:t>10m</w:t>
      </w:r>
      <w:r>
        <w:rPr>
          <w:sz w:val="24"/>
        </w:rPr>
        <w:t>。</w:t>
      </w:r>
    </w:p>
    <w:p w:rsidR="00DB7CC8" w:rsidRDefault="002B5250">
      <w:pPr>
        <w:ind w:firstLine="480"/>
        <w:jc w:val="center"/>
        <w:rPr>
          <w:sz w:val="24"/>
          <w:szCs w:val="24"/>
        </w:rPr>
      </w:pPr>
      <w:r>
        <w:rPr>
          <w:noProof/>
          <w:sz w:val="24"/>
          <w:szCs w:val="24"/>
        </w:rPr>
        <w:drawing>
          <wp:inline distT="0" distB="0" distL="0" distR="0">
            <wp:extent cx="4152900" cy="259080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noChangeArrowheads="1"/>
                    </pic:cNvPicPr>
                  </pic:nvPicPr>
                  <pic:blipFill>
                    <a:blip r:embed="rId109">
                      <a:extLst>
                        <a:ext uri="{28A0092B-C50C-407E-A947-70E740481C1C}">
                          <a14:useLocalDpi xmlns:a14="http://schemas.microsoft.com/office/drawing/2010/main" val="0"/>
                        </a:ext>
                      </a:extLst>
                    </a:blip>
                    <a:srcRect l="17328" t="25539" r="26353" b="12131"/>
                    <a:stretch>
                      <a:fillRect/>
                    </a:stretch>
                  </pic:blipFill>
                  <pic:spPr>
                    <a:xfrm>
                      <a:off x="0" y="0"/>
                      <a:ext cx="4152900" cy="2590800"/>
                    </a:xfrm>
                    <a:prstGeom prst="rect">
                      <a:avLst/>
                    </a:prstGeom>
                    <a:noFill/>
                    <a:ln>
                      <a:noFill/>
                    </a:ln>
                  </pic:spPr>
                </pic:pic>
              </a:graphicData>
            </a:graphic>
          </wp:inline>
        </w:drawing>
      </w:r>
    </w:p>
    <w:p w:rsidR="00DB7CC8" w:rsidRDefault="002B5250">
      <w:pPr>
        <w:ind w:firstLine="420"/>
        <w:jc w:val="center"/>
        <w:rPr>
          <w:rFonts w:eastAsia="黑体"/>
          <w:sz w:val="21"/>
          <w:szCs w:val="21"/>
          <w:lang w:val="zh-CN"/>
        </w:rPr>
      </w:pPr>
      <w:r>
        <w:rPr>
          <w:rFonts w:eastAsia="黑体"/>
          <w:sz w:val="21"/>
          <w:szCs w:val="21"/>
          <w:lang w:val="zh-CN"/>
        </w:rPr>
        <w:t>图</w:t>
      </w:r>
      <w:r>
        <w:rPr>
          <w:rFonts w:eastAsia="黑体"/>
          <w:sz w:val="21"/>
          <w:szCs w:val="21"/>
          <w:lang w:val="zh-CN"/>
        </w:rPr>
        <w:t xml:space="preserve">5.2-27 </w:t>
      </w:r>
      <w:r>
        <w:rPr>
          <w:rFonts w:eastAsia="黑体" w:hint="eastAsia"/>
          <w:sz w:val="21"/>
          <w:szCs w:val="21"/>
        </w:rPr>
        <w:t xml:space="preserve">  </w:t>
      </w:r>
      <w:r>
        <w:rPr>
          <w:rFonts w:eastAsia="黑体"/>
          <w:sz w:val="21"/>
          <w:szCs w:val="21"/>
          <w:lang w:val="zh-CN"/>
        </w:rPr>
        <w:t>孔隙介质</w:t>
      </w:r>
      <w:r>
        <w:rPr>
          <w:rFonts w:eastAsia="黑体"/>
          <w:sz w:val="21"/>
          <w:szCs w:val="21"/>
          <w:lang w:val="zh-CN"/>
        </w:rPr>
        <w:t>2</w:t>
      </w:r>
      <w:r>
        <w:rPr>
          <w:rFonts w:eastAsia="黑体"/>
          <w:sz w:val="21"/>
          <w:szCs w:val="21"/>
          <w:lang w:val="zh-CN"/>
        </w:rPr>
        <w:t>维数值模型的</w:t>
      </w:r>
      <w:r>
        <w:rPr>
          <w:rFonts w:eastAsia="黑体"/>
          <w:sz w:val="21"/>
          <w:szCs w:val="21"/>
          <w:lang w:val="zh-CN"/>
        </w:rPr>
        <w:t>lgaL-lgLs</w:t>
      </w:r>
      <w:r>
        <w:rPr>
          <w:rFonts w:eastAsia="黑体"/>
          <w:sz w:val="21"/>
          <w:szCs w:val="21"/>
          <w:lang w:val="zh-CN"/>
        </w:rPr>
        <w:t>图</w:t>
      </w:r>
    </w:p>
    <w:bookmarkEnd w:id="412"/>
    <w:p w:rsidR="00DB7CC8" w:rsidRDefault="002B5250">
      <w:pPr>
        <w:ind w:firstLine="480"/>
        <w:rPr>
          <w:sz w:val="24"/>
        </w:rPr>
      </w:pPr>
      <w:r>
        <w:rPr>
          <w:rFonts w:hint="eastAsia"/>
          <w:sz w:val="24"/>
        </w:rPr>
        <w:t>③</w:t>
      </w:r>
      <w:r>
        <w:rPr>
          <w:sz w:val="24"/>
        </w:rPr>
        <w:t>地下水污染预测情景设定</w:t>
      </w:r>
    </w:p>
    <w:p w:rsidR="00DB7CC8" w:rsidRDefault="002B5250">
      <w:pPr>
        <w:pStyle w:val="1324"/>
        <w:spacing w:line="360" w:lineRule="auto"/>
        <w:ind w:firstLine="480"/>
        <w:rPr>
          <w:rFonts w:ascii="Times New Roman" w:hAnsi="Times New Roman"/>
          <w:sz w:val="24"/>
          <w:szCs w:val="24"/>
        </w:rPr>
      </w:pPr>
      <w:r>
        <w:rPr>
          <w:rFonts w:ascii="Times New Roman" w:hAnsi="Times New Roman" w:hint="eastAsia"/>
          <w:sz w:val="24"/>
          <w:szCs w:val="24"/>
        </w:rPr>
        <w:t>a.</w:t>
      </w:r>
      <w:r>
        <w:rPr>
          <w:rFonts w:ascii="Times New Roman" w:hAnsi="Times New Roman"/>
          <w:sz w:val="24"/>
          <w:szCs w:val="24"/>
        </w:rPr>
        <w:t>正常状况</w:t>
      </w:r>
    </w:p>
    <w:p w:rsidR="00DB7CC8" w:rsidRDefault="002B5250">
      <w:pPr>
        <w:pStyle w:val="1324"/>
        <w:spacing w:line="360" w:lineRule="auto"/>
        <w:ind w:firstLine="480"/>
        <w:rPr>
          <w:rFonts w:ascii="Times New Roman" w:hAnsi="Times New Roman"/>
          <w:sz w:val="24"/>
          <w:szCs w:val="24"/>
        </w:rPr>
      </w:pPr>
      <w:r>
        <w:rPr>
          <w:rFonts w:ascii="Times New Roman" w:hAnsi="Times New Roman"/>
          <w:sz w:val="24"/>
          <w:szCs w:val="24"/>
        </w:rPr>
        <w:t>本项目对厂区内各地下水重点污染区、一般污染区进行了防渗处理，污染源从源头上可以得到控制：对可能出现的渗漏的池体构筑物，以及</w:t>
      </w:r>
      <w:r>
        <w:rPr>
          <w:rFonts w:ascii="Times New Roman" w:hAnsi="Times New Roman" w:hint="eastAsia"/>
          <w:sz w:val="24"/>
          <w:szCs w:val="24"/>
        </w:rPr>
        <w:t>库房、车间</w:t>
      </w:r>
      <w:r>
        <w:rPr>
          <w:rFonts w:ascii="Times New Roman" w:hAnsi="Times New Roman"/>
          <w:sz w:val="24"/>
          <w:szCs w:val="24"/>
        </w:rPr>
        <w:t>等地面进行防渗处理，即使有少量的污染物泄露，也很难通过防渗层渗入包气带。在正常状况下，本项目产生的污染物从源头和末端均得到控制，池体和地面经防渗处理，没有污染地下水的通道，污染物污染地下水的可能性很小。</w:t>
      </w:r>
    </w:p>
    <w:p w:rsidR="00DB7CC8" w:rsidRDefault="002B5250">
      <w:pPr>
        <w:pStyle w:val="1324"/>
        <w:spacing w:line="360" w:lineRule="auto"/>
        <w:ind w:firstLine="480"/>
        <w:rPr>
          <w:rFonts w:ascii="Times New Roman" w:hAnsi="Times New Roman"/>
          <w:sz w:val="24"/>
          <w:szCs w:val="24"/>
        </w:rPr>
      </w:pPr>
      <w:r>
        <w:rPr>
          <w:rFonts w:ascii="Times New Roman" w:hAnsi="Times New Roman" w:hint="eastAsia"/>
          <w:sz w:val="24"/>
          <w:szCs w:val="24"/>
        </w:rPr>
        <w:t>b</w:t>
      </w:r>
      <w:r>
        <w:rPr>
          <w:rFonts w:ascii="Times New Roman" w:hAnsi="Times New Roman"/>
          <w:sz w:val="24"/>
          <w:szCs w:val="24"/>
        </w:rPr>
        <w:t>.</w:t>
      </w:r>
      <w:r>
        <w:rPr>
          <w:rFonts w:ascii="Times New Roman" w:hAnsi="Times New Roman"/>
          <w:sz w:val="24"/>
          <w:szCs w:val="24"/>
        </w:rPr>
        <w:t>非正常状况</w:t>
      </w:r>
    </w:p>
    <w:p w:rsidR="00DB7CC8" w:rsidRDefault="002B5250">
      <w:pPr>
        <w:pStyle w:val="1324"/>
        <w:spacing w:line="360" w:lineRule="auto"/>
        <w:ind w:firstLine="480"/>
        <w:rPr>
          <w:rFonts w:ascii="Times New Roman" w:hAnsi="Times New Roman"/>
          <w:sz w:val="24"/>
          <w:szCs w:val="24"/>
        </w:rPr>
      </w:pPr>
      <w:r>
        <w:rPr>
          <w:rFonts w:ascii="Times New Roman" w:hAnsi="Times New Roman"/>
          <w:sz w:val="24"/>
          <w:szCs w:val="24"/>
        </w:rPr>
        <w:t>情景设定：项</w:t>
      </w:r>
      <w:r>
        <w:rPr>
          <w:rFonts w:ascii="Times New Roman" w:hAnsi="Times New Roman"/>
          <w:sz w:val="24"/>
          <w:szCs w:val="24"/>
        </w:rPr>
        <w:t>目区的浓密池发生泄漏，导致泄漏污染物污染地下水。</w:t>
      </w:r>
    </w:p>
    <w:p w:rsidR="00DB7CC8" w:rsidRDefault="002B5250">
      <w:pPr>
        <w:snapToGrid w:val="0"/>
        <w:ind w:firstLine="480"/>
        <w:rPr>
          <w:sz w:val="24"/>
        </w:rPr>
      </w:pPr>
      <w:r>
        <w:rPr>
          <w:rFonts w:hint="eastAsia"/>
          <w:sz w:val="24"/>
        </w:rPr>
        <w:t>预测因子选择：本项目为铁选厂，其特征污染因子只为铁离子，浓密池废水中</w:t>
      </w:r>
      <w:r>
        <w:rPr>
          <w:sz w:val="24"/>
        </w:rPr>
        <w:t>铁</w:t>
      </w:r>
      <w:r>
        <w:rPr>
          <w:rFonts w:hint="eastAsia"/>
          <w:sz w:val="24"/>
        </w:rPr>
        <w:t>离子</w:t>
      </w:r>
      <w:r>
        <w:rPr>
          <w:sz w:val="24"/>
        </w:rPr>
        <w:t>的浓度为</w:t>
      </w:r>
      <w:r>
        <w:rPr>
          <w:sz w:val="24"/>
        </w:rPr>
        <w:t>0.048mg/L</w:t>
      </w:r>
      <w:r>
        <w:rPr>
          <w:rFonts w:hint="eastAsia"/>
          <w:sz w:val="24"/>
        </w:rPr>
        <w:t>(</w:t>
      </w:r>
      <w:r>
        <w:rPr>
          <w:rFonts w:hint="eastAsia"/>
          <w:sz w:val="24"/>
        </w:rPr>
        <w:t>标准指数为</w:t>
      </w:r>
      <w:r>
        <w:rPr>
          <w:sz w:val="24"/>
        </w:rPr>
        <w:t>0.048</w:t>
      </w:r>
      <w:r>
        <w:rPr>
          <w:rFonts w:hint="eastAsia"/>
          <w:sz w:val="24"/>
        </w:rPr>
        <w:t>/0.3=0.16)</w:t>
      </w:r>
      <w:r>
        <w:rPr>
          <w:rFonts w:hAnsi="宋体"/>
          <w:sz w:val="24"/>
        </w:rPr>
        <w:t>。</w:t>
      </w:r>
      <w:r>
        <w:rPr>
          <w:rFonts w:hAnsi="宋体" w:hint="eastAsia"/>
          <w:sz w:val="24"/>
        </w:rPr>
        <w:t>根据《环境影响评价技术导则</w:t>
      </w:r>
      <w:r>
        <w:rPr>
          <w:rFonts w:hAnsi="宋体" w:hint="eastAsia"/>
          <w:sz w:val="24"/>
        </w:rPr>
        <w:t xml:space="preserve"> </w:t>
      </w:r>
      <w:r>
        <w:rPr>
          <w:rFonts w:hAnsi="宋体" w:hint="eastAsia"/>
          <w:sz w:val="24"/>
        </w:rPr>
        <w:t>地下水》中“</w:t>
      </w:r>
      <w:r>
        <w:rPr>
          <w:rFonts w:hAnsi="宋体" w:hint="eastAsia"/>
          <w:sz w:val="24"/>
        </w:rPr>
        <w:t>9.5</w:t>
      </w:r>
      <w:r>
        <w:rPr>
          <w:rFonts w:hAnsi="宋体" w:hint="eastAsia"/>
          <w:sz w:val="24"/>
        </w:rPr>
        <w:t>预测因子”选择的相关规定，“在识别出特征因子的基础上，对每一类别中的各项因子采用标准指数法进行排序，最终选择标准指数</w:t>
      </w:r>
      <w:r>
        <w:rPr>
          <w:rFonts w:hAnsi="宋体" w:hint="eastAsia"/>
          <w:sz w:val="24"/>
        </w:rPr>
        <w:lastRenderedPageBreak/>
        <w:t>最大的因子作为</w:t>
      </w:r>
      <w:r>
        <w:rPr>
          <w:rFonts w:hAnsi="宋体"/>
          <w:sz w:val="24"/>
        </w:rPr>
        <w:t>预测因子</w:t>
      </w:r>
      <w:r>
        <w:rPr>
          <w:rFonts w:hAnsi="宋体" w:hint="eastAsia"/>
          <w:sz w:val="24"/>
        </w:rPr>
        <w:t>”，由于本项目的特征因子只有铁离子，因此此次预测选择铁离子作为预测因子</w:t>
      </w:r>
      <w:r>
        <w:rPr>
          <w:sz w:val="24"/>
        </w:rPr>
        <w:t>。</w:t>
      </w:r>
    </w:p>
    <w:p w:rsidR="00DB7CC8" w:rsidRDefault="002B5250">
      <w:pPr>
        <w:pStyle w:val="29"/>
        <w:spacing w:after="0" w:line="360" w:lineRule="auto"/>
        <w:ind w:leftChars="0" w:left="0" w:firstLine="480"/>
        <w:rPr>
          <w:sz w:val="24"/>
        </w:rPr>
      </w:pPr>
      <w:r>
        <w:rPr>
          <w:sz w:val="24"/>
        </w:rPr>
        <w:t>源强计算：浓密池</w:t>
      </w:r>
      <w:r>
        <w:rPr>
          <w:rFonts w:hint="eastAsia"/>
          <w:sz w:val="24"/>
        </w:rPr>
        <w:t>体</w:t>
      </w:r>
      <w:r>
        <w:rPr>
          <w:sz w:val="24"/>
        </w:rPr>
        <w:t>积为，</w:t>
      </w:r>
      <w:r>
        <w:rPr>
          <w:rFonts w:hint="eastAsia"/>
          <w:sz w:val="24"/>
        </w:rPr>
        <w:t>3.14</w:t>
      </w:r>
      <w:r>
        <w:rPr>
          <w:rFonts w:hint="eastAsia"/>
          <w:sz w:val="24"/>
        </w:rPr>
        <w:t>×</w:t>
      </w:r>
      <w:r>
        <w:rPr>
          <w:rFonts w:hint="eastAsia"/>
          <w:sz w:val="24"/>
        </w:rPr>
        <w:t>10</w:t>
      </w:r>
      <w:r>
        <w:rPr>
          <w:rFonts w:hint="eastAsia"/>
          <w:sz w:val="24"/>
          <w:vertAlign w:val="superscript"/>
        </w:rPr>
        <w:t>2</w:t>
      </w:r>
      <w:r>
        <w:rPr>
          <w:rFonts w:hint="eastAsia"/>
          <w:sz w:val="24"/>
        </w:rPr>
        <w:t>×</w:t>
      </w:r>
      <w:r>
        <w:rPr>
          <w:rFonts w:hint="eastAsia"/>
          <w:sz w:val="24"/>
        </w:rPr>
        <w:t>4+</w:t>
      </w:r>
      <w:r>
        <w:rPr>
          <w:position w:val="-6"/>
          <w:sz w:val="24"/>
        </w:rPr>
        <w:object w:dxaOrig="1800" w:dyaOrig="312">
          <v:shape id="_x0000_i1040" type="#_x0000_t75" style="width:90pt;height:15.6pt" o:ole="">
            <v:imagedata r:id="rId110" o:title=""/>
          </v:shape>
          <o:OLEObject Type="Embed" ProgID="Equation.3" ShapeID="_x0000_i1040" DrawAspect="Content" ObjectID="_1772523737" r:id="rId111"/>
        </w:object>
      </w:r>
      <w:r>
        <w:rPr>
          <w:rFonts w:hint="eastAsia"/>
          <w:sz w:val="24"/>
        </w:rPr>
        <w:t>=1675m</w:t>
      </w:r>
      <w:r>
        <w:rPr>
          <w:rFonts w:hint="eastAsia"/>
          <w:sz w:val="24"/>
          <w:vertAlign w:val="superscript"/>
        </w:rPr>
        <w:t>3</w:t>
      </w:r>
      <w:r>
        <w:rPr>
          <w:sz w:val="24"/>
        </w:rPr>
        <w:t>，主要特征污染物为铁。设定浓密池</w:t>
      </w:r>
      <w:r>
        <w:rPr>
          <w:rFonts w:hint="eastAsia"/>
          <w:sz w:val="24"/>
        </w:rPr>
        <w:t>非正常状况下</w:t>
      </w:r>
      <w:r>
        <w:rPr>
          <w:sz w:val="24"/>
        </w:rPr>
        <w:t>，泄漏量为</w:t>
      </w:r>
      <w:r>
        <w:rPr>
          <w:rFonts w:hint="eastAsia"/>
          <w:sz w:val="24"/>
        </w:rPr>
        <w:t>总容积的</w:t>
      </w:r>
      <w:r>
        <w:rPr>
          <w:rFonts w:hint="eastAsia"/>
          <w:sz w:val="24"/>
        </w:rPr>
        <w:t>1</w:t>
      </w:r>
      <w:r>
        <w:rPr>
          <w:sz w:val="24"/>
        </w:rPr>
        <w:t>0</w:t>
      </w:r>
      <w:r>
        <w:rPr>
          <w:rFonts w:hint="eastAsia"/>
          <w:sz w:val="24"/>
        </w:rPr>
        <w:t>%</w:t>
      </w:r>
      <w:r>
        <w:rPr>
          <w:rFonts w:hint="eastAsia"/>
          <w:sz w:val="24"/>
        </w:rPr>
        <w:t>，</w:t>
      </w:r>
      <w:r>
        <w:rPr>
          <w:sz w:val="24"/>
        </w:rPr>
        <w:t>即</w:t>
      </w:r>
      <w:r>
        <w:rPr>
          <w:rFonts w:hint="eastAsia"/>
          <w:sz w:val="24"/>
        </w:rPr>
        <w:t>167.5</w:t>
      </w:r>
      <w:r>
        <w:rPr>
          <w:sz w:val="24"/>
        </w:rPr>
        <w:t>m</w:t>
      </w:r>
      <w:r>
        <w:rPr>
          <w:sz w:val="24"/>
          <w:vertAlign w:val="superscript"/>
        </w:rPr>
        <w:t>3</w:t>
      </w:r>
      <w:r>
        <w:rPr>
          <w:rFonts w:hint="eastAsia"/>
          <w:sz w:val="24"/>
        </w:rPr>
        <w:t>，</w:t>
      </w:r>
      <w:r>
        <w:rPr>
          <w:sz w:val="24"/>
        </w:rPr>
        <w:t>其中铁的浓度为</w:t>
      </w:r>
      <w:r>
        <w:rPr>
          <w:sz w:val="24"/>
        </w:rPr>
        <w:t>0.0</w:t>
      </w:r>
      <w:r>
        <w:rPr>
          <w:rFonts w:hint="eastAsia"/>
          <w:sz w:val="24"/>
        </w:rPr>
        <w:t>48</w:t>
      </w:r>
      <w:r>
        <w:rPr>
          <w:sz w:val="24"/>
        </w:rPr>
        <w:t>mg/L</w:t>
      </w:r>
      <w:r>
        <w:rPr>
          <w:sz w:val="24"/>
        </w:rPr>
        <w:t>。</w:t>
      </w:r>
    </w:p>
    <w:p w:rsidR="00DB7CC8" w:rsidRDefault="002B5250">
      <w:pPr>
        <w:pStyle w:val="29"/>
        <w:spacing w:after="0" w:line="360" w:lineRule="auto"/>
        <w:ind w:leftChars="0" w:left="0" w:firstLine="480"/>
        <w:rPr>
          <w:sz w:val="24"/>
        </w:rPr>
      </w:pPr>
      <w:r>
        <w:rPr>
          <w:rFonts w:hint="eastAsia"/>
          <w:sz w:val="24"/>
        </w:rPr>
        <w:t>则非正常状况铁的泄露量为：</w:t>
      </w:r>
      <w:r>
        <w:rPr>
          <w:rFonts w:hint="eastAsia"/>
          <w:sz w:val="24"/>
        </w:rPr>
        <w:t>167.5</w:t>
      </w:r>
      <w:r>
        <w:rPr>
          <w:sz w:val="24"/>
        </w:rPr>
        <w:t>m</w:t>
      </w:r>
      <w:r>
        <w:rPr>
          <w:sz w:val="24"/>
          <w:vertAlign w:val="superscript"/>
        </w:rPr>
        <w:t>3</w:t>
      </w:r>
      <w:r>
        <w:rPr>
          <w:rFonts w:hint="eastAsia"/>
          <w:sz w:val="24"/>
        </w:rPr>
        <w:t>×</w:t>
      </w:r>
      <w:r>
        <w:rPr>
          <w:rFonts w:hint="eastAsia"/>
          <w:sz w:val="24"/>
        </w:rPr>
        <w:t>1000</w:t>
      </w:r>
      <w:r>
        <w:rPr>
          <w:rFonts w:hint="eastAsia"/>
          <w:sz w:val="24"/>
        </w:rPr>
        <w:t>×</w:t>
      </w:r>
      <w:r>
        <w:rPr>
          <w:sz w:val="24"/>
        </w:rPr>
        <w:t>0.0</w:t>
      </w:r>
      <w:r>
        <w:rPr>
          <w:rFonts w:hint="eastAsia"/>
          <w:sz w:val="24"/>
        </w:rPr>
        <w:t>48</w:t>
      </w:r>
      <w:r>
        <w:rPr>
          <w:sz w:val="24"/>
        </w:rPr>
        <w:t>mg/L</w:t>
      </w:r>
      <w:r>
        <w:rPr>
          <w:rFonts w:hint="eastAsia"/>
          <w:sz w:val="24"/>
        </w:rPr>
        <w:t>=8040mg=0.008kg</w:t>
      </w:r>
      <w:r>
        <w:rPr>
          <w:rFonts w:hint="eastAsia"/>
          <w:sz w:val="24"/>
        </w:rPr>
        <w:t>。</w:t>
      </w:r>
    </w:p>
    <w:p w:rsidR="00DB7CC8" w:rsidRDefault="002B5250">
      <w:pPr>
        <w:pStyle w:val="29"/>
        <w:spacing w:after="0" w:line="360" w:lineRule="auto"/>
        <w:ind w:leftChars="0" w:left="0" w:firstLine="480"/>
        <w:rPr>
          <w:sz w:val="24"/>
        </w:rPr>
      </w:pPr>
      <w:r>
        <w:rPr>
          <w:rFonts w:hint="eastAsia"/>
          <w:sz w:val="24"/>
        </w:rPr>
        <w:t>本次模拟预测，铁的超标范围参照《地下水质量标准》（</w:t>
      </w:r>
      <w:r>
        <w:rPr>
          <w:rFonts w:hint="eastAsia"/>
          <w:sz w:val="24"/>
        </w:rPr>
        <w:t>GB/T14848-2017</w:t>
      </w:r>
      <w:r>
        <w:rPr>
          <w:rFonts w:hint="eastAsia"/>
          <w:sz w:val="24"/>
        </w:rPr>
        <w:t>）中Ⅲ类水的要求，铁的检出下限值参照常规仪器检测下限（详见表</w:t>
      </w:r>
      <w:r>
        <w:rPr>
          <w:rFonts w:hint="eastAsia"/>
          <w:sz w:val="24"/>
        </w:rPr>
        <w:t>5.2-29</w:t>
      </w:r>
      <w:r>
        <w:rPr>
          <w:rFonts w:hint="eastAsia"/>
          <w:sz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hint="eastAsia"/>
          <w:kern w:val="2"/>
          <w:sz w:val="21"/>
          <w:szCs w:val="21"/>
        </w:rPr>
        <w:t>表</w:t>
      </w:r>
      <w:r>
        <w:rPr>
          <w:rFonts w:eastAsia="黑体"/>
          <w:kern w:val="2"/>
          <w:sz w:val="21"/>
          <w:szCs w:val="21"/>
        </w:rPr>
        <w:t>5.2-2</w:t>
      </w:r>
      <w:r>
        <w:rPr>
          <w:rFonts w:eastAsia="黑体" w:hint="eastAsia"/>
          <w:kern w:val="2"/>
          <w:sz w:val="21"/>
          <w:szCs w:val="21"/>
        </w:rPr>
        <w:t xml:space="preserve">9   </w:t>
      </w:r>
      <w:r>
        <w:rPr>
          <w:rFonts w:eastAsia="黑体"/>
          <w:kern w:val="2"/>
          <w:sz w:val="21"/>
          <w:szCs w:val="21"/>
        </w:rPr>
        <w:t>评价因子及评价标准一览表</w:t>
      </w:r>
    </w:p>
    <w:tbl>
      <w:tblPr>
        <w:tblW w:w="8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183"/>
        <w:gridCol w:w="4179"/>
      </w:tblGrid>
      <w:tr w:rsidR="00DB7CC8">
        <w:trPr>
          <w:trHeight w:val="340"/>
          <w:jc w:val="center"/>
        </w:trPr>
        <w:tc>
          <w:tcPr>
            <w:tcW w:w="4183" w:type="dxa"/>
            <w:vAlign w:val="center"/>
          </w:tcPr>
          <w:p w:rsidR="00DB7CC8" w:rsidRDefault="002B5250">
            <w:pPr>
              <w:spacing w:line="240" w:lineRule="auto"/>
              <w:ind w:firstLine="420"/>
              <w:jc w:val="center"/>
              <w:rPr>
                <w:sz w:val="21"/>
                <w:szCs w:val="21"/>
              </w:rPr>
            </w:pPr>
            <w:r>
              <w:rPr>
                <w:sz w:val="21"/>
                <w:szCs w:val="21"/>
              </w:rPr>
              <w:t>评价因子</w:t>
            </w:r>
          </w:p>
        </w:tc>
        <w:tc>
          <w:tcPr>
            <w:tcW w:w="4179" w:type="dxa"/>
            <w:vAlign w:val="center"/>
          </w:tcPr>
          <w:p w:rsidR="00DB7CC8" w:rsidRDefault="002B5250">
            <w:pPr>
              <w:spacing w:line="240" w:lineRule="auto"/>
              <w:ind w:firstLine="420"/>
              <w:jc w:val="center"/>
              <w:rPr>
                <w:sz w:val="21"/>
                <w:szCs w:val="21"/>
              </w:rPr>
            </w:pPr>
            <w:r>
              <w:rPr>
                <w:sz w:val="21"/>
                <w:szCs w:val="21"/>
              </w:rPr>
              <w:t>铁</w:t>
            </w:r>
          </w:p>
        </w:tc>
      </w:tr>
      <w:tr w:rsidR="00DB7CC8">
        <w:trPr>
          <w:trHeight w:val="340"/>
          <w:jc w:val="center"/>
        </w:trPr>
        <w:tc>
          <w:tcPr>
            <w:tcW w:w="4183" w:type="dxa"/>
            <w:vAlign w:val="center"/>
          </w:tcPr>
          <w:p w:rsidR="00DB7CC8" w:rsidRDefault="002B5250">
            <w:pPr>
              <w:spacing w:line="240" w:lineRule="auto"/>
              <w:ind w:firstLine="420"/>
              <w:jc w:val="center"/>
              <w:rPr>
                <w:sz w:val="21"/>
                <w:szCs w:val="21"/>
              </w:rPr>
            </w:pPr>
            <w:r>
              <w:rPr>
                <w:sz w:val="21"/>
                <w:szCs w:val="21"/>
              </w:rPr>
              <w:t>质量标准（</w:t>
            </w:r>
            <w:r>
              <w:rPr>
                <w:sz w:val="21"/>
                <w:szCs w:val="21"/>
              </w:rPr>
              <w:t>mg/L</w:t>
            </w:r>
            <w:r>
              <w:rPr>
                <w:sz w:val="21"/>
                <w:szCs w:val="21"/>
              </w:rPr>
              <w:t>）</w:t>
            </w:r>
          </w:p>
        </w:tc>
        <w:tc>
          <w:tcPr>
            <w:tcW w:w="4179" w:type="dxa"/>
            <w:vAlign w:val="center"/>
          </w:tcPr>
          <w:p w:rsidR="00DB7CC8" w:rsidRDefault="002B5250">
            <w:pPr>
              <w:spacing w:line="240" w:lineRule="auto"/>
              <w:ind w:firstLine="420"/>
              <w:jc w:val="center"/>
              <w:rPr>
                <w:sz w:val="21"/>
                <w:szCs w:val="21"/>
              </w:rPr>
            </w:pPr>
            <w:r>
              <w:rPr>
                <w:sz w:val="21"/>
                <w:szCs w:val="21"/>
              </w:rPr>
              <w:t>0.3</w:t>
            </w:r>
          </w:p>
        </w:tc>
      </w:tr>
      <w:tr w:rsidR="00DB7CC8">
        <w:trPr>
          <w:trHeight w:val="340"/>
          <w:jc w:val="center"/>
        </w:trPr>
        <w:tc>
          <w:tcPr>
            <w:tcW w:w="4183" w:type="dxa"/>
            <w:vAlign w:val="center"/>
          </w:tcPr>
          <w:p w:rsidR="00DB7CC8" w:rsidRDefault="002B5250">
            <w:pPr>
              <w:spacing w:line="240" w:lineRule="auto"/>
              <w:ind w:firstLine="420"/>
              <w:jc w:val="center"/>
              <w:rPr>
                <w:sz w:val="21"/>
                <w:szCs w:val="21"/>
              </w:rPr>
            </w:pPr>
            <w:r>
              <w:rPr>
                <w:sz w:val="21"/>
                <w:szCs w:val="21"/>
              </w:rPr>
              <w:t>检出范围</w:t>
            </w:r>
            <w:r>
              <w:rPr>
                <w:sz w:val="21"/>
                <w:szCs w:val="21"/>
              </w:rPr>
              <w:t>(mg/L)</w:t>
            </w:r>
          </w:p>
        </w:tc>
        <w:tc>
          <w:tcPr>
            <w:tcW w:w="4179" w:type="dxa"/>
            <w:vAlign w:val="center"/>
          </w:tcPr>
          <w:p w:rsidR="00DB7CC8" w:rsidRDefault="002B5250">
            <w:pPr>
              <w:spacing w:line="240" w:lineRule="auto"/>
              <w:ind w:firstLine="420"/>
              <w:jc w:val="center"/>
              <w:rPr>
                <w:sz w:val="21"/>
                <w:szCs w:val="21"/>
              </w:rPr>
            </w:pPr>
            <w:r>
              <w:rPr>
                <w:sz w:val="21"/>
                <w:szCs w:val="21"/>
              </w:rPr>
              <w:t>0.01</w:t>
            </w:r>
          </w:p>
        </w:tc>
      </w:tr>
    </w:tbl>
    <w:p w:rsidR="00DB7CC8" w:rsidRDefault="002B5250">
      <w:pPr>
        <w:widowControl/>
        <w:ind w:firstLine="480"/>
        <w:rPr>
          <w:sz w:val="24"/>
        </w:rPr>
      </w:pPr>
      <w:r>
        <w:rPr>
          <w:sz w:val="24"/>
        </w:rPr>
        <w:t>根据设定的污染源位置和源强大小，对厂区非</w:t>
      </w:r>
      <w:r>
        <w:rPr>
          <w:bCs/>
          <w:sz w:val="24"/>
        </w:rPr>
        <w:t>正常状况</w:t>
      </w:r>
      <w:r>
        <w:rPr>
          <w:sz w:val="24"/>
        </w:rPr>
        <w:t>情景进行模拟预测，预测结果如下：</w:t>
      </w:r>
    </w:p>
    <w:p w:rsidR="00DB7CC8" w:rsidRDefault="002B5250">
      <w:pPr>
        <w:widowControl/>
        <w:ind w:firstLine="480"/>
        <w:rPr>
          <w:sz w:val="24"/>
        </w:rPr>
      </w:pPr>
      <w:r>
        <w:rPr>
          <w:rFonts w:hint="eastAsia"/>
          <w:sz w:val="24"/>
        </w:rPr>
        <w:t>④</w:t>
      </w:r>
      <w:r>
        <w:rPr>
          <w:sz w:val="24"/>
        </w:rPr>
        <w:t>铁渗漏地下水污染预测</w:t>
      </w:r>
    </w:p>
    <w:p w:rsidR="00DB7CC8" w:rsidRDefault="002B5250">
      <w:pPr>
        <w:widowControl/>
        <w:ind w:firstLine="480"/>
        <w:rPr>
          <w:sz w:val="24"/>
          <w:szCs w:val="24"/>
        </w:rPr>
      </w:pPr>
      <w:r>
        <w:rPr>
          <w:rFonts w:hint="eastAsia"/>
          <w:bCs/>
          <w:sz w:val="24"/>
          <w:szCs w:val="24"/>
        </w:rPr>
        <w:t>根据《环境影响评价技术导则</w:t>
      </w:r>
      <w:r>
        <w:rPr>
          <w:bCs/>
          <w:sz w:val="24"/>
          <w:szCs w:val="24"/>
        </w:rPr>
        <w:t xml:space="preserve"> </w:t>
      </w:r>
      <w:r>
        <w:rPr>
          <w:rFonts w:hint="eastAsia"/>
          <w:bCs/>
          <w:sz w:val="24"/>
          <w:szCs w:val="24"/>
        </w:rPr>
        <w:t>地下水》中</w:t>
      </w:r>
      <w:r>
        <w:rPr>
          <w:bCs/>
          <w:sz w:val="24"/>
          <w:szCs w:val="24"/>
        </w:rPr>
        <w:t>9.3</w:t>
      </w:r>
      <w:r>
        <w:rPr>
          <w:rFonts w:hint="eastAsia"/>
          <w:bCs/>
          <w:sz w:val="24"/>
          <w:szCs w:val="24"/>
        </w:rPr>
        <w:t>规定：地下水环境影响预测时段应选取可能产生地下水污染的关键时段，至少包括污染发生后</w:t>
      </w:r>
      <w:r>
        <w:rPr>
          <w:bCs/>
          <w:sz w:val="24"/>
          <w:szCs w:val="24"/>
        </w:rPr>
        <w:t>100d</w:t>
      </w:r>
      <w:r>
        <w:rPr>
          <w:rFonts w:hint="eastAsia"/>
          <w:bCs/>
          <w:sz w:val="24"/>
          <w:szCs w:val="24"/>
        </w:rPr>
        <w:t>、</w:t>
      </w:r>
      <w:r>
        <w:rPr>
          <w:bCs/>
          <w:sz w:val="24"/>
          <w:szCs w:val="24"/>
        </w:rPr>
        <w:t>1000d</w:t>
      </w:r>
      <w:r>
        <w:rPr>
          <w:rFonts w:hint="eastAsia"/>
          <w:bCs/>
          <w:sz w:val="24"/>
          <w:szCs w:val="24"/>
        </w:rPr>
        <w:t>，服务年限或能反映特征因子迁移规律的其他重要的时间节点。为此本次按照导则要求对污染物泄露后</w:t>
      </w:r>
      <w:r>
        <w:rPr>
          <w:rFonts w:hint="eastAsia"/>
          <w:bCs/>
          <w:sz w:val="24"/>
          <w:szCs w:val="24"/>
        </w:rPr>
        <w:t>3</w:t>
      </w:r>
      <w:r>
        <w:rPr>
          <w:bCs/>
          <w:sz w:val="24"/>
          <w:szCs w:val="24"/>
        </w:rPr>
        <w:t>000</w:t>
      </w:r>
      <w:r>
        <w:rPr>
          <w:rFonts w:hint="eastAsia"/>
          <w:bCs/>
          <w:sz w:val="24"/>
          <w:szCs w:val="24"/>
        </w:rPr>
        <w:t>天内（包括导则要求的</w:t>
      </w:r>
      <w:r>
        <w:rPr>
          <w:bCs/>
          <w:sz w:val="24"/>
          <w:szCs w:val="24"/>
        </w:rPr>
        <w:t>100d</w:t>
      </w:r>
      <w:r>
        <w:rPr>
          <w:rFonts w:hint="eastAsia"/>
          <w:bCs/>
          <w:sz w:val="24"/>
          <w:szCs w:val="24"/>
        </w:rPr>
        <w:t>、</w:t>
      </w:r>
      <w:r>
        <w:rPr>
          <w:bCs/>
          <w:sz w:val="24"/>
          <w:szCs w:val="24"/>
        </w:rPr>
        <w:t>1000d</w:t>
      </w:r>
      <w:r>
        <w:rPr>
          <w:rFonts w:hint="eastAsia"/>
          <w:bCs/>
          <w:sz w:val="24"/>
          <w:szCs w:val="24"/>
        </w:rPr>
        <w:t>，并反映了特征因子浓度从低到高再到低的整个变化过程）重点位置的污染物浓度变化规律进行了预测。</w:t>
      </w:r>
      <w:r>
        <w:rPr>
          <w:sz w:val="24"/>
          <w:szCs w:val="24"/>
        </w:rPr>
        <w:t>通过预测结果可知，</w:t>
      </w:r>
      <w:r>
        <w:rPr>
          <w:rFonts w:hint="eastAsia"/>
          <w:sz w:val="24"/>
          <w:szCs w:val="24"/>
        </w:rPr>
        <w:t>整个模拟期间</w:t>
      </w:r>
      <w:r>
        <w:rPr>
          <w:sz w:val="24"/>
          <w:szCs w:val="24"/>
        </w:rPr>
        <w:t>含水层中</w:t>
      </w:r>
      <w:r>
        <w:rPr>
          <w:rFonts w:hAnsi="宋体" w:hint="eastAsia"/>
          <w:sz w:val="24"/>
          <w:szCs w:val="24"/>
        </w:rPr>
        <w:t>铁</w:t>
      </w:r>
      <w:r>
        <w:rPr>
          <w:bCs/>
          <w:sz w:val="24"/>
          <w:szCs w:val="24"/>
        </w:rPr>
        <w:t>的最大浓度也仅为</w:t>
      </w:r>
      <w:r>
        <w:rPr>
          <w:bCs/>
          <w:sz w:val="24"/>
          <w:szCs w:val="24"/>
        </w:rPr>
        <w:t>0.00</w:t>
      </w:r>
      <w:r>
        <w:rPr>
          <w:rFonts w:hint="eastAsia"/>
          <w:bCs/>
          <w:sz w:val="24"/>
          <w:szCs w:val="24"/>
        </w:rPr>
        <w:t>1</w:t>
      </w:r>
      <w:r>
        <w:rPr>
          <w:bCs/>
          <w:sz w:val="24"/>
          <w:szCs w:val="24"/>
        </w:rPr>
        <w:t>mg/L,</w:t>
      </w:r>
      <w:r>
        <w:rPr>
          <w:bCs/>
          <w:sz w:val="24"/>
          <w:szCs w:val="24"/>
        </w:rPr>
        <w:t>小于</w:t>
      </w:r>
      <w:r>
        <w:rPr>
          <w:rFonts w:hAnsi="宋体" w:hint="eastAsia"/>
          <w:sz w:val="24"/>
          <w:szCs w:val="24"/>
        </w:rPr>
        <w:t>铁</w:t>
      </w:r>
      <w:r>
        <w:rPr>
          <w:bCs/>
          <w:sz w:val="24"/>
          <w:szCs w:val="24"/>
        </w:rPr>
        <w:t>的浓度检出限</w:t>
      </w:r>
      <w:r>
        <w:rPr>
          <w:sz w:val="24"/>
          <w:szCs w:val="24"/>
        </w:rPr>
        <w:t>0.0</w:t>
      </w:r>
      <w:r>
        <w:rPr>
          <w:rFonts w:hint="eastAsia"/>
          <w:sz w:val="24"/>
          <w:szCs w:val="24"/>
        </w:rPr>
        <w:t>1</w:t>
      </w:r>
      <w:r>
        <w:rPr>
          <w:bCs/>
          <w:sz w:val="24"/>
          <w:szCs w:val="24"/>
        </w:rPr>
        <w:t>mg/L</w:t>
      </w:r>
      <w:r>
        <w:rPr>
          <w:bCs/>
          <w:sz w:val="24"/>
          <w:szCs w:val="24"/>
        </w:rPr>
        <w:t>的标准，</w:t>
      </w:r>
      <w:r>
        <w:rPr>
          <w:rFonts w:hint="eastAsia"/>
          <w:bCs/>
          <w:sz w:val="24"/>
          <w:szCs w:val="24"/>
        </w:rPr>
        <w:t>因此本项目不会对厂区下游最近的小安乐庄村居民的生活用水水质产生影响，更不会对项目区附近其它居民点的生活用水水质产生影响。</w:t>
      </w:r>
    </w:p>
    <w:p w:rsidR="00DB7CC8" w:rsidRDefault="002B5250">
      <w:pPr>
        <w:widowControl/>
        <w:ind w:firstLine="480"/>
        <w:rPr>
          <w:sz w:val="24"/>
          <w:szCs w:val="24"/>
        </w:rPr>
      </w:pPr>
      <w:r>
        <w:rPr>
          <w:bCs/>
          <w:sz w:val="24"/>
          <w:szCs w:val="24"/>
        </w:rPr>
        <w:t>为了更好地观测泄露污染物</w:t>
      </w:r>
      <w:r>
        <w:rPr>
          <w:rFonts w:hint="eastAsia"/>
          <w:bCs/>
          <w:sz w:val="24"/>
          <w:szCs w:val="24"/>
        </w:rPr>
        <w:t>铁的</w:t>
      </w:r>
      <w:r>
        <w:rPr>
          <w:bCs/>
          <w:sz w:val="24"/>
          <w:szCs w:val="24"/>
        </w:rPr>
        <w:t>浓度变化，在</w:t>
      </w:r>
      <w:r>
        <w:rPr>
          <w:rFonts w:hint="eastAsia"/>
          <w:bCs/>
          <w:sz w:val="24"/>
          <w:szCs w:val="24"/>
        </w:rPr>
        <w:t>厂区</w:t>
      </w:r>
      <w:r>
        <w:rPr>
          <w:bCs/>
          <w:sz w:val="24"/>
          <w:szCs w:val="24"/>
        </w:rPr>
        <w:t>下游沿着地下水流向布置了</w:t>
      </w:r>
      <w:r>
        <w:rPr>
          <w:rFonts w:hint="eastAsia"/>
          <w:bCs/>
          <w:sz w:val="24"/>
          <w:szCs w:val="24"/>
        </w:rPr>
        <w:t>4</w:t>
      </w:r>
      <w:r>
        <w:rPr>
          <w:bCs/>
          <w:sz w:val="24"/>
          <w:szCs w:val="24"/>
        </w:rPr>
        <w:t>个观测点，分别为</w:t>
      </w:r>
      <w:r>
        <w:rPr>
          <w:rFonts w:hint="eastAsia"/>
          <w:bCs/>
          <w:sz w:val="24"/>
          <w:szCs w:val="24"/>
        </w:rPr>
        <w:t>厂区边界处和</w:t>
      </w:r>
      <w:r>
        <w:rPr>
          <w:bCs/>
          <w:sz w:val="24"/>
          <w:szCs w:val="24"/>
        </w:rPr>
        <w:t>距离</w:t>
      </w:r>
      <w:r>
        <w:rPr>
          <w:rFonts w:hint="eastAsia"/>
          <w:bCs/>
          <w:sz w:val="24"/>
          <w:szCs w:val="24"/>
        </w:rPr>
        <w:t>厂区</w:t>
      </w:r>
      <w:r>
        <w:rPr>
          <w:bCs/>
          <w:sz w:val="24"/>
          <w:szCs w:val="24"/>
        </w:rPr>
        <w:t>100</w:t>
      </w:r>
      <w:r>
        <w:rPr>
          <w:bCs/>
          <w:sz w:val="24"/>
          <w:szCs w:val="24"/>
        </w:rPr>
        <w:t>米</w:t>
      </w:r>
      <w:r>
        <w:rPr>
          <w:rFonts w:hint="eastAsia"/>
          <w:bCs/>
          <w:sz w:val="24"/>
          <w:szCs w:val="24"/>
        </w:rPr>
        <w:t>处</w:t>
      </w:r>
      <w:r>
        <w:rPr>
          <w:bCs/>
          <w:sz w:val="24"/>
          <w:szCs w:val="24"/>
        </w:rPr>
        <w:t>，</w:t>
      </w:r>
      <w:r>
        <w:rPr>
          <w:bCs/>
          <w:sz w:val="24"/>
          <w:szCs w:val="24"/>
        </w:rPr>
        <w:t>200</w:t>
      </w:r>
      <w:r>
        <w:rPr>
          <w:bCs/>
          <w:sz w:val="24"/>
          <w:szCs w:val="24"/>
        </w:rPr>
        <w:t>米</w:t>
      </w:r>
      <w:r>
        <w:rPr>
          <w:rFonts w:hint="eastAsia"/>
          <w:bCs/>
          <w:sz w:val="24"/>
          <w:szCs w:val="24"/>
        </w:rPr>
        <w:t>处和</w:t>
      </w:r>
      <w:r>
        <w:rPr>
          <w:rFonts w:hint="eastAsia"/>
          <w:bCs/>
          <w:sz w:val="24"/>
          <w:szCs w:val="24"/>
        </w:rPr>
        <w:t>300</w:t>
      </w:r>
      <w:r>
        <w:rPr>
          <w:rFonts w:hint="eastAsia"/>
          <w:bCs/>
          <w:sz w:val="24"/>
          <w:szCs w:val="24"/>
        </w:rPr>
        <w:t>米处</w:t>
      </w:r>
      <w:r>
        <w:rPr>
          <w:bCs/>
          <w:sz w:val="24"/>
          <w:szCs w:val="24"/>
        </w:rPr>
        <w:t>。其各个位置</w:t>
      </w:r>
      <w:r>
        <w:rPr>
          <w:rFonts w:hint="eastAsia"/>
          <w:bCs/>
          <w:sz w:val="24"/>
          <w:szCs w:val="24"/>
        </w:rPr>
        <w:t>铁</w:t>
      </w:r>
      <w:r>
        <w:rPr>
          <w:bCs/>
          <w:sz w:val="24"/>
          <w:szCs w:val="24"/>
        </w:rPr>
        <w:t>浓度变化曲线如图</w:t>
      </w:r>
      <w:r>
        <w:rPr>
          <w:bCs/>
          <w:sz w:val="24"/>
          <w:szCs w:val="24"/>
        </w:rPr>
        <w:t>5.2-2</w:t>
      </w:r>
      <w:r>
        <w:rPr>
          <w:rFonts w:hint="eastAsia"/>
          <w:bCs/>
          <w:sz w:val="24"/>
          <w:szCs w:val="24"/>
        </w:rPr>
        <w:t>8</w:t>
      </w:r>
      <w:r>
        <w:rPr>
          <w:bCs/>
          <w:sz w:val="24"/>
          <w:szCs w:val="24"/>
        </w:rPr>
        <w:t>。</w:t>
      </w:r>
      <w:r>
        <w:rPr>
          <w:rFonts w:hint="eastAsia"/>
          <w:sz w:val="24"/>
          <w:szCs w:val="24"/>
        </w:rPr>
        <w:t>由浓度曲线图可知，</w:t>
      </w:r>
      <w:r>
        <w:rPr>
          <w:rFonts w:hint="eastAsia"/>
          <w:bCs/>
          <w:sz w:val="24"/>
          <w:szCs w:val="24"/>
        </w:rPr>
        <w:t>厂区边界处和</w:t>
      </w:r>
      <w:r>
        <w:rPr>
          <w:bCs/>
          <w:sz w:val="24"/>
          <w:szCs w:val="24"/>
        </w:rPr>
        <w:t>距离</w:t>
      </w:r>
      <w:r>
        <w:rPr>
          <w:rFonts w:hint="eastAsia"/>
          <w:bCs/>
          <w:sz w:val="24"/>
          <w:szCs w:val="24"/>
        </w:rPr>
        <w:t>厂区</w:t>
      </w:r>
      <w:r>
        <w:rPr>
          <w:bCs/>
          <w:sz w:val="24"/>
          <w:szCs w:val="24"/>
        </w:rPr>
        <w:t>100</w:t>
      </w:r>
      <w:r>
        <w:rPr>
          <w:bCs/>
          <w:sz w:val="24"/>
          <w:szCs w:val="24"/>
        </w:rPr>
        <w:t>米</w:t>
      </w:r>
      <w:r>
        <w:rPr>
          <w:rFonts w:hint="eastAsia"/>
          <w:bCs/>
          <w:sz w:val="24"/>
          <w:szCs w:val="24"/>
        </w:rPr>
        <w:t>处</w:t>
      </w:r>
      <w:r>
        <w:rPr>
          <w:bCs/>
          <w:sz w:val="24"/>
          <w:szCs w:val="24"/>
        </w:rPr>
        <w:t>，</w:t>
      </w:r>
      <w:r>
        <w:rPr>
          <w:bCs/>
          <w:sz w:val="24"/>
          <w:szCs w:val="24"/>
        </w:rPr>
        <w:t>200</w:t>
      </w:r>
      <w:r>
        <w:rPr>
          <w:bCs/>
          <w:sz w:val="24"/>
          <w:szCs w:val="24"/>
        </w:rPr>
        <w:t>米</w:t>
      </w:r>
      <w:r>
        <w:rPr>
          <w:rFonts w:hint="eastAsia"/>
          <w:bCs/>
          <w:sz w:val="24"/>
          <w:szCs w:val="24"/>
        </w:rPr>
        <w:t>处和</w:t>
      </w:r>
      <w:r>
        <w:rPr>
          <w:rFonts w:hint="eastAsia"/>
          <w:bCs/>
          <w:sz w:val="24"/>
          <w:szCs w:val="24"/>
        </w:rPr>
        <w:t>300</w:t>
      </w:r>
      <w:r>
        <w:rPr>
          <w:rFonts w:hint="eastAsia"/>
          <w:bCs/>
          <w:sz w:val="24"/>
          <w:szCs w:val="24"/>
        </w:rPr>
        <w:t>米处的最大浓度分别为</w:t>
      </w:r>
      <w:r>
        <w:rPr>
          <w:rFonts w:hint="eastAsia"/>
          <w:bCs/>
          <w:sz w:val="24"/>
          <w:szCs w:val="24"/>
        </w:rPr>
        <w:t>0.0003</w:t>
      </w:r>
      <w:r>
        <w:rPr>
          <w:bCs/>
          <w:sz w:val="24"/>
          <w:szCs w:val="24"/>
        </w:rPr>
        <w:t>mg/L</w:t>
      </w:r>
      <w:r>
        <w:rPr>
          <w:rFonts w:hint="eastAsia"/>
          <w:bCs/>
          <w:sz w:val="24"/>
          <w:szCs w:val="24"/>
        </w:rPr>
        <w:t>，</w:t>
      </w:r>
      <w:r>
        <w:rPr>
          <w:rFonts w:hint="eastAsia"/>
          <w:bCs/>
          <w:sz w:val="24"/>
          <w:szCs w:val="24"/>
        </w:rPr>
        <w:t>0.0001</w:t>
      </w:r>
      <w:r>
        <w:rPr>
          <w:bCs/>
          <w:sz w:val="24"/>
          <w:szCs w:val="24"/>
        </w:rPr>
        <w:t>mg/L</w:t>
      </w:r>
      <w:r>
        <w:rPr>
          <w:rFonts w:hint="eastAsia"/>
          <w:bCs/>
          <w:sz w:val="24"/>
          <w:szCs w:val="24"/>
        </w:rPr>
        <w:t>，</w:t>
      </w:r>
      <w:r>
        <w:rPr>
          <w:rFonts w:hint="eastAsia"/>
          <w:bCs/>
          <w:sz w:val="24"/>
          <w:szCs w:val="24"/>
        </w:rPr>
        <w:t>4.53</w:t>
      </w:r>
      <w:r>
        <w:rPr>
          <w:rFonts w:ascii="Arial" w:hAnsi="Arial" w:cs="Arial"/>
          <w:bCs/>
          <w:sz w:val="24"/>
          <w:szCs w:val="24"/>
        </w:rPr>
        <w:t>×</w:t>
      </w:r>
      <w:r>
        <w:rPr>
          <w:rFonts w:hint="eastAsia"/>
          <w:bCs/>
          <w:sz w:val="24"/>
          <w:szCs w:val="24"/>
        </w:rPr>
        <w:t>10</w:t>
      </w:r>
      <w:r>
        <w:rPr>
          <w:rFonts w:hint="eastAsia"/>
          <w:bCs/>
          <w:sz w:val="24"/>
          <w:szCs w:val="24"/>
          <w:vertAlign w:val="superscript"/>
        </w:rPr>
        <w:t>-5</w:t>
      </w:r>
      <w:r>
        <w:rPr>
          <w:bCs/>
          <w:sz w:val="24"/>
          <w:szCs w:val="24"/>
        </w:rPr>
        <w:t>mg/L</w:t>
      </w:r>
      <w:r>
        <w:rPr>
          <w:rFonts w:hint="eastAsia"/>
          <w:bCs/>
          <w:sz w:val="24"/>
          <w:szCs w:val="24"/>
        </w:rPr>
        <w:t>和</w:t>
      </w:r>
      <w:r>
        <w:rPr>
          <w:rFonts w:hint="eastAsia"/>
          <w:bCs/>
          <w:sz w:val="24"/>
          <w:szCs w:val="24"/>
        </w:rPr>
        <w:t>2.77</w:t>
      </w:r>
      <w:r>
        <w:rPr>
          <w:rFonts w:ascii="Arial" w:hAnsi="Arial" w:cs="Arial"/>
          <w:bCs/>
          <w:sz w:val="24"/>
          <w:szCs w:val="24"/>
        </w:rPr>
        <w:t>×</w:t>
      </w:r>
      <w:r>
        <w:rPr>
          <w:rFonts w:hint="eastAsia"/>
          <w:bCs/>
          <w:sz w:val="24"/>
          <w:szCs w:val="24"/>
        </w:rPr>
        <w:t>10</w:t>
      </w:r>
      <w:r>
        <w:rPr>
          <w:rFonts w:hint="eastAsia"/>
          <w:bCs/>
          <w:sz w:val="24"/>
          <w:szCs w:val="24"/>
          <w:vertAlign w:val="superscript"/>
        </w:rPr>
        <w:t>-5</w:t>
      </w:r>
      <w:r>
        <w:rPr>
          <w:bCs/>
          <w:sz w:val="24"/>
          <w:szCs w:val="24"/>
        </w:rPr>
        <w:t>mg/L</w:t>
      </w:r>
      <w:r>
        <w:rPr>
          <w:rFonts w:hint="eastAsia"/>
          <w:bCs/>
          <w:sz w:val="24"/>
          <w:szCs w:val="24"/>
        </w:rPr>
        <w:t>远</w:t>
      </w:r>
      <w:r>
        <w:rPr>
          <w:bCs/>
          <w:sz w:val="24"/>
          <w:szCs w:val="24"/>
        </w:rPr>
        <w:t>小于</w:t>
      </w:r>
      <w:r>
        <w:rPr>
          <w:rFonts w:hAnsi="宋体" w:hint="eastAsia"/>
          <w:sz w:val="24"/>
          <w:szCs w:val="24"/>
        </w:rPr>
        <w:t>铁</w:t>
      </w:r>
      <w:r>
        <w:rPr>
          <w:bCs/>
          <w:sz w:val="24"/>
          <w:szCs w:val="24"/>
        </w:rPr>
        <w:t>的浓度检出限</w:t>
      </w:r>
      <w:r>
        <w:rPr>
          <w:sz w:val="24"/>
          <w:szCs w:val="24"/>
        </w:rPr>
        <w:t>0.0</w:t>
      </w:r>
      <w:r>
        <w:rPr>
          <w:rFonts w:hint="eastAsia"/>
          <w:sz w:val="24"/>
          <w:szCs w:val="24"/>
        </w:rPr>
        <w:t>1</w:t>
      </w:r>
      <w:r>
        <w:rPr>
          <w:bCs/>
          <w:sz w:val="24"/>
          <w:szCs w:val="24"/>
        </w:rPr>
        <w:t>mg/L</w:t>
      </w:r>
      <w:r>
        <w:rPr>
          <w:bCs/>
          <w:sz w:val="24"/>
          <w:szCs w:val="24"/>
        </w:rPr>
        <w:t>的标准</w:t>
      </w:r>
      <w:r>
        <w:rPr>
          <w:rFonts w:hint="eastAsia"/>
          <w:bCs/>
          <w:sz w:val="24"/>
          <w:szCs w:val="24"/>
        </w:rPr>
        <w:t>，因此本项目不会对厂区下游最近的小安乐庄村居民的生活用水水质产生影响，更不会对项目区附近其它居民点的生活用水水质产生影响。</w:t>
      </w:r>
    </w:p>
    <w:p w:rsidR="00DB7CC8" w:rsidRDefault="002B5250">
      <w:pPr>
        <w:widowControl/>
        <w:ind w:firstLineChars="0" w:firstLine="0"/>
        <w:jc w:val="center"/>
      </w:pPr>
      <w:r>
        <w:rPr>
          <w:noProof/>
        </w:rPr>
        <w:lastRenderedPageBreak/>
        <w:drawing>
          <wp:inline distT="0" distB="0" distL="0" distR="0">
            <wp:extent cx="5267325" cy="43243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5267325" cy="4324350"/>
                    </a:xfrm>
                    <a:prstGeom prst="rect">
                      <a:avLst/>
                    </a:prstGeom>
                    <a:noFill/>
                    <a:ln>
                      <a:noFill/>
                    </a:ln>
                  </pic:spPr>
                </pic:pic>
              </a:graphicData>
            </a:graphic>
          </wp:inline>
        </w:drawing>
      </w:r>
    </w:p>
    <w:p w:rsidR="00DB7CC8" w:rsidRDefault="002B5250">
      <w:pPr>
        <w:ind w:firstLineChars="0" w:firstLine="0"/>
        <w:jc w:val="center"/>
        <w:rPr>
          <w:rFonts w:eastAsia="黑体"/>
          <w:sz w:val="21"/>
          <w:szCs w:val="21"/>
          <w:lang w:val="zh-CN"/>
        </w:rPr>
      </w:pPr>
      <w:r>
        <w:rPr>
          <w:rFonts w:eastAsia="黑体"/>
          <w:sz w:val="21"/>
          <w:szCs w:val="21"/>
          <w:lang w:val="zh-CN"/>
        </w:rPr>
        <w:t>图</w:t>
      </w:r>
      <w:r>
        <w:rPr>
          <w:rFonts w:eastAsia="黑体"/>
          <w:sz w:val="21"/>
          <w:szCs w:val="21"/>
          <w:lang w:val="zh-CN"/>
        </w:rPr>
        <w:t>5.2-2</w:t>
      </w:r>
      <w:r>
        <w:rPr>
          <w:rFonts w:eastAsia="黑体" w:hint="eastAsia"/>
          <w:sz w:val="21"/>
          <w:szCs w:val="21"/>
        </w:rPr>
        <w:t>8</w:t>
      </w:r>
      <w:r>
        <w:rPr>
          <w:rFonts w:eastAsia="黑体"/>
          <w:sz w:val="21"/>
          <w:szCs w:val="21"/>
          <w:lang w:val="zh-CN"/>
        </w:rPr>
        <w:t xml:space="preserve">  </w:t>
      </w:r>
      <w:r>
        <w:rPr>
          <w:rFonts w:eastAsia="黑体"/>
          <w:sz w:val="21"/>
          <w:szCs w:val="21"/>
          <w:lang w:val="zh-CN"/>
        </w:rPr>
        <w:t>厂界处、距离厂界</w:t>
      </w:r>
      <w:r>
        <w:rPr>
          <w:rFonts w:eastAsia="黑体"/>
          <w:sz w:val="21"/>
          <w:szCs w:val="21"/>
          <w:lang w:val="zh-CN"/>
        </w:rPr>
        <w:t>100</w:t>
      </w:r>
      <w:r>
        <w:rPr>
          <w:rFonts w:eastAsia="黑体"/>
          <w:sz w:val="21"/>
          <w:szCs w:val="21"/>
          <w:lang w:val="zh-CN"/>
        </w:rPr>
        <w:t>，</w:t>
      </w:r>
      <w:r>
        <w:rPr>
          <w:rFonts w:eastAsia="黑体"/>
          <w:sz w:val="21"/>
          <w:szCs w:val="21"/>
          <w:lang w:val="zh-CN"/>
        </w:rPr>
        <w:t>200</w:t>
      </w:r>
      <w:r>
        <w:rPr>
          <w:rFonts w:eastAsia="黑体"/>
          <w:sz w:val="21"/>
          <w:szCs w:val="21"/>
          <w:lang w:val="zh-CN"/>
        </w:rPr>
        <w:t>和</w:t>
      </w:r>
      <w:r>
        <w:rPr>
          <w:rFonts w:eastAsia="黑体"/>
          <w:sz w:val="21"/>
          <w:szCs w:val="21"/>
          <w:lang w:val="zh-CN"/>
        </w:rPr>
        <w:t>300</w:t>
      </w:r>
      <w:r>
        <w:rPr>
          <w:rFonts w:eastAsia="黑体"/>
          <w:sz w:val="21"/>
          <w:szCs w:val="21"/>
          <w:lang w:val="zh-CN"/>
        </w:rPr>
        <w:t>米处铁浓度随时间变化过程线预测</w:t>
      </w:r>
    </w:p>
    <w:p w:rsidR="00DB7CC8" w:rsidRDefault="002B5250">
      <w:pPr>
        <w:pStyle w:val="p0"/>
        <w:spacing w:line="360" w:lineRule="auto"/>
        <w:ind w:firstLineChars="200" w:firstLine="480"/>
        <w:rPr>
          <w:bCs/>
          <w:kern w:val="2"/>
          <w:szCs w:val="24"/>
        </w:rPr>
      </w:pPr>
      <w:r>
        <w:rPr>
          <w:rFonts w:hint="eastAsia"/>
          <w:bCs/>
          <w:kern w:val="2"/>
          <w:szCs w:val="24"/>
        </w:rPr>
        <w:t>（</w:t>
      </w:r>
      <w:r>
        <w:rPr>
          <w:rFonts w:hint="eastAsia"/>
          <w:bCs/>
          <w:kern w:val="2"/>
          <w:szCs w:val="24"/>
        </w:rPr>
        <w:t>6</w:t>
      </w:r>
      <w:r>
        <w:rPr>
          <w:rFonts w:hint="eastAsia"/>
          <w:bCs/>
          <w:kern w:val="2"/>
          <w:szCs w:val="24"/>
        </w:rPr>
        <w:t>）厂区建设对区域地下水影响评价小结</w:t>
      </w:r>
    </w:p>
    <w:p w:rsidR="00DB7CC8" w:rsidRDefault="002B5250">
      <w:pPr>
        <w:pStyle w:val="p0"/>
        <w:spacing w:line="360" w:lineRule="auto"/>
        <w:ind w:firstLineChars="200" w:firstLine="480"/>
        <w:rPr>
          <w:bCs/>
          <w:kern w:val="2"/>
          <w:szCs w:val="24"/>
        </w:rPr>
      </w:pPr>
      <w:r>
        <w:rPr>
          <w:bCs/>
          <w:kern w:val="2"/>
          <w:szCs w:val="24"/>
        </w:rPr>
        <w:t>由预测结果可知，</w:t>
      </w:r>
      <w:r>
        <w:rPr>
          <w:rFonts w:hint="eastAsia"/>
          <w:bCs/>
          <w:kern w:val="2"/>
          <w:szCs w:val="24"/>
        </w:rPr>
        <w:t>由于泄露</w:t>
      </w:r>
      <w:r>
        <w:rPr>
          <w:bCs/>
          <w:kern w:val="2"/>
          <w:szCs w:val="24"/>
        </w:rPr>
        <w:t>污</w:t>
      </w:r>
      <w:r>
        <w:rPr>
          <w:rFonts w:hint="eastAsia"/>
          <w:bCs/>
          <w:kern w:val="2"/>
          <w:szCs w:val="24"/>
        </w:rPr>
        <w:t>水中铁浓度较低，而泄露后在地下水的稀释作用</w:t>
      </w:r>
      <w:r>
        <w:rPr>
          <w:bCs/>
          <w:kern w:val="2"/>
          <w:szCs w:val="24"/>
        </w:rPr>
        <w:t>下</w:t>
      </w:r>
      <w:r>
        <w:rPr>
          <w:rFonts w:hint="eastAsia"/>
          <w:bCs/>
          <w:kern w:val="2"/>
          <w:szCs w:val="24"/>
        </w:rPr>
        <w:t>浓度还将进一步降低，因此整个模拟期间</w:t>
      </w:r>
      <w:r>
        <w:rPr>
          <w:bCs/>
          <w:kern w:val="2"/>
          <w:szCs w:val="24"/>
        </w:rPr>
        <w:t>含水层中</w:t>
      </w:r>
      <w:r>
        <w:rPr>
          <w:rFonts w:hint="eastAsia"/>
          <w:bCs/>
          <w:kern w:val="2"/>
          <w:szCs w:val="24"/>
        </w:rPr>
        <w:t>铁</w:t>
      </w:r>
      <w:r>
        <w:rPr>
          <w:bCs/>
          <w:kern w:val="2"/>
          <w:szCs w:val="24"/>
        </w:rPr>
        <w:t>的最大浓度也仅为</w:t>
      </w:r>
      <w:r>
        <w:rPr>
          <w:bCs/>
          <w:kern w:val="2"/>
          <w:szCs w:val="24"/>
        </w:rPr>
        <w:t>0.00</w:t>
      </w:r>
      <w:r>
        <w:rPr>
          <w:rFonts w:hint="eastAsia"/>
          <w:bCs/>
          <w:kern w:val="2"/>
          <w:szCs w:val="24"/>
        </w:rPr>
        <w:t>1</w:t>
      </w:r>
      <w:r>
        <w:rPr>
          <w:bCs/>
          <w:kern w:val="2"/>
          <w:szCs w:val="24"/>
        </w:rPr>
        <w:t>mg/L</w:t>
      </w:r>
      <w:r>
        <w:rPr>
          <w:rFonts w:hint="eastAsia"/>
          <w:bCs/>
          <w:kern w:val="2"/>
          <w:szCs w:val="24"/>
        </w:rPr>
        <w:t>，远</w:t>
      </w:r>
      <w:r>
        <w:rPr>
          <w:bCs/>
          <w:kern w:val="2"/>
          <w:szCs w:val="24"/>
        </w:rPr>
        <w:t>小于</w:t>
      </w:r>
      <w:r>
        <w:rPr>
          <w:rFonts w:hint="eastAsia"/>
          <w:bCs/>
          <w:kern w:val="2"/>
          <w:szCs w:val="24"/>
        </w:rPr>
        <w:t>铁</w:t>
      </w:r>
      <w:r>
        <w:rPr>
          <w:bCs/>
          <w:kern w:val="2"/>
          <w:szCs w:val="24"/>
        </w:rPr>
        <w:t>的浓度检出限</w:t>
      </w:r>
      <w:r>
        <w:rPr>
          <w:bCs/>
          <w:kern w:val="2"/>
          <w:szCs w:val="24"/>
        </w:rPr>
        <w:t>0.0</w:t>
      </w:r>
      <w:r>
        <w:rPr>
          <w:rFonts w:hint="eastAsia"/>
          <w:bCs/>
          <w:kern w:val="2"/>
          <w:szCs w:val="24"/>
        </w:rPr>
        <w:t>1</w:t>
      </w:r>
      <w:r>
        <w:rPr>
          <w:bCs/>
          <w:kern w:val="2"/>
          <w:szCs w:val="24"/>
        </w:rPr>
        <w:t>mg/L</w:t>
      </w:r>
      <w:r>
        <w:rPr>
          <w:bCs/>
          <w:kern w:val="2"/>
          <w:szCs w:val="24"/>
        </w:rPr>
        <w:t>的标准，</w:t>
      </w:r>
      <w:r>
        <w:rPr>
          <w:rFonts w:hint="eastAsia"/>
          <w:bCs/>
          <w:kern w:val="2"/>
          <w:szCs w:val="24"/>
        </w:rPr>
        <w:t>因此浓密池污染物泄露不会对厂区下游最近的小安乐庄村居民的生活用水水质产生影响，更不会对项目区附近其它居民点的生活用水水质产生影响。</w:t>
      </w:r>
    </w:p>
    <w:p w:rsidR="00DB7CC8" w:rsidRDefault="002B5250">
      <w:pPr>
        <w:pStyle w:val="p0"/>
        <w:spacing w:line="360" w:lineRule="auto"/>
        <w:ind w:firstLineChars="200" w:firstLine="520"/>
        <w:rPr>
          <w:spacing w:val="10"/>
          <w:szCs w:val="24"/>
        </w:rPr>
      </w:pPr>
      <w:r>
        <w:rPr>
          <w:spacing w:val="10"/>
          <w:szCs w:val="24"/>
        </w:rPr>
        <w:t>考虑最不利状况（项目区</w:t>
      </w:r>
      <w:r>
        <w:rPr>
          <w:rFonts w:hint="eastAsia"/>
          <w:spacing w:val="10"/>
          <w:szCs w:val="24"/>
        </w:rPr>
        <w:t>浓缩</w:t>
      </w:r>
      <w:r>
        <w:rPr>
          <w:spacing w:val="10"/>
          <w:szCs w:val="24"/>
        </w:rPr>
        <w:t>池泄露情景下），可以看出</w:t>
      </w:r>
      <w:r>
        <w:rPr>
          <w:rFonts w:hint="eastAsia"/>
          <w:spacing w:val="10"/>
          <w:szCs w:val="24"/>
        </w:rPr>
        <w:t>地下水中铁浓度在地下水的稀释作用下随着时间浓度在逐渐地变小，在整个模拟期间未出现超标现象</w:t>
      </w:r>
      <w:r>
        <w:rPr>
          <w:spacing w:val="10"/>
          <w:szCs w:val="24"/>
        </w:rPr>
        <w:t>。</w:t>
      </w:r>
    </w:p>
    <w:p w:rsidR="00DB7CC8" w:rsidRDefault="002B5250">
      <w:pPr>
        <w:ind w:firstLine="480"/>
        <w:textAlignment w:val="auto"/>
        <w:rPr>
          <w:sz w:val="24"/>
          <w:szCs w:val="24"/>
        </w:rPr>
      </w:pPr>
      <w:r>
        <w:rPr>
          <w:sz w:val="24"/>
          <w:szCs w:val="24"/>
        </w:rPr>
        <w:t>从总的评价结果来看，在有效的防渗措施和完善的监测系统条件下，该项目</w:t>
      </w:r>
      <w:r>
        <w:rPr>
          <w:sz w:val="24"/>
          <w:szCs w:val="24"/>
        </w:rPr>
        <w:t>不会对地下水造成很大影响。发生事故立即启动应急预案，只要处理及时其对地下水的污染可控制在厂区范围之内。</w:t>
      </w:r>
    </w:p>
    <w:p w:rsidR="00DB7CC8" w:rsidRDefault="002B5250">
      <w:pPr>
        <w:pStyle w:val="3"/>
        <w:numPr>
          <w:ilvl w:val="2"/>
          <w:numId w:val="1"/>
        </w:numPr>
        <w:rPr>
          <w:szCs w:val="28"/>
        </w:rPr>
      </w:pPr>
      <w:r>
        <w:rPr>
          <w:szCs w:val="28"/>
        </w:rPr>
        <w:lastRenderedPageBreak/>
        <w:t>声环境影响预测与评价</w:t>
      </w:r>
      <w:bookmarkEnd w:id="392"/>
      <w:bookmarkEnd w:id="393"/>
    </w:p>
    <w:p w:rsidR="00DB7CC8" w:rsidRDefault="002B5250">
      <w:pPr>
        <w:pStyle w:val="4"/>
        <w:numPr>
          <w:ilvl w:val="3"/>
          <w:numId w:val="1"/>
        </w:numPr>
        <w:ind w:left="709" w:hanging="709"/>
        <w:rPr>
          <w:rFonts w:eastAsia="宋体"/>
          <w:b/>
        </w:rPr>
      </w:pPr>
      <w:bookmarkStart w:id="424" w:name="_Hlk18933194"/>
      <w:r>
        <w:rPr>
          <w:rFonts w:eastAsia="宋体"/>
          <w:b/>
        </w:rPr>
        <w:t>噪声源分析</w:t>
      </w:r>
    </w:p>
    <w:bookmarkEnd w:id="424"/>
    <w:p w:rsidR="00DB7CC8" w:rsidRDefault="002B5250">
      <w:pPr>
        <w:autoSpaceDE w:val="0"/>
        <w:autoSpaceDN w:val="0"/>
        <w:ind w:firstLine="480"/>
        <w:textAlignment w:val="auto"/>
        <w:rPr>
          <w:sz w:val="24"/>
          <w:szCs w:val="24"/>
        </w:rPr>
      </w:pPr>
      <w:r>
        <w:rPr>
          <w:sz w:val="24"/>
          <w:szCs w:val="24"/>
        </w:rPr>
        <w:t>本项目噪声主要为破碎机、振动筛、</w:t>
      </w:r>
      <w:r>
        <w:rPr>
          <w:rFonts w:hint="eastAsia"/>
          <w:sz w:val="24"/>
          <w:szCs w:val="24"/>
        </w:rPr>
        <w:t>磁滑轮、</w:t>
      </w:r>
      <w:r>
        <w:rPr>
          <w:kern w:val="2"/>
          <w:sz w:val="24"/>
          <w:szCs w:val="24"/>
        </w:rPr>
        <w:t>球磨机、磁选机、过滤机及各种水泵等</w:t>
      </w:r>
      <w:r>
        <w:rPr>
          <w:sz w:val="24"/>
          <w:szCs w:val="24"/>
        </w:rPr>
        <w:t>设备运行时产生的噪声</w:t>
      </w:r>
      <w:r>
        <w:rPr>
          <w:bCs/>
          <w:sz w:val="24"/>
          <w:szCs w:val="24"/>
        </w:rPr>
        <w:t>。根据类比调查，其源强为</w:t>
      </w:r>
      <w:r>
        <w:rPr>
          <w:bCs/>
          <w:sz w:val="24"/>
          <w:szCs w:val="24"/>
        </w:rPr>
        <w:t>70-100dB(A)</w:t>
      </w:r>
      <w:r>
        <w:rPr>
          <w:bCs/>
          <w:sz w:val="24"/>
          <w:szCs w:val="24"/>
        </w:rPr>
        <w:t>。</w:t>
      </w:r>
      <w:r>
        <w:rPr>
          <w:sz w:val="24"/>
          <w:szCs w:val="24"/>
        </w:rPr>
        <w:t>各噪声源经厂房隔声、基础减振等措施后噪声排放源强如表</w:t>
      </w:r>
      <w:r>
        <w:rPr>
          <w:sz w:val="24"/>
          <w:szCs w:val="24"/>
        </w:rPr>
        <w:t>5.2-</w:t>
      </w:r>
      <w:r>
        <w:rPr>
          <w:rFonts w:hint="eastAsia"/>
          <w:sz w:val="24"/>
          <w:szCs w:val="24"/>
        </w:rPr>
        <w:t>30</w:t>
      </w:r>
      <w:r>
        <w:rPr>
          <w:sz w:val="24"/>
          <w:szCs w:val="24"/>
        </w:rPr>
        <w:t>所示。</w:t>
      </w:r>
    </w:p>
    <w:p w:rsidR="00DB7CC8" w:rsidRDefault="002B5250">
      <w:pPr>
        <w:autoSpaceDE w:val="0"/>
        <w:autoSpaceDN w:val="0"/>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5.2-</w:t>
      </w:r>
      <w:r>
        <w:rPr>
          <w:rFonts w:eastAsia="黑体" w:hint="eastAsia"/>
          <w:kern w:val="2"/>
          <w:sz w:val="21"/>
          <w:szCs w:val="21"/>
        </w:rPr>
        <w:t xml:space="preserve">30  </w:t>
      </w:r>
      <w:r>
        <w:rPr>
          <w:rFonts w:eastAsia="黑体"/>
          <w:kern w:val="2"/>
          <w:sz w:val="21"/>
          <w:szCs w:val="21"/>
        </w:rPr>
        <w:t xml:space="preserve"> </w:t>
      </w:r>
      <w:r>
        <w:rPr>
          <w:rFonts w:eastAsia="黑体"/>
          <w:kern w:val="2"/>
          <w:sz w:val="21"/>
          <w:szCs w:val="21"/>
        </w:rPr>
        <w:t>项目噪声设备采取降噪措施后的噪声值一览表单位：</w:t>
      </w:r>
      <w:r>
        <w:rPr>
          <w:rFonts w:eastAsia="黑体"/>
          <w:kern w:val="2"/>
          <w:sz w:val="21"/>
          <w:szCs w:val="21"/>
        </w:rPr>
        <w:t>dB(A)</w:t>
      </w:r>
    </w:p>
    <w:tbl>
      <w:tblPr>
        <w:tblW w:w="8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
        <w:gridCol w:w="1354"/>
        <w:gridCol w:w="1418"/>
        <w:gridCol w:w="934"/>
        <w:gridCol w:w="777"/>
        <w:gridCol w:w="840"/>
        <w:gridCol w:w="1418"/>
        <w:gridCol w:w="912"/>
      </w:tblGrid>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sz w:val="21"/>
                <w:szCs w:val="21"/>
              </w:rPr>
              <w:t>序号</w:t>
            </w:r>
          </w:p>
        </w:tc>
        <w:tc>
          <w:tcPr>
            <w:tcW w:w="1354" w:type="dxa"/>
            <w:tcBorders>
              <w:tl2br w:val="nil"/>
              <w:tr2bl w:val="nil"/>
            </w:tcBorders>
            <w:vAlign w:val="center"/>
          </w:tcPr>
          <w:p w:rsidR="00DB7CC8" w:rsidRDefault="002B5250">
            <w:pPr>
              <w:pStyle w:val="affffe"/>
              <w:rPr>
                <w:rFonts w:eastAsia="宋体"/>
                <w:sz w:val="21"/>
                <w:szCs w:val="21"/>
              </w:rPr>
            </w:pPr>
            <w:r>
              <w:rPr>
                <w:rFonts w:eastAsia="宋体"/>
                <w:sz w:val="21"/>
                <w:szCs w:val="21"/>
              </w:rPr>
              <w:t>产噪车间</w:t>
            </w:r>
          </w:p>
        </w:tc>
        <w:tc>
          <w:tcPr>
            <w:tcW w:w="1418" w:type="dxa"/>
            <w:tcBorders>
              <w:tl2br w:val="nil"/>
              <w:tr2bl w:val="nil"/>
            </w:tcBorders>
            <w:vAlign w:val="center"/>
          </w:tcPr>
          <w:p w:rsidR="00DB7CC8" w:rsidRDefault="002B5250">
            <w:pPr>
              <w:pStyle w:val="affffe"/>
              <w:rPr>
                <w:rFonts w:eastAsia="宋体"/>
                <w:sz w:val="21"/>
                <w:szCs w:val="21"/>
              </w:rPr>
            </w:pPr>
            <w:r>
              <w:rPr>
                <w:rFonts w:eastAsia="宋体"/>
                <w:sz w:val="21"/>
                <w:szCs w:val="21"/>
              </w:rPr>
              <w:t>设备名称</w:t>
            </w:r>
          </w:p>
        </w:tc>
        <w:tc>
          <w:tcPr>
            <w:tcW w:w="934" w:type="dxa"/>
            <w:tcBorders>
              <w:tl2br w:val="nil"/>
              <w:tr2bl w:val="nil"/>
            </w:tcBorders>
            <w:vAlign w:val="center"/>
          </w:tcPr>
          <w:p w:rsidR="00DB7CC8" w:rsidRDefault="002B5250">
            <w:pPr>
              <w:pStyle w:val="affffe"/>
              <w:rPr>
                <w:rFonts w:eastAsia="宋体"/>
                <w:sz w:val="21"/>
                <w:szCs w:val="21"/>
              </w:rPr>
            </w:pPr>
            <w:r>
              <w:rPr>
                <w:rFonts w:eastAsia="宋体"/>
                <w:sz w:val="21"/>
                <w:szCs w:val="21"/>
              </w:rPr>
              <w:t>单台设备声级</w:t>
            </w:r>
            <w:r>
              <w:rPr>
                <w:rFonts w:eastAsia="宋体"/>
                <w:sz w:val="21"/>
                <w:szCs w:val="21"/>
              </w:rPr>
              <w:t>/dB(A)</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sz w:val="21"/>
                <w:szCs w:val="21"/>
              </w:rPr>
              <w:t>台</w:t>
            </w:r>
            <w:r>
              <w:rPr>
                <w:rFonts w:eastAsia="宋体"/>
                <w:sz w:val="21"/>
                <w:szCs w:val="21"/>
              </w:rPr>
              <w:t>(</w:t>
            </w:r>
            <w:r>
              <w:rPr>
                <w:rFonts w:eastAsia="宋体"/>
                <w:sz w:val="21"/>
                <w:szCs w:val="21"/>
              </w:rPr>
              <w:t>套</w:t>
            </w:r>
            <w:r>
              <w:rPr>
                <w:rFonts w:eastAsia="宋体"/>
                <w:sz w:val="21"/>
                <w:szCs w:val="21"/>
              </w:rPr>
              <w:t>)</w:t>
            </w:r>
            <w:r>
              <w:rPr>
                <w:rFonts w:eastAsia="宋体"/>
                <w:sz w:val="21"/>
                <w:szCs w:val="21"/>
              </w:rPr>
              <w:t>数</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运行</w:t>
            </w:r>
          </w:p>
          <w:p w:rsidR="00DB7CC8" w:rsidRDefault="002B5250">
            <w:pPr>
              <w:pStyle w:val="affffe"/>
              <w:rPr>
                <w:rFonts w:eastAsia="宋体"/>
                <w:sz w:val="21"/>
                <w:szCs w:val="21"/>
              </w:rPr>
            </w:pPr>
            <w:r>
              <w:rPr>
                <w:rFonts w:eastAsia="宋体"/>
                <w:sz w:val="21"/>
                <w:szCs w:val="21"/>
              </w:rPr>
              <w:t>特征</w:t>
            </w:r>
          </w:p>
        </w:tc>
        <w:tc>
          <w:tcPr>
            <w:tcW w:w="1418" w:type="dxa"/>
            <w:tcBorders>
              <w:tl2br w:val="nil"/>
              <w:tr2bl w:val="nil"/>
            </w:tcBorders>
            <w:vAlign w:val="center"/>
          </w:tcPr>
          <w:p w:rsidR="00DB7CC8" w:rsidRDefault="002B5250">
            <w:pPr>
              <w:pStyle w:val="affffe"/>
              <w:rPr>
                <w:rFonts w:eastAsia="宋体"/>
                <w:sz w:val="21"/>
                <w:szCs w:val="21"/>
              </w:rPr>
            </w:pPr>
            <w:r>
              <w:rPr>
                <w:rFonts w:eastAsia="宋体"/>
                <w:sz w:val="21"/>
                <w:szCs w:val="21"/>
              </w:rPr>
              <w:t>治理措施</w:t>
            </w:r>
          </w:p>
        </w:tc>
        <w:tc>
          <w:tcPr>
            <w:tcW w:w="912" w:type="dxa"/>
            <w:tcBorders>
              <w:tl2br w:val="nil"/>
              <w:tr2bl w:val="nil"/>
            </w:tcBorders>
            <w:vAlign w:val="center"/>
          </w:tcPr>
          <w:p w:rsidR="00DB7CC8" w:rsidRDefault="002B5250">
            <w:pPr>
              <w:pStyle w:val="affffe"/>
              <w:rPr>
                <w:rFonts w:eastAsia="宋体"/>
                <w:sz w:val="21"/>
                <w:szCs w:val="21"/>
              </w:rPr>
            </w:pPr>
            <w:r>
              <w:rPr>
                <w:rFonts w:eastAsia="宋体"/>
                <w:sz w:val="21"/>
                <w:szCs w:val="21"/>
              </w:rPr>
              <w:t>单台设备外排噪声</w:t>
            </w:r>
            <w:r>
              <w:rPr>
                <w:rFonts w:eastAsia="宋体"/>
                <w:sz w:val="21"/>
                <w:szCs w:val="21"/>
              </w:rPr>
              <w:t>/dB(A)</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w:t>
            </w:r>
          </w:p>
        </w:tc>
        <w:tc>
          <w:tcPr>
            <w:tcW w:w="1354"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3</w:t>
            </w:r>
            <w:r>
              <w:rPr>
                <w:sz w:val="21"/>
                <w:szCs w:val="21"/>
              </w:rPr>
              <w:t>#</w:t>
            </w:r>
            <w:r>
              <w:rPr>
                <w:sz w:val="21"/>
                <w:szCs w:val="21"/>
              </w:rPr>
              <w:t>破碎</w:t>
            </w:r>
            <w:r>
              <w:rPr>
                <w:rFonts w:hint="eastAsia"/>
                <w:sz w:val="21"/>
                <w:szCs w:val="21"/>
              </w:rPr>
              <w:t>粗选</w:t>
            </w:r>
            <w:r>
              <w:rPr>
                <w:sz w:val="21"/>
                <w:szCs w:val="21"/>
              </w:rPr>
              <w:t>车间</w:t>
            </w: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颚式破碎机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100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val="restart"/>
            <w:tcBorders>
              <w:tl2br w:val="nil"/>
              <w:tr2bl w:val="nil"/>
            </w:tcBorders>
            <w:vAlign w:val="center"/>
          </w:tcPr>
          <w:p w:rsidR="00DB7CC8" w:rsidRDefault="002B5250">
            <w:pPr>
              <w:pStyle w:val="affffe"/>
              <w:rPr>
                <w:rFonts w:eastAsia="宋体"/>
                <w:sz w:val="21"/>
                <w:szCs w:val="21"/>
              </w:rPr>
            </w:pPr>
            <w:r>
              <w:rPr>
                <w:rFonts w:eastAsia="宋体"/>
                <w:sz w:val="21"/>
                <w:szCs w:val="21"/>
              </w:rPr>
              <w:t>厂房隔声、减</w:t>
            </w:r>
            <w:r>
              <w:rPr>
                <w:rFonts w:eastAsia="宋体" w:hint="eastAsia"/>
                <w:sz w:val="21"/>
                <w:szCs w:val="21"/>
              </w:rPr>
              <w:t>振</w:t>
            </w:r>
            <w:r>
              <w:rPr>
                <w:rFonts w:eastAsia="宋体"/>
                <w:sz w:val="21"/>
                <w:szCs w:val="21"/>
              </w:rPr>
              <w:t>基础、吸声材料，</w:t>
            </w:r>
            <w:r>
              <w:rPr>
                <w:rFonts w:eastAsia="宋体"/>
                <w:snapToGrid w:val="0"/>
                <w:sz w:val="21"/>
                <w:szCs w:val="21"/>
                <w:lang w:val="zh-CN"/>
              </w:rPr>
              <w:t>降噪</w:t>
            </w:r>
            <w:r>
              <w:rPr>
                <w:rFonts w:eastAsia="宋体" w:hint="eastAsia"/>
                <w:snapToGrid w:val="0"/>
                <w:sz w:val="21"/>
                <w:szCs w:val="21"/>
              </w:rPr>
              <w:t>20</w:t>
            </w:r>
            <w:r>
              <w:rPr>
                <w:rFonts w:eastAsia="宋体"/>
                <w:snapToGrid w:val="0"/>
                <w:sz w:val="21"/>
                <w:szCs w:val="21"/>
                <w:lang w:val="zh-CN"/>
              </w:rPr>
              <w:t xml:space="preserve"> dB(A)</w:t>
            </w: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8</w:t>
            </w:r>
            <w:r>
              <w:rPr>
                <w:rFonts w:eastAsia="宋体" w:hint="eastAsia"/>
                <w:sz w:val="21"/>
                <w:szCs w:val="21"/>
              </w:rPr>
              <w:t>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sz w:val="21"/>
                <w:szCs w:val="21"/>
              </w:rPr>
              <w:t>2</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圆锥破碎机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90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70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sz w:val="21"/>
                <w:szCs w:val="21"/>
              </w:rPr>
              <w:t>3</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锤式破碎机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90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70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sz w:val="21"/>
                <w:szCs w:val="21"/>
              </w:rPr>
              <w:t>4</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给料机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2</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sz w:val="21"/>
                <w:szCs w:val="21"/>
              </w:rPr>
              <w:t>5</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振动筛</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85</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65</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皮带输送机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70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7</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50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7</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球磨机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90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70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8</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磁选机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75</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5</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55</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9</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高频筛</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85</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8</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65</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10</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过滤机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11</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sz w:val="21"/>
                <w:szCs w:val="21"/>
              </w:rPr>
              <w:t>打捞机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12</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eastAsiaTheme="minorEastAsia"/>
                <w:sz w:val="21"/>
                <w:szCs w:val="21"/>
              </w:rPr>
            </w:pPr>
            <w:r>
              <w:rPr>
                <w:rFonts w:eastAsiaTheme="minorEastAsia" w:hint="eastAsia"/>
                <w:sz w:val="21"/>
                <w:szCs w:val="21"/>
              </w:rPr>
              <w:t>泵类</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13</w:t>
            </w:r>
          </w:p>
        </w:tc>
        <w:tc>
          <w:tcPr>
            <w:tcW w:w="1354"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精选车间</w:t>
            </w:r>
          </w:p>
        </w:tc>
        <w:tc>
          <w:tcPr>
            <w:tcW w:w="1418"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球磨机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90</w:t>
            </w:r>
          </w:p>
        </w:tc>
        <w:tc>
          <w:tcPr>
            <w:tcW w:w="777" w:type="dxa"/>
            <w:tcBorders>
              <w:tl2br w:val="nil"/>
              <w:tr2bl w:val="nil"/>
            </w:tcBorders>
            <w:vAlign w:val="bottom"/>
          </w:tcPr>
          <w:p w:rsidR="00DB7CC8" w:rsidRDefault="002B5250">
            <w:pPr>
              <w:pStyle w:val="affffe"/>
              <w:rPr>
                <w:rFonts w:eastAsia="宋体"/>
                <w:sz w:val="21"/>
                <w:szCs w:val="21"/>
              </w:rPr>
            </w:pPr>
            <w:r>
              <w:rPr>
                <w:rFonts w:eastAsia="宋体" w:hint="eastAsia"/>
                <w:sz w:val="21"/>
                <w:szCs w:val="21"/>
              </w:rPr>
              <w:t>2</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70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14</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高频筛</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85</w:t>
            </w:r>
          </w:p>
        </w:tc>
        <w:tc>
          <w:tcPr>
            <w:tcW w:w="777" w:type="dxa"/>
            <w:tcBorders>
              <w:tl2br w:val="nil"/>
              <w:tr2bl w:val="nil"/>
            </w:tcBorders>
            <w:vAlign w:val="bottom"/>
          </w:tcPr>
          <w:p w:rsidR="00DB7CC8" w:rsidRDefault="002B5250">
            <w:pPr>
              <w:pStyle w:val="affffe"/>
              <w:rPr>
                <w:rFonts w:eastAsia="宋体"/>
                <w:sz w:val="21"/>
                <w:szCs w:val="21"/>
              </w:rPr>
            </w:pPr>
            <w:r>
              <w:rPr>
                <w:rFonts w:eastAsia="宋体" w:hint="eastAsia"/>
                <w:sz w:val="21"/>
                <w:szCs w:val="21"/>
              </w:rPr>
              <w:t>24</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65</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15</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磁选机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75</w:t>
            </w:r>
          </w:p>
        </w:tc>
        <w:tc>
          <w:tcPr>
            <w:tcW w:w="777" w:type="dxa"/>
            <w:tcBorders>
              <w:tl2br w:val="nil"/>
              <w:tr2bl w:val="nil"/>
            </w:tcBorders>
            <w:vAlign w:val="bottom"/>
          </w:tcPr>
          <w:p w:rsidR="00DB7CC8" w:rsidRDefault="002B5250">
            <w:pPr>
              <w:pStyle w:val="affffe"/>
              <w:rPr>
                <w:rFonts w:eastAsia="宋体"/>
                <w:sz w:val="21"/>
                <w:szCs w:val="21"/>
              </w:rPr>
            </w:pPr>
            <w:r>
              <w:rPr>
                <w:rFonts w:eastAsia="宋体" w:hint="eastAsia"/>
                <w:sz w:val="21"/>
                <w:szCs w:val="21"/>
              </w:rPr>
              <w:t>10</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55</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16</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磁团聚</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75</w:t>
            </w:r>
          </w:p>
        </w:tc>
        <w:tc>
          <w:tcPr>
            <w:tcW w:w="777" w:type="dxa"/>
            <w:tcBorders>
              <w:tl2br w:val="nil"/>
              <w:tr2bl w:val="nil"/>
            </w:tcBorders>
            <w:vAlign w:val="bottom"/>
          </w:tcPr>
          <w:p w:rsidR="00DB7CC8" w:rsidRDefault="002B5250">
            <w:pPr>
              <w:pStyle w:val="affffe"/>
              <w:rPr>
                <w:rFonts w:eastAsia="宋体"/>
                <w:sz w:val="21"/>
                <w:szCs w:val="21"/>
              </w:rPr>
            </w:pPr>
            <w:r>
              <w:rPr>
                <w:rFonts w:eastAsia="宋体" w:hint="eastAsia"/>
                <w:sz w:val="21"/>
                <w:szCs w:val="21"/>
              </w:rPr>
              <w:t>6</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55</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17</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过滤机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80</w:t>
            </w:r>
          </w:p>
        </w:tc>
        <w:tc>
          <w:tcPr>
            <w:tcW w:w="777" w:type="dxa"/>
            <w:tcBorders>
              <w:tl2br w:val="nil"/>
              <w:tr2bl w:val="nil"/>
            </w:tcBorders>
            <w:vAlign w:val="bottom"/>
          </w:tcPr>
          <w:p w:rsidR="00DB7CC8" w:rsidRDefault="002B5250">
            <w:pPr>
              <w:pStyle w:val="affffe"/>
              <w:rPr>
                <w:rFonts w:eastAsia="宋体"/>
                <w:sz w:val="21"/>
                <w:szCs w:val="21"/>
              </w:rPr>
            </w:pPr>
            <w:r>
              <w:rPr>
                <w:rFonts w:eastAsia="宋体" w:hint="eastAsia"/>
                <w:sz w:val="21"/>
                <w:szCs w:val="21"/>
              </w:rPr>
              <w:t>2</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18</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打捞机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80</w:t>
            </w:r>
          </w:p>
        </w:tc>
        <w:tc>
          <w:tcPr>
            <w:tcW w:w="777" w:type="dxa"/>
            <w:tcBorders>
              <w:tl2br w:val="nil"/>
              <w:tr2bl w:val="nil"/>
            </w:tcBorders>
            <w:vAlign w:val="bottom"/>
          </w:tcPr>
          <w:p w:rsidR="00DB7CC8" w:rsidRDefault="002B5250">
            <w:pPr>
              <w:pStyle w:val="affffe"/>
              <w:rPr>
                <w:rFonts w:eastAsia="宋体"/>
                <w:sz w:val="21"/>
                <w:szCs w:val="21"/>
              </w:rPr>
            </w:pPr>
            <w:r>
              <w:rPr>
                <w:rFonts w:eastAsia="宋体" w:hint="eastAsia"/>
                <w:sz w:val="21"/>
                <w:szCs w:val="21"/>
              </w:rPr>
              <w:t>2</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19</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rFonts w:ascii="宋体" w:hAnsi="宋体" w:cs="宋体"/>
                <w:sz w:val="21"/>
                <w:szCs w:val="21"/>
              </w:rPr>
            </w:pPr>
            <w:r>
              <w:rPr>
                <w:rFonts w:ascii="宋体" w:hAnsi="宋体" w:cs="宋体" w:hint="eastAsia"/>
                <w:sz w:val="21"/>
                <w:szCs w:val="21"/>
              </w:rPr>
              <w:t>皮带输送机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70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4</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50</w:t>
            </w:r>
          </w:p>
        </w:tc>
      </w:tr>
      <w:tr w:rsidR="00DB7CC8">
        <w:trPr>
          <w:trHeight w:val="283"/>
        </w:trPr>
        <w:tc>
          <w:tcPr>
            <w:tcW w:w="59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20</w:t>
            </w: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给料机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80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2</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60</w:t>
            </w:r>
          </w:p>
        </w:tc>
      </w:tr>
      <w:tr w:rsidR="00DB7CC8">
        <w:trPr>
          <w:trHeight w:val="412"/>
        </w:trPr>
        <w:tc>
          <w:tcPr>
            <w:tcW w:w="597" w:type="dxa"/>
            <w:vMerge w:val="restart"/>
            <w:tcBorders>
              <w:tl2br w:val="nil"/>
              <w:tr2bl w:val="nil"/>
            </w:tcBorders>
            <w:vAlign w:val="center"/>
          </w:tcPr>
          <w:p w:rsidR="00DB7CC8" w:rsidRDefault="002B5250">
            <w:pPr>
              <w:pStyle w:val="affffe"/>
              <w:rPr>
                <w:rFonts w:eastAsia="宋体"/>
                <w:sz w:val="21"/>
                <w:szCs w:val="21"/>
              </w:rPr>
            </w:pPr>
            <w:r>
              <w:rPr>
                <w:rFonts w:eastAsia="宋体"/>
                <w:sz w:val="21"/>
                <w:szCs w:val="21"/>
              </w:rPr>
              <w:t>2</w:t>
            </w:r>
            <w:r>
              <w:rPr>
                <w:rFonts w:eastAsia="宋体" w:hint="eastAsia"/>
                <w:sz w:val="21"/>
                <w:szCs w:val="21"/>
              </w:rPr>
              <w:t>1</w:t>
            </w:r>
          </w:p>
        </w:tc>
        <w:tc>
          <w:tcPr>
            <w:tcW w:w="1354"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除尘器</w:t>
            </w: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风机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90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连续</w:t>
            </w:r>
          </w:p>
        </w:tc>
        <w:tc>
          <w:tcPr>
            <w:tcW w:w="1418" w:type="dxa"/>
            <w:vMerge w:val="restart"/>
            <w:tcBorders>
              <w:tl2br w:val="nil"/>
              <w:tr2bl w:val="nil"/>
            </w:tcBorders>
            <w:vAlign w:val="center"/>
          </w:tcPr>
          <w:p w:rsidR="00DB7CC8" w:rsidRDefault="002B5250">
            <w:pPr>
              <w:pStyle w:val="affffe"/>
              <w:rPr>
                <w:rFonts w:eastAsia="宋体"/>
                <w:sz w:val="21"/>
                <w:szCs w:val="21"/>
              </w:rPr>
            </w:pPr>
            <w:r>
              <w:rPr>
                <w:rFonts w:eastAsia="宋体"/>
                <w:sz w:val="21"/>
                <w:szCs w:val="21"/>
              </w:rPr>
              <w:t>安装消声器，独立设备间、</w:t>
            </w:r>
            <w:r>
              <w:rPr>
                <w:rFonts w:eastAsia="宋体"/>
                <w:snapToGrid w:val="0"/>
                <w:sz w:val="21"/>
                <w:szCs w:val="21"/>
                <w:lang w:val="zh-CN"/>
              </w:rPr>
              <w:t>降噪</w:t>
            </w:r>
            <w:r>
              <w:rPr>
                <w:rFonts w:eastAsia="宋体" w:hint="eastAsia"/>
                <w:snapToGrid w:val="0"/>
                <w:sz w:val="21"/>
                <w:szCs w:val="21"/>
              </w:rPr>
              <w:t>20</w:t>
            </w:r>
            <w:r>
              <w:rPr>
                <w:rFonts w:eastAsia="宋体"/>
                <w:snapToGrid w:val="0"/>
                <w:sz w:val="21"/>
                <w:szCs w:val="21"/>
                <w:lang w:val="zh-CN"/>
              </w:rPr>
              <w:t xml:space="preserve"> dB(A)</w:t>
            </w: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70</w:t>
            </w:r>
          </w:p>
        </w:tc>
      </w:tr>
      <w:tr w:rsidR="00DB7CC8">
        <w:trPr>
          <w:trHeight w:val="223"/>
        </w:trPr>
        <w:tc>
          <w:tcPr>
            <w:tcW w:w="597" w:type="dxa"/>
            <w:vMerge/>
            <w:tcBorders>
              <w:tl2br w:val="nil"/>
              <w:tr2bl w:val="nil"/>
            </w:tcBorders>
            <w:vAlign w:val="center"/>
          </w:tcPr>
          <w:p w:rsidR="00DB7CC8" w:rsidRDefault="00DB7CC8">
            <w:pPr>
              <w:pStyle w:val="affffe"/>
              <w:rPr>
                <w:rFonts w:eastAsia="宋体"/>
                <w:sz w:val="21"/>
                <w:szCs w:val="21"/>
              </w:rPr>
            </w:pPr>
          </w:p>
        </w:tc>
        <w:tc>
          <w:tcPr>
            <w:tcW w:w="1354"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418"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空压机</w:t>
            </w:r>
          </w:p>
        </w:tc>
        <w:tc>
          <w:tcPr>
            <w:tcW w:w="9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100</w:t>
            </w:r>
          </w:p>
        </w:tc>
        <w:tc>
          <w:tcPr>
            <w:tcW w:w="777"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1</w:t>
            </w:r>
          </w:p>
        </w:tc>
        <w:tc>
          <w:tcPr>
            <w:tcW w:w="840" w:type="dxa"/>
            <w:tcBorders>
              <w:tl2br w:val="nil"/>
              <w:tr2bl w:val="nil"/>
            </w:tcBorders>
            <w:vAlign w:val="center"/>
          </w:tcPr>
          <w:p w:rsidR="00DB7CC8" w:rsidRDefault="002B5250">
            <w:pPr>
              <w:pStyle w:val="affffe"/>
              <w:rPr>
                <w:rFonts w:eastAsia="宋体"/>
                <w:sz w:val="21"/>
                <w:szCs w:val="21"/>
              </w:rPr>
            </w:pPr>
            <w:r>
              <w:rPr>
                <w:rFonts w:eastAsia="宋体"/>
                <w:sz w:val="21"/>
                <w:szCs w:val="21"/>
              </w:rPr>
              <w:t>间断</w:t>
            </w:r>
          </w:p>
        </w:tc>
        <w:tc>
          <w:tcPr>
            <w:tcW w:w="1418" w:type="dxa"/>
            <w:vMerge/>
            <w:tcBorders>
              <w:tl2br w:val="nil"/>
              <w:tr2bl w:val="nil"/>
            </w:tcBorders>
            <w:vAlign w:val="center"/>
          </w:tcPr>
          <w:p w:rsidR="00DB7CC8" w:rsidRDefault="00DB7CC8">
            <w:pPr>
              <w:pStyle w:val="affffe"/>
              <w:rPr>
                <w:rFonts w:eastAsia="宋体"/>
                <w:sz w:val="21"/>
                <w:szCs w:val="21"/>
              </w:rPr>
            </w:pPr>
          </w:p>
        </w:tc>
        <w:tc>
          <w:tcPr>
            <w:tcW w:w="912" w:type="dxa"/>
            <w:tcBorders>
              <w:tl2br w:val="nil"/>
              <w:tr2bl w:val="nil"/>
            </w:tcBorders>
            <w:vAlign w:val="center"/>
          </w:tcPr>
          <w:p w:rsidR="00DB7CC8" w:rsidRDefault="002B5250">
            <w:pPr>
              <w:pStyle w:val="affffe"/>
              <w:rPr>
                <w:rFonts w:eastAsia="宋体"/>
                <w:sz w:val="21"/>
                <w:szCs w:val="21"/>
              </w:rPr>
            </w:pPr>
            <w:r>
              <w:rPr>
                <w:rFonts w:eastAsia="宋体" w:hint="eastAsia"/>
                <w:sz w:val="21"/>
                <w:szCs w:val="21"/>
              </w:rPr>
              <w:t>80</w:t>
            </w:r>
          </w:p>
        </w:tc>
      </w:tr>
    </w:tbl>
    <w:p w:rsidR="00DB7CC8" w:rsidRDefault="00DB7CC8">
      <w:pPr>
        <w:autoSpaceDE w:val="0"/>
        <w:autoSpaceDN w:val="0"/>
        <w:ind w:firstLineChars="0" w:firstLine="0"/>
        <w:jc w:val="both"/>
        <w:textAlignment w:val="auto"/>
        <w:rPr>
          <w:rFonts w:eastAsia="黑体"/>
          <w:kern w:val="2"/>
          <w:sz w:val="21"/>
          <w:szCs w:val="21"/>
        </w:rPr>
      </w:pPr>
    </w:p>
    <w:p w:rsidR="00DB7CC8" w:rsidRDefault="002B5250">
      <w:pPr>
        <w:pStyle w:val="4"/>
        <w:numPr>
          <w:ilvl w:val="3"/>
          <w:numId w:val="1"/>
        </w:numPr>
        <w:ind w:left="709" w:hanging="709"/>
        <w:rPr>
          <w:rFonts w:eastAsia="宋体"/>
          <w:b/>
        </w:rPr>
      </w:pPr>
      <w:r>
        <w:rPr>
          <w:rFonts w:eastAsia="宋体"/>
          <w:b/>
        </w:rPr>
        <w:t>噪声预测模式</w:t>
      </w:r>
    </w:p>
    <w:p w:rsidR="00DB7CC8" w:rsidRDefault="002B5250">
      <w:pPr>
        <w:ind w:firstLine="480"/>
        <w:rPr>
          <w:rFonts w:ascii="宋体" w:hAnsi="宋体"/>
          <w:sz w:val="24"/>
          <w:szCs w:val="24"/>
        </w:rPr>
      </w:pPr>
      <w:r>
        <w:rPr>
          <w:rFonts w:ascii="宋体" w:hAnsi="宋体" w:hint="eastAsia"/>
          <w:sz w:val="24"/>
          <w:szCs w:val="24"/>
        </w:rPr>
        <w:t>根据本工程对噪声源所采取的隔声、消声等措施及效果，按照《环境影响评价技术导则声环境》（</w:t>
      </w:r>
      <w:r>
        <w:rPr>
          <w:rFonts w:ascii="TimesNewRomanPSMT" w:eastAsia="TimesNewRomanPSMT" w:hAnsi="TimesNewRomanPSMT" w:hint="eastAsia"/>
          <w:sz w:val="24"/>
          <w:szCs w:val="24"/>
        </w:rPr>
        <w:t>HJ2.4-2021</w:t>
      </w:r>
      <w:r>
        <w:rPr>
          <w:rFonts w:ascii="宋体" w:hAnsi="宋体" w:hint="eastAsia"/>
          <w:sz w:val="24"/>
          <w:szCs w:val="24"/>
        </w:rPr>
        <w:t>）中的模式预测噪声源对各预测点的影响值并进行影响评价。</w:t>
      </w:r>
    </w:p>
    <w:p w:rsidR="00DB7CC8" w:rsidRDefault="002B5250">
      <w:pPr>
        <w:ind w:firstLine="480"/>
        <w:rPr>
          <w:rFonts w:ascii="宋体" w:hAnsi="宋体"/>
          <w:sz w:val="24"/>
          <w:szCs w:val="24"/>
        </w:rPr>
      </w:pPr>
      <w:r>
        <w:rPr>
          <w:rFonts w:ascii="宋体" w:hAnsi="宋体" w:hint="eastAsia"/>
          <w:sz w:val="24"/>
          <w:szCs w:val="24"/>
        </w:rPr>
        <w:t>（</w:t>
      </w:r>
      <w:r>
        <w:rPr>
          <w:rFonts w:ascii="TimesNewRomanPSMT" w:eastAsia="TimesNewRomanPSMT" w:hAnsi="TimesNewRomanPSMT" w:hint="eastAsia"/>
          <w:sz w:val="24"/>
          <w:szCs w:val="24"/>
        </w:rPr>
        <w:t>1</w:t>
      </w:r>
      <w:r>
        <w:rPr>
          <w:rFonts w:ascii="宋体" w:hAnsi="宋体" w:hint="eastAsia"/>
          <w:sz w:val="24"/>
          <w:szCs w:val="24"/>
        </w:rPr>
        <w:t>）室外点声源对厂界噪声预测点贡献值预测模式</w:t>
      </w:r>
    </w:p>
    <w:p w:rsidR="00DB7CC8" w:rsidRDefault="002B5250">
      <w:pPr>
        <w:ind w:firstLine="480"/>
        <w:rPr>
          <w:rFonts w:ascii="宋体" w:hAnsi="宋体"/>
          <w:sz w:val="24"/>
          <w:szCs w:val="24"/>
        </w:rPr>
      </w:pPr>
      <w:r>
        <w:rPr>
          <w:rFonts w:ascii="宋体" w:hAnsi="宋体" w:hint="eastAsia"/>
          <w:sz w:val="24"/>
          <w:szCs w:val="24"/>
        </w:rPr>
        <w:t>各声源对预测点的贡献值按下式计算：</w:t>
      </w:r>
    </w:p>
    <w:p w:rsidR="00DB7CC8" w:rsidRDefault="002B5250">
      <w:pPr>
        <w:ind w:firstLine="560"/>
        <w:textAlignment w:val="auto"/>
        <w:rPr>
          <w:rFonts w:ascii="宋体" w:hAnsi="宋体"/>
          <w:szCs w:val="24"/>
        </w:rPr>
      </w:pPr>
      <w:r>
        <w:rPr>
          <w:rFonts w:ascii="TimesNewRomanPSMT" w:eastAsia="TimesNewRomanPSMT" w:hAnsi="TimesNewRomanPSMT" w:hint="eastAsia"/>
          <w:szCs w:val="24"/>
        </w:rPr>
        <w:lastRenderedPageBreak/>
        <w:t>Lp</w:t>
      </w:r>
      <w:r>
        <w:rPr>
          <w:rFonts w:ascii="宋体" w:hAnsi="宋体" w:hint="eastAsia"/>
          <w:szCs w:val="24"/>
        </w:rPr>
        <w:t>（</w:t>
      </w:r>
      <w:r>
        <w:rPr>
          <w:rFonts w:ascii="TimesNewRomanPSMT" w:eastAsia="TimesNewRomanPSMT" w:hAnsi="TimesNewRomanPSMT" w:hint="eastAsia"/>
          <w:szCs w:val="24"/>
        </w:rPr>
        <w:t>r</w:t>
      </w:r>
      <w:r>
        <w:rPr>
          <w:rFonts w:ascii="宋体" w:hAnsi="宋体" w:hint="eastAsia"/>
          <w:szCs w:val="24"/>
        </w:rPr>
        <w:t>）</w:t>
      </w:r>
      <w:r>
        <w:rPr>
          <w:rFonts w:ascii="TimesNewRomanPSMT" w:eastAsia="TimesNewRomanPSMT" w:hAnsi="TimesNewRomanPSMT" w:hint="eastAsia"/>
          <w:szCs w:val="24"/>
        </w:rPr>
        <w:t>=Lw+Dc-</w:t>
      </w:r>
      <w:r>
        <w:rPr>
          <w:rFonts w:ascii="宋体" w:hAnsi="宋体" w:hint="eastAsia"/>
          <w:szCs w:val="24"/>
        </w:rPr>
        <w:t>（</w:t>
      </w:r>
      <w:r>
        <w:rPr>
          <w:rFonts w:ascii="TimesNewRomanPSMT" w:eastAsia="TimesNewRomanPSMT" w:hAnsi="TimesNewRomanPSMT" w:hint="eastAsia"/>
          <w:szCs w:val="24"/>
        </w:rPr>
        <w:t>A</w:t>
      </w:r>
      <w:r>
        <w:rPr>
          <w:rFonts w:ascii="TimesNewRomanPSMT" w:eastAsia="TimesNewRomanPSMT" w:hAnsi="TimesNewRomanPSMT" w:hint="eastAsia"/>
          <w:sz w:val="18"/>
          <w:szCs w:val="24"/>
        </w:rPr>
        <w:t>div</w:t>
      </w:r>
      <w:r>
        <w:rPr>
          <w:rFonts w:ascii="TimesNewRomanPSMT" w:eastAsia="TimesNewRomanPSMT" w:hAnsi="TimesNewRomanPSMT" w:hint="eastAsia"/>
          <w:szCs w:val="24"/>
        </w:rPr>
        <w:t>+A</w:t>
      </w:r>
      <w:r>
        <w:rPr>
          <w:rFonts w:ascii="TimesNewRomanPSMT" w:eastAsia="TimesNewRomanPSMT" w:hAnsi="TimesNewRomanPSMT" w:hint="eastAsia"/>
          <w:sz w:val="18"/>
          <w:szCs w:val="24"/>
        </w:rPr>
        <w:t>atm</w:t>
      </w:r>
      <w:r>
        <w:rPr>
          <w:rFonts w:ascii="TimesNewRomanPSMT" w:eastAsia="TimesNewRomanPSMT" w:hAnsi="TimesNewRomanPSMT" w:hint="eastAsia"/>
          <w:szCs w:val="24"/>
        </w:rPr>
        <w:t>+A</w:t>
      </w:r>
      <w:r>
        <w:rPr>
          <w:rFonts w:ascii="TimesNewRomanPSMT" w:eastAsia="TimesNewRomanPSMT" w:hAnsi="TimesNewRomanPSMT" w:hint="eastAsia"/>
          <w:sz w:val="18"/>
          <w:szCs w:val="24"/>
        </w:rPr>
        <w:t>gr</w:t>
      </w:r>
      <w:r>
        <w:rPr>
          <w:rFonts w:ascii="TimesNewRomanPSMT" w:eastAsia="TimesNewRomanPSMT" w:hAnsi="TimesNewRomanPSMT" w:hint="eastAsia"/>
          <w:szCs w:val="24"/>
        </w:rPr>
        <w:t>+A</w:t>
      </w:r>
      <w:r>
        <w:rPr>
          <w:rFonts w:ascii="TimesNewRomanPSMT" w:eastAsia="TimesNewRomanPSMT" w:hAnsi="TimesNewRomanPSMT" w:hint="eastAsia"/>
          <w:sz w:val="18"/>
          <w:szCs w:val="24"/>
        </w:rPr>
        <w:t>bar</w:t>
      </w:r>
      <w:r>
        <w:rPr>
          <w:rFonts w:ascii="TimesNewRomanPSMT" w:eastAsia="TimesNewRomanPSMT" w:hAnsi="TimesNewRomanPSMT" w:hint="eastAsia"/>
          <w:szCs w:val="24"/>
        </w:rPr>
        <w:t>+A</w:t>
      </w:r>
      <w:r>
        <w:rPr>
          <w:rFonts w:ascii="TimesNewRomanPSMT" w:eastAsia="TimesNewRomanPSMT" w:hAnsi="TimesNewRomanPSMT" w:hint="eastAsia"/>
          <w:sz w:val="18"/>
          <w:szCs w:val="24"/>
        </w:rPr>
        <w:t>misc</w:t>
      </w:r>
      <w:r>
        <w:rPr>
          <w:rFonts w:ascii="宋体" w:hAnsi="宋体" w:hint="eastAsia"/>
          <w:szCs w:val="24"/>
        </w:rPr>
        <w:t>）</w:t>
      </w:r>
    </w:p>
    <w:p w:rsidR="00DB7CC8" w:rsidRDefault="002B5250">
      <w:pPr>
        <w:ind w:firstLine="480"/>
        <w:textAlignment w:val="auto"/>
        <w:rPr>
          <w:rFonts w:ascii="宋体" w:hAnsi="宋体"/>
          <w:sz w:val="24"/>
          <w:szCs w:val="24"/>
        </w:rPr>
      </w:pPr>
      <w:r>
        <w:rPr>
          <w:rFonts w:ascii="宋体" w:hAnsi="宋体" w:hint="eastAsia"/>
          <w:sz w:val="24"/>
          <w:szCs w:val="24"/>
        </w:rPr>
        <w:t>式中：</w:t>
      </w:r>
      <w:r>
        <w:rPr>
          <w:rFonts w:ascii="TimesNewRomanPSMT" w:eastAsia="TimesNewRomanPSMT" w:hAnsi="TimesNewRomanPSMT" w:hint="eastAsia"/>
          <w:sz w:val="24"/>
          <w:szCs w:val="24"/>
        </w:rPr>
        <w:t>L</w:t>
      </w:r>
      <w:r>
        <w:rPr>
          <w:rFonts w:ascii="宋体" w:hAnsi="宋体" w:hint="eastAsia"/>
          <w:sz w:val="24"/>
          <w:szCs w:val="24"/>
        </w:rPr>
        <w:t>（</w:t>
      </w:r>
      <w:r>
        <w:rPr>
          <w:rFonts w:ascii="TimesNewRomanPSMT" w:eastAsia="TimesNewRomanPSMT" w:hAnsi="TimesNewRomanPSMT" w:hint="eastAsia"/>
          <w:sz w:val="24"/>
          <w:szCs w:val="24"/>
        </w:rPr>
        <w:t>r</w:t>
      </w:r>
      <w:r>
        <w:rPr>
          <w:rFonts w:ascii="宋体" w:hAnsi="宋体" w:hint="eastAsia"/>
          <w:sz w:val="24"/>
          <w:szCs w:val="24"/>
        </w:rPr>
        <w:t>）</w:t>
      </w:r>
      <w:r>
        <w:rPr>
          <w:rFonts w:ascii="TimesNewRomanPSMT" w:eastAsia="TimesNewRomanPSMT" w:hAnsi="TimesNewRomanPSMT" w:hint="eastAsia"/>
          <w:sz w:val="24"/>
          <w:szCs w:val="24"/>
        </w:rPr>
        <w:t>p</w:t>
      </w:r>
      <w:r>
        <w:rPr>
          <w:rFonts w:ascii="TimesNewRomanPSMT" w:eastAsia="TimesNewRomanPSMT" w:hAnsi="TimesNewRomanPSMT" w:hint="eastAsia"/>
          <w:sz w:val="24"/>
          <w:szCs w:val="24"/>
        </w:rPr>
        <w:t>——</w:t>
      </w:r>
      <w:r>
        <w:rPr>
          <w:rFonts w:ascii="宋体" w:hAnsi="宋体" w:hint="eastAsia"/>
          <w:sz w:val="24"/>
          <w:szCs w:val="24"/>
        </w:rPr>
        <w:t>预测点处声压级，</w:t>
      </w:r>
      <w:r>
        <w:rPr>
          <w:rFonts w:ascii="TimesNewRomanPSMT" w:eastAsia="TimesNewRomanPSMT" w:hAnsi="TimesNewRomanPSMT" w:hint="eastAsia"/>
          <w:sz w:val="24"/>
          <w:szCs w:val="24"/>
        </w:rPr>
        <w:t>dB</w:t>
      </w:r>
      <w:r>
        <w:rPr>
          <w:rFonts w:ascii="宋体" w:hAnsi="宋体" w:hint="eastAsia"/>
          <w:sz w:val="24"/>
          <w:szCs w:val="24"/>
        </w:rPr>
        <w:t>；</w:t>
      </w:r>
    </w:p>
    <w:p w:rsidR="00DB7CC8" w:rsidRDefault="002B5250">
      <w:pPr>
        <w:ind w:firstLine="480"/>
        <w:textAlignment w:val="auto"/>
        <w:rPr>
          <w:rFonts w:ascii="宋体" w:hAnsi="宋体"/>
          <w:sz w:val="24"/>
          <w:szCs w:val="24"/>
        </w:rPr>
      </w:pPr>
      <w:r>
        <w:rPr>
          <w:rFonts w:ascii="TimesNewRomanPSMT" w:eastAsia="TimesNewRomanPSMT" w:hAnsi="TimesNewRomanPSMT" w:hint="eastAsia"/>
          <w:sz w:val="24"/>
          <w:szCs w:val="24"/>
        </w:rPr>
        <w:t>Lw</w:t>
      </w:r>
      <w:r>
        <w:rPr>
          <w:rFonts w:ascii="TimesNewRomanPSMT" w:eastAsia="TimesNewRomanPSMT" w:hAnsi="TimesNewRomanPSMT" w:hint="eastAsia"/>
          <w:sz w:val="24"/>
          <w:szCs w:val="24"/>
        </w:rPr>
        <w:t>——</w:t>
      </w:r>
      <w:r>
        <w:rPr>
          <w:rFonts w:ascii="宋体" w:hAnsi="宋体" w:hint="eastAsia"/>
          <w:sz w:val="24"/>
          <w:szCs w:val="24"/>
        </w:rPr>
        <w:t>由点声源产生的声功率级（</w:t>
      </w:r>
      <w:r>
        <w:rPr>
          <w:rFonts w:ascii="TimesNewRomanPSMT" w:eastAsia="TimesNewRomanPSMT" w:hAnsi="TimesNewRomanPSMT" w:hint="eastAsia"/>
          <w:sz w:val="24"/>
          <w:szCs w:val="24"/>
        </w:rPr>
        <w:t xml:space="preserve">A </w:t>
      </w:r>
      <w:r>
        <w:rPr>
          <w:rFonts w:ascii="宋体" w:hAnsi="宋体" w:hint="eastAsia"/>
          <w:sz w:val="24"/>
          <w:szCs w:val="24"/>
        </w:rPr>
        <w:t>计权或倍频带），</w:t>
      </w:r>
      <w:r>
        <w:rPr>
          <w:rFonts w:ascii="TimesNewRomanPSMT" w:eastAsia="TimesNewRomanPSMT" w:hAnsi="TimesNewRomanPSMT" w:hint="eastAsia"/>
          <w:sz w:val="24"/>
          <w:szCs w:val="24"/>
        </w:rPr>
        <w:t>dB</w:t>
      </w:r>
      <w:r>
        <w:rPr>
          <w:rFonts w:ascii="宋体" w:hAnsi="宋体" w:hint="eastAsia"/>
          <w:sz w:val="24"/>
          <w:szCs w:val="24"/>
        </w:rPr>
        <w:t>；</w:t>
      </w:r>
    </w:p>
    <w:p w:rsidR="00DB7CC8" w:rsidRDefault="002B5250">
      <w:pPr>
        <w:ind w:firstLine="480"/>
        <w:textAlignment w:val="auto"/>
        <w:rPr>
          <w:rFonts w:ascii="宋体" w:hAnsi="宋体"/>
          <w:sz w:val="24"/>
          <w:szCs w:val="24"/>
        </w:rPr>
      </w:pPr>
      <w:r>
        <w:rPr>
          <w:rFonts w:ascii="TimesNewRomanPSMT" w:eastAsia="TimesNewRomanPSMT" w:hAnsi="TimesNewRomanPSMT" w:hint="eastAsia"/>
          <w:sz w:val="24"/>
          <w:szCs w:val="24"/>
        </w:rPr>
        <w:t>Dc</w:t>
      </w:r>
      <w:r>
        <w:rPr>
          <w:rFonts w:ascii="TimesNewRomanPSMT" w:eastAsia="TimesNewRomanPSMT" w:hAnsi="TimesNewRomanPSMT" w:hint="eastAsia"/>
          <w:sz w:val="24"/>
          <w:szCs w:val="24"/>
        </w:rPr>
        <w:t>——</w:t>
      </w:r>
      <w:r>
        <w:rPr>
          <w:rFonts w:ascii="宋体" w:hAnsi="宋体" w:hint="eastAsia"/>
          <w:sz w:val="24"/>
          <w:szCs w:val="24"/>
        </w:rPr>
        <w:t>指向性校正，</w:t>
      </w:r>
      <w:r>
        <w:rPr>
          <w:rFonts w:ascii="TimesNewRomanPSMT" w:eastAsia="TimesNewRomanPSMT" w:hAnsi="TimesNewRomanPSMT" w:hint="eastAsia"/>
          <w:sz w:val="24"/>
          <w:szCs w:val="24"/>
        </w:rPr>
        <w:t>dB</w:t>
      </w:r>
      <w:r>
        <w:rPr>
          <w:rFonts w:ascii="宋体" w:hAnsi="宋体" w:hint="eastAsia"/>
          <w:sz w:val="24"/>
          <w:szCs w:val="24"/>
        </w:rPr>
        <w:t>；</w:t>
      </w:r>
    </w:p>
    <w:p w:rsidR="00DB7CC8" w:rsidRDefault="002B5250">
      <w:pPr>
        <w:ind w:firstLine="480"/>
        <w:textAlignment w:val="auto"/>
        <w:rPr>
          <w:rFonts w:ascii="宋体" w:hAnsi="宋体"/>
          <w:sz w:val="24"/>
          <w:szCs w:val="24"/>
        </w:rPr>
      </w:pPr>
      <w:r>
        <w:rPr>
          <w:rFonts w:ascii="TimesNewRomanPSMT" w:eastAsia="TimesNewRomanPSMT" w:hAnsi="TimesNewRomanPSMT" w:hint="eastAsia"/>
          <w:sz w:val="24"/>
          <w:szCs w:val="24"/>
        </w:rPr>
        <w:t>Adiv</w:t>
      </w:r>
      <w:r>
        <w:rPr>
          <w:rFonts w:ascii="TimesNewRomanPSMT" w:eastAsia="TimesNewRomanPSMT" w:hAnsi="TimesNewRomanPSMT" w:hint="eastAsia"/>
          <w:sz w:val="24"/>
          <w:szCs w:val="24"/>
        </w:rPr>
        <w:t>—</w:t>
      </w:r>
      <w:r>
        <w:rPr>
          <w:rFonts w:ascii="宋体" w:hAnsi="宋体" w:hint="eastAsia"/>
          <w:sz w:val="24"/>
          <w:szCs w:val="24"/>
        </w:rPr>
        <w:t>几何发散引起的倍频带衰减；</w:t>
      </w:r>
    </w:p>
    <w:p w:rsidR="00DB7CC8" w:rsidRDefault="002B5250">
      <w:pPr>
        <w:ind w:firstLine="480"/>
        <w:textAlignment w:val="auto"/>
        <w:rPr>
          <w:rFonts w:ascii="宋体" w:hAnsi="宋体"/>
          <w:sz w:val="24"/>
          <w:szCs w:val="24"/>
        </w:rPr>
      </w:pPr>
      <w:r>
        <w:rPr>
          <w:rFonts w:ascii="TimesNewRomanPSMT" w:eastAsia="TimesNewRomanPSMT" w:hAnsi="TimesNewRomanPSMT" w:hint="eastAsia"/>
          <w:sz w:val="24"/>
          <w:szCs w:val="24"/>
        </w:rPr>
        <w:t>Abar</w:t>
      </w:r>
      <w:r>
        <w:rPr>
          <w:rFonts w:ascii="TimesNewRomanPSMT" w:eastAsia="TimesNewRomanPSMT" w:hAnsi="TimesNewRomanPSMT" w:hint="eastAsia"/>
          <w:sz w:val="24"/>
          <w:szCs w:val="24"/>
        </w:rPr>
        <w:t>—</w:t>
      </w:r>
      <w:r>
        <w:rPr>
          <w:rFonts w:ascii="宋体" w:hAnsi="宋体" w:hint="eastAsia"/>
          <w:sz w:val="24"/>
          <w:szCs w:val="24"/>
        </w:rPr>
        <w:t>声屏障引起的倍频带衰减；</w:t>
      </w:r>
    </w:p>
    <w:p w:rsidR="00DB7CC8" w:rsidRDefault="002B5250">
      <w:pPr>
        <w:ind w:firstLine="480"/>
        <w:textAlignment w:val="auto"/>
        <w:rPr>
          <w:rFonts w:ascii="宋体" w:hAnsi="宋体"/>
          <w:sz w:val="24"/>
          <w:szCs w:val="24"/>
        </w:rPr>
      </w:pPr>
      <w:r>
        <w:rPr>
          <w:rFonts w:ascii="TimesNewRomanPSMT" w:eastAsia="TimesNewRomanPSMT" w:hAnsi="TimesNewRomanPSMT" w:hint="eastAsia"/>
          <w:sz w:val="24"/>
          <w:szCs w:val="24"/>
        </w:rPr>
        <w:t>Aatm</w:t>
      </w:r>
      <w:r>
        <w:rPr>
          <w:rFonts w:ascii="TimesNewRomanPSMT" w:eastAsia="TimesNewRomanPSMT" w:hAnsi="TimesNewRomanPSMT" w:hint="eastAsia"/>
          <w:sz w:val="24"/>
          <w:szCs w:val="24"/>
        </w:rPr>
        <w:t>—</w:t>
      </w:r>
      <w:r>
        <w:rPr>
          <w:rFonts w:ascii="宋体" w:hAnsi="宋体" w:hint="eastAsia"/>
          <w:sz w:val="24"/>
          <w:szCs w:val="24"/>
        </w:rPr>
        <w:t>大气吸收引起的倍频带衰减；</w:t>
      </w:r>
    </w:p>
    <w:p w:rsidR="00DB7CC8" w:rsidRDefault="002B5250">
      <w:pPr>
        <w:ind w:firstLine="480"/>
        <w:textAlignment w:val="auto"/>
        <w:rPr>
          <w:rFonts w:ascii="宋体" w:hAnsi="宋体"/>
          <w:sz w:val="24"/>
          <w:szCs w:val="24"/>
        </w:rPr>
      </w:pPr>
      <w:r>
        <w:rPr>
          <w:rFonts w:ascii="TimesNewRomanPSMT" w:eastAsia="TimesNewRomanPSMT" w:hAnsi="TimesNewRomanPSMT" w:hint="eastAsia"/>
          <w:sz w:val="24"/>
          <w:szCs w:val="24"/>
        </w:rPr>
        <w:t>Agr</w:t>
      </w:r>
      <w:r>
        <w:rPr>
          <w:rFonts w:ascii="TimesNewRomanPSMT" w:eastAsia="TimesNewRomanPSMT" w:hAnsi="TimesNewRomanPSMT" w:hint="eastAsia"/>
          <w:sz w:val="24"/>
          <w:szCs w:val="24"/>
        </w:rPr>
        <w:t>—</w:t>
      </w:r>
      <w:r>
        <w:rPr>
          <w:rFonts w:ascii="宋体" w:hAnsi="宋体" w:hint="eastAsia"/>
          <w:sz w:val="24"/>
          <w:szCs w:val="24"/>
        </w:rPr>
        <w:t>地面效应引起的倍频带衰减；</w:t>
      </w:r>
    </w:p>
    <w:p w:rsidR="00DB7CC8" w:rsidRDefault="002B5250">
      <w:pPr>
        <w:pStyle w:val="a0"/>
        <w:ind w:firstLine="480"/>
      </w:pPr>
      <w:r>
        <w:rPr>
          <w:rFonts w:ascii="TimesNewRomanPSMT" w:eastAsia="TimesNewRomanPSMT" w:hAnsi="TimesNewRomanPSMT" w:hint="eastAsia"/>
          <w:sz w:val="24"/>
          <w:szCs w:val="24"/>
        </w:rPr>
        <w:t>Amisc</w:t>
      </w:r>
      <w:r>
        <w:rPr>
          <w:rFonts w:ascii="TimesNewRomanPSMT" w:eastAsia="TimesNewRomanPSMT" w:hAnsi="TimesNewRomanPSMT" w:hint="eastAsia"/>
          <w:sz w:val="24"/>
          <w:szCs w:val="24"/>
        </w:rPr>
        <w:t>—</w:t>
      </w:r>
      <w:r>
        <w:rPr>
          <w:rFonts w:ascii="宋体" w:hAnsi="宋体" w:hint="eastAsia"/>
          <w:sz w:val="24"/>
          <w:szCs w:val="24"/>
        </w:rPr>
        <w:t>其他多方面效应引起的倍频带衰减。</w:t>
      </w:r>
    </w:p>
    <w:p w:rsidR="00DB7CC8" w:rsidRDefault="002B5250">
      <w:pPr>
        <w:pStyle w:val="1d"/>
        <w:spacing w:before="60" w:after="60" w:line="480" w:lineRule="exact"/>
        <w:rPr>
          <w:rFonts w:ascii="Times New Roman"/>
          <w:kern w:val="24"/>
        </w:rPr>
      </w:pPr>
      <w:r>
        <w:rPr>
          <w:rFonts w:ascii="Times New Roman" w:hint="eastAsia"/>
          <w:kern w:val="24"/>
        </w:rPr>
        <w:t>（</w:t>
      </w:r>
      <w:r>
        <w:rPr>
          <w:rFonts w:ascii="Times New Roman" w:hint="eastAsia"/>
          <w:kern w:val="24"/>
        </w:rPr>
        <w:t>2</w:t>
      </w:r>
      <w:r>
        <w:rPr>
          <w:rFonts w:ascii="Times New Roman" w:hint="eastAsia"/>
          <w:kern w:val="24"/>
        </w:rPr>
        <w:t>）</w:t>
      </w:r>
      <w:r>
        <w:rPr>
          <w:rFonts w:ascii="Times New Roman" w:hint="eastAsia"/>
          <w:kern w:val="24"/>
        </w:rPr>
        <w:t>计算总声压级</w:t>
      </w:r>
    </w:p>
    <w:p w:rsidR="00DB7CC8" w:rsidRDefault="002B5250">
      <w:pPr>
        <w:ind w:firstLine="480"/>
        <w:rPr>
          <w:rFonts w:ascii="宋体" w:hAnsi="宋体"/>
          <w:sz w:val="24"/>
          <w:szCs w:val="24"/>
        </w:rPr>
      </w:pPr>
      <w:r>
        <w:rPr>
          <w:rFonts w:ascii="宋体" w:hAnsi="宋体" w:hint="eastAsia"/>
          <w:sz w:val="24"/>
          <w:szCs w:val="24"/>
        </w:rPr>
        <w:t>将第</w:t>
      </w:r>
      <w:r>
        <w:rPr>
          <w:rFonts w:ascii="TimesNewRomanPSMT" w:eastAsia="TimesNewRomanPSMT" w:hAnsi="TimesNewRomanPSMT" w:hint="eastAsia"/>
          <w:sz w:val="24"/>
          <w:szCs w:val="24"/>
        </w:rPr>
        <w:t xml:space="preserve">i </w:t>
      </w:r>
      <w:r>
        <w:rPr>
          <w:rFonts w:ascii="宋体" w:hAnsi="宋体" w:hint="eastAsia"/>
          <w:sz w:val="24"/>
          <w:szCs w:val="24"/>
        </w:rPr>
        <w:t>个等效室外声源在预测点产生的</w:t>
      </w:r>
      <w:r>
        <w:rPr>
          <w:rFonts w:ascii="TimesNewRomanPSMT" w:eastAsia="TimesNewRomanPSMT" w:hAnsi="TimesNewRomanPSMT" w:hint="eastAsia"/>
          <w:sz w:val="24"/>
          <w:szCs w:val="24"/>
        </w:rPr>
        <w:t xml:space="preserve">A </w:t>
      </w:r>
      <w:r>
        <w:rPr>
          <w:rFonts w:ascii="宋体" w:hAnsi="宋体" w:hint="eastAsia"/>
          <w:sz w:val="24"/>
          <w:szCs w:val="24"/>
        </w:rPr>
        <w:t>声级为</w:t>
      </w:r>
      <w:r>
        <w:rPr>
          <w:rFonts w:ascii="TimesNewRomanPSMT" w:eastAsia="TimesNewRomanPSMT" w:hAnsi="TimesNewRomanPSMT" w:hint="eastAsia"/>
          <w:sz w:val="24"/>
          <w:szCs w:val="24"/>
        </w:rPr>
        <w:t>LAi</w:t>
      </w:r>
      <w:r>
        <w:rPr>
          <w:rFonts w:ascii="宋体" w:hAnsi="宋体" w:hint="eastAsia"/>
          <w:sz w:val="24"/>
          <w:szCs w:val="24"/>
        </w:rPr>
        <w:t>，在</w:t>
      </w:r>
      <w:r>
        <w:rPr>
          <w:rFonts w:ascii="TimesNewRomanPSMT" w:eastAsia="TimesNewRomanPSMT" w:hAnsi="TimesNewRomanPSMT" w:hint="eastAsia"/>
          <w:sz w:val="24"/>
          <w:szCs w:val="24"/>
        </w:rPr>
        <w:t xml:space="preserve">T </w:t>
      </w:r>
      <w:r>
        <w:rPr>
          <w:rFonts w:ascii="宋体" w:hAnsi="宋体" w:hint="eastAsia"/>
          <w:sz w:val="24"/>
          <w:szCs w:val="24"/>
        </w:rPr>
        <w:t>时间内该声源工作时间为</w:t>
      </w:r>
      <w:r>
        <w:rPr>
          <w:rFonts w:ascii="TimesNewRomanPSMT" w:eastAsia="TimesNewRomanPSMT" w:hAnsi="TimesNewRomanPSMT" w:hint="eastAsia"/>
          <w:sz w:val="24"/>
          <w:szCs w:val="24"/>
        </w:rPr>
        <w:t>t i</w:t>
      </w:r>
      <w:r>
        <w:rPr>
          <w:rFonts w:ascii="宋体" w:hAnsi="宋体" w:hint="eastAsia"/>
          <w:sz w:val="24"/>
          <w:szCs w:val="24"/>
        </w:rPr>
        <w:t>，第</w:t>
      </w:r>
      <w:r>
        <w:rPr>
          <w:rFonts w:ascii="TimesNewRomanPSMT" w:eastAsia="TimesNewRomanPSMT" w:hAnsi="TimesNewRomanPSMT" w:hint="eastAsia"/>
          <w:sz w:val="24"/>
          <w:szCs w:val="24"/>
        </w:rPr>
        <w:t xml:space="preserve">j </w:t>
      </w:r>
      <w:r>
        <w:rPr>
          <w:rFonts w:ascii="宋体" w:hAnsi="宋体" w:hint="eastAsia"/>
          <w:sz w:val="24"/>
          <w:szCs w:val="24"/>
        </w:rPr>
        <w:t>个等效室外声源在预测点产生的</w:t>
      </w:r>
      <w:r>
        <w:rPr>
          <w:rFonts w:ascii="TimesNewRomanPSMT" w:eastAsia="TimesNewRomanPSMT" w:hAnsi="TimesNewRomanPSMT" w:hint="eastAsia"/>
          <w:sz w:val="24"/>
          <w:szCs w:val="24"/>
        </w:rPr>
        <w:t xml:space="preserve">A </w:t>
      </w:r>
      <w:r>
        <w:rPr>
          <w:rFonts w:ascii="宋体" w:hAnsi="宋体" w:hint="eastAsia"/>
          <w:sz w:val="24"/>
          <w:szCs w:val="24"/>
        </w:rPr>
        <w:t>声级为</w:t>
      </w:r>
      <w:r>
        <w:rPr>
          <w:rFonts w:ascii="TimesNewRomanPSMT" w:eastAsia="TimesNewRomanPSMT" w:hAnsi="TimesNewRomanPSMT" w:hint="eastAsia"/>
          <w:sz w:val="24"/>
          <w:szCs w:val="24"/>
        </w:rPr>
        <w:t>LAj</w:t>
      </w:r>
      <w:r>
        <w:rPr>
          <w:rFonts w:ascii="宋体" w:hAnsi="宋体" w:hint="eastAsia"/>
          <w:sz w:val="24"/>
          <w:szCs w:val="24"/>
        </w:rPr>
        <w:t>，在</w:t>
      </w:r>
      <w:r>
        <w:rPr>
          <w:rFonts w:ascii="TimesNewRomanPSMT" w:eastAsia="TimesNewRomanPSMT" w:hAnsi="TimesNewRomanPSMT" w:hint="eastAsia"/>
          <w:sz w:val="24"/>
          <w:szCs w:val="24"/>
        </w:rPr>
        <w:t xml:space="preserve">T </w:t>
      </w:r>
      <w:r>
        <w:rPr>
          <w:rFonts w:ascii="宋体" w:hAnsi="宋体" w:hint="eastAsia"/>
          <w:sz w:val="24"/>
          <w:szCs w:val="24"/>
        </w:rPr>
        <w:t>时间内该声源工作时间为</w:t>
      </w:r>
      <w:r>
        <w:rPr>
          <w:rFonts w:ascii="TimesNewRomanPSMT" w:eastAsia="TimesNewRomanPSMT" w:hAnsi="TimesNewRomanPSMT" w:hint="eastAsia"/>
          <w:sz w:val="24"/>
          <w:szCs w:val="24"/>
        </w:rPr>
        <w:t>t j</w:t>
      </w:r>
      <w:r>
        <w:rPr>
          <w:rFonts w:ascii="宋体" w:hAnsi="宋体" w:hint="eastAsia"/>
          <w:sz w:val="24"/>
          <w:szCs w:val="24"/>
        </w:rPr>
        <w:t>，则建设工程声源对预测点产生的贡献值（</w:t>
      </w:r>
      <w:r>
        <w:rPr>
          <w:rFonts w:ascii="TimesNewRomanPSMT" w:eastAsia="TimesNewRomanPSMT" w:hAnsi="TimesNewRomanPSMT" w:hint="eastAsia"/>
          <w:sz w:val="24"/>
          <w:szCs w:val="24"/>
        </w:rPr>
        <w:t>Leqg</w:t>
      </w:r>
      <w:r>
        <w:rPr>
          <w:rFonts w:ascii="宋体" w:hAnsi="宋体" w:hint="eastAsia"/>
          <w:sz w:val="24"/>
          <w:szCs w:val="24"/>
        </w:rPr>
        <w:t>）为：</w:t>
      </w:r>
    </w:p>
    <w:p w:rsidR="00DB7CC8" w:rsidRDefault="002B5250">
      <w:pPr>
        <w:ind w:firstLine="560"/>
        <w:rPr>
          <w:rFonts w:ascii="宋体" w:hAnsi="宋体"/>
          <w:sz w:val="24"/>
          <w:szCs w:val="24"/>
        </w:rPr>
      </w:pPr>
      <w:r>
        <w:rPr>
          <w:noProof/>
        </w:rPr>
        <w:drawing>
          <wp:anchor distT="0" distB="0" distL="114300" distR="114300" simplePos="0" relativeHeight="251684864" behindDoc="0" locked="0" layoutInCell="1" allowOverlap="1">
            <wp:simplePos x="0" y="0"/>
            <wp:positionH relativeFrom="column">
              <wp:posOffset>875665</wp:posOffset>
            </wp:positionH>
            <wp:positionV relativeFrom="paragraph">
              <wp:posOffset>30480</wp:posOffset>
            </wp:positionV>
            <wp:extent cx="2762250" cy="561975"/>
            <wp:effectExtent l="0" t="0" r="0" b="9525"/>
            <wp:wrapNone/>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113"/>
                    <a:stretch>
                      <a:fillRect/>
                    </a:stretch>
                  </pic:blipFill>
                  <pic:spPr>
                    <a:xfrm>
                      <a:off x="0" y="0"/>
                      <a:ext cx="2762250" cy="561975"/>
                    </a:xfrm>
                    <a:prstGeom prst="rect">
                      <a:avLst/>
                    </a:prstGeom>
                    <a:noFill/>
                    <a:ln>
                      <a:noFill/>
                    </a:ln>
                  </pic:spPr>
                </pic:pic>
              </a:graphicData>
            </a:graphic>
          </wp:anchor>
        </w:drawing>
      </w:r>
    </w:p>
    <w:p w:rsidR="00DB7CC8" w:rsidRDefault="00DB7CC8">
      <w:pPr>
        <w:ind w:firstLine="480"/>
        <w:rPr>
          <w:rFonts w:ascii="宋体" w:hAnsi="宋体"/>
          <w:sz w:val="24"/>
          <w:szCs w:val="24"/>
        </w:rPr>
      </w:pPr>
    </w:p>
    <w:p w:rsidR="00DB7CC8" w:rsidRDefault="002B5250">
      <w:pPr>
        <w:ind w:firstLine="480"/>
        <w:textAlignment w:val="auto"/>
        <w:rPr>
          <w:rFonts w:ascii="宋体" w:hAnsi="宋体"/>
          <w:sz w:val="24"/>
          <w:szCs w:val="24"/>
        </w:rPr>
      </w:pPr>
      <w:r>
        <w:rPr>
          <w:rFonts w:ascii="宋体" w:hAnsi="宋体" w:hint="eastAsia"/>
          <w:sz w:val="24"/>
          <w:szCs w:val="24"/>
        </w:rPr>
        <w:t>式中：</w:t>
      </w:r>
      <w:r>
        <w:rPr>
          <w:rFonts w:ascii="宋体" w:hAnsi="宋体" w:hint="eastAsia"/>
          <w:sz w:val="24"/>
          <w:szCs w:val="24"/>
        </w:rPr>
        <w:t xml:space="preserve"> </w:t>
      </w:r>
      <w:r>
        <w:rPr>
          <w:rFonts w:ascii="TimesNewRomanPSMT" w:eastAsia="TimesNewRomanPSMT" w:hAnsi="TimesNewRomanPSMT" w:hint="eastAsia"/>
          <w:sz w:val="24"/>
          <w:szCs w:val="24"/>
        </w:rPr>
        <w:t>L</w:t>
      </w:r>
      <w:r>
        <w:rPr>
          <w:rFonts w:ascii="TimesNewRomanPSMT" w:eastAsia="TimesNewRomanPSMT" w:hAnsi="TimesNewRomanPSMT" w:hint="eastAsia"/>
          <w:sz w:val="16"/>
          <w:szCs w:val="24"/>
        </w:rPr>
        <w:t>eqg</w:t>
      </w:r>
      <w:r>
        <w:rPr>
          <w:rFonts w:ascii="TimesNewRomanPSMT" w:eastAsia="TimesNewRomanPSMT" w:hAnsi="TimesNewRomanPSMT" w:hint="eastAsia"/>
          <w:sz w:val="24"/>
          <w:szCs w:val="24"/>
        </w:rPr>
        <w:t>——</w:t>
      </w:r>
      <w:r>
        <w:rPr>
          <w:rFonts w:ascii="宋体" w:hAnsi="宋体" w:hint="eastAsia"/>
          <w:sz w:val="24"/>
          <w:szCs w:val="24"/>
        </w:rPr>
        <w:t>建设项目声源在预测点的噪声贡献值，</w:t>
      </w:r>
      <w:r>
        <w:rPr>
          <w:rFonts w:ascii="TimesNewRomanPSMT" w:eastAsia="TimesNewRomanPSMT" w:hAnsi="TimesNewRomanPSMT" w:hint="eastAsia"/>
          <w:sz w:val="24"/>
          <w:szCs w:val="24"/>
        </w:rPr>
        <w:t>dB</w:t>
      </w:r>
      <w:r>
        <w:rPr>
          <w:rFonts w:ascii="宋体" w:hAnsi="宋体" w:hint="eastAsia"/>
          <w:sz w:val="24"/>
          <w:szCs w:val="24"/>
        </w:rPr>
        <w:t>；</w:t>
      </w:r>
    </w:p>
    <w:p w:rsidR="00DB7CC8" w:rsidRDefault="002B5250">
      <w:pPr>
        <w:ind w:firstLine="480"/>
        <w:textAlignment w:val="auto"/>
        <w:rPr>
          <w:rFonts w:ascii="宋体" w:hAnsi="宋体"/>
          <w:sz w:val="24"/>
          <w:szCs w:val="24"/>
        </w:rPr>
      </w:pPr>
      <w:r>
        <w:rPr>
          <w:rFonts w:ascii="TimesNewRomanPSMT" w:eastAsia="TimesNewRomanPSMT" w:hAnsi="TimesNewRomanPSMT" w:hint="eastAsia"/>
          <w:sz w:val="24"/>
          <w:szCs w:val="24"/>
        </w:rPr>
        <w:t>T</w:t>
      </w:r>
      <w:r>
        <w:rPr>
          <w:rFonts w:ascii="TimesNewRomanPSMT" w:eastAsia="TimesNewRomanPSMT" w:hAnsi="TimesNewRomanPSMT" w:hint="eastAsia"/>
          <w:sz w:val="24"/>
          <w:szCs w:val="24"/>
        </w:rPr>
        <w:t>——</w:t>
      </w:r>
      <w:r>
        <w:rPr>
          <w:rFonts w:ascii="宋体" w:hAnsi="宋体" w:hint="eastAsia"/>
          <w:sz w:val="24"/>
          <w:szCs w:val="24"/>
        </w:rPr>
        <w:t>用于计算等效声级的时间，</w:t>
      </w:r>
      <w:r>
        <w:rPr>
          <w:rFonts w:ascii="TimesNewRomanPSMT" w:eastAsia="TimesNewRomanPSMT" w:hAnsi="TimesNewRomanPSMT" w:hint="eastAsia"/>
          <w:sz w:val="24"/>
          <w:szCs w:val="24"/>
        </w:rPr>
        <w:t>s</w:t>
      </w:r>
      <w:r>
        <w:rPr>
          <w:rFonts w:ascii="宋体" w:hAnsi="宋体" w:hint="eastAsia"/>
          <w:sz w:val="24"/>
          <w:szCs w:val="24"/>
        </w:rPr>
        <w:t>；</w:t>
      </w:r>
    </w:p>
    <w:p w:rsidR="00DB7CC8" w:rsidRDefault="002B5250">
      <w:pPr>
        <w:ind w:firstLine="480"/>
        <w:textAlignment w:val="auto"/>
        <w:rPr>
          <w:rFonts w:ascii="宋体" w:hAnsi="宋体"/>
          <w:sz w:val="24"/>
          <w:szCs w:val="24"/>
        </w:rPr>
      </w:pPr>
      <w:r>
        <w:rPr>
          <w:rFonts w:ascii="TimesNewRomanPSMT" w:eastAsia="TimesNewRomanPSMT" w:hAnsi="TimesNewRomanPSMT" w:hint="eastAsia"/>
          <w:sz w:val="24"/>
          <w:szCs w:val="24"/>
        </w:rPr>
        <w:t>N</w:t>
      </w:r>
      <w:r>
        <w:rPr>
          <w:rFonts w:ascii="TimesNewRomanPSMT" w:eastAsia="TimesNewRomanPSMT" w:hAnsi="TimesNewRomanPSMT" w:hint="eastAsia"/>
          <w:sz w:val="24"/>
          <w:szCs w:val="24"/>
        </w:rPr>
        <w:t>——</w:t>
      </w:r>
      <w:r>
        <w:rPr>
          <w:rFonts w:ascii="宋体" w:hAnsi="宋体" w:hint="eastAsia"/>
          <w:sz w:val="24"/>
          <w:szCs w:val="24"/>
        </w:rPr>
        <w:t>室外声源个数；</w:t>
      </w:r>
    </w:p>
    <w:p w:rsidR="00DB7CC8" w:rsidRDefault="002B5250">
      <w:pPr>
        <w:ind w:firstLine="480"/>
        <w:textAlignment w:val="auto"/>
        <w:rPr>
          <w:rFonts w:ascii="宋体" w:hAnsi="宋体"/>
          <w:sz w:val="24"/>
          <w:szCs w:val="24"/>
        </w:rPr>
      </w:pPr>
      <w:r>
        <w:rPr>
          <w:rFonts w:ascii="TimesNewRomanPSMT" w:eastAsia="TimesNewRomanPSMT" w:hAnsi="TimesNewRomanPSMT" w:hint="eastAsia"/>
          <w:sz w:val="24"/>
          <w:szCs w:val="24"/>
        </w:rPr>
        <w:t>ti</w:t>
      </w:r>
      <w:r>
        <w:rPr>
          <w:rFonts w:ascii="TimesNewRomanPSMT" w:eastAsia="TimesNewRomanPSMT" w:hAnsi="TimesNewRomanPSMT" w:hint="eastAsia"/>
          <w:sz w:val="24"/>
          <w:szCs w:val="24"/>
        </w:rPr>
        <w:t>——</w:t>
      </w:r>
      <w:r>
        <w:rPr>
          <w:rFonts w:ascii="宋体" w:hAnsi="宋体" w:hint="eastAsia"/>
          <w:sz w:val="24"/>
          <w:szCs w:val="24"/>
        </w:rPr>
        <w:t>在</w:t>
      </w:r>
      <w:r>
        <w:rPr>
          <w:rFonts w:ascii="TimesNewRomanPSMT" w:eastAsia="TimesNewRomanPSMT" w:hAnsi="TimesNewRomanPSMT" w:hint="eastAsia"/>
          <w:sz w:val="24"/>
          <w:szCs w:val="24"/>
        </w:rPr>
        <w:t xml:space="preserve">T </w:t>
      </w:r>
      <w:r>
        <w:rPr>
          <w:rFonts w:ascii="宋体" w:hAnsi="宋体" w:hint="eastAsia"/>
          <w:sz w:val="24"/>
          <w:szCs w:val="24"/>
        </w:rPr>
        <w:t>时间内</w:t>
      </w:r>
      <w:r>
        <w:rPr>
          <w:rFonts w:ascii="TimesNewRomanPSMT" w:eastAsia="TimesNewRomanPSMT" w:hAnsi="TimesNewRomanPSMT" w:hint="eastAsia"/>
          <w:sz w:val="24"/>
          <w:szCs w:val="24"/>
        </w:rPr>
        <w:t xml:space="preserve">i </w:t>
      </w:r>
      <w:r>
        <w:rPr>
          <w:rFonts w:ascii="宋体" w:hAnsi="宋体" w:hint="eastAsia"/>
          <w:sz w:val="24"/>
          <w:szCs w:val="24"/>
        </w:rPr>
        <w:t>声源工作时间，</w:t>
      </w:r>
      <w:r>
        <w:rPr>
          <w:rFonts w:ascii="TimesNewRomanPSMT" w:eastAsia="TimesNewRomanPSMT" w:hAnsi="TimesNewRomanPSMT" w:hint="eastAsia"/>
          <w:sz w:val="24"/>
          <w:szCs w:val="24"/>
        </w:rPr>
        <w:t>s</w:t>
      </w:r>
      <w:r>
        <w:rPr>
          <w:rFonts w:ascii="宋体" w:hAnsi="宋体" w:hint="eastAsia"/>
          <w:sz w:val="24"/>
          <w:szCs w:val="24"/>
        </w:rPr>
        <w:t>；</w:t>
      </w:r>
    </w:p>
    <w:p w:rsidR="00DB7CC8" w:rsidRDefault="002B5250">
      <w:pPr>
        <w:ind w:firstLine="480"/>
        <w:textAlignment w:val="auto"/>
        <w:rPr>
          <w:rFonts w:ascii="宋体" w:hAnsi="宋体"/>
          <w:sz w:val="24"/>
          <w:szCs w:val="24"/>
        </w:rPr>
      </w:pPr>
      <w:r>
        <w:rPr>
          <w:rFonts w:ascii="TimesNewRomanPSMT" w:eastAsia="TimesNewRomanPSMT" w:hAnsi="TimesNewRomanPSMT" w:hint="eastAsia"/>
          <w:sz w:val="24"/>
          <w:szCs w:val="24"/>
        </w:rPr>
        <w:t>M</w:t>
      </w:r>
      <w:r>
        <w:rPr>
          <w:rFonts w:ascii="TimesNewRomanPSMT" w:eastAsia="TimesNewRomanPSMT" w:hAnsi="TimesNewRomanPSMT" w:hint="eastAsia"/>
          <w:sz w:val="24"/>
          <w:szCs w:val="24"/>
        </w:rPr>
        <w:t>——</w:t>
      </w:r>
      <w:r>
        <w:rPr>
          <w:rFonts w:ascii="宋体" w:hAnsi="宋体" w:hint="eastAsia"/>
          <w:sz w:val="24"/>
          <w:szCs w:val="24"/>
        </w:rPr>
        <w:t>等效室外声源个数；</w:t>
      </w:r>
    </w:p>
    <w:p w:rsidR="00DB7CC8" w:rsidRDefault="002B5250">
      <w:pPr>
        <w:pStyle w:val="1d"/>
        <w:adjustRightInd/>
        <w:spacing w:before="60" w:after="60" w:line="480" w:lineRule="exact"/>
        <w:ind w:firstLineChars="200" w:firstLine="456"/>
        <w:textAlignment w:val="auto"/>
        <w:rPr>
          <w:rFonts w:ascii="TimesNewRomanPSMT" w:eastAsia="TimesNewRomanPSMT" w:hAnsi="TimesNewRomanPSMT"/>
          <w:sz w:val="24"/>
          <w:szCs w:val="24"/>
        </w:rPr>
      </w:pPr>
      <w:r>
        <w:rPr>
          <w:rFonts w:ascii="TimesNewRomanPSMT" w:eastAsia="TimesNewRomanPSMT" w:hAnsi="TimesNewRomanPSMT" w:hint="eastAsia"/>
          <w:sz w:val="24"/>
          <w:szCs w:val="24"/>
        </w:rPr>
        <w:t>tj</w:t>
      </w:r>
      <w:r>
        <w:rPr>
          <w:rFonts w:ascii="TimesNewRomanPSMT" w:eastAsia="TimesNewRomanPSMT" w:hAnsi="TimesNewRomanPSMT" w:hint="eastAsia"/>
          <w:sz w:val="24"/>
          <w:szCs w:val="24"/>
        </w:rPr>
        <w:t>——</w:t>
      </w:r>
      <w:r>
        <w:rPr>
          <w:rFonts w:ascii="宋体" w:eastAsia="宋体" w:hAnsi="宋体" w:hint="eastAsia"/>
          <w:sz w:val="24"/>
          <w:szCs w:val="24"/>
        </w:rPr>
        <w:t>在</w:t>
      </w:r>
      <w:r>
        <w:rPr>
          <w:rFonts w:ascii="TimesNewRomanPSMT" w:eastAsia="TimesNewRomanPSMT" w:hAnsi="TimesNewRomanPSMT" w:hint="eastAsia"/>
          <w:sz w:val="24"/>
          <w:szCs w:val="24"/>
        </w:rPr>
        <w:t xml:space="preserve">T </w:t>
      </w:r>
      <w:r>
        <w:rPr>
          <w:rFonts w:ascii="宋体" w:eastAsia="宋体" w:hAnsi="宋体" w:hint="eastAsia"/>
          <w:sz w:val="24"/>
          <w:szCs w:val="24"/>
        </w:rPr>
        <w:t>时间内</w:t>
      </w:r>
      <w:r>
        <w:rPr>
          <w:rFonts w:ascii="TimesNewRomanPSMT" w:eastAsia="TimesNewRomanPSMT" w:hAnsi="TimesNewRomanPSMT" w:hint="eastAsia"/>
          <w:sz w:val="24"/>
          <w:szCs w:val="24"/>
        </w:rPr>
        <w:t xml:space="preserve">j </w:t>
      </w:r>
      <w:r>
        <w:rPr>
          <w:rFonts w:ascii="宋体" w:eastAsia="宋体" w:hAnsi="宋体" w:hint="eastAsia"/>
          <w:sz w:val="24"/>
          <w:szCs w:val="24"/>
        </w:rPr>
        <w:t>声源工作时间，</w:t>
      </w:r>
      <w:r>
        <w:rPr>
          <w:rFonts w:ascii="TimesNewRomanPSMT" w:eastAsia="TimesNewRomanPSMT" w:hAnsi="TimesNewRomanPSMT" w:hint="eastAsia"/>
          <w:sz w:val="24"/>
          <w:szCs w:val="24"/>
        </w:rPr>
        <w:t>s</w:t>
      </w:r>
    </w:p>
    <w:p w:rsidR="00DB7CC8" w:rsidRDefault="002B5250">
      <w:pPr>
        <w:pStyle w:val="1d"/>
        <w:numPr>
          <w:ilvl w:val="0"/>
          <w:numId w:val="6"/>
        </w:numPr>
        <w:spacing w:before="60" w:after="60" w:line="480" w:lineRule="exact"/>
        <w:ind w:firstLineChars="200" w:firstLine="456"/>
        <w:rPr>
          <w:rFonts w:ascii="宋体" w:eastAsia="宋体" w:hAnsi="宋体"/>
          <w:sz w:val="24"/>
          <w:szCs w:val="24"/>
        </w:rPr>
      </w:pPr>
      <w:r>
        <w:rPr>
          <w:rFonts w:ascii="宋体" w:eastAsia="宋体" w:hAnsi="宋体" w:hint="eastAsia"/>
          <w:sz w:val="24"/>
          <w:szCs w:val="24"/>
        </w:rPr>
        <w:t>预测点的噪声预测值</w:t>
      </w:r>
    </w:p>
    <w:p w:rsidR="00DB7CC8" w:rsidRDefault="002B5250">
      <w:pPr>
        <w:pStyle w:val="1d"/>
        <w:spacing w:before="60" w:after="60" w:line="480" w:lineRule="exact"/>
        <w:ind w:leftChars="200" w:left="560"/>
        <w:rPr>
          <w:rFonts w:ascii="宋体" w:eastAsia="宋体" w:hAnsi="宋体"/>
          <w:sz w:val="24"/>
          <w:szCs w:val="24"/>
        </w:rPr>
      </w:pPr>
      <w:r>
        <w:rPr>
          <w:rFonts w:ascii="宋体" w:eastAsia="宋体" w:hAnsi="宋体" w:hint="eastAsia"/>
          <w:noProof/>
          <w:sz w:val="24"/>
          <w:szCs w:val="24"/>
        </w:rPr>
        <w:drawing>
          <wp:anchor distT="0" distB="0" distL="114300" distR="114300" simplePos="0" relativeHeight="251685888" behindDoc="0" locked="0" layoutInCell="1" allowOverlap="1">
            <wp:simplePos x="0" y="0"/>
            <wp:positionH relativeFrom="column">
              <wp:posOffset>601345</wp:posOffset>
            </wp:positionH>
            <wp:positionV relativeFrom="paragraph">
              <wp:posOffset>9525</wp:posOffset>
            </wp:positionV>
            <wp:extent cx="2667000" cy="552450"/>
            <wp:effectExtent l="0" t="0" r="0" b="0"/>
            <wp:wrapNone/>
            <wp:docPr id="9" name="图片 4" descr="168508230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descr="1685082308307"/>
                    <pic:cNvPicPr>
                      <a:picLocks noChangeAspect="1"/>
                    </pic:cNvPicPr>
                  </pic:nvPicPr>
                  <pic:blipFill>
                    <a:blip r:embed="rId114"/>
                    <a:stretch>
                      <a:fillRect/>
                    </a:stretch>
                  </pic:blipFill>
                  <pic:spPr>
                    <a:xfrm>
                      <a:off x="0" y="0"/>
                      <a:ext cx="2667000" cy="552450"/>
                    </a:xfrm>
                    <a:prstGeom prst="rect">
                      <a:avLst/>
                    </a:prstGeom>
                    <a:noFill/>
                    <a:ln>
                      <a:noFill/>
                    </a:ln>
                  </pic:spPr>
                </pic:pic>
              </a:graphicData>
            </a:graphic>
          </wp:anchor>
        </w:drawing>
      </w:r>
    </w:p>
    <w:p w:rsidR="00DB7CC8" w:rsidRDefault="00DB7CC8">
      <w:pPr>
        <w:pStyle w:val="1d"/>
        <w:spacing w:before="60" w:after="60" w:line="480" w:lineRule="exact"/>
        <w:ind w:leftChars="200" w:left="560"/>
        <w:rPr>
          <w:rFonts w:ascii="宋体" w:eastAsia="宋体" w:hAnsi="宋体"/>
          <w:sz w:val="24"/>
          <w:szCs w:val="24"/>
        </w:rPr>
      </w:pPr>
    </w:p>
    <w:p w:rsidR="00DB7CC8" w:rsidRDefault="002B5250">
      <w:pPr>
        <w:ind w:firstLine="480"/>
        <w:textAlignment w:val="auto"/>
        <w:rPr>
          <w:rFonts w:ascii="宋体" w:hAnsi="宋体"/>
          <w:sz w:val="24"/>
          <w:szCs w:val="24"/>
        </w:rPr>
      </w:pPr>
      <w:r>
        <w:rPr>
          <w:rFonts w:ascii="宋体" w:hAnsi="宋体" w:hint="eastAsia"/>
          <w:sz w:val="24"/>
          <w:szCs w:val="24"/>
        </w:rPr>
        <w:t>式中：</w:t>
      </w:r>
      <w:r>
        <w:rPr>
          <w:rFonts w:ascii="TimesNewRomanPSMT" w:eastAsia="TimesNewRomanPSMT" w:hAnsi="TimesNewRomanPSMT" w:hint="eastAsia"/>
          <w:sz w:val="24"/>
          <w:szCs w:val="24"/>
        </w:rPr>
        <w:t>Leq</w:t>
      </w:r>
      <w:r>
        <w:rPr>
          <w:rFonts w:ascii="TimesNewRomanPSMT" w:eastAsia="TimesNewRomanPSMT" w:hAnsi="TimesNewRomanPSMT" w:hint="eastAsia"/>
          <w:sz w:val="24"/>
          <w:szCs w:val="24"/>
        </w:rPr>
        <w:t>——</w:t>
      </w:r>
      <w:r>
        <w:rPr>
          <w:rFonts w:ascii="宋体" w:hAnsi="宋体" w:hint="eastAsia"/>
          <w:sz w:val="24"/>
          <w:szCs w:val="24"/>
        </w:rPr>
        <w:t>预测点的噪声预测值，</w:t>
      </w:r>
      <w:r>
        <w:rPr>
          <w:rFonts w:ascii="TimesNewRomanPSMT" w:eastAsia="TimesNewRomanPSMT" w:hAnsi="TimesNewRomanPSMT" w:hint="eastAsia"/>
          <w:sz w:val="24"/>
          <w:szCs w:val="24"/>
        </w:rPr>
        <w:t>dB</w:t>
      </w:r>
      <w:r>
        <w:rPr>
          <w:rFonts w:ascii="宋体" w:hAnsi="宋体" w:hint="eastAsia"/>
          <w:sz w:val="24"/>
          <w:szCs w:val="24"/>
        </w:rPr>
        <w:t>；</w:t>
      </w:r>
    </w:p>
    <w:p w:rsidR="00DB7CC8" w:rsidRDefault="002B5250">
      <w:pPr>
        <w:ind w:firstLine="480"/>
        <w:textAlignment w:val="auto"/>
        <w:rPr>
          <w:rFonts w:ascii="宋体" w:hAnsi="宋体"/>
          <w:sz w:val="24"/>
          <w:szCs w:val="24"/>
        </w:rPr>
      </w:pPr>
      <w:r>
        <w:rPr>
          <w:rFonts w:ascii="TimesNewRomanPSMT" w:eastAsia="TimesNewRomanPSMT" w:hAnsi="TimesNewRomanPSMT" w:hint="eastAsia"/>
          <w:sz w:val="24"/>
          <w:szCs w:val="24"/>
        </w:rPr>
        <w:t xml:space="preserve">Leqg </w:t>
      </w:r>
      <w:r>
        <w:rPr>
          <w:rFonts w:ascii="TimesNewRomanPSMT" w:eastAsia="TimesNewRomanPSMT" w:hAnsi="TimesNewRomanPSMT" w:hint="eastAsia"/>
          <w:sz w:val="24"/>
          <w:szCs w:val="24"/>
        </w:rPr>
        <w:t>——</w:t>
      </w:r>
      <w:r>
        <w:rPr>
          <w:rFonts w:ascii="宋体" w:hAnsi="宋体" w:hint="eastAsia"/>
          <w:sz w:val="24"/>
          <w:szCs w:val="24"/>
        </w:rPr>
        <w:t>建设项目声源在预测点的噪声贡献值，</w:t>
      </w:r>
      <w:r>
        <w:rPr>
          <w:rFonts w:ascii="TimesNewRomanPSMT" w:eastAsia="TimesNewRomanPSMT" w:hAnsi="TimesNewRomanPSMT" w:hint="eastAsia"/>
          <w:sz w:val="24"/>
          <w:szCs w:val="24"/>
        </w:rPr>
        <w:t>dB</w:t>
      </w:r>
      <w:r>
        <w:rPr>
          <w:rFonts w:ascii="宋体" w:hAnsi="宋体" w:hint="eastAsia"/>
          <w:sz w:val="24"/>
          <w:szCs w:val="24"/>
        </w:rPr>
        <w:t>；</w:t>
      </w:r>
    </w:p>
    <w:p w:rsidR="00DB7CC8" w:rsidRDefault="002B5250">
      <w:pPr>
        <w:pStyle w:val="1d"/>
        <w:adjustRightInd/>
        <w:spacing w:before="60" w:after="60" w:line="480" w:lineRule="exact"/>
        <w:ind w:firstLineChars="200" w:firstLine="456"/>
        <w:textAlignment w:val="auto"/>
        <w:rPr>
          <w:rFonts w:ascii="宋体" w:eastAsia="宋体" w:hAnsi="宋体"/>
          <w:sz w:val="24"/>
          <w:szCs w:val="24"/>
        </w:rPr>
      </w:pPr>
      <w:r>
        <w:rPr>
          <w:rFonts w:ascii="TimesNewRomanPSMT" w:eastAsia="TimesNewRomanPSMT" w:hAnsi="TimesNewRomanPSMT" w:hint="eastAsia"/>
          <w:sz w:val="24"/>
          <w:szCs w:val="24"/>
        </w:rPr>
        <w:t xml:space="preserve">Leqb </w:t>
      </w:r>
      <w:r>
        <w:rPr>
          <w:rFonts w:ascii="TimesNewRomanPSMT" w:eastAsia="TimesNewRomanPSMT" w:hAnsi="TimesNewRomanPSMT" w:hint="eastAsia"/>
          <w:sz w:val="24"/>
          <w:szCs w:val="24"/>
        </w:rPr>
        <w:t>——</w:t>
      </w:r>
      <w:r>
        <w:rPr>
          <w:rFonts w:ascii="宋体" w:eastAsia="宋体" w:hAnsi="宋体" w:hint="eastAsia"/>
          <w:sz w:val="24"/>
          <w:szCs w:val="24"/>
        </w:rPr>
        <w:t>预测点的背景噪声值，</w:t>
      </w:r>
      <w:r>
        <w:rPr>
          <w:rFonts w:ascii="TimesNewRomanPSMT" w:eastAsia="TimesNewRomanPSMT" w:hAnsi="TimesNewRomanPSMT" w:hint="eastAsia"/>
          <w:sz w:val="24"/>
          <w:szCs w:val="24"/>
        </w:rPr>
        <w:t>dB</w:t>
      </w:r>
      <w:r>
        <w:rPr>
          <w:rFonts w:ascii="宋体" w:eastAsia="宋体" w:hAnsi="宋体" w:hint="eastAsia"/>
          <w:sz w:val="24"/>
          <w:szCs w:val="24"/>
        </w:rPr>
        <w:t>。</w:t>
      </w:r>
    </w:p>
    <w:p w:rsidR="00DB7CC8" w:rsidRDefault="00DB7CC8">
      <w:pPr>
        <w:pStyle w:val="a0"/>
        <w:ind w:firstLine="560"/>
      </w:pPr>
    </w:p>
    <w:p w:rsidR="00DB7CC8" w:rsidRDefault="002B5250">
      <w:pPr>
        <w:pStyle w:val="4"/>
        <w:numPr>
          <w:ilvl w:val="3"/>
          <w:numId w:val="1"/>
        </w:numPr>
        <w:ind w:left="709" w:hanging="709"/>
        <w:rPr>
          <w:rFonts w:eastAsia="宋体"/>
          <w:b/>
        </w:rPr>
      </w:pPr>
      <w:bookmarkStart w:id="425" w:name="_Toc430288863"/>
      <w:bookmarkStart w:id="426" w:name="_Toc395710450"/>
      <w:r>
        <w:rPr>
          <w:rFonts w:eastAsia="宋体"/>
          <w:b/>
        </w:rPr>
        <w:lastRenderedPageBreak/>
        <w:t>预测范围和内容</w:t>
      </w:r>
      <w:bookmarkEnd w:id="425"/>
      <w:bookmarkEnd w:id="426"/>
    </w:p>
    <w:p w:rsidR="00DB7CC8" w:rsidRDefault="002B5250">
      <w:pPr>
        <w:autoSpaceDE w:val="0"/>
        <w:autoSpaceDN w:val="0"/>
        <w:ind w:firstLine="480"/>
        <w:textAlignment w:val="auto"/>
        <w:rPr>
          <w:sz w:val="24"/>
        </w:rPr>
      </w:pPr>
      <w:r>
        <w:rPr>
          <w:sz w:val="24"/>
        </w:rPr>
        <w:t>本项目预测分析在考虑生产车间及建筑物墙体及其它控制措施等对主要设备声源排放噪声的削减作用情况下，主要噪声源同时运行的厂界噪声值。</w:t>
      </w:r>
    </w:p>
    <w:p w:rsidR="00DB7CC8" w:rsidRDefault="002B5250">
      <w:pPr>
        <w:autoSpaceDE w:val="0"/>
        <w:autoSpaceDN w:val="0"/>
        <w:ind w:firstLine="480"/>
        <w:textAlignment w:val="auto"/>
        <w:rPr>
          <w:sz w:val="24"/>
        </w:rPr>
      </w:pPr>
      <w:r>
        <w:rPr>
          <w:sz w:val="24"/>
        </w:rPr>
        <w:t>本次预测在四侧厂界外</w:t>
      </w:r>
      <w:r>
        <w:rPr>
          <w:sz w:val="24"/>
        </w:rPr>
        <w:t>1m</w:t>
      </w:r>
      <w:r>
        <w:rPr>
          <w:sz w:val="24"/>
        </w:rPr>
        <w:t>处设置预测断面，预测厂界最大噪声贡献值，分析其达标性。</w:t>
      </w:r>
    </w:p>
    <w:p w:rsidR="00DB7CC8" w:rsidRDefault="002B5250">
      <w:pPr>
        <w:pStyle w:val="4"/>
        <w:numPr>
          <w:ilvl w:val="3"/>
          <w:numId w:val="1"/>
        </w:numPr>
        <w:ind w:left="709" w:hanging="709"/>
        <w:rPr>
          <w:rFonts w:eastAsia="宋体"/>
          <w:b/>
        </w:rPr>
      </w:pPr>
      <w:bookmarkStart w:id="427" w:name="_Hlk18933218"/>
      <w:r>
        <w:rPr>
          <w:rFonts w:eastAsia="宋体"/>
          <w:b/>
        </w:rPr>
        <w:t>预测结果及分析</w:t>
      </w:r>
    </w:p>
    <w:p w:rsidR="00DB7CC8" w:rsidRDefault="002B5250">
      <w:pPr>
        <w:autoSpaceDE w:val="0"/>
        <w:autoSpaceDN w:val="0"/>
        <w:ind w:firstLine="480"/>
        <w:textAlignment w:val="auto"/>
        <w:rPr>
          <w:sz w:val="24"/>
        </w:rPr>
      </w:pPr>
      <w:bookmarkStart w:id="428" w:name="_Hlk522132841"/>
      <w:r>
        <w:rPr>
          <w:sz w:val="24"/>
        </w:rPr>
        <w:t>根据以上预测模型，结合本项目平面布置图和噪声源，考虑到项目多种设备噪声的叠加影响，厂界处噪声预测结果见表</w:t>
      </w:r>
      <w:r>
        <w:rPr>
          <w:sz w:val="24"/>
        </w:rPr>
        <w:t>5.2-31</w:t>
      </w:r>
      <w:r>
        <w:rPr>
          <w:sz w:val="24"/>
        </w:rPr>
        <w:t>。</w:t>
      </w:r>
    </w:p>
    <w:bookmarkEnd w:id="428"/>
    <w:p w:rsidR="00DB7CC8" w:rsidRDefault="002B5250">
      <w:pPr>
        <w:pStyle w:val="af2"/>
        <w:spacing w:after="0"/>
        <w:ind w:firstLine="420"/>
        <w:jc w:val="center"/>
        <w:rPr>
          <w:highlight w:val="green"/>
        </w:rPr>
      </w:pPr>
      <w:r>
        <w:rPr>
          <w:rFonts w:eastAsia="黑体"/>
          <w:kern w:val="2"/>
          <w:sz w:val="21"/>
          <w:szCs w:val="21"/>
          <w:highlight w:val="green"/>
        </w:rPr>
        <w:t>表</w:t>
      </w:r>
      <w:r>
        <w:rPr>
          <w:rFonts w:eastAsia="黑体"/>
          <w:kern w:val="2"/>
          <w:sz w:val="21"/>
          <w:szCs w:val="21"/>
          <w:highlight w:val="green"/>
        </w:rPr>
        <w:t>5.2-</w:t>
      </w:r>
      <w:r>
        <w:rPr>
          <w:rFonts w:eastAsia="黑体" w:hint="eastAsia"/>
          <w:kern w:val="2"/>
          <w:sz w:val="21"/>
          <w:szCs w:val="21"/>
          <w:highlight w:val="green"/>
        </w:rPr>
        <w:t xml:space="preserve">31   </w:t>
      </w:r>
      <w:r>
        <w:rPr>
          <w:rFonts w:eastAsia="黑体"/>
          <w:kern w:val="2"/>
          <w:sz w:val="21"/>
          <w:szCs w:val="21"/>
          <w:highlight w:val="green"/>
        </w:rPr>
        <w:t>项目厂界噪声预测结果</w:t>
      </w:r>
      <w:r>
        <w:rPr>
          <w:rFonts w:eastAsia="黑体" w:hint="eastAsia"/>
          <w:kern w:val="2"/>
          <w:sz w:val="21"/>
          <w:szCs w:val="21"/>
          <w:highlight w:val="green"/>
        </w:rPr>
        <w:t xml:space="preserve">         </w:t>
      </w:r>
      <w:r>
        <w:rPr>
          <w:rFonts w:eastAsia="黑体"/>
          <w:kern w:val="2"/>
          <w:sz w:val="21"/>
          <w:szCs w:val="21"/>
          <w:highlight w:val="green"/>
        </w:rPr>
        <w:t>单位：</w:t>
      </w:r>
      <w:r>
        <w:rPr>
          <w:rFonts w:eastAsia="黑体"/>
          <w:kern w:val="2"/>
          <w:sz w:val="21"/>
          <w:szCs w:val="21"/>
          <w:highlight w:val="green"/>
        </w:rPr>
        <w:t>dB(A)</w:t>
      </w:r>
    </w:p>
    <w:tbl>
      <w:tblPr>
        <w:tblW w:w="79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2"/>
        <w:gridCol w:w="1025"/>
        <w:gridCol w:w="960"/>
        <w:gridCol w:w="709"/>
        <w:gridCol w:w="708"/>
        <w:gridCol w:w="709"/>
        <w:gridCol w:w="709"/>
        <w:gridCol w:w="709"/>
        <w:gridCol w:w="708"/>
        <w:gridCol w:w="943"/>
      </w:tblGrid>
      <w:tr w:rsidR="00DB7CC8">
        <w:trPr>
          <w:trHeight w:val="312"/>
          <w:jc w:val="center"/>
        </w:trPr>
        <w:tc>
          <w:tcPr>
            <w:tcW w:w="722" w:type="dxa"/>
            <w:vMerge w:val="restart"/>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序号</w:t>
            </w:r>
          </w:p>
        </w:tc>
        <w:tc>
          <w:tcPr>
            <w:tcW w:w="1025" w:type="dxa"/>
            <w:vMerge w:val="restart"/>
            <w:noWrap/>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预测点</w:t>
            </w:r>
          </w:p>
        </w:tc>
        <w:tc>
          <w:tcPr>
            <w:tcW w:w="3086" w:type="dxa"/>
            <w:gridSpan w:val="4"/>
            <w:noWrap/>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昼间</w:t>
            </w:r>
          </w:p>
        </w:tc>
        <w:tc>
          <w:tcPr>
            <w:tcW w:w="3069" w:type="dxa"/>
            <w:gridSpan w:val="4"/>
            <w:noWrap/>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夜间</w:t>
            </w:r>
          </w:p>
        </w:tc>
      </w:tr>
      <w:tr w:rsidR="00DB7CC8">
        <w:trPr>
          <w:trHeight w:val="312"/>
          <w:jc w:val="center"/>
        </w:trPr>
        <w:tc>
          <w:tcPr>
            <w:tcW w:w="722" w:type="dxa"/>
            <w:vMerge/>
            <w:vAlign w:val="center"/>
          </w:tcPr>
          <w:p w:rsidR="00DB7CC8" w:rsidRDefault="00DB7CC8">
            <w:pPr>
              <w:snapToGrid w:val="0"/>
              <w:spacing w:line="240" w:lineRule="auto"/>
              <w:ind w:firstLineChars="0" w:firstLine="0"/>
              <w:jc w:val="center"/>
              <w:rPr>
                <w:sz w:val="21"/>
                <w:szCs w:val="21"/>
                <w:highlight w:val="green"/>
              </w:rPr>
            </w:pPr>
          </w:p>
        </w:tc>
        <w:tc>
          <w:tcPr>
            <w:tcW w:w="1025" w:type="dxa"/>
            <w:vMerge/>
            <w:noWrap/>
            <w:vAlign w:val="center"/>
          </w:tcPr>
          <w:p w:rsidR="00DB7CC8" w:rsidRDefault="00DB7CC8">
            <w:pPr>
              <w:snapToGrid w:val="0"/>
              <w:spacing w:line="240" w:lineRule="auto"/>
              <w:ind w:firstLineChars="0" w:firstLine="0"/>
              <w:jc w:val="center"/>
              <w:rPr>
                <w:sz w:val="21"/>
                <w:szCs w:val="21"/>
                <w:highlight w:val="green"/>
              </w:rPr>
            </w:pPr>
          </w:p>
        </w:tc>
        <w:tc>
          <w:tcPr>
            <w:tcW w:w="960" w:type="dxa"/>
            <w:noWrap/>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贡献值</w:t>
            </w:r>
          </w:p>
        </w:tc>
        <w:tc>
          <w:tcPr>
            <w:tcW w:w="709"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监测值</w:t>
            </w:r>
          </w:p>
        </w:tc>
        <w:tc>
          <w:tcPr>
            <w:tcW w:w="708" w:type="dxa"/>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预测值</w:t>
            </w:r>
          </w:p>
        </w:tc>
        <w:tc>
          <w:tcPr>
            <w:tcW w:w="709" w:type="dxa"/>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达标情况</w:t>
            </w:r>
          </w:p>
        </w:tc>
        <w:tc>
          <w:tcPr>
            <w:tcW w:w="709" w:type="dxa"/>
            <w:noWrap/>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贡献值</w:t>
            </w:r>
          </w:p>
        </w:tc>
        <w:tc>
          <w:tcPr>
            <w:tcW w:w="709"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监测值</w:t>
            </w:r>
          </w:p>
        </w:tc>
        <w:tc>
          <w:tcPr>
            <w:tcW w:w="708" w:type="dxa"/>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预测值</w:t>
            </w:r>
          </w:p>
        </w:tc>
        <w:tc>
          <w:tcPr>
            <w:tcW w:w="943" w:type="dxa"/>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达标情况</w:t>
            </w:r>
          </w:p>
        </w:tc>
      </w:tr>
      <w:tr w:rsidR="00DB7CC8">
        <w:trPr>
          <w:trHeight w:val="312"/>
          <w:jc w:val="center"/>
        </w:trPr>
        <w:tc>
          <w:tcPr>
            <w:tcW w:w="722" w:type="dxa"/>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1#</w:t>
            </w:r>
          </w:p>
        </w:tc>
        <w:tc>
          <w:tcPr>
            <w:tcW w:w="1025" w:type="dxa"/>
            <w:noWrap/>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东厂界</w:t>
            </w:r>
          </w:p>
        </w:tc>
        <w:tc>
          <w:tcPr>
            <w:tcW w:w="960" w:type="dxa"/>
            <w:noWrap/>
            <w:vAlign w:val="center"/>
          </w:tcPr>
          <w:p w:rsidR="00DB7CC8" w:rsidRDefault="002B5250">
            <w:pPr>
              <w:autoSpaceDE w:val="0"/>
              <w:autoSpaceDN w:val="0"/>
              <w:spacing w:line="240" w:lineRule="auto"/>
              <w:ind w:firstLineChars="0" w:firstLine="0"/>
              <w:jc w:val="center"/>
              <w:textAlignment w:val="auto"/>
              <w:rPr>
                <w:sz w:val="21"/>
                <w:szCs w:val="21"/>
                <w:highlight w:val="green"/>
              </w:rPr>
            </w:pPr>
            <w:r>
              <w:rPr>
                <w:sz w:val="21"/>
                <w:szCs w:val="21"/>
                <w:highlight w:val="green"/>
              </w:rPr>
              <w:t>44.26</w:t>
            </w:r>
          </w:p>
        </w:tc>
        <w:tc>
          <w:tcPr>
            <w:tcW w:w="709"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54.5</w:t>
            </w:r>
          </w:p>
        </w:tc>
        <w:tc>
          <w:tcPr>
            <w:tcW w:w="708"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54.89</w:t>
            </w:r>
          </w:p>
        </w:tc>
        <w:tc>
          <w:tcPr>
            <w:tcW w:w="709" w:type="dxa"/>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达标</w:t>
            </w:r>
          </w:p>
        </w:tc>
        <w:tc>
          <w:tcPr>
            <w:tcW w:w="709" w:type="dxa"/>
            <w:noWrap/>
            <w:vAlign w:val="center"/>
          </w:tcPr>
          <w:p w:rsidR="00DB7CC8" w:rsidRDefault="002B5250">
            <w:pPr>
              <w:autoSpaceDE w:val="0"/>
              <w:autoSpaceDN w:val="0"/>
              <w:spacing w:line="240" w:lineRule="auto"/>
              <w:ind w:firstLineChars="0" w:firstLine="0"/>
              <w:jc w:val="center"/>
              <w:textAlignment w:val="auto"/>
              <w:rPr>
                <w:sz w:val="21"/>
                <w:szCs w:val="21"/>
                <w:highlight w:val="green"/>
              </w:rPr>
            </w:pPr>
            <w:r>
              <w:rPr>
                <w:sz w:val="21"/>
                <w:szCs w:val="21"/>
                <w:highlight w:val="green"/>
              </w:rPr>
              <w:t>44.26</w:t>
            </w:r>
          </w:p>
        </w:tc>
        <w:tc>
          <w:tcPr>
            <w:tcW w:w="709"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48.1</w:t>
            </w:r>
          </w:p>
        </w:tc>
        <w:tc>
          <w:tcPr>
            <w:tcW w:w="708"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49.6</w:t>
            </w:r>
          </w:p>
        </w:tc>
        <w:tc>
          <w:tcPr>
            <w:tcW w:w="943" w:type="dxa"/>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达标</w:t>
            </w:r>
          </w:p>
        </w:tc>
      </w:tr>
      <w:tr w:rsidR="00DB7CC8">
        <w:trPr>
          <w:trHeight w:val="312"/>
          <w:jc w:val="center"/>
        </w:trPr>
        <w:tc>
          <w:tcPr>
            <w:tcW w:w="722" w:type="dxa"/>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2#</w:t>
            </w:r>
          </w:p>
        </w:tc>
        <w:tc>
          <w:tcPr>
            <w:tcW w:w="1025" w:type="dxa"/>
            <w:noWrap/>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南厂界</w:t>
            </w:r>
          </w:p>
        </w:tc>
        <w:tc>
          <w:tcPr>
            <w:tcW w:w="960" w:type="dxa"/>
            <w:noWrap/>
            <w:vAlign w:val="center"/>
          </w:tcPr>
          <w:p w:rsidR="00DB7CC8" w:rsidRDefault="002B5250">
            <w:pPr>
              <w:autoSpaceDE w:val="0"/>
              <w:autoSpaceDN w:val="0"/>
              <w:spacing w:line="240" w:lineRule="auto"/>
              <w:ind w:firstLineChars="0" w:firstLine="0"/>
              <w:jc w:val="center"/>
              <w:textAlignment w:val="auto"/>
              <w:rPr>
                <w:sz w:val="21"/>
                <w:szCs w:val="21"/>
                <w:highlight w:val="green"/>
              </w:rPr>
            </w:pPr>
            <w:r>
              <w:rPr>
                <w:sz w:val="21"/>
                <w:szCs w:val="21"/>
                <w:highlight w:val="green"/>
              </w:rPr>
              <w:t>41.28</w:t>
            </w:r>
          </w:p>
        </w:tc>
        <w:tc>
          <w:tcPr>
            <w:tcW w:w="709"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54.8</w:t>
            </w:r>
          </w:p>
        </w:tc>
        <w:tc>
          <w:tcPr>
            <w:tcW w:w="708"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54.99</w:t>
            </w:r>
          </w:p>
        </w:tc>
        <w:tc>
          <w:tcPr>
            <w:tcW w:w="709" w:type="dxa"/>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达标</w:t>
            </w:r>
          </w:p>
        </w:tc>
        <w:tc>
          <w:tcPr>
            <w:tcW w:w="709" w:type="dxa"/>
            <w:noWrap/>
            <w:vAlign w:val="center"/>
          </w:tcPr>
          <w:p w:rsidR="00DB7CC8" w:rsidRDefault="002B5250">
            <w:pPr>
              <w:autoSpaceDE w:val="0"/>
              <w:autoSpaceDN w:val="0"/>
              <w:spacing w:line="240" w:lineRule="auto"/>
              <w:ind w:firstLineChars="0" w:firstLine="0"/>
              <w:jc w:val="center"/>
              <w:textAlignment w:val="auto"/>
              <w:rPr>
                <w:sz w:val="21"/>
                <w:szCs w:val="21"/>
                <w:highlight w:val="green"/>
              </w:rPr>
            </w:pPr>
            <w:r>
              <w:rPr>
                <w:sz w:val="21"/>
                <w:szCs w:val="21"/>
                <w:highlight w:val="green"/>
              </w:rPr>
              <w:t>41.28</w:t>
            </w:r>
          </w:p>
        </w:tc>
        <w:tc>
          <w:tcPr>
            <w:tcW w:w="709"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46.8</w:t>
            </w:r>
          </w:p>
        </w:tc>
        <w:tc>
          <w:tcPr>
            <w:tcW w:w="708"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47.87</w:t>
            </w:r>
          </w:p>
        </w:tc>
        <w:tc>
          <w:tcPr>
            <w:tcW w:w="943" w:type="dxa"/>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达标</w:t>
            </w:r>
          </w:p>
        </w:tc>
      </w:tr>
      <w:tr w:rsidR="00DB7CC8">
        <w:trPr>
          <w:trHeight w:val="312"/>
          <w:jc w:val="center"/>
        </w:trPr>
        <w:tc>
          <w:tcPr>
            <w:tcW w:w="722" w:type="dxa"/>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3#</w:t>
            </w:r>
          </w:p>
        </w:tc>
        <w:tc>
          <w:tcPr>
            <w:tcW w:w="1025" w:type="dxa"/>
            <w:noWrap/>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西厂界</w:t>
            </w:r>
          </w:p>
        </w:tc>
        <w:tc>
          <w:tcPr>
            <w:tcW w:w="960" w:type="dxa"/>
            <w:noWrap/>
            <w:vAlign w:val="center"/>
          </w:tcPr>
          <w:p w:rsidR="00DB7CC8" w:rsidRDefault="002B5250">
            <w:pPr>
              <w:autoSpaceDE w:val="0"/>
              <w:autoSpaceDN w:val="0"/>
              <w:spacing w:line="240" w:lineRule="auto"/>
              <w:ind w:firstLineChars="0" w:firstLine="0"/>
              <w:jc w:val="center"/>
              <w:textAlignment w:val="auto"/>
              <w:rPr>
                <w:sz w:val="21"/>
                <w:szCs w:val="21"/>
                <w:highlight w:val="green"/>
              </w:rPr>
            </w:pPr>
            <w:r>
              <w:rPr>
                <w:sz w:val="21"/>
                <w:szCs w:val="21"/>
                <w:highlight w:val="green"/>
              </w:rPr>
              <w:t>32.71</w:t>
            </w:r>
          </w:p>
        </w:tc>
        <w:tc>
          <w:tcPr>
            <w:tcW w:w="709"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54.2</w:t>
            </w:r>
          </w:p>
        </w:tc>
        <w:tc>
          <w:tcPr>
            <w:tcW w:w="708"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54.23</w:t>
            </w:r>
          </w:p>
        </w:tc>
        <w:tc>
          <w:tcPr>
            <w:tcW w:w="709" w:type="dxa"/>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达标</w:t>
            </w:r>
          </w:p>
        </w:tc>
        <w:tc>
          <w:tcPr>
            <w:tcW w:w="709" w:type="dxa"/>
            <w:noWrap/>
            <w:vAlign w:val="center"/>
          </w:tcPr>
          <w:p w:rsidR="00DB7CC8" w:rsidRDefault="002B5250">
            <w:pPr>
              <w:autoSpaceDE w:val="0"/>
              <w:autoSpaceDN w:val="0"/>
              <w:spacing w:line="240" w:lineRule="auto"/>
              <w:ind w:firstLineChars="0" w:firstLine="0"/>
              <w:jc w:val="center"/>
              <w:textAlignment w:val="auto"/>
              <w:rPr>
                <w:sz w:val="21"/>
                <w:szCs w:val="21"/>
                <w:highlight w:val="green"/>
              </w:rPr>
            </w:pPr>
            <w:r>
              <w:rPr>
                <w:sz w:val="21"/>
                <w:szCs w:val="21"/>
                <w:highlight w:val="green"/>
              </w:rPr>
              <w:t>32.71</w:t>
            </w:r>
          </w:p>
        </w:tc>
        <w:tc>
          <w:tcPr>
            <w:tcW w:w="709" w:type="dxa"/>
            <w:vAlign w:val="center"/>
          </w:tcPr>
          <w:p w:rsidR="00DB7CC8" w:rsidRDefault="002B5250">
            <w:pPr>
              <w:snapToGrid w:val="0"/>
              <w:spacing w:line="240" w:lineRule="auto"/>
              <w:ind w:firstLineChars="0" w:firstLine="0"/>
              <w:rPr>
                <w:sz w:val="21"/>
                <w:szCs w:val="21"/>
                <w:highlight w:val="green"/>
              </w:rPr>
            </w:pPr>
            <w:r>
              <w:rPr>
                <w:rFonts w:hint="eastAsia"/>
                <w:sz w:val="21"/>
                <w:szCs w:val="21"/>
                <w:highlight w:val="green"/>
              </w:rPr>
              <w:t>48.8</w:t>
            </w:r>
          </w:p>
        </w:tc>
        <w:tc>
          <w:tcPr>
            <w:tcW w:w="708"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48.91</w:t>
            </w:r>
          </w:p>
        </w:tc>
        <w:tc>
          <w:tcPr>
            <w:tcW w:w="943" w:type="dxa"/>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达标</w:t>
            </w:r>
          </w:p>
        </w:tc>
      </w:tr>
      <w:tr w:rsidR="00DB7CC8">
        <w:trPr>
          <w:trHeight w:val="312"/>
          <w:jc w:val="center"/>
        </w:trPr>
        <w:tc>
          <w:tcPr>
            <w:tcW w:w="722" w:type="dxa"/>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4#</w:t>
            </w:r>
          </w:p>
        </w:tc>
        <w:tc>
          <w:tcPr>
            <w:tcW w:w="1025" w:type="dxa"/>
            <w:noWrap/>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北厂界</w:t>
            </w:r>
          </w:p>
        </w:tc>
        <w:tc>
          <w:tcPr>
            <w:tcW w:w="960" w:type="dxa"/>
            <w:noWrap/>
            <w:vAlign w:val="center"/>
          </w:tcPr>
          <w:p w:rsidR="00DB7CC8" w:rsidRDefault="002B5250">
            <w:pPr>
              <w:autoSpaceDE w:val="0"/>
              <w:autoSpaceDN w:val="0"/>
              <w:spacing w:line="240" w:lineRule="auto"/>
              <w:ind w:firstLineChars="0" w:firstLine="0"/>
              <w:jc w:val="center"/>
              <w:textAlignment w:val="auto"/>
              <w:rPr>
                <w:sz w:val="21"/>
                <w:szCs w:val="21"/>
                <w:highlight w:val="green"/>
              </w:rPr>
            </w:pPr>
            <w:r>
              <w:rPr>
                <w:sz w:val="21"/>
                <w:szCs w:val="21"/>
                <w:highlight w:val="green"/>
              </w:rPr>
              <w:t>42.25</w:t>
            </w:r>
          </w:p>
        </w:tc>
        <w:tc>
          <w:tcPr>
            <w:tcW w:w="709"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55.2</w:t>
            </w:r>
          </w:p>
        </w:tc>
        <w:tc>
          <w:tcPr>
            <w:tcW w:w="708"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55.41</w:t>
            </w:r>
          </w:p>
        </w:tc>
        <w:tc>
          <w:tcPr>
            <w:tcW w:w="709" w:type="dxa"/>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达标</w:t>
            </w:r>
          </w:p>
        </w:tc>
        <w:tc>
          <w:tcPr>
            <w:tcW w:w="709" w:type="dxa"/>
            <w:noWrap/>
            <w:vAlign w:val="center"/>
          </w:tcPr>
          <w:p w:rsidR="00DB7CC8" w:rsidRDefault="002B5250">
            <w:pPr>
              <w:autoSpaceDE w:val="0"/>
              <w:autoSpaceDN w:val="0"/>
              <w:spacing w:line="240" w:lineRule="auto"/>
              <w:ind w:firstLineChars="0" w:firstLine="0"/>
              <w:jc w:val="center"/>
              <w:textAlignment w:val="auto"/>
              <w:rPr>
                <w:sz w:val="21"/>
                <w:szCs w:val="21"/>
                <w:highlight w:val="green"/>
              </w:rPr>
            </w:pPr>
            <w:r>
              <w:rPr>
                <w:sz w:val="21"/>
                <w:szCs w:val="21"/>
                <w:highlight w:val="green"/>
              </w:rPr>
              <w:t>42.25</w:t>
            </w:r>
          </w:p>
        </w:tc>
        <w:tc>
          <w:tcPr>
            <w:tcW w:w="709"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47.6</w:t>
            </w:r>
          </w:p>
        </w:tc>
        <w:tc>
          <w:tcPr>
            <w:tcW w:w="708" w:type="dxa"/>
            <w:vAlign w:val="center"/>
          </w:tcPr>
          <w:p w:rsidR="00DB7CC8" w:rsidRDefault="002B5250">
            <w:pPr>
              <w:snapToGrid w:val="0"/>
              <w:spacing w:line="240" w:lineRule="auto"/>
              <w:ind w:firstLineChars="0" w:firstLine="0"/>
              <w:jc w:val="center"/>
              <w:rPr>
                <w:sz w:val="21"/>
                <w:szCs w:val="21"/>
                <w:highlight w:val="green"/>
              </w:rPr>
            </w:pPr>
            <w:r>
              <w:rPr>
                <w:rFonts w:hint="eastAsia"/>
                <w:sz w:val="21"/>
                <w:szCs w:val="21"/>
                <w:highlight w:val="green"/>
              </w:rPr>
              <w:t>48.71</w:t>
            </w:r>
          </w:p>
        </w:tc>
        <w:tc>
          <w:tcPr>
            <w:tcW w:w="943" w:type="dxa"/>
            <w:vAlign w:val="center"/>
          </w:tcPr>
          <w:p w:rsidR="00DB7CC8" w:rsidRDefault="002B5250">
            <w:pPr>
              <w:snapToGrid w:val="0"/>
              <w:spacing w:line="240" w:lineRule="auto"/>
              <w:ind w:firstLineChars="0" w:firstLine="0"/>
              <w:jc w:val="center"/>
              <w:rPr>
                <w:sz w:val="21"/>
                <w:szCs w:val="21"/>
                <w:highlight w:val="green"/>
              </w:rPr>
            </w:pPr>
            <w:r>
              <w:rPr>
                <w:sz w:val="21"/>
                <w:szCs w:val="21"/>
                <w:highlight w:val="green"/>
              </w:rPr>
              <w:t>达标</w:t>
            </w:r>
          </w:p>
        </w:tc>
      </w:tr>
    </w:tbl>
    <w:bookmarkEnd w:id="427"/>
    <w:p w:rsidR="00DB7CC8" w:rsidRDefault="002B5250">
      <w:pPr>
        <w:autoSpaceDE w:val="0"/>
        <w:autoSpaceDN w:val="0"/>
        <w:spacing w:beforeLines="50" w:before="120"/>
        <w:ind w:firstLine="420"/>
        <w:jc w:val="both"/>
        <w:textAlignment w:val="auto"/>
        <w:rPr>
          <w:sz w:val="24"/>
          <w:szCs w:val="24"/>
        </w:rPr>
      </w:pPr>
      <w:r>
        <w:rPr>
          <w:rFonts w:eastAsia="黑体"/>
          <w:bCs/>
          <w:noProof/>
          <w:kern w:val="2"/>
          <w:sz w:val="21"/>
          <w:szCs w:val="21"/>
        </w:rPr>
        <mc:AlternateContent>
          <mc:Choice Requires="wps">
            <w:drawing>
              <wp:anchor distT="0" distB="0" distL="114300" distR="114300" simplePos="0" relativeHeight="251662336" behindDoc="0" locked="0" layoutInCell="1" allowOverlap="1">
                <wp:simplePos x="0" y="0"/>
                <wp:positionH relativeFrom="column">
                  <wp:posOffset>1640205</wp:posOffset>
                </wp:positionH>
                <wp:positionV relativeFrom="paragraph">
                  <wp:posOffset>6567805</wp:posOffset>
                </wp:positionV>
                <wp:extent cx="2628900" cy="433070"/>
                <wp:effectExtent l="0" t="0" r="0" b="0"/>
                <wp:wrapNone/>
                <wp:docPr id="22" name="文本框 167"/>
                <wp:cNvGraphicFramePr/>
                <a:graphic xmlns:a="http://schemas.openxmlformats.org/drawingml/2006/main">
                  <a:graphicData uri="http://schemas.microsoft.com/office/word/2010/wordprocessingShape">
                    <wps:wsp>
                      <wps:cNvSpPr txBox="1"/>
                      <wps:spPr>
                        <a:xfrm>
                          <a:off x="0" y="0"/>
                          <a:ext cx="2628900" cy="433070"/>
                        </a:xfrm>
                        <a:prstGeom prst="rect">
                          <a:avLst/>
                        </a:prstGeom>
                        <a:noFill/>
                        <a:ln w="9525">
                          <a:noFill/>
                        </a:ln>
                      </wps:spPr>
                      <wps:txbx>
                        <w:txbxContent>
                          <w:p w:rsidR="00DB7CC8" w:rsidRDefault="00DB7CC8">
                            <w:pPr>
                              <w:spacing w:line="240" w:lineRule="auto"/>
                              <w:ind w:firstLineChars="0" w:firstLine="0"/>
                              <w:jc w:val="center"/>
                              <w:textAlignment w:val="auto"/>
                              <w:rPr>
                                <w:rFonts w:ascii="黑体" w:eastAsia="黑体" w:hAnsi="黑体"/>
                                <w:kern w:val="2"/>
                                <w:sz w:val="21"/>
                                <w:szCs w:val="21"/>
                              </w:rPr>
                            </w:pPr>
                          </w:p>
                        </w:txbxContent>
                      </wps:txbx>
                      <wps:bodyPr upright="1"/>
                    </wps:wsp>
                  </a:graphicData>
                </a:graphic>
              </wp:anchor>
            </w:drawing>
          </mc:Choice>
          <mc:Fallback>
            <w:pict>
              <v:shape id="文本框 167" o:spid="_x0000_s1087" type="#_x0000_t202" style="position:absolute;left:0;text-align:left;margin-left:129.15pt;margin-top:517.15pt;width:207pt;height:34.1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" filled="f" stroked="f">
                <v:textbox>
                  <w:txbxContent>
                    <w:p w:rsidR="00DB7CC8" w:rsidRDefault="00DB7CC8">
                      <w:pPr>
                        <w:spacing w:line="240" w:lineRule="auto"/>
                        <w:ind w:firstLineChars="0" w:firstLine="0"/>
                        <w:jc w:val="center"/>
                        <w:textAlignment w:val="auto"/>
                        <w:rPr>
                          <w:rFonts w:ascii="黑体" w:eastAsia="黑体" w:hAnsi="黑体"/>
                          <w:kern w:val="2"/>
                          <w:sz w:val="21"/>
                          <w:szCs w:val="21"/>
                        </w:rPr>
                      </w:pPr>
                    </w:p>
                  </w:txbxContent>
                </v:textbox>
              </v:shape>
            </w:pict>
          </mc:Fallback>
        </mc:AlternateContent>
      </w:r>
      <w:r>
        <w:rPr>
          <w:sz w:val="24"/>
          <w:szCs w:val="24"/>
        </w:rPr>
        <w:t>由以上预测分析知：项目主要噪声源经采取基础减振、吸声材料等降噪措施，并经一定距离衰减后，噪声贡献值较小，项目各厂界噪声均能够满足《工业企业厂界环境噪声排放标准》（</w:t>
      </w:r>
      <w:r>
        <w:rPr>
          <w:sz w:val="24"/>
          <w:szCs w:val="24"/>
        </w:rPr>
        <w:t>GB12348-2008</w:t>
      </w:r>
      <w:r>
        <w:rPr>
          <w:sz w:val="24"/>
          <w:szCs w:val="24"/>
        </w:rPr>
        <w:t>）</w:t>
      </w:r>
      <w:r>
        <w:rPr>
          <w:sz w:val="24"/>
          <w:szCs w:val="24"/>
        </w:rPr>
        <w:t>2</w:t>
      </w:r>
      <w:r>
        <w:rPr>
          <w:sz w:val="24"/>
          <w:szCs w:val="24"/>
        </w:rPr>
        <w:t>类标准要求。距离本项目的最近敏感点为厂界北侧的靠山庄村，最近距离约为</w:t>
      </w:r>
      <w:r>
        <w:rPr>
          <w:sz w:val="24"/>
          <w:szCs w:val="24"/>
        </w:rPr>
        <w:t>330m</w:t>
      </w:r>
      <w:r>
        <w:rPr>
          <w:sz w:val="24"/>
          <w:szCs w:val="24"/>
        </w:rPr>
        <w:t>，本项目排放的噪声不会改变其声环境现状。</w:t>
      </w:r>
    </w:p>
    <w:p w:rsidR="00DB7CC8" w:rsidRDefault="002B5250">
      <w:pPr>
        <w:pStyle w:val="4"/>
        <w:numPr>
          <w:ilvl w:val="3"/>
          <w:numId w:val="1"/>
        </w:numPr>
        <w:ind w:left="709" w:hanging="709"/>
        <w:rPr>
          <w:rFonts w:eastAsiaTheme="minorEastAsia"/>
          <w:b/>
        </w:rPr>
      </w:pPr>
      <w:r>
        <w:rPr>
          <w:rFonts w:eastAsiaTheme="minorEastAsia"/>
          <w:b/>
        </w:rPr>
        <w:t>声环境影响评价结论</w:t>
      </w:r>
    </w:p>
    <w:p w:rsidR="00DB7CC8" w:rsidRDefault="002B5250">
      <w:pPr>
        <w:ind w:firstLine="480"/>
        <w:rPr>
          <w:sz w:val="24"/>
          <w:szCs w:val="24"/>
        </w:rPr>
      </w:pPr>
      <w:bookmarkStart w:id="429" w:name="_Hlk522133038"/>
      <w:r>
        <w:rPr>
          <w:sz w:val="24"/>
          <w:szCs w:val="24"/>
        </w:rPr>
        <w:t>本项目噪声源主要来自生产过程中各种设备运行噪声，在采取本报告提出的噪声防治措施，再经墙体阻隔、距离衰减后，项目各种设备运转噪声对厂界处的噪声贡献值不大，经预测，项目厂界四周噪声贡献值均</w:t>
      </w:r>
      <w:r>
        <w:rPr>
          <w:sz w:val="24"/>
          <w:szCs w:val="24"/>
        </w:rPr>
        <w:t>能达到《工业企业厂界环境噪声排放标准》（</w:t>
      </w:r>
      <w:r>
        <w:rPr>
          <w:sz w:val="24"/>
          <w:szCs w:val="24"/>
        </w:rPr>
        <w:t>GB12348-2008</w:t>
      </w:r>
      <w:r>
        <w:rPr>
          <w:sz w:val="24"/>
          <w:szCs w:val="24"/>
        </w:rPr>
        <w:t>）中的</w:t>
      </w:r>
      <w:r>
        <w:rPr>
          <w:sz w:val="24"/>
          <w:szCs w:val="24"/>
        </w:rPr>
        <w:t>2</w:t>
      </w:r>
      <w:r>
        <w:rPr>
          <w:sz w:val="24"/>
          <w:szCs w:val="24"/>
        </w:rPr>
        <w:t>类标准限值。本项目周边</w:t>
      </w:r>
      <w:r>
        <w:rPr>
          <w:sz w:val="24"/>
          <w:szCs w:val="24"/>
        </w:rPr>
        <w:t>200m</w:t>
      </w:r>
      <w:r>
        <w:rPr>
          <w:sz w:val="24"/>
          <w:szCs w:val="24"/>
        </w:rPr>
        <w:t>范围内无敏感点。因此，本项目的建设对项目所在地声环境影响较小。</w:t>
      </w:r>
      <w:bookmarkEnd w:id="429"/>
    </w:p>
    <w:p w:rsidR="00DB7CC8" w:rsidRDefault="002B5250">
      <w:pPr>
        <w:pStyle w:val="3"/>
        <w:numPr>
          <w:ilvl w:val="2"/>
          <w:numId w:val="1"/>
        </w:numPr>
        <w:rPr>
          <w:szCs w:val="28"/>
        </w:rPr>
      </w:pPr>
      <w:bookmarkStart w:id="430" w:name="_Toc29381"/>
      <w:bookmarkStart w:id="431" w:name="_Toc521591801"/>
      <w:r>
        <w:rPr>
          <w:szCs w:val="28"/>
        </w:rPr>
        <w:t>固体废物环境的影响分析</w:t>
      </w:r>
      <w:bookmarkEnd w:id="430"/>
      <w:bookmarkEnd w:id="431"/>
    </w:p>
    <w:p w:rsidR="00DB7CC8" w:rsidRDefault="002B5250">
      <w:pPr>
        <w:pStyle w:val="4"/>
        <w:numPr>
          <w:ilvl w:val="3"/>
          <w:numId w:val="1"/>
        </w:numPr>
        <w:ind w:left="709" w:hanging="709"/>
        <w:rPr>
          <w:rFonts w:eastAsia="宋体"/>
          <w:b/>
        </w:rPr>
      </w:pPr>
      <w:r>
        <w:rPr>
          <w:rFonts w:eastAsia="宋体"/>
          <w:b/>
        </w:rPr>
        <w:t>固体废物产排情况</w:t>
      </w:r>
    </w:p>
    <w:p w:rsidR="00DB7CC8" w:rsidRDefault="002B5250">
      <w:pPr>
        <w:autoSpaceDE w:val="0"/>
        <w:autoSpaceDN w:val="0"/>
        <w:ind w:firstLine="480"/>
        <w:jc w:val="both"/>
        <w:textAlignment w:val="auto"/>
        <w:rPr>
          <w:sz w:val="24"/>
        </w:rPr>
      </w:pPr>
      <w:r>
        <w:rPr>
          <w:sz w:val="24"/>
        </w:rPr>
        <w:t>根据工程分析可知，本项目产生一般固体废物主要为生产过程中产生的</w:t>
      </w:r>
      <w:bookmarkStart w:id="432" w:name="_Hlk522135292"/>
      <w:r>
        <w:rPr>
          <w:sz w:val="24"/>
        </w:rPr>
        <w:t>尾矿砂</w:t>
      </w:r>
      <w:r>
        <w:rPr>
          <w:rFonts w:hint="eastAsia"/>
          <w:sz w:val="24"/>
        </w:rPr>
        <w:t>、</w:t>
      </w:r>
      <w:r>
        <w:rPr>
          <w:sz w:val="24"/>
        </w:rPr>
        <w:t>除尘器收集的粉尘、废钢球</w:t>
      </w:r>
      <w:bookmarkEnd w:id="432"/>
      <w:r>
        <w:rPr>
          <w:sz w:val="24"/>
        </w:rPr>
        <w:t>，危险废物主要是废机油、废油桶。项目营运期固体废物产生情况及处置措施见表</w:t>
      </w:r>
      <w:r>
        <w:rPr>
          <w:sz w:val="24"/>
        </w:rPr>
        <w:t>5.2-</w:t>
      </w:r>
      <w:r>
        <w:rPr>
          <w:rFonts w:hint="eastAsia"/>
          <w:sz w:val="24"/>
        </w:rPr>
        <w:t>32</w:t>
      </w:r>
      <w:r>
        <w:rPr>
          <w:sz w:val="24"/>
        </w:rPr>
        <w:t>。</w:t>
      </w:r>
    </w:p>
    <w:p w:rsidR="00DB7CC8" w:rsidRDefault="002B5250">
      <w:pPr>
        <w:autoSpaceDE w:val="0"/>
        <w:autoSpaceDN w:val="0"/>
        <w:spacing w:line="240" w:lineRule="auto"/>
        <w:ind w:firstLineChars="0" w:firstLine="0"/>
        <w:jc w:val="center"/>
        <w:textAlignment w:val="auto"/>
        <w:rPr>
          <w:rFonts w:eastAsia="黑体"/>
          <w:bCs/>
          <w:kern w:val="2"/>
          <w:sz w:val="21"/>
          <w:szCs w:val="21"/>
        </w:rPr>
      </w:pPr>
      <w:r>
        <w:rPr>
          <w:rFonts w:eastAsia="黑体"/>
          <w:bCs/>
          <w:kern w:val="2"/>
          <w:sz w:val="21"/>
          <w:szCs w:val="21"/>
        </w:rPr>
        <w:lastRenderedPageBreak/>
        <w:t>表</w:t>
      </w:r>
      <w:r>
        <w:rPr>
          <w:rFonts w:eastAsia="黑体"/>
          <w:bCs/>
          <w:kern w:val="2"/>
          <w:sz w:val="21"/>
          <w:szCs w:val="21"/>
        </w:rPr>
        <w:t>5.2-</w:t>
      </w:r>
      <w:r>
        <w:rPr>
          <w:rFonts w:eastAsia="黑体" w:hint="eastAsia"/>
          <w:bCs/>
          <w:kern w:val="2"/>
          <w:sz w:val="21"/>
          <w:szCs w:val="21"/>
        </w:rPr>
        <w:t xml:space="preserve">32   </w:t>
      </w:r>
      <w:r>
        <w:rPr>
          <w:rFonts w:eastAsia="黑体"/>
          <w:bCs/>
          <w:kern w:val="2"/>
          <w:sz w:val="21"/>
          <w:szCs w:val="21"/>
        </w:rPr>
        <w:t>固体废物产生情况及处置措施一览表</w:t>
      </w:r>
    </w:p>
    <w:tbl>
      <w:tblPr>
        <w:tblW w:w="8429" w:type="dxa"/>
        <w:tblBorders>
          <w:top w:val="single" w:sz="4" w:space="0" w:color="auto"/>
          <w:bottom w:val="single" w:sz="4" w:space="0" w:color="auto"/>
          <w:insideH w:val="single" w:sz="6" w:space="0" w:color="auto"/>
          <w:insideV w:val="single" w:sz="4" w:space="0" w:color="auto"/>
        </w:tblBorders>
        <w:tblLayout w:type="fixed"/>
        <w:tblLook w:val="04A0" w:firstRow="1" w:lastRow="0" w:firstColumn="1" w:lastColumn="0" w:noHBand="0" w:noVBand="1"/>
      </w:tblPr>
      <w:tblGrid>
        <w:gridCol w:w="1493"/>
        <w:gridCol w:w="1828"/>
        <w:gridCol w:w="1214"/>
        <w:gridCol w:w="2970"/>
        <w:gridCol w:w="924"/>
      </w:tblGrid>
      <w:tr w:rsidR="00DB7CC8">
        <w:trPr>
          <w:trHeight w:val="560"/>
          <w:tblHeader/>
        </w:trPr>
        <w:tc>
          <w:tcPr>
            <w:tcW w:w="1493"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产生环节</w:t>
            </w:r>
          </w:p>
        </w:tc>
        <w:tc>
          <w:tcPr>
            <w:tcW w:w="1828" w:type="dxa"/>
            <w:vAlign w:val="center"/>
          </w:tcPr>
          <w:p w:rsidR="00DB7CC8" w:rsidRDefault="002B5250">
            <w:pPr>
              <w:spacing w:line="240" w:lineRule="auto"/>
              <w:ind w:firstLineChars="0" w:firstLine="0"/>
              <w:jc w:val="center"/>
              <w:rPr>
                <w:sz w:val="21"/>
                <w:szCs w:val="21"/>
              </w:rPr>
            </w:pPr>
            <w:r>
              <w:rPr>
                <w:sz w:val="21"/>
                <w:szCs w:val="21"/>
              </w:rPr>
              <w:t>名称</w:t>
            </w:r>
          </w:p>
        </w:tc>
        <w:tc>
          <w:tcPr>
            <w:tcW w:w="1214" w:type="dxa"/>
            <w:vAlign w:val="center"/>
          </w:tcPr>
          <w:p w:rsidR="00DB7CC8" w:rsidRDefault="002B5250">
            <w:pPr>
              <w:spacing w:line="240" w:lineRule="auto"/>
              <w:ind w:firstLineChars="0" w:firstLine="0"/>
              <w:jc w:val="center"/>
              <w:rPr>
                <w:sz w:val="21"/>
                <w:szCs w:val="21"/>
              </w:rPr>
            </w:pPr>
            <w:r>
              <w:rPr>
                <w:sz w:val="21"/>
                <w:szCs w:val="21"/>
              </w:rPr>
              <w:t>产生量</w:t>
            </w:r>
          </w:p>
          <w:p w:rsidR="00DB7CC8" w:rsidRDefault="002B5250">
            <w:pPr>
              <w:spacing w:line="240" w:lineRule="auto"/>
              <w:ind w:firstLineChars="0" w:firstLine="0"/>
              <w:jc w:val="center"/>
              <w:rPr>
                <w:sz w:val="21"/>
                <w:szCs w:val="21"/>
              </w:rPr>
            </w:pPr>
            <w:r>
              <w:rPr>
                <w:sz w:val="21"/>
                <w:szCs w:val="21"/>
              </w:rPr>
              <w:t>（</w:t>
            </w:r>
            <w:r>
              <w:rPr>
                <w:sz w:val="21"/>
                <w:szCs w:val="21"/>
              </w:rPr>
              <w:t>t/a</w:t>
            </w:r>
            <w:r>
              <w:rPr>
                <w:sz w:val="21"/>
                <w:szCs w:val="21"/>
              </w:rPr>
              <w:t>）</w:t>
            </w:r>
          </w:p>
        </w:tc>
        <w:tc>
          <w:tcPr>
            <w:tcW w:w="2970" w:type="dxa"/>
            <w:vAlign w:val="center"/>
          </w:tcPr>
          <w:p w:rsidR="00DB7CC8" w:rsidRDefault="002B5250">
            <w:pPr>
              <w:spacing w:line="240" w:lineRule="auto"/>
              <w:ind w:firstLineChars="0" w:firstLine="0"/>
              <w:jc w:val="center"/>
              <w:rPr>
                <w:sz w:val="21"/>
                <w:szCs w:val="21"/>
              </w:rPr>
            </w:pPr>
            <w:r>
              <w:rPr>
                <w:sz w:val="21"/>
                <w:szCs w:val="21"/>
              </w:rPr>
              <w:t>处置措施</w:t>
            </w:r>
          </w:p>
        </w:tc>
        <w:tc>
          <w:tcPr>
            <w:tcW w:w="924"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排放量（</w:t>
            </w:r>
            <w:r>
              <w:rPr>
                <w:sz w:val="21"/>
                <w:szCs w:val="21"/>
              </w:rPr>
              <w:t>t/a</w:t>
            </w:r>
            <w:r>
              <w:rPr>
                <w:sz w:val="21"/>
                <w:szCs w:val="21"/>
              </w:rPr>
              <w:t>）</w:t>
            </w:r>
          </w:p>
        </w:tc>
      </w:tr>
      <w:tr w:rsidR="00DB7CC8">
        <w:trPr>
          <w:trHeight w:val="812"/>
        </w:trPr>
        <w:tc>
          <w:tcPr>
            <w:tcW w:w="1493" w:type="dxa"/>
            <w:vMerge w:val="restart"/>
            <w:tcBorders>
              <w:left w:val="single" w:sz="4" w:space="0" w:color="auto"/>
            </w:tcBorders>
            <w:vAlign w:val="center"/>
          </w:tcPr>
          <w:p w:rsidR="00DB7CC8" w:rsidRDefault="002B5250">
            <w:pPr>
              <w:spacing w:line="240" w:lineRule="auto"/>
              <w:ind w:firstLineChars="0" w:firstLine="0"/>
              <w:jc w:val="center"/>
              <w:rPr>
                <w:bCs/>
                <w:sz w:val="21"/>
                <w:szCs w:val="21"/>
              </w:rPr>
            </w:pPr>
            <w:r>
              <w:rPr>
                <w:bCs/>
                <w:sz w:val="21"/>
                <w:szCs w:val="21"/>
              </w:rPr>
              <w:t>选矿</w:t>
            </w:r>
          </w:p>
        </w:tc>
        <w:tc>
          <w:tcPr>
            <w:tcW w:w="1828" w:type="dxa"/>
            <w:vAlign w:val="center"/>
          </w:tcPr>
          <w:p w:rsidR="00DB7CC8" w:rsidRDefault="002B5250">
            <w:pPr>
              <w:ind w:firstLine="420"/>
              <w:rPr>
                <w:bCs/>
                <w:sz w:val="21"/>
                <w:szCs w:val="21"/>
              </w:rPr>
            </w:pPr>
            <w:r>
              <w:rPr>
                <w:bCs/>
                <w:sz w:val="21"/>
                <w:szCs w:val="21"/>
              </w:rPr>
              <w:t>尾矿砂</w:t>
            </w:r>
          </w:p>
        </w:tc>
        <w:tc>
          <w:tcPr>
            <w:tcW w:w="1214" w:type="dxa"/>
            <w:vAlign w:val="center"/>
          </w:tcPr>
          <w:p w:rsidR="00DB7CC8" w:rsidRDefault="002B5250">
            <w:pPr>
              <w:widowControl/>
              <w:spacing w:line="240" w:lineRule="auto"/>
              <w:ind w:firstLineChars="0" w:firstLine="0"/>
              <w:jc w:val="center"/>
              <w:textAlignment w:val="auto"/>
              <w:rPr>
                <w:bCs/>
                <w:sz w:val="21"/>
                <w:szCs w:val="21"/>
              </w:rPr>
            </w:pPr>
            <w:r>
              <w:rPr>
                <w:rFonts w:hint="eastAsia"/>
                <w:sz w:val="21"/>
                <w:szCs w:val="21"/>
              </w:rPr>
              <w:t>349997.948</w:t>
            </w:r>
          </w:p>
        </w:tc>
        <w:tc>
          <w:tcPr>
            <w:tcW w:w="2970" w:type="dxa"/>
            <w:vAlign w:val="center"/>
          </w:tcPr>
          <w:p w:rsidR="00DB7CC8" w:rsidRDefault="002B5250">
            <w:pPr>
              <w:spacing w:line="240" w:lineRule="auto"/>
              <w:ind w:firstLineChars="0" w:firstLine="0"/>
              <w:jc w:val="center"/>
              <w:rPr>
                <w:bCs/>
                <w:sz w:val="21"/>
                <w:szCs w:val="21"/>
              </w:rPr>
            </w:pPr>
            <w:r>
              <w:rPr>
                <w:bCs/>
                <w:sz w:val="21"/>
                <w:szCs w:val="21"/>
              </w:rPr>
              <w:t>粗砂作为建筑材料外售综合利用，细砂</w:t>
            </w:r>
            <w:r>
              <w:rPr>
                <w:rFonts w:hint="eastAsia"/>
                <w:bCs/>
                <w:sz w:val="21"/>
                <w:szCs w:val="21"/>
              </w:rPr>
              <w:t>外运</w:t>
            </w:r>
            <w:r>
              <w:rPr>
                <w:bCs/>
                <w:sz w:val="21"/>
                <w:szCs w:val="21"/>
              </w:rPr>
              <w:t>填坑造地</w:t>
            </w:r>
          </w:p>
        </w:tc>
        <w:tc>
          <w:tcPr>
            <w:tcW w:w="924"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0</w:t>
            </w:r>
          </w:p>
        </w:tc>
      </w:tr>
      <w:tr w:rsidR="00DB7CC8">
        <w:trPr>
          <w:trHeight w:val="70"/>
        </w:trPr>
        <w:tc>
          <w:tcPr>
            <w:tcW w:w="1493" w:type="dxa"/>
            <w:vMerge/>
            <w:tcBorders>
              <w:left w:val="single" w:sz="4" w:space="0" w:color="auto"/>
            </w:tcBorders>
            <w:vAlign w:val="center"/>
          </w:tcPr>
          <w:p w:rsidR="00DB7CC8" w:rsidRDefault="00DB7CC8">
            <w:pPr>
              <w:spacing w:line="240" w:lineRule="auto"/>
              <w:ind w:firstLineChars="0" w:firstLine="0"/>
              <w:jc w:val="center"/>
              <w:rPr>
                <w:bCs/>
                <w:sz w:val="21"/>
                <w:szCs w:val="21"/>
              </w:rPr>
            </w:pPr>
          </w:p>
        </w:tc>
        <w:tc>
          <w:tcPr>
            <w:tcW w:w="1828" w:type="dxa"/>
            <w:vAlign w:val="center"/>
          </w:tcPr>
          <w:p w:rsidR="00DB7CC8" w:rsidRDefault="002B5250">
            <w:pPr>
              <w:spacing w:line="240" w:lineRule="auto"/>
              <w:ind w:firstLineChars="0" w:firstLine="0"/>
              <w:jc w:val="center"/>
              <w:rPr>
                <w:bCs/>
                <w:sz w:val="21"/>
                <w:szCs w:val="21"/>
              </w:rPr>
            </w:pPr>
            <w:r>
              <w:rPr>
                <w:bCs/>
                <w:sz w:val="21"/>
                <w:szCs w:val="21"/>
              </w:rPr>
              <w:t>废钢球</w:t>
            </w:r>
          </w:p>
        </w:tc>
        <w:tc>
          <w:tcPr>
            <w:tcW w:w="1214" w:type="dxa"/>
            <w:vAlign w:val="center"/>
          </w:tcPr>
          <w:p w:rsidR="00DB7CC8" w:rsidRDefault="002B5250">
            <w:pPr>
              <w:spacing w:line="240" w:lineRule="auto"/>
              <w:ind w:firstLineChars="0" w:firstLine="0"/>
              <w:jc w:val="center"/>
              <w:rPr>
                <w:bCs/>
                <w:sz w:val="21"/>
                <w:szCs w:val="21"/>
              </w:rPr>
            </w:pPr>
            <w:r>
              <w:rPr>
                <w:bCs/>
                <w:sz w:val="21"/>
                <w:szCs w:val="21"/>
              </w:rPr>
              <w:t>10.5</w:t>
            </w:r>
          </w:p>
        </w:tc>
        <w:tc>
          <w:tcPr>
            <w:tcW w:w="2970" w:type="dxa"/>
            <w:vAlign w:val="center"/>
          </w:tcPr>
          <w:p w:rsidR="00DB7CC8" w:rsidRDefault="002B5250">
            <w:pPr>
              <w:spacing w:line="240" w:lineRule="auto"/>
              <w:ind w:firstLineChars="0" w:firstLine="0"/>
              <w:jc w:val="center"/>
              <w:rPr>
                <w:bCs/>
                <w:sz w:val="21"/>
                <w:szCs w:val="21"/>
              </w:rPr>
            </w:pPr>
            <w:r>
              <w:rPr>
                <w:bCs/>
                <w:sz w:val="21"/>
                <w:szCs w:val="21"/>
              </w:rPr>
              <w:t>厂家回收利用</w:t>
            </w:r>
          </w:p>
        </w:tc>
        <w:tc>
          <w:tcPr>
            <w:tcW w:w="924"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0</w:t>
            </w:r>
          </w:p>
        </w:tc>
      </w:tr>
      <w:tr w:rsidR="00DB7CC8">
        <w:trPr>
          <w:trHeight w:val="70"/>
        </w:trPr>
        <w:tc>
          <w:tcPr>
            <w:tcW w:w="1493" w:type="dxa"/>
            <w:vMerge/>
            <w:tcBorders>
              <w:left w:val="single" w:sz="4" w:space="0" w:color="auto"/>
            </w:tcBorders>
            <w:vAlign w:val="center"/>
          </w:tcPr>
          <w:p w:rsidR="00DB7CC8" w:rsidRDefault="00DB7CC8">
            <w:pPr>
              <w:spacing w:line="240" w:lineRule="auto"/>
              <w:ind w:firstLineChars="0" w:firstLine="0"/>
              <w:jc w:val="center"/>
              <w:rPr>
                <w:bCs/>
                <w:sz w:val="21"/>
                <w:szCs w:val="21"/>
              </w:rPr>
            </w:pPr>
          </w:p>
        </w:tc>
        <w:tc>
          <w:tcPr>
            <w:tcW w:w="1828" w:type="dxa"/>
            <w:vAlign w:val="center"/>
          </w:tcPr>
          <w:p w:rsidR="00DB7CC8" w:rsidRDefault="002B5250">
            <w:pPr>
              <w:spacing w:line="240" w:lineRule="auto"/>
              <w:ind w:firstLineChars="0" w:firstLine="0"/>
              <w:jc w:val="center"/>
              <w:rPr>
                <w:bCs/>
                <w:sz w:val="21"/>
                <w:szCs w:val="21"/>
              </w:rPr>
            </w:pPr>
            <w:r>
              <w:rPr>
                <w:bCs/>
                <w:sz w:val="21"/>
                <w:szCs w:val="21"/>
              </w:rPr>
              <w:t>除尘器收集的粉尘</w:t>
            </w:r>
          </w:p>
        </w:tc>
        <w:tc>
          <w:tcPr>
            <w:tcW w:w="1214" w:type="dxa"/>
            <w:vAlign w:val="center"/>
          </w:tcPr>
          <w:p w:rsidR="00DB7CC8" w:rsidRDefault="002B5250">
            <w:pPr>
              <w:spacing w:line="240" w:lineRule="auto"/>
              <w:ind w:firstLineChars="0" w:firstLine="0"/>
              <w:jc w:val="center"/>
              <w:rPr>
                <w:bCs/>
                <w:sz w:val="21"/>
                <w:szCs w:val="21"/>
              </w:rPr>
            </w:pPr>
            <w:r>
              <w:rPr>
                <w:rFonts w:hint="eastAsia"/>
                <w:sz w:val="21"/>
                <w:szCs w:val="21"/>
              </w:rPr>
              <w:t>510.948</w:t>
            </w:r>
          </w:p>
        </w:tc>
        <w:tc>
          <w:tcPr>
            <w:tcW w:w="2970" w:type="dxa"/>
            <w:vAlign w:val="center"/>
          </w:tcPr>
          <w:p w:rsidR="00DB7CC8" w:rsidRDefault="002B5250">
            <w:pPr>
              <w:spacing w:line="240" w:lineRule="auto"/>
              <w:ind w:firstLineChars="0" w:firstLine="0"/>
              <w:jc w:val="center"/>
              <w:rPr>
                <w:bCs/>
                <w:sz w:val="21"/>
                <w:szCs w:val="21"/>
              </w:rPr>
            </w:pPr>
            <w:r>
              <w:rPr>
                <w:bCs/>
                <w:sz w:val="21"/>
                <w:szCs w:val="21"/>
              </w:rPr>
              <w:t>进行球磨工序，回用于生产</w:t>
            </w:r>
          </w:p>
        </w:tc>
        <w:tc>
          <w:tcPr>
            <w:tcW w:w="924"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0</w:t>
            </w:r>
          </w:p>
        </w:tc>
      </w:tr>
      <w:tr w:rsidR="00DB7CC8">
        <w:trPr>
          <w:trHeight w:val="70"/>
        </w:trPr>
        <w:tc>
          <w:tcPr>
            <w:tcW w:w="1493" w:type="dxa"/>
            <w:tcBorders>
              <w:left w:val="single" w:sz="4" w:space="0" w:color="auto"/>
            </w:tcBorders>
            <w:vAlign w:val="center"/>
          </w:tcPr>
          <w:p w:rsidR="00DB7CC8" w:rsidRDefault="002B5250">
            <w:pPr>
              <w:spacing w:line="240" w:lineRule="auto"/>
              <w:ind w:firstLineChars="0" w:firstLine="0"/>
              <w:jc w:val="center"/>
              <w:rPr>
                <w:sz w:val="21"/>
                <w:szCs w:val="21"/>
              </w:rPr>
            </w:pPr>
            <w:r>
              <w:rPr>
                <w:sz w:val="21"/>
                <w:szCs w:val="21"/>
              </w:rPr>
              <w:t>设备维护保养</w:t>
            </w:r>
          </w:p>
        </w:tc>
        <w:tc>
          <w:tcPr>
            <w:tcW w:w="1828" w:type="dxa"/>
            <w:vAlign w:val="center"/>
          </w:tcPr>
          <w:p w:rsidR="00DB7CC8" w:rsidRDefault="002B5250">
            <w:pPr>
              <w:spacing w:line="240" w:lineRule="auto"/>
              <w:ind w:leftChars="-25" w:left="-70" w:rightChars="-25" w:right="-70" w:firstLineChars="0" w:firstLine="0"/>
              <w:jc w:val="center"/>
              <w:rPr>
                <w:sz w:val="21"/>
                <w:szCs w:val="21"/>
              </w:rPr>
            </w:pPr>
            <w:r>
              <w:rPr>
                <w:sz w:val="21"/>
                <w:szCs w:val="21"/>
              </w:rPr>
              <w:t>废机油、废油桶</w:t>
            </w:r>
          </w:p>
        </w:tc>
        <w:tc>
          <w:tcPr>
            <w:tcW w:w="1214" w:type="dxa"/>
            <w:vAlign w:val="center"/>
          </w:tcPr>
          <w:p w:rsidR="00DB7CC8" w:rsidRDefault="002B5250">
            <w:pPr>
              <w:spacing w:line="240" w:lineRule="auto"/>
              <w:ind w:firstLineChars="0" w:firstLine="0"/>
              <w:jc w:val="center"/>
              <w:rPr>
                <w:bCs/>
                <w:sz w:val="21"/>
                <w:szCs w:val="21"/>
              </w:rPr>
            </w:pPr>
            <w:r>
              <w:rPr>
                <w:bCs/>
                <w:sz w:val="21"/>
                <w:szCs w:val="21"/>
              </w:rPr>
              <w:t>0.3</w:t>
            </w:r>
          </w:p>
        </w:tc>
        <w:tc>
          <w:tcPr>
            <w:tcW w:w="2970" w:type="dxa"/>
            <w:vAlign w:val="center"/>
          </w:tcPr>
          <w:p w:rsidR="00DB7CC8" w:rsidRDefault="002B5250">
            <w:pPr>
              <w:spacing w:line="240" w:lineRule="auto"/>
              <w:ind w:firstLineChars="0" w:firstLine="0"/>
              <w:jc w:val="center"/>
              <w:rPr>
                <w:bCs/>
                <w:sz w:val="21"/>
                <w:szCs w:val="21"/>
              </w:rPr>
            </w:pPr>
            <w:r>
              <w:rPr>
                <w:bCs/>
                <w:sz w:val="21"/>
                <w:szCs w:val="21"/>
              </w:rPr>
              <w:t>收集于危废暂存间后，交由有资质的单位进行处理</w:t>
            </w:r>
          </w:p>
        </w:tc>
        <w:tc>
          <w:tcPr>
            <w:tcW w:w="924" w:type="dxa"/>
            <w:tcBorders>
              <w:right w:val="single" w:sz="4" w:space="0" w:color="auto"/>
            </w:tcBorders>
            <w:vAlign w:val="center"/>
          </w:tcPr>
          <w:p w:rsidR="00DB7CC8" w:rsidRDefault="002B5250">
            <w:pPr>
              <w:spacing w:line="240" w:lineRule="auto"/>
              <w:ind w:firstLineChars="0" w:firstLine="0"/>
              <w:jc w:val="center"/>
              <w:rPr>
                <w:sz w:val="21"/>
                <w:szCs w:val="21"/>
              </w:rPr>
            </w:pPr>
            <w:r>
              <w:rPr>
                <w:sz w:val="21"/>
                <w:szCs w:val="21"/>
              </w:rPr>
              <w:t>0</w:t>
            </w:r>
          </w:p>
        </w:tc>
      </w:tr>
    </w:tbl>
    <w:p w:rsidR="00DB7CC8" w:rsidRDefault="002B5250">
      <w:pPr>
        <w:pStyle w:val="4"/>
        <w:numPr>
          <w:ilvl w:val="3"/>
          <w:numId w:val="1"/>
        </w:numPr>
        <w:ind w:left="709" w:hanging="709"/>
        <w:rPr>
          <w:rFonts w:eastAsia="宋体"/>
          <w:b/>
        </w:rPr>
      </w:pPr>
      <w:r>
        <w:rPr>
          <w:rFonts w:eastAsia="宋体"/>
          <w:b/>
        </w:rPr>
        <w:t>固体废物成分分析</w:t>
      </w:r>
    </w:p>
    <w:p w:rsidR="00DB7CC8" w:rsidRDefault="002B5250">
      <w:pPr>
        <w:ind w:firstLine="480"/>
        <w:jc w:val="both"/>
        <w:textAlignment w:val="auto"/>
        <w:rPr>
          <w:sz w:val="24"/>
          <w:szCs w:val="24"/>
        </w:rPr>
      </w:pPr>
      <w:r>
        <w:rPr>
          <w:sz w:val="24"/>
          <w:szCs w:val="24"/>
        </w:rPr>
        <w:t>（</w:t>
      </w:r>
      <w:r>
        <w:rPr>
          <w:sz w:val="24"/>
          <w:szCs w:val="24"/>
        </w:rPr>
        <w:t>1</w:t>
      </w:r>
      <w:r>
        <w:rPr>
          <w:sz w:val="24"/>
          <w:szCs w:val="24"/>
        </w:rPr>
        <w:t>）尾矿砂</w:t>
      </w:r>
    </w:p>
    <w:p w:rsidR="00DB7CC8" w:rsidRDefault="002B5250">
      <w:pPr>
        <w:ind w:firstLine="480"/>
        <w:jc w:val="both"/>
        <w:rPr>
          <w:sz w:val="24"/>
          <w:szCs w:val="24"/>
        </w:rPr>
      </w:pPr>
      <w:r>
        <w:rPr>
          <w:sz w:val="24"/>
          <w:szCs w:val="24"/>
        </w:rPr>
        <w:t>本项目尾矿砂产生量约为</w:t>
      </w:r>
      <w:r>
        <w:rPr>
          <w:rFonts w:hint="eastAsia"/>
          <w:bCs/>
          <w:sz w:val="24"/>
          <w:szCs w:val="24"/>
        </w:rPr>
        <w:t>349997.948</w:t>
      </w:r>
      <w:r>
        <w:rPr>
          <w:sz w:val="24"/>
          <w:szCs w:val="24"/>
        </w:rPr>
        <w:t>t/a</w:t>
      </w:r>
      <w:r>
        <w:rPr>
          <w:sz w:val="24"/>
          <w:szCs w:val="24"/>
        </w:rPr>
        <w:t>，沉淀后的</w:t>
      </w:r>
      <w:r>
        <w:rPr>
          <w:bCs/>
          <w:sz w:val="24"/>
          <w:szCs w:val="24"/>
        </w:rPr>
        <w:t>粗砂作为建筑材料外售综合利用，</w:t>
      </w:r>
      <w:r>
        <w:rPr>
          <w:rFonts w:hint="eastAsia"/>
          <w:bCs/>
          <w:sz w:val="24"/>
          <w:szCs w:val="24"/>
        </w:rPr>
        <w:t>压滤后的</w:t>
      </w:r>
      <w:r>
        <w:rPr>
          <w:bCs/>
          <w:sz w:val="24"/>
          <w:szCs w:val="24"/>
        </w:rPr>
        <w:t>细砂用于尾矿库生态恢复及周边坑塘填坑造地</w:t>
      </w:r>
      <w:r>
        <w:rPr>
          <w:sz w:val="24"/>
          <w:szCs w:val="24"/>
        </w:rPr>
        <w:t>。</w:t>
      </w:r>
    </w:p>
    <w:p w:rsidR="00DB7CC8" w:rsidRDefault="002B5250">
      <w:pPr>
        <w:ind w:firstLine="480"/>
        <w:jc w:val="both"/>
        <w:rPr>
          <w:sz w:val="24"/>
        </w:rPr>
      </w:pPr>
      <w:r>
        <w:rPr>
          <w:sz w:val="24"/>
        </w:rPr>
        <w:t>尾矿砂是在磁选过程中排出的尾矿浆经沉淀、压滤后的排出物，主要含有脉石（如石英、方解石等）和硫、磷、锰、铁等元素。</w:t>
      </w:r>
    </w:p>
    <w:p w:rsidR="00DB7CC8" w:rsidRDefault="002B5250">
      <w:pPr>
        <w:ind w:firstLine="480"/>
        <w:jc w:val="both"/>
        <w:textAlignment w:val="auto"/>
        <w:rPr>
          <w:sz w:val="24"/>
          <w:szCs w:val="24"/>
        </w:rPr>
      </w:pPr>
      <w:r>
        <w:rPr>
          <w:sz w:val="24"/>
        </w:rPr>
        <w:t>本报告类比唐山市兴远物质有限公司滦县安家楼铁矿尾矿砂腐蚀性与浸出毒性鉴别结果，对尾矿砂的腐蚀性、浸出毒性及鉴别结果进行评价。本项目原料使用的矿山与安家楼铁矿矿床成因条件相同，同处迁西群</w:t>
      </w:r>
      <w:r>
        <w:rPr>
          <w:sz w:val="24"/>
        </w:rPr>
        <w:t>—</w:t>
      </w:r>
      <w:r>
        <w:rPr>
          <w:sz w:val="24"/>
        </w:rPr>
        <w:t>三屯营组</w:t>
      </w:r>
      <w:r>
        <w:rPr>
          <w:sz w:val="24"/>
        </w:rPr>
        <w:t>—</w:t>
      </w:r>
      <w:r>
        <w:rPr>
          <w:sz w:val="24"/>
        </w:rPr>
        <w:t>卷天麻岩，矿石性质相似，本项目选场采用铁选工艺与其相同，因此本项目尾矿砂与安家楼矿尾矿砂具有可比性。</w:t>
      </w:r>
    </w:p>
    <w:p w:rsidR="00DB7CC8" w:rsidRDefault="002B5250">
      <w:pPr>
        <w:ind w:firstLine="480"/>
        <w:jc w:val="both"/>
        <w:textAlignment w:val="auto"/>
        <w:rPr>
          <w:kern w:val="2"/>
          <w:sz w:val="24"/>
          <w:szCs w:val="24"/>
        </w:rPr>
      </w:pPr>
      <w:r>
        <w:rPr>
          <w:sz w:val="24"/>
          <w:szCs w:val="24"/>
        </w:rPr>
        <w:t>尾矿砂的腐蚀性、浸出毒性及鉴别结果分别见表</w:t>
      </w:r>
      <w:r>
        <w:rPr>
          <w:sz w:val="24"/>
          <w:szCs w:val="24"/>
        </w:rPr>
        <w:t>5.2-3</w:t>
      </w:r>
      <w:r>
        <w:rPr>
          <w:rFonts w:hint="eastAsia"/>
          <w:sz w:val="24"/>
          <w:szCs w:val="24"/>
        </w:rPr>
        <w:t>3</w:t>
      </w:r>
      <w:r>
        <w:rPr>
          <w:sz w:val="24"/>
          <w:szCs w:val="24"/>
        </w:rPr>
        <w:t>。</w:t>
      </w:r>
    </w:p>
    <w:p w:rsidR="00DB7CC8" w:rsidRDefault="002B5250">
      <w:pPr>
        <w:autoSpaceDE w:val="0"/>
        <w:autoSpaceDN w:val="0"/>
        <w:spacing w:line="240" w:lineRule="auto"/>
        <w:ind w:firstLineChars="0" w:firstLine="0"/>
        <w:jc w:val="center"/>
        <w:textAlignment w:val="auto"/>
        <w:rPr>
          <w:rFonts w:eastAsia="黑体"/>
          <w:bCs/>
          <w:kern w:val="2"/>
          <w:sz w:val="21"/>
          <w:szCs w:val="21"/>
        </w:rPr>
      </w:pPr>
      <w:r>
        <w:rPr>
          <w:rFonts w:eastAsia="黑体"/>
          <w:bCs/>
          <w:kern w:val="2"/>
          <w:sz w:val="21"/>
          <w:szCs w:val="21"/>
        </w:rPr>
        <w:t>表</w:t>
      </w:r>
      <w:r>
        <w:rPr>
          <w:rFonts w:eastAsia="黑体"/>
          <w:bCs/>
          <w:kern w:val="2"/>
          <w:sz w:val="21"/>
          <w:szCs w:val="21"/>
        </w:rPr>
        <w:t>5.2-3</w:t>
      </w:r>
      <w:r>
        <w:rPr>
          <w:rFonts w:eastAsia="黑体" w:hint="eastAsia"/>
          <w:bCs/>
          <w:kern w:val="2"/>
          <w:sz w:val="21"/>
          <w:szCs w:val="21"/>
        </w:rPr>
        <w:t xml:space="preserve">3   </w:t>
      </w:r>
      <w:r>
        <w:rPr>
          <w:rFonts w:eastAsia="黑体"/>
          <w:bCs/>
          <w:kern w:val="2"/>
          <w:sz w:val="21"/>
          <w:szCs w:val="21"/>
        </w:rPr>
        <w:t>尾矿砂腐蚀性鉴别结果表</w:t>
      </w:r>
      <w:r>
        <w:rPr>
          <w:rFonts w:eastAsia="黑体" w:hint="eastAsia"/>
          <w:bCs/>
          <w:kern w:val="2"/>
          <w:sz w:val="21"/>
          <w:szCs w:val="21"/>
        </w:rPr>
        <w:t xml:space="preserve">    </w:t>
      </w:r>
      <w:r>
        <w:rPr>
          <w:rFonts w:eastAsia="黑体"/>
          <w:bCs/>
          <w:kern w:val="2"/>
          <w:sz w:val="21"/>
          <w:szCs w:val="21"/>
        </w:rPr>
        <w:t>单位：</w:t>
      </w:r>
      <w:r>
        <w:rPr>
          <w:rFonts w:eastAsia="黑体"/>
          <w:bCs/>
          <w:kern w:val="2"/>
          <w:sz w:val="21"/>
          <w:szCs w:val="21"/>
        </w:rPr>
        <w:t xml:space="preserve"> mg/L</w:t>
      </w:r>
    </w:p>
    <w:tbl>
      <w:tblPr>
        <w:tblW w:w="852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774"/>
        <w:gridCol w:w="1216"/>
        <w:gridCol w:w="1186"/>
        <w:gridCol w:w="1736"/>
        <w:gridCol w:w="989"/>
        <w:gridCol w:w="1636"/>
        <w:gridCol w:w="989"/>
      </w:tblGrid>
      <w:tr w:rsidR="00DB7CC8">
        <w:trPr>
          <w:trHeight w:val="283"/>
        </w:trPr>
        <w:tc>
          <w:tcPr>
            <w:tcW w:w="774" w:type="dxa"/>
            <w:vMerge w:val="restart"/>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序号</w:t>
            </w:r>
          </w:p>
        </w:tc>
        <w:tc>
          <w:tcPr>
            <w:tcW w:w="1216" w:type="dxa"/>
            <w:vMerge w:val="restart"/>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项目</w:t>
            </w:r>
          </w:p>
        </w:tc>
        <w:tc>
          <w:tcPr>
            <w:tcW w:w="1186" w:type="dxa"/>
            <w:vMerge w:val="restart"/>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浸出毒性试验分析结果含量（</w:t>
            </w:r>
            <w:r>
              <w:rPr>
                <w:rFonts w:eastAsia="Times New Roman"/>
                <w:kern w:val="2"/>
                <w:sz w:val="21"/>
                <w:szCs w:val="21"/>
              </w:rPr>
              <w:t>mg/L</w:t>
            </w:r>
            <w:r>
              <w:rPr>
                <w:kern w:val="2"/>
                <w:sz w:val="21"/>
                <w:szCs w:val="21"/>
              </w:rPr>
              <w:t>）</w:t>
            </w:r>
          </w:p>
        </w:tc>
        <w:tc>
          <w:tcPr>
            <w:tcW w:w="2725" w:type="dxa"/>
            <w:gridSpan w:val="2"/>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浸出液标准</w:t>
            </w:r>
          </w:p>
        </w:tc>
        <w:tc>
          <w:tcPr>
            <w:tcW w:w="2625" w:type="dxa"/>
            <w:gridSpan w:val="2"/>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水质标准</w:t>
            </w:r>
          </w:p>
        </w:tc>
      </w:tr>
      <w:tr w:rsidR="00DB7CC8">
        <w:trPr>
          <w:trHeight w:val="283"/>
        </w:trPr>
        <w:tc>
          <w:tcPr>
            <w:tcW w:w="774"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216"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186"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736" w:type="dxa"/>
            <w:tcBorders>
              <w:tl2br w:val="nil"/>
              <w:tr2bl w:val="nil"/>
            </w:tcBorders>
            <w:vAlign w:val="center"/>
          </w:tcPr>
          <w:p w:rsidR="00DB7CC8" w:rsidRDefault="002B5250">
            <w:pPr>
              <w:autoSpaceDE w:val="0"/>
              <w:autoSpaceDN w:val="0"/>
              <w:adjustRightInd w:val="0"/>
              <w:spacing w:line="240" w:lineRule="auto"/>
              <w:ind w:firstLineChars="0" w:firstLine="0"/>
              <w:jc w:val="center"/>
              <w:textAlignment w:val="auto"/>
              <w:rPr>
                <w:rFonts w:eastAsia="Times New Roman"/>
                <w:kern w:val="2"/>
                <w:sz w:val="21"/>
                <w:szCs w:val="21"/>
              </w:rPr>
            </w:pPr>
            <w:r>
              <w:rPr>
                <w:rFonts w:eastAsia="Times New Roman"/>
                <w:kern w:val="2"/>
                <w:sz w:val="21"/>
                <w:szCs w:val="21"/>
              </w:rPr>
              <w:t xml:space="preserve">GB5085.3-2007 </w:t>
            </w:r>
            <w:r>
              <w:rPr>
                <w:kern w:val="2"/>
                <w:sz w:val="21"/>
                <w:szCs w:val="21"/>
              </w:rPr>
              <w:t>浸出液最高允许浓度标准</w:t>
            </w:r>
          </w:p>
        </w:tc>
        <w:tc>
          <w:tcPr>
            <w:tcW w:w="989" w:type="dxa"/>
            <w:tcBorders>
              <w:tl2br w:val="nil"/>
              <w:tr2bl w:val="nil"/>
            </w:tcBorders>
            <w:vAlign w:val="center"/>
          </w:tcPr>
          <w:p w:rsidR="00DB7CC8" w:rsidRDefault="002B5250">
            <w:pPr>
              <w:autoSpaceDE w:val="0"/>
              <w:autoSpaceDN w:val="0"/>
              <w:adjustRightInd w:val="0"/>
              <w:spacing w:line="240" w:lineRule="auto"/>
              <w:ind w:firstLineChars="0" w:firstLine="0"/>
              <w:jc w:val="center"/>
              <w:textAlignment w:val="auto"/>
              <w:rPr>
                <w:rFonts w:eastAsia="Times New Roman"/>
                <w:kern w:val="2"/>
                <w:sz w:val="21"/>
                <w:szCs w:val="21"/>
              </w:rPr>
            </w:pPr>
            <w:r>
              <w:rPr>
                <w:kern w:val="2"/>
                <w:sz w:val="21"/>
                <w:szCs w:val="21"/>
              </w:rPr>
              <w:t>符合性</w:t>
            </w:r>
          </w:p>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分析</w:t>
            </w:r>
          </w:p>
        </w:tc>
        <w:tc>
          <w:tcPr>
            <w:tcW w:w="1636" w:type="dxa"/>
            <w:tcBorders>
              <w:tl2br w:val="nil"/>
              <w:tr2bl w:val="nil"/>
            </w:tcBorders>
            <w:vAlign w:val="center"/>
          </w:tcPr>
          <w:p w:rsidR="00DB7CC8" w:rsidRDefault="002B5250">
            <w:pPr>
              <w:autoSpaceDE w:val="0"/>
              <w:autoSpaceDN w:val="0"/>
              <w:adjustRightInd w:val="0"/>
              <w:spacing w:line="240" w:lineRule="auto"/>
              <w:ind w:firstLineChars="0" w:firstLine="0"/>
              <w:jc w:val="center"/>
              <w:textAlignment w:val="auto"/>
              <w:rPr>
                <w:rFonts w:eastAsia="Times New Roman"/>
                <w:kern w:val="2"/>
                <w:sz w:val="21"/>
                <w:szCs w:val="21"/>
              </w:rPr>
            </w:pPr>
            <w:r>
              <w:rPr>
                <w:kern w:val="2"/>
                <w:sz w:val="21"/>
                <w:szCs w:val="21"/>
              </w:rPr>
              <w:t>《污水综合排放标准》</w:t>
            </w:r>
            <w:r>
              <w:rPr>
                <w:rFonts w:hint="eastAsia"/>
                <w:kern w:val="2"/>
                <w:sz w:val="21"/>
                <w:szCs w:val="21"/>
              </w:rPr>
              <w:t>（</w:t>
            </w:r>
            <w:r>
              <w:rPr>
                <w:kern w:val="2"/>
                <w:sz w:val="21"/>
                <w:szCs w:val="21"/>
              </w:rPr>
              <w:t>GB8978</w:t>
            </w:r>
            <w:r>
              <w:rPr>
                <w:kern w:val="2"/>
                <w:sz w:val="21"/>
                <w:szCs w:val="21"/>
              </w:rPr>
              <w:t>－</w:t>
            </w:r>
            <w:r>
              <w:rPr>
                <w:kern w:val="2"/>
                <w:sz w:val="21"/>
                <w:szCs w:val="21"/>
              </w:rPr>
              <w:t>1996</w:t>
            </w:r>
            <w:r>
              <w:rPr>
                <w:rFonts w:hint="eastAsia"/>
                <w:kern w:val="2"/>
                <w:sz w:val="21"/>
                <w:szCs w:val="21"/>
              </w:rPr>
              <w:t>）</w:t>
            </w:r>
            <w:r>
              <w:rPr>
                <w:kern w:val="2"/>
                <w:sz w:val="21"/>
                <w:szCs w:val="21"/>
              </w:rPr>
              <w:t>一级</w:t>
            </w:r>
            <w:r>
              <w:rPr>
                <w:rFonts w:hint="eastAsia"/>
                <w:sz w:val="21"/>
                <w:szCs w:val="21"/>
              </w:rPr>
              <w:t>标准</w:t>
            </w:r>
          </w:p>
        </w:tc>
        <w:tc>
          <w:tcPr>
            <w:tcW w:w="989" w:type="dxa"/>
            <w:tcBorders>
              <w:tl2br w:val="nil"/>
              <w:tr2bl w:val="nil"/>
            </w:tcBorders>
            <w:vAlign w:val="center"/>
          </w:tcPr>
          <w:p w:rsidR="00DB7CC8" w:rsidRDefault="002B5250">
            <w:pPr>
              <w:autoSpaceDE w:val="0"/>
              <w:autoSpaceDN w:val="0"/>
              <w:adjustRightInd w:val="0"/>
              <w:spacing w:line="240" w:lineRule="auto"/>
              <w:ind w:firstLineChars="0" w:firstLine="0"/>
              <w:jc w:val="center"/>
              <w:textAlignment w:val="auto"/>
              <w:rPr>
                <w:rFonts w:eastAsia="Times New Roman"/>
                <w:kern w:val="2"/>
                <w:sz w:val="21"/>
                <w:szCs w:val="21"/>
              </w:rPr>
            </w:pPr>
            <w:r>
              <w:rPr>
                <w:kern w:val="2"/>
                <w:sz w:val="21"/>
                <w:szCs w:val="21"/>
              </w:rPr>
              <w:t>达标</w:t>
            </w:r>
          </w:p>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分析</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铜</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0.0026</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100</w:t>
            </w:r>
          </w:p>
        </w:tc>
        <w:tc>
          <w:tcPr>
            <w:tcW w:w="989" w:type="dxa"/>
            <w:vMerge w:val="restart"/>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符合</w:t>
            </w:r>
          </w:p>
        </w:tc>
        <w:tc>
          <w:tcPr>
            <w:tcW w:w="16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≤0.5</w:t>
            </w:r>
          </w:p>
        </w:tc>
        <w:tc>
          <w:tcPr>
            <w:tcW w:w="989"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达标</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2</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锌</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0.001</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100</w:t>
            </w:r>
          </w:p>
        </w:tc>
        <w:tc>
          <w:tcPr>
            <w:tcW w:w="989"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6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≤2.0</w:t>
            </w:r>
          </w:p>
        </w:tc>
        <w:tc>
          <w:tcPr>
            <w:tcW w:w="989"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达标</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3</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hint="eastAsia"/>
                <w:kern w:val="2"/>
                <w:sz w:val="21"/>
                <w:szCs w:val="21"/>
              </w:rPr>
              <w:t>镉</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w:t>
            </w:r>
            <w:r>
              <w:rPr>
                <w:rFonts w:eastAsia="Times New Roman"/>
                <w:kern w:val="2"/>
                <w:sz w:val="21"/>
                <w:szCs w:val="21"/>
              </w:rPr>
              <w:t>0.00006</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w:t>
            </w:r>
          </w:p>
        </w:tc>
        <w:tc>
          <w:tcPr>
            <w:tcW w:w="989"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6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≤0.1</w:t>
            </w:r>
          </w:p>
        </w:tc>
        <w:tc>
          <w:tcPr>
            <w:tcW w:w="989"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达标</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4</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铅</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0.0002</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5</w:t>
            </w:r>
          </w:p>
        </w:tc>
        <w:tc>
          <w:tcPr>
            <w:tcW w:w="989"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6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≤1.0</w:t>
            </w:r>
          </w:p>
        </w:tc>
        <w:tc>
          <w:tcPr>
            <w:tcW w:w="989"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达标</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5</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总铬</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0.0005</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15</w:t>
            </w:r>
          </w:p>
        </w:tc>
        <w:tc>
          <w:tcPr>
            <w:tcW w:w="989"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6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≤1.5</w:t>
            </w:r>
          </w:p>
        </w:tc>
        <w:tc>
          <w:tcPr>
            <w:tcW w:w="989"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6</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六价铬</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w:t>
            </w:r>
            <w:r>
              <w:rPr>
                <w:rFonts w:eastAsia="Times New Roman"/>
                <w:kern w:val="2"/>
                <w:sz w:val="21"/>
                <w:szCs w:val="21"/>
              </w:rPr>
              <w:t>0.005</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5</w:t>
            </w:r>
          </w:p>
        </w:tc>
        <w:tc>
          <w:tcPr>
            <w:tcW w:w="989"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6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≤0.5</w:t>
            </w:r>
          </w:p>
        </w:tc>
        <w:tc>
          <w:tcPr>
            <w:tcW w:w="989"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达标</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7</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烷基汞</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未检出</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不得检出</w:t>
            </w:r>
          </w:p>
        </w:tc>
        <w:tc>
          <w:tcPr>
            <w:tcW w:w="989"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6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w:t>
            </w:r>
          </w:p>
        </w:tc>
        <w:tc>
          <w:tcPr>
            <w:tcW w:w="989"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8</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汞</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w:t>
            </w:r>
            <w:r>
              <w:rPr>
                <w:rFonts w:eastAsia="Times New Roman"/>
                <w:kern w:val="2"/>
                <w:sz w:val="21"/>
                <w:szCs w:val="21"/>
              </w:rPr>
              <w:t>0.0001</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0.1</w:t>
            </w:r>
          </w:p>
        </w:tc>
        <w:tc>
          <w:tcPr>
            <w:tcW w:w="989"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6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≤0.05</w:t>
            </w:r>
          </w:p>
        </w:tc>
        <w:tc>
          <w:tcPr>
            <w:tcW w:w="989"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达标</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9</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铍</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0.00003</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0.02</w:t>
            </w:r>
          </w:p>
        </w:tc>
        <w:tc>
          <w:tcPr>
            <w:tcW w:w="989"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6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≤0.005</w:t>
            </w:r>
          </w:p>
        </w:tc>
        <w:tc>
          <w:tcPr>
            <w:tcW w:w="989"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达标</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10</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钡</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0.42</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100</w:t>
            </w:r>
          </w:p>
        </w:tc>
        <w:tc>
          <w:tcPr>
            <w:tcW w:w="989"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636" w:type="dxa"/>
            <w:tcBorders>
              <w:tl2br w:val="nil"/>
              <w:tr2bl w:val="nil"/>
            </w:tcBorders>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w:t>
            </w:r>
          </w:p>
        </w:tc>
        <w:tc>
          <w:tcPr>
            <w:tcW w:w="989" w:type="dxa"/>
            <w:tcBorders>
              <w:tl2br w:val="nil"/>
              <w:tr2bl w:val="nil"/>
            </w:tcBorders>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11</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镍</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0.0007</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5</w:t>
            </w:r>
          </w:p>
        </w:tc>
        <w:tc>
          <w:tcPr>
            <w:tcW w:w="989"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6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≤1.0</w:t>
            </w:r>
          </w:p>
        </w:tc>
        <w:tc>
          <w:tcPr>
            <w:tcW w:w="989"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达标</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12</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总银</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0.0020</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5</w:t>
            </w:r>
          </w:p>
        </w:tc>
        <w:tc>
          <w:tcPr>
            <w:tcW w:w="989"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6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≤0.5</w:t>
            </w:r>
          </w:p>
        </w:tc>
        <w:tc>
          <w:tcPr>
            <w:tcW w:w="989"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lastRenderedPageBreak/>
              <w:t>13</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砷</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0.0012</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5</w:t>
            </w:r>
          </w:p>
        </w:tc>
        <w:tc>
          <w:tcPr>
            <w:tcW w:w="989"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6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≤0.5</w:t>
            </w:r>
          </w:p>
        </w:tc>
        <w:tc>
          <w:tcPr>
            <w:tcW w:w="989"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达标</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14</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硒</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0.0003</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w:t>
            </w:r>
          </w:p>
        </w:tc>
        <w:tc>
          <w:tcPr>
            <w:tcW w:w="989"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6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≤0.1</w:t>
            </w:r>
          </w:p>
        </w:tc>
        <w:tc>
          <w:tcPr>
            <w:tcW w:w="989"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达标</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15</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无机氟化物</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0.20</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100</w:t>
            </w:r>
          </w:p>
        </w:tc>
        <w:tc>
          <w:tcPr>
            <w:tcW w:w="989"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6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≤10</w:t>
            </w:r>
          </w:p>
        </w:tc>
        <w:tc>
          <w:tcPr>
            <w:tcW w:w="989"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达标</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16</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氰化物</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w:t>
            </w:r>
            <w:r>
              <w:rPr>
                <w:rFonts w:eastAsia="Times New Roman"/>
                <w:kern w:val="2"/>
                <w:sz w:val="21"/>
                <w:szCs w:val="21"/>
              </w:rPr>
              <w:t>0.005</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5</w:t>
            </w:r>
          </w:p>
        </w:tc>
        <w:tc>
          <w:tcPr>
            <w:tcW w:w="989"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6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≤0.5</w:t>
            </w:r>
          </w:p>
        </w:tc>
        <w:tc>
          <w:tcPr>
            <w:tcW w:w="989"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达标</w:t>
            </w:r>
          </w:p>
        </w:tc>
      </w:tr>
      <w:tr w:rsidR="00DB7CC8">
        <w:trPr>
          <w:trHeight w:val="283"/>
        </w:trPr>
        <w:tc>
          <w:tcPr>
            <w:tcW w:w="774"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17</w:t>
            </w:r>
          </w:p>
        </w:tc>
        <w:tc>
          <w:tcPr>
            <w:tcW w:w="121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pH</w:t>
            </w:r>
          </w:p>
        </w:tc>
        <w:tc>
          <w:tcPr>
            <w:tcW w:w="118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8.5</w:t>
            </w:r>
          </w:p>
        </w:tc>
        <w:tc>
          <w:tcPr>
            <w:tcW w:w="17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≤2</w:t>
            </w:r>
            <w:r>
              <w:rPr>
                <w:kern w:val="2"/>
                <w:sz w:val="21"/>
                <w:szCs w:val="21"/>
              </w:rPr>
              <w:t>；</w:t>
            </w:r>
            <w:r>
              <w:rPr>
                <w:rFonts w:eastAsia="Times New Roman"/>
                <w:kern w:val="2"/>
                <w:sz w:val="21"/>
                <w:szCs w:val="21"/>
              </w:rPr>
              <w:t>≥12.5</w:t>
            </w:r>
          </w:p>
        </w:tc>
        <w:tc>
          <w:tcPr>
            <w:tcW w:w="989" w:type="dxa"/>
            <w:vMerge/>
            <w:tcBorders>
              <w:tl2br w:val="nil"/>
              <w:tr2bl w:val="nil"/>
            </w:tcBorders>
            <w:vAlign w:val="center"/>
          </w:tcPr>
          <w:p w:rsidR="00DB7CC8" w:rsidRDefault="00DB7CC8">
            <w:pPr>
              <w:spacing w:line="240" w:lineRule="auto"/>
              <w:ind w:firstLineChars="0" w:firstLine="0"/>
              <w:jc w:val="center"/>
              <w:textAlignment w:val="auto"/>
              <w:rPr>
                <w:rFonts w:eastAsia="Times New Roman"/>
                <w:kern w:val="2"/>
                <w:sz w:val="21"/>
                <w:szCs w:val="21"/>
              </w:rPr>
            </w:pPr>
          </w:p>
        </w:tc>
        <w:tc>
          <w:tcPr>
            <w:tcW w:w="1636"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rFonts w:eastAsia="Times New Roman"/>
                <w:kern w:val="2"/>
                <w:sz w:val="21"/>
                <w:szCs w:val="21"/>
              </w:rPr>
              <w:t>6-9</w:t>
            </w:r>
          </w:p>
        </w:tc>
        <w:tc>
          <w:tcPr>
            <w:tcW w:w="989" w:type="dxa"/>
            <w:tcBorders>
              <w:tl2br w:val="nil"/>
              <w:tr2bl w:val="nil"/>
            </w:tcBorders>
            <w:vAlign w:val="center"/>
          </w:tcPr>
          <w:p w:rsidR="00DB7CC8" w:rsidRDefault="002B5250">
            <w:pPr>
              <w:spacing w:line="240" w:lineRule="auto"/>
              <w:ind w:firstLineChars="0" w:firstLine="0"/>
              <w:jc w:val="center"/>
              <w:textAlignment w:val="auto"/>
              <w:rPr>
                <w:rFonts w:eastAsia="Times New Roman"/>
                <w:kern w:val="2"/>
                <w:sz w:val="21"/>
                <w:szCs w:val="21"/>
              </w:rPr>
            </w:pPr>
            <w:r>
              <w:rPr>
                <w:kern w:val="2"/>
                <w:sz w:val="21"/>
                <w:szCs w:val="21"/>
              </w:rPr>
              <w:t>达标</w:t>
            </w:r>
          </w:p>
        </w:tc>
      </w:tr>
    </w:tbl>
    <w:p w:rsidR="00DB7CC8" w:rsidRDefault="002B5250">
      <w:pPr>
        <w:ind w:firstLine="480"/>
        <w:jc w:val="both"/>
        <w:textAlignment w:val="auto"/>
        <w:rPr>
          <w:kern w:val="2"/>
          <w:sz w:val="24"/>
          <w:szCs w:val="24"/>
        </w:rPr>
      </w:pPr>
      <w:r>
        <w:rPr>
          <w:kern w:val="2"/>
          <w:sz w:val="24"/>
          <w:szCs w:val="24"/>
        </w:rPr>
        <w:t>由上表可见：</w:t>
      </w:r>
      <w:r>
        <w:rPr>
          <w:rFonts w:ascii="宋体" w:hAnsi="宋体" w:cs="宋体" w:hint="eastAsia"/>
          <w:kern w:val="2"/>
          <w:sz w:val="24"/>
          <w:szCs w:val="24"/>
        </w:rPr>
        <w:t>①</w:t>
      </w:r>
      <w:r>
        <w:rPr>
          <w:kern w:val="2"/>
          <w:sz w:val="24"/>
          <w:szCs w:val="24"/>
        </w:rPr>
        <w:t>腐蚀性鉴别结果表明：尾矿砂浸出液的</w:t>
      </w:r>
      <w:r>
        <w:rPr>
          <w:kern w:val="2"/>
          <w:sz w:val="24"/>
          <w:szCs w:val="24"/>
        </w:rPr>
        <w:t>pH</w:t>
      </w:r>
      <w:r>
        <w:rPr>
          <w:kern w:val="2"/>
          <w:sz w:val="24"/>
          <w:szCs w:val="24"/>
        </w:rPr>
        <w:t>值</w:t>
      </w:r>
      <w:r>
        <w:rPr>
          <w:kern w:val="2"/>
          <w:sz w:val="24"/>
          <w:szCs w:val="24"/>
        </w:rPr>
        <w:t>7.9-8.0</w:t>
      </w:r>
      <w:r>
        <w:rPr>
          <w:kern w:val="2"/>
          <w:sz w:val="24"/>
          <w:szCs w:val="24"/>
        </w:rPr>
        <w:t>，不在</w:t>
      </w:r>
      <w:r>
        <w:rPr>
          <w:kern w:val="2"/>
          <w:sz w:val="24"/>
          <w:szCs w:val="24"/>
        </w:rPr>
        <w:t>pH≥12.5</w:t>
      </w:r>
      <w:r>
        <w:rPr>
          <w:kern w:val="2"/>
          <w:sz w:val="24"/>
          <w:szCs w:val="24"/>
        </w:rPr>
        <w:t>或</w:t>
      </w:r>
      <w:r>
        <w:rPr>
          <w:kern w:val="2"/>
          <w:sz w:val="24"/>
          <w:szCs w:val="24"/>
        </w:rPr>
        <w:t>pH≤2.0</w:t>
      </w:r>
      <w:r>
        <w:rPr>
          <w:kern w:val="2"/>
          <w:sz w:val="24"/>
          <w:szCs w:val="24"/>
        </w:rPr>
        <w:t>范围内。</w:t>
      </w:r>
      <w:r>
        <w:rPr>
          <w:rFonts w:ascii="宋体" w:hAnsi="宋体" w:cs="宋体" w:hint="eastAsia"/>
          <w:kern w:val="2"/>
          <w:sz w:val="24"/>
          <w:szCs w:val="24"/>
        </w:rPr>
        <w:t>②</w:t>
      </w:r>
      <w:r>
        <w:rPr>
          <w:kern w:val="2"/>
          <w:sz w:val="24"/>
          <w:szCs w:val="24"/>
        </w:rPr>
        <w:t>浸出毒性鉴别结果表明：尾矿砂浸出液中各污染物均低于《危险物鉴别标准浸出毒性鉴别》（</w:t>
      </w:r>
      <w:r>
        <w:rPr>
          <w:kern w:val="2"/>
          <w:sz w:val="24"/>
          <w:szCs w:val="24"/>
        </w:rPr>
        <w:t>GB5085.3-2007</w:t>
      </w:r>
      <w:r>
        <w:rPr>
          <w:kern w:val="2"/>
          <w:sz w:val="24"/>
          <w:szCs w:val="24"/>
        </w:rPr>
        <w:t>）中规定的浸出液最高允许浓度，因此本企业尾砂不属于具有浸出毒性的危险废物。</w:t>
      </w:r>
      <w:r>
        <w:rPr>
          <w:rFonts w:ascii="宋体" w:hAnsi="宋体" w:cs="宋体" w:hint="eastAsia"/>
          <w:kern w:val="2"/>
          <w:sz w:val="24"/>
          <w:szCs w:val="24"/>
        </w:rPr>
        <w:t>③</w:t>
      </w:r>
      <w:r>
        <w:rPr>
          <w:kern w:val="2"/>
          <w:sz w:val="24"/>
          <w:szCs w:val="24"/>
        </w:rPr>
        <w:t>尾砂浸出液中任何一种污染物浓度均未超过《污水综合排放标准》</w:t>
      </w:r>
      <w:r>
        <w:rPr>
          <w:rFonts w:hint="eastAsia"/>
          <w:kern w:val="2"/>
          <w:sz w:val="24"/>
          <w:szCs w:val="24"/>
        </w:rPr>
        <w:t>（</w:t>
      </w:r>
      <w:r>
        <w:rPr>
          <w:kern w:val="2"/>
          <w:sz w:val="24"/>
          <w:szCs w:val="24"/>
        </w:rPr>
        <w:t>GB8978</w:t>
      </w:r>
      <w:r>
        <w:rPr>
          <w:kern w:val="2"/>
          <w:sz w:val="24"/>
          <w:szCs w:val="24"/>
        </w:rPr>
        <w:t>－</w:t>
      </w:r>
      <w:r>
        <w:rPr>
          <w:kern w:val="2"/>
          <w:sz w:val="24"/>
          <w:szCs w:val="24"/>
        </w:rPr>
        <w:t>1996</w:t>
      </w:r>
      <w:r>
        <w:rPr>
          <w:rFonts w:hint="eastAsia"/>
          <w:kern w:val="2"/>
          <w:sz w:val="24"/>
          <w:szCs w:val="24"/>
        </w:rPr>
        <w:t>）</w:t>
      </w:r>
      <w:r>
        <w:rPr>
          <w:kern w:val="2"/>
          <w:sz w:val="24"/>
          <w:szCs w:val="24"/>
        </w:rPr>
        <w:t>一级</w:t>
      </w:r>
      <w:r>
        <w:rPr>
          <w:rFonts w:hint="eastAsia"/>
          <w:sz w:val="24"/>
          <w:szCs w:val="24"/>
        </w:rPr>
        <w:t>标准要求，且</w:t>
      </w:r>
      <w:r>
        <w:rPr>
          <w:rFonts w:hint="eastAsia"/>
          <w:sz w:val="24"/>
          <w:szCs w:val="24"/>
        </w:rPr>
        <w:t>pH</w:t>
      </w:r>
      <w:r>
        <w:rPr>
          <w:rFonts w:hint="eastAsia"/>
          <w:sz w:val="24"/>
          <w:szCs w:val="24"/>
        </w:rPr>
        <w:t>值在</w:t>
      </w:r>
      <w:r>
        <w:rPr>
          <w:rFonts w:hint="eastAsia"/>
          <w:sz w:val="24"/>
          <w:szCs w:val="24"/>
        </w:rPr>
        <w:t>6-9</w:t>
      </w:r>
      <w:r>
        <w:rPr>
          <w:kern w:val="2"/>
          <w:sz w:val="24"/>
          <w:szCs w:val="24"/>
        </w:rPr>
        <w:t>，为第</w:t>
      </w:r>
      <w:r>
        <w:rPr>
          <w:kern w:val="2"/>
          <w:sz w:val="24"/>
          <w:szCs w:val="24"/>
        </w:rPr>
        <w:t>Ⅰ</w:t>
      </w:r>
      <w:r>
        <w:rPr>
          <w:kern w:val="2"/>
          <w:sz w:val="24"/>
          <w:szCs w:val="24"/>
        </w:rPr>
        <w:t>类一般工业固体废物。</w:t>
      </w:r>
    </w:p>
    <w:p w:rsidR="00DB7CC8" w:rsidRDefault="002B5250">
      <w:pPr>
        <w:ind w:firstLine="480"/>
        <w:jc w:val="both"/>
        <w:textAlignment w:val="auto"/>
        <w:rPr>
          <w:kern w:val="2"/>
          <w:sz w:val="24"/>
          <w:szCs w:val="24"/>
        </w:rPr>
      </w:pPr>
      <w:r>
        <w:rPr>
          <w:kern w:val="2"/>
          <w:sz w:val="24"/>
          <w:szCs w:val="24"/>
        </w:rPr>
        <w:t>由此判断，本项目产生的尾矿砂不属于具有腐蚀性的危险废物，属于一般工业固体废物。</w:t>
      </w:r>
    </w:p>
    <w:p w:rsidR="00DB7CC8" w:rsidRDefault="002B5250">
      <w:pPr>
        <w:ind w:firstLine="480"/>
        <w:rPr>
          <w:sz w:val="24"/>
          <w:szCs w:val="24"/>
        </w:rPr>
      </w:pPr>
      <w:bookmarkStart w:id="433" w:name="_Hlk535526526"/>
      <w:r>
        <w:rPr>
          <w:sz w:val="24"/>
          <w:szCs w:val="24"/>
        </w:rPr>
        <w:t>（</w:t>
      </w:r>
      <w:r>
        <w:rPr>
          <w:rFonts w:hint="eastAsia"/>
          <w:sz w:val="24"/>
          <w:szCs w:val="24"/>
        </w:rPr>
        <w:t>2</w:t>
      </w:r>
      <w:r>
        <w:rPr>
          <w:sz w:val="24"/>
          <w:szCs w:val="24"/>
        </w:rPr>
        <w:t>）废钢球</w:t>
      </w:r>
    </w:p>
    <w:p w:rsidR="00DB7CC8" w:rsidRDefault="002B5250">
      <w:pPr>
        <w:ind w:firstLine="480"/>
        <w:rPr>
          <w:sz w:val="24"/>
          <w:szCs w:val="24"/>
        </w:rPr>
      </w:pPr>
      <w:r>
        <w:rPr>
          <w:sz w:val="24"/>
          <w:szCs w:val="24"/>
        </w:rPr>
        <w:t>废钢球产生于球磨工段，矿石在球磨机中利用矿石相互之间及矿石与钢球之间的碰撞、摩擦将矿石磨成粉状物料，钢球磨损后从球磨机中取出，补充新的钢球，取出的废钢球定期由厂家回收处理。废钢球主要成分为钢铁。</w:t>
      </w:r>
    </w:p>
    <w:bookmarkEnd w:id="433"/>
    <w:p w:rsidR="00DB7CC8" w:rsidRDefault="002B5250">
      <w:pPr>
        <w:ind w:firstLine="480"/>
        <w:jc w:val="both"/>
        <w:textAlignment w:val="auto"/>
        <w:rPr>
          <w:kern w:val="2"/>
          <w:sz w:val="24"/>
          <w:szCs w:val="24"/>
        </w:rPr>
      </w:pPr>
      <w:r>
        <w:rPr>
          <w:kern w:val="2"/>
          <w:sz w:val="24"/>
          <w:szCs w:val="24"/>
        </w:rPr>
        <w:t>（</w:t>
      </w:r>
      <w:r>
        <w:rPr>
          <w:rFonts w:hint="eastAsia"/>
          <w:kern w:val="2"/>
          <w:sz w:val="24"/>
          <w:szCs w:val="24"/>
        </w:rPr>
        <w:t>3</w:t>
      </w:r>
      <w:r>
        <w:rPr>
          <w:kern w:val="2"/>
          <w:sz w:val="24"/>
          <w:szCs w:val="24"/>
        </w:rPr>
        <w:t>）危险废物</w:t>
      </w:r>
    </w:p>
    <w:p w:rsidR="00DB7CC8" w:rsidRDefault="002B5250">
      <w:pPr>
        <w:ind w:firstLine="480"/>
        <w:jc w:val="both"/>
        <w:textAlignment w:val="auto"/>
        <w:rPr>
          <w:kern w:val="2"/>
          <w:sz w:val="24"/>
          <w:szCs w:val="24"/>
        </w:rPr>
      </w:pPr>
      <w:r>
        <w:rPr>
          <w:kern w:val="2"/>
          <w:sz w:val="24"/>
          <w:szCs w:val="24"/>
        </w:rPr>
        <w:t>本项目所产危险废物主要为设备维护、检修过程中产生的废机油、废油桶，其分析结果见下表</w:t>
      </w:r>
      <w:r>
        <w:rPr>
          <w:kern w:val="2"/>
          <w:sz w:val="24"/>
          <w:szCs w:val="24"/>
        </w:rPr>
        <w:t>5.2-3</w:t>
      </w:r>
      <w:r>
        <w:rPr>
          <w:rFonts w:hint="eastAsia"/>
          <w:kern w:val="2"/>
          <w:sz w:val="24"/>
          <w:szCs w:val="24"/>
        </w:rPr>
        <w:t>5</w:t>
      </w:r>
      <w:r>
        <w:rPr>
          <w:kern w:val="2"/>
          <w:sz w:val="24"/>
          <w:szCs w:val="24"/>
        </w:rPr>
        <w:t>。</w:t>
      </w:r>
    </w:p>
    <w:p w:rsidR="00DB7CC8" w:rsidRDefault="002B5250">
      <w:pPr>
        <w:autoSpaceDE w:val="0"/>
        <w:autoSpaceDN w:val="0"/>
        <w:spacing w:line="240" w:lineRule="auto"/>
        <w:ind w:firstLineChars="0" w:firstLine="0"/>
        <w:jc w:val="center"/>
        <w:textAlignment w:val="auto"/>
        <w:rPr>
          <w:rFonts w:eastAsia="黑体"/>
          <w:bCs/>
          <w:kern w:val="2"/>
          <w:sz w:val="21"/>
          <w:szCs w:val="21"/>
        </w:rPr>
      </w:pPr>
      <w:r>
        <w:rPr>
          <w:rFonts w:eastAsia="黑体"/>
          <w:bCs/>
          <w:kern w:val="2"/>
          <w:sz w:val="21"/>
          <w:szCs w:val="21"/>
        </w:rPr>
        <w:t>表</w:t>
      </w:r>
      <w:r>
        <w:rPr>
          <w:rFonts w:eastAsia="黑体"/>
          <w:bCs/>
          <w:kern w:val="2"/>
          <w:sz w:val="21"/>
          <w:szCs w:val="21"/>
        </w:rPr>
        <w:t>5.2-3</w:t>
      </w:r>
      <w:r>
        <w:rPr>
          <w:rFonts w:eastAsia="黑体" w:hint="eastAsia"/>
          <w:bCs/>
          <w:kern w:val="2"/>
          <w:sz w:val="21"/>
          <w:szCs w:val="21"/>
        </w:rPr>
        <w:t xml:space="preserve">5   </w:t>
      </w:r>
      <w:r>
        <w:rPr>
          <w:rFonts w:eastAsia="黑体"/>
          <w:bCs/>
          <w:kern w:val="2"/>
          <w:sz w:val="21"/>
          <w:szCs w:val="21"/>
        </w:rPr>
        <w:t>本项目危险废物分析结果一览表</w:t>
      </w:r>
    </w:p>
    <w:tbl>
      <w:tblPr>
        <w:tblW w:w="8528" w:type="dxa"/>
        <w:jc w:val="center"/>
        <w:tblBorders>
          <w:top w:val="single" w:sz="4" w:space="0" w:color="auto"/>
          <w:bottom w:val="single" w:sz="4" w:space="0" w:color="auto"/>
          <w:insideH w:val="single" w:sz="6" w:space="0" w:color="auto"/>
          <w:insideV w:val="single" w:sz="6" w:space="0" w:color="auto"/>
        </w:tblBorders>
        <w:tblLayout w:type="fixed"/>
        <w:tblLook w:val="04A0" w:firstRow="1" w:lastRow="0" w:firstColumn="1" w:lastColumn="0" w:noHBand="0" w:noVBand="1"/>
      </w:tblPr>
      <w:tblGrid>
        <w:gridCol w:w="422"/>
        <w:gridCol w:w="1244"/>
        <w:gridCol w:w="741"/>
        <w:gridCol w:w="1038"/>
        <w:gridCol w:w="536"/>
        <w:gridCol w:w="1179"/>
        <w:gridCol w:w="676"/>
        <w:gridCol w:w="775"/>
        <w:gridCol w:w="929"/>
        <w:gridCol w:w="988"/>
      </w:tblGrid>
      <w:tr w:rsidR="00DB7CC8">
        <w:trPr>
          <w:trHeight w:val="540"/>
          <w:tblHeader/>
          <w:jc w:val="center"/>
        </w:trPr>
        <w:tc>
          <w:tcPr>
            <w:tcW w:w="422" w:type="dxa"/>
            <w:tcBorders>
              <w:left w:val="single" w:sz="4" w:space="0" w:color="auto"/>
            </w:tcBorders>
            <w:vAlign w:val="center"/>
          </w:tcPr>
          <w:p w:rsidR="00DB7CC8" w:rsidRDefault="002B5250">
            <w:pPr>
              <w:widowControl/>
              <w:spacing w:line="240" w:lineRule="auto"/>
              <w:ind w:firstLineChars="0" w:firstLine="0"/>
              <w:jc w:val="center"/>
              <w:rPr>
                <w:sz w:val="21"/>
                <w:szCs w:val="21"/>
              </w:rPr>
            </w:pPr>
            <w:r>
              <w:rPr>
                <w:sz w:val="21"/>
                <w:szCs w:val="21"/>
              </w:rPr>
              <w:t>序号</w:t>
            </w:r>
          </w:p>
        </w:tc>
        <w:tc>
          <w:tcPr>
            <w:tcW w:w="1244" w:type="dxa"/>
            <w:vAlign w:val="center"/>
          </w:tcPr>
          <w:p w:rsidR="00DB7CC8" w:rsidRDefault="002B5250">
            <w:pPr>
              <w:widowControl/>
              <w:spacing w:line="240" w:lineRule="auto"/>
              <w:ind w:firstLineChars="0" w:firstLine="0"/>
              <w:jc w:val="center"/>
              <w:rPr>
                <w:sz w:val="21"/>
                <w:szCs w:val="21"/>
              </w:rPr>
            </w:pPr>
            <w:r>
              <w:rPr>
                <w:sz w:val="21"/>
                <w:szCs w:val="21"/>
              </w:rPr>
              <w:t>固废名称</w:t>
            </w:r>
          </w:p>
        </w:tc>
        <w:tc>
          <w:tcPr>
            <w:tcW w:w="741" w:type="dxa"/>
            <w:vAlign w:val="center"/>
          </w:tcPr>
          <w:p w:rsidR="00DB7CC8" w:rsidRDefault="002B5250">
            <w:pPr>
              <w:widowControl/>
              <w:spacing w:line="240" w:lineRule="auto"/>
              <w:ind w:firstLineChars="0" w:firstLine="0"/>
              <w:jc w:val="center"/>
              <w:rPr>
                <w:sz w:val="21"/>
                <w:szCs w:val="21"/>
              </w:rPr>
            </w:pPr>
            <w:r>
              <w:rPr>
                <w:sz w:val="21"/>
                <w:szCs w:val="21"/>
              </w:rPr>
              <w:t>属性</w:t>
            </w:r>
          </w:p>
        </w:tc>
        <w:tc>
          <w:tcPr>
            <w:tcW w:w="1038" w:type="dxa"/>
            <w:vAlign w:val="center"/>
          </w:tcPr>
          <w:p w:rsidR="00DB7CC8" w:rsidRDefault="002B5250">
            <w:pPr>
              <w:widowControl/>
              <w:spacing w:line="240" w:lineRule="auto"/>
              <w:ind w:firstLineChars="0" w:firstLine="0"/>
              <w:jc w:val="center"/>
              <w:rPr>
                <w:sz w:val="21"/>
                <w:szCs w:val="21"/>
              </w:rPr>
            </w:pPr>
            <w:r>
              <w:rPr>
                <w:sz w:val="21"/>
                <w:szCs w:val="21"/>
              </w:rPr>
              <w:t>产生</w:t>
            </w:r>
          </w:p>
          <w:p w:rsidR="00DB7CC8" w:rsidRDefault="002B5250">
            <w:pPr>
              <w:widowControl/>
              <w:spacing w:line="240" w:lineRule="auto"/>
              <w:ind w:firstLineChars="0" w:firstLine="0"/>
              <w:jc w:val="center"/>
              <w:rPr>
                <w:sz w:val="21"/>
                <w:szCs w:val="21"/>
              </w:rPr>
            </w:pPr>
            <w:r>
              <w:rPr>
                <w:sz w:val="21"/>
                <w:szCs w:val="21"/>
              </w:rPr>
              <w:t>工序</w:t>
            </w:r>
          </w:p>
        </w:tc>
        <w:tc>
          <w:tcPr>
            <w:tcW w:w="536" w:type="dxa"/>
            <w:vAlign w:val="center"/>
          </w:tcPr>
          <w:p w:rsidR="00DB7CC8" w:rsidRDefault="002B5250">
            <w:pPr>
              <w:widowControl/>
              <w:spacing w:line="240" w:lineRule="auto"/>
              <w:ind w:firstLineChars="0" w:firstLine="0"/>
              <w:jc w:val="center"/>
              <w:rPr>
                <w:sz w:val="21"/>
                <w:szCs w:val="21"/>
              </w:rPr>
            </w:pPr>
            <w:r>
              <w:rPr>
                <w:sz w:val="21"/>
                <w:szCs w:val="21"/>
              </w:rPr>
              <w:t>形</w:t>
            </w:r>
          </w:p>
          <w:p w:rsidR="00DB7CC8" w:rsidRDefault="002B5250">
            <w:pPr>
              <w:widowControl/>
              <w:spacing w:line="240" w:lineRule="auto"/>
              <w:ind w:firstLineChars="0" w:firstLine="0"/>
              <w:jc w:val="center"/>
              <w:rPr>
                <w:sz w:val="21"/>
                <w:szCs w:val="21"/>
              </w:rPr>
            </w:pPr>
            <w:r>
              <w:rPr>
                <w:sz w:val="21"/>
                <w:szCs w:val="21"/>
              </w:rPr>
              <w:t>态</w:t>
            </w:r>
          </w:p>
        </w:tc>
        <w:tc>
          <w:tcPr>
            <w:tcW w:w="1179" w:type="dxa"/>
            <w:vAlign w:val="center"/>
          </w:tcPr>
          <w:p w:rsidR="00DB7CC8" w:rsidRDefault="002B5250">
            <w:pPr>
              <w:widowControl/>
              <w:spacing w:line="240" w:lineRule="auto"/>
              <w:ind w:firstLineChars="0" w:firstLine="0"/>
              <w:jc w:val="center"/>
              <w:rPr>
                <w:sz w:val="21"/>
                <w:szCs w:val="21"/>
              </w:rPr>
            </w:pPr>
            <w:r>
              <w:rPr>
                <w:sz w:val="21"/>
                <w:szCs w:val="21"/>
              </w:rPr>
              <w:t>主要成份</w:t>
            </w:r>
          </w:p>
        </w:tc>
        <w:tc>
          <w:tcPr>
            <w:tcW w:w="676" w:type="dxa"/>
            <w:vAlign w:val="center"/>
          </w:tcPr>
          <w:p w:rsidR="00DB7CC8" w:rsidRDefault="002B5250">
            <w:pPr>
              <w:widowControl/>
              <w:spacing w:line="240" w:lineRule="auto"/>
              <w:ind w:firstLineChars="0" w:firstLine="0"/>
              <w:jc w:val="center"/>
              <w:rPr>
                <w:sz w:val="21"/>
                <w:szCs w:val="21"/>
              </w:rPr>
            </w:pPr>
            <w:r>
              <w:rPr>
                <w:sz w:val="21"/>
                <w:szCs w:val="21"/>
              </w:rPr>
              <w:t>危险特性</w:t>
            </w:r>
          </w:p>
        </w:tc>
        <w:tc>
          <w:tcPr>
            <w:tcW w:w="775" w:type="dxa"/>
            <w:vAlign w:val="center"/>
          </w:tcPr>
          <w:p w:rsidR="00DB7CC8" w:rsidRDefault="002B5250">
            <w:pPr>
              <w:widowControl/>
              <w:spacing w:line="240" w:lineRule="auto"/>
              <w:ind w:firstLineChars="0" w:firstLine="0"/>
              <w:jc w:val="center"/>
              <w:rPr>
                <w:sz w:val="21"/>
                <w:szCs w:val="21"/>
              </w:rPr>
            </w:pPr>
            <w:r>
              <w:rPr>
                <w:sz w:val="21"/>
                <w:szCs w:val="21"/>
              </w:rPr>
              <w:t>废物类别</w:t>
            </w:r>
          </w:p>
        </w:tc>
        <w:tc>
          <w:tcPr>
            <w:tcW w:w="929" w:type="dxa"/>
            <w:vAlign w:val="center"/>
          </w:tcPr>
          <w:p w:rsidR="00DB7CC8" w:rsidRDefault="002B5250">
            <w:pPr>
              <w:widowControl/>
              <w:spacing w:line="240" w:lineRule="auto"/>
              <w:ind w:firstLineChars="0" w:firstLine="0"/>
              <w:jc w:val="center"/>
              <w:rPr>
                <w:sz w:val="21"/>
                <w:szCs w:val="21"/>
              </w:rPr>
            </w:pPr>
            <w:r>
              <w:rPr>
                <w:sz w:val="21"/>
                <w:szCs w:val="21"/>
              </w:rPr>
              <w:t>废物</w:t>
            </w:r>
          </w:p>
          <w:p w:rsidR="00DB7CC8" w:rsidRDefault="002B5250">
            <w:pPr>
              <w:widowControl/>
              <w:spacing w:line="240" w:lineRule="auto"/>
              <w:ind w:firstLineChars="0" w:firstLine="0"/>
              <w:jc w:val="center"/>
              <w:rPr>
                <w:sz w:val="21"/>
                <w:szCs w:val="21"/>
              </w:rPr>
            </w:pPr>
            <w:r>
              <w:rPr>
                <w:sz w:val="21"/>
                <w:szCs w:val="21"/>
              </w:rPr>
              <w:t>代码</w:t>
            </w:r>
          </w:p>
        </w:tc>
        <w:tc>
          <w:tcPr>
            <w:tcW w:w="988" w:type="dxa"/>
            <w:tcBorders>
              <w:right w:val="single" w:sz="4" w:space="0" w:color="auto"/>
            </w:tcBorders>
            <w:vAlign w:val="center"/>
          </w:tcPr>
          <w:p w:rsidR="00DB7CC8" w:rsidRDefault="002B5250">
            <w:pPr>
              <w:widowControl/>
              <w:spacing w:line="240" w:lineRule="auto"/>
              <w:ind w:firstLineChars="0" w:firstLine="0"/>
              <w:jc w:val="center"/>
              <w:rPr>
                <w:sz w:val="21"/>
                <w:szCs w:val="21"/>
              </w:rPr>
            </w:pPr>
            <w:r>
              <w:rPr>
                <w:sz w:val="21"/>
                <w:szCs w:val="21"/>
              </w:rPr>
              <w:t>估算年</w:t>
            </w:r>
          </w:p>
          <w:p w:rsidR="00DB7CC8" w:rsidRDefault="002B5250">
            <w:pPr>
              <w:widowControl/>
              <w:spacing w:line="240" w:lineRule="auto"/>
              <w:ind w:firstLineChars="0" w:firstLine="0"/>
              <w:jc w:val="center"/>
              <w:rPr>
                <w:sz w:val="21"/>
                <w:szCs w:val="21"/>
              </w:rPr>
            </w:pPr>
            <w:r>
              <w:rPr>
                <w:sz w:val="21"/>
                <w:szCs w:val="21"/>
              </w:rPr>
              <w:t>产生量</w:t>
            </w:r>
          </w:p>
        </w:tc>
      </w:tr>
      <w:tr w:rsidR="00DB7CC8">
        <w:trPr>
          <w:trHeight w:val="604"/>
          <w:jc w:val="center"/>
        </w:trPr>
        <w:tc>
          <w:tcPr>
            <w:tcW w:w="422" w:type="dxa"/>
            <w:tcBorders>
              <w:left w:val="single" w:sz="4" w:space="0" w:color="auto"/>
            </w:tcBorders>
            <w:vAlign w:val="center"/>
          </w:tcPr>
          <w:p w:rsidR="00DB7CC8" w:rsidRDefault="002B5250">
            <w:pPr>
              <w:widowControl/>
              <w:spacing w:line="240" w:lineRule="auto"/>
              <w:ind w:firstLineChars="0" w:firstLine="0"/>
              <w:jc w:val="center"/>
              <w:rPr>
                <w:sz w:val="21"/>
                <w:szCs w:val="21"/>
              </w:rPr>
            </w:pPr>
            <w:r>
              <w:rPr>
                <w:sz w:val="21"/>
                <w:szCs w:val="21"/>
              </w:rPr>
              <w:t>1</w:t>
            </w:r>
          </w:p>
        </w:tc>
        <w:tc>
          <w:tcPr>
            <w:tcW w:w="1244" w:type="dxa"/>
            <w:vAlign w:val="center"/>
          </w:tcPr>
          <w:p w:rsidR="00DB7CC8" w:rsidRDefault="002B5250">
            <w:pPr>
              <w:widowControl/>
              <w:spacing w:line="240" w:lineRule="auto"/>
              <w:ind w:firstLineChars="0" w:firstLine="0"/>
              <w:jc w:val="center"/>
              <w:rPr>
                <w:sz w:val="21"/>
                <w:szCs w:val="21"/>
              </w:rPr>
            </w:pPr>
            <w:r>
              <w:rPr>
                <w:sz w:val="21"/>
                <w:szCs w:val="21"/>
              </w:rPr>
              <w:t>废机油</w:t>
            </w:r>
          </w:p>
        </w:tc>
        <w:tc>
          <w:tcPr>
            <w:tcW w:w="741" w:type="dxa"/>
            <w:vAlign w:val="center"/>
          </w:tcPr>
          <w:p w:rsidR="00DB7CC8" w:rsidRDefault="002B5250">
            <w:pPr>
              <w:widowControl/>
              <w:spacing w:line="240" w:lineRule="auto"/>
              <w:ind w:firstLineChars="0" w:firstLine="0"/>
              <w:jc w:val="center"/>
              <w:rPr>
                <w:sz w:val="21"/>
                <w:szCs w:val="21"/>
              </w:rPr>
            </w:pPr>
            <w:r>
              <w:rPr>
                <w:sz w:val="21"/>
                <w:szCs w:val="21"/>
              </w:rPr>
              <w:t>危险废物</w:t>
            </w:r>
          </w:p>
        </w:tc>
        <w:tc>
          <w:tcPr>
            <w:tcW w:w="1038" w:type="dxa"/>
            <w:vAlign w:val="center"/>
          </w:tcPr>
          <w:p w:rsidR="00DB7CC8" w:rsidRDefault="002B5250">
            <w:pPr>
              <w:widowControl/>
              <w:spacing w:line="240" w:lineRule="auto"/>
              <w:ind w:firstLineChars="0" w:firstLine="0"/>
              <w:jc w:val="center"/>
              <w:rPr>
                <w:sz w:val="21"/>
                <w:szCs w:val="21"/>
              </w:rPr>
            </w:pPr>
            <w:r>
              <w:rPr>
                <w:sz w:val="21"/>
                <w:szCs w:val="21"/>
              </w:rPr>
              <w:t>设备检修、维护</w:t>
            </w:r>
          </w:p>
        </w:tc>
        <w:tc>
          <w:tcPr>
            <w:tcW w:w="536" w:type="dxa"/>
            <w:vAlign w:val="center"/>
          </w:tcPr>
          <w:p w:rsidR="00DB7CC8" w:rsidRDefault="002B5250">
            <w:pPr>
              <w:widowControl/>
              <w:spacing w:line="240" w:lineRule="auto"/>
              <w:ind w:firstLineChars="0" w:firstLine="0"/>
              <w:jc w:val="center"/>
              <w:rPr>
                <w:sz w:val="21"/>
                <w:szCs w:val="21"/>
              </w:rPr>
            </w:pPr>
            <w:r>
              <w:rPr>
                <w:sz w:val="21"/>
                <w:szCs w:val="21"/>
              </w:rPr>
              <w:t>液态</w:t>
            </w:r>
          </w:p>
        </w:tc>
        <w:tc>
          <w:tcPr>
            <w:tcW w:w="1179" w:type="dxa"/>
            <w:vAlign w:val="center"/>
          </w:tcPr>
          <w:p w:rsidR="00DB7CC8" w:rsidRDefault="002B5250">
            <w:pPr>
              <w:widowControl/>
              <w:spacing w:line="240" w:lineRule="auto"/>
              <w:ind w:firstLineChars="0" w:firstLine="0"/>
              <w:jc w:val="center"/>
              <w:rPr>
                <w:sz w:val="21"/>
                <w:szCs w:val="21"/>
              </w:rPr>
            </w:pPr>
            <w:r>
              <w:rPr>
                <w:sz w:val="21"/>
                <w:szCs w:val="21"/>
              </w:rPr>
              <w:t>矿物油</w:t>
            </w:r>
          </w:p>
        </w:tc>
        <w:tc>
          <w:tcPr>
            <w:tcW w:w="676" w:type="dxa"/>
            <w:vAlign w:val="center"/>
          </w:tcPr>
          <w:p w:rsidR="00DB7CC8" w:rsidRDefault="002B5250">
            <w:pPr>
              <w:widowControl/>
              <w:spacing w:line="240" w:lineRule="auto"/>
              <w:ind w:firstLineChars="0" w:firstLine="0"/>
              <w:jc w:val="center"/>
              <w:rPr>
                <w:sz w:val="21"/>
                <w:szCs w:val="21"/>
              </w:rPr>
            </w:pPr>
            <w:r>
              <w:rPr>
                <w:sz w:val="21"/>
                <w:szCs w:val="21"/>
              </w:rPr>
              <w:t>T</w:t>
            </w:r>
            <w:r>
              <w:rPr>
                <w:sz w:val="21"/>
                <w:szCs w:val="21"/>
              </w:rPr>
              <w:t>，</w:t>
            </w:r>
            <w:r>
              <w:rPr>
                <w:sz w:val="21"/>
                <w:szCs w:val="21"/>
              </w:rPr>
              <w:t>I</w:t>
            </w:r>
          </w:p>
        </w:tc>
        <w:tc>
          <w:tcPr>
            <w:tcW w:w="775" w:type="dxa"/>
            <w:vAlign w:val="center"/>
          </w:tcPr>
          <w:p w:rsidR="00DB7CC8" w:rsidRDefault="002B5250">
            <w:pPr>
              <w:widowControl/>
              <w:spacing w:line="240" w:lineRule="auto"/>
              <w:ind w:firstLineChars="0" w:firstLine="0"/>
              <w:jc w:val="center"/>
              <w:rPr>
                <w:sz w:val="21"/>
                <w:szCs w:val="21"/>
              </w:rPr>
            </w:pPr>
            <w:r>
              <w:rPr>
                <w:sz w:val="21"/>
                <w:szCs w:val="21"/>
              </w:rPr>
              <w:t>HW</w:t>
            </w:r>
          </w:p>
          <w:p w:rsidR="00DB7CC8" w:rsidRDefault="002B5250">
            <w:pPr>
              <w:widowControl/>
              <w:spacing w:line="240" w:lineRule="auto"/>
              <w:ind w:firstLineChars="0" w:firstLine="0"/>
              <w:jc w:val="center"/>
              <w:rPr>
                <w:sz w:val="21"/>
                <w:szCs w:val="21"/>
              </w:rPr>
            </w:pPr>
            <w:r>
              <w:rPr>
                <w:sz w:val="21"/>
                <w:szCs w:val="21"/>
              </w:rPr>
              <w:t>08</w:t>
            </w:r>
          </w:p>
        </w:tc>
        <w:tc>
          <w:tcPr>
            <w:tcW w:w="929" w:type="dxa"/>
            <w:vAlign w:val="center"/>
          </w:tcPr>
          <w:p w:rsidR="00DB7CC8" w:rsidRDefault="002B5250">
            <w:pPr>
              <w:widowControl/>
              <w:spacing w:line="240" w:lineRule="auto"/>
              <w:ind w:firstLineChars="0" w:firstLine="0"/>
              <w:jc w:val="center"/>
              <w:rPr>
                <w:sz w:val="21"/>
                <w:szCs w:val="21"/>
              </w:rPr>
            </w:pPr>
            <w:r>
              <w:rPr>
                <w:sz w:val="21"/>
                <w:szCs w:val="21"/>
              </w:rPr>
              <w:t>900-2</w:t>
            </w:r>
            <w:r>
              <w:rPr>
                <w:rFonts w:hint="eastAsia"/>
                <w:sz w:val="21"/>
                <w:szCs w:val="21"/>
              </w:rPr>
              <w:t>17</w:t>
            </w:r>
            <w:r>
              <w:rPr>
                <w:sz w:val="21"/>
                <w:szCs w:val="21"/>
              </w:rPr>
              <w:t>-08</w:t>
            </w:r>
          </w:p>
        </w:tc>
        <w:tc>
          <w:tcPr>
            <w:tcW w:w="988" w:type="dxa"/>
            <w:tcBorders>
              <w:right w:val="single" w:sz="4" w:space="0" w:color="auto"/>
            </w:tcBorders>
            <w:vAlign w:val="center"/>
          </w:tcPr>
          <w:p w:rsidR="00DB7CC8" w:rsidRDefault="002B5250">
            <w:pPr>
              <w:widowControl/>
              <w:spacing w:line="240" w:lineRule="auto"/>
              <w:ind w:firstLineChars="0" w:firstLine="0"/>
              <w:jc w:val="center"/>
              <w:rPr>
                <w:sz w:val="21"/>
                <w:szCs w:val="21"/>
              </w:rPr>
            </w:pPr>
            <w:r>
              <w:rPr>
                <w:sz w:val="21"/>
                <w:szCs w:val="21"/>
              </w:rPr>
              <w:t>0.15t</w:t>
            </w:r>
          </w:p>
        </w:tc>
      </w:tr>
      <w:tr w:rsidR="00DB7CC8">
        <w:trPr>
          <w:trHeight w:val="604"/>
          <w:jc w:val="center"/>
        </w:trPr>
        <w:tc>
          <w:tcPr>
            <w:tcW w:w="422" w:type="dxa"/>
            <w:tcBorders>
              <w:left w:val="single" w:sz="4" w:space="0" w:color="auto"/>
            </w:tcBorders>
            <w:vAlign w:val="center"/>
          </w:tcPr>
          <w:p w:rsidR="00DB7CC8" w:rsidRDefault="002B5250">
            <w:pPr>
              <w:widowControl/>
              <w:spacing w:line="240" w:lineRule="auto"/>
              <w:ind w:firstLineChars="0" w:firstLine="0"/>
              <w:jc w:val="center"/>
              <w:rPr>
                <w:sz w:val="21"/>
                <w:szCs w:val="21"/>
              </w:rPr>
            </w:pPr>
            <w:r>
              <w:rPr>
                <w:sz w:val="21"/>
                <w:szCs w:val="21"/>
              </w:rPr>
              <w:t>2</w:t>
            </w:r>
          </w:p>
        </w:tc>
        <w:tc>
          <w:tcPr>
            <w:tcW w:w="1244" w:type="dxa"/>
            <w:vAlign w:val="center"/>
          </w:tcPr>
          <w:p w:rsidR="00DB7CC8" w:rsidRDefault="002B5250">
            <w:pPr>
              <w:widowControl/>
              <w:spacing w:line="240" w:lineRule="auto"/>
              <w:ind w:firstLineChars="0" w:firstLine="0"/>
              <w:jc w:val="center"/>
              <w:rPr>
                <w:sz w:val="21"/>
                <w:szCs w:val="21"/>
              </w:rPr>
            </w:pPr>
            <w:r>
              <w:rPr>
                <w:sz w:val="21"/>
                <w:szCs w:val="21"/>
              </w:rPr>
              <w:t>废油桶</w:t>
            </w:r>
          </w:p>
        </w:tc>
        <w:tc>
          <w:tcPr>
            <w:tcW w:w="741" w:type="dxa"/>
            <w:vAlign w:val="center"/>
          </w:tcPr>
          <w:p w:rsidR="00DB7CC8" w:rsidRDefault="002B5250">
            <w:pPr>
              <w:widowControl/>
              <w:spacing w:line="240" w:lineRule="auto"/>
              <w:ind w:firstLineChars="0" w:firstLine="0"/>
              <w:jc w:val="center"/>
              <w:rPr>
                <w:sz w:val="21"/>
                <w:szCs w:val="21"/>
              </w:rPr>
            </w:pPr>
            <w:r>
              <w:rPr>
                <w:sz w:val="21"/>
                <w:szCs w:val="21"/>
              </w:rPr>
              <w:t>危险废物</w:t>
            </w:r>
          </w:p>
        </w:tc>
        <w:tc>
          <w:tcPr>
            <w:tcW w:w="1038" w:type="dxa"/>
            <w:vAlign w:val="center"/>
          </w:tcPr>
          <w:p w:rsidR="00DB7CC8" w:rsidRDefault="002B5250">
            <w:pPr>
              <w:widowControl/>
              <w:spacing w:line="240" w:lineRule="auto"/>
              <w:ind w:firstLineChars="0" w:firstLine="0"/>
              <w:jc w:val="center"/>
              <w:rPr>
                <w:sz w:val="21"/>
                <w:szCs w:val="21"/>
              </w:rPr>
            </w:pPr>
            <w:r>
              <w:rPr>
                <w:sz w:val="21"/>
                <w:szCs w:val="21"/>
              </w:rPr>
              <w:t>设备检修、维护</w:t>
            </w:r>
          </w:p>
        </w:tc>
        <w:tc>
          <w:tcPr>
            <w:tcW w:w="536" w:type="dxa"/>
            <w:vAlign w:val="center"/>
          </w:tcPr>
          <w:p w:rsidR="00DB7CC8" w:rsidRDefault="002B5250">
            <w:pPr>
              <w:widowControl/>
              <w:spacing w:line="240" w:lineRule="auto"/>
              <w:ind w:firstLineChars="0" w:firstLine="0"/>
              <w:jc w:val="center"/>
              <w:rPr>
                <w:sz w:val="21"/>
                <w:szCs w:val="21"/>
              </w:rPr>
            </w:pPr>
            <w:r>
              <w:rPr>
                <w:sz w:val="21"/>
                <w:szCs w:val="21"/>
              </w:rPr>
              <w:t>固态</w:t>
            </w:r>
          </w:p>
        </w:tc>
        <w:tc>
          <w:tcPr>
            <w:tcW w:w="1179" w:type="dxa"/>
            <w:vAlign w:val="center"/>
          </w:tcPr>
          <w:p w:rsidR="00DB7CC8" w:rsidRDefault="002B5250">
            <w:pPr>
              <w:widowControl/>
              <w:spacing w:line="240" w:lineRule="auto"/>
              <w:ind w:firstLineChars="0" w:firstLine="0"/>
              <w:jc w:val="center"/>
              <w:rPr>
                <w:sz w:val="21"/>
                <w:szCs w:val="21"/>
              </w:rPr>
            </w:pPr>
            <w:r>
              <w:rPr>
                <w:sz w:val="21"/>
                <w:szCs w:val="21"/>
              </w:rPr>
              <w:t>矿物油</w:t>
            </w:r>
          </w:p>
        </w:tc>
        <w:tc>
          <w:tcPr>
            <w:tcW w:w="676" w:type="dxa"/>
            <w:vAlign w:val="center"/>
          </w:tcPr>
          <w:p w:rsidR="00DB7CC8" w:rsidRDefault="002B5250">
            <w:pPr>
              <w:widowControl/>
              <w:spacing w:line="240" w:lineRule="auto"/>
              <w:ind w:firstLineChars="0" w:firstLine="0"/>
              <w:jc w:val="center"/>
              <w:rPr>
                <w:sz w:val="21"/>
                <w:szCs w:val="21"/>
              </w:rPr>
            </w:pPr>
            <w:r>
              <w:rPr>
                <w:sz w:val="21"/>
                <w:szCs w:val="21"/>
              </w:rPr>
              <w:t>T/In</w:t>
            </w:r>
          </w:p>
        </w:tc>
        <w:tc>
          <w:tcPr>
            <w:tcW w:w="775" w:type="dxa"/>
            <w:vAlign w:val="center"/>
          </w:tcPr>
          <w:p w:rsidR="00DB7CC8" w:rsidRDefault="002B5250">
            <w:pPr>
              <w:widowControl/>
              <w:spacing w:line="240" w:lineRule="auto"/>
              <w:ind w:firstLineChars="0" w:firstLine="0"/>
              <w:jc w:val="center"/>
              <w:rPr>
                <w:sz w:val="21"/>
                <w:szCs w:val="21"/>
              </w:rPr>
            </w:pPr>
            <w:r>
              <w:rPr>
                <w:sz w:val="21"/>
                <w:szCs w:val="21"/>
              </w:rPr>
              <w:t>HW</w:t>
            </w:r>
          </w:p>
          <w:p w:rsidR="00DB7CC8" w:rsidRDefault="002B5250">
            <w:pPr>
              <w:widowControl/>
              <w:spacing w:line="240" w:lineRule="auto"/>
              <w:ind w:firstLineChars="0" w:firstLine="0"/>
              <w:jc w:val="center"/>
              <w:rPr>
                <w:sz w:val="21"/>
                <w:szCs w:val="21"/>
              </w:rPr>
            </w:pPr>
            <w:r>
              <w:rPr>
                <w:rFonts w:hint="eastAsia"/>
                <w:sz w:val="21"/>
                <w:szCs w:val="21"/>
              </w:rPr>
              <w:t>08</w:t>
            </w:r>
          </w:p>
        </w:tc>
        <w:tc>
          <w:tcPr>
            <w:tcW w:w="929" w:type="dxa"/>
            <w:vAlign w:val="center"/>
          </w:tcPr>
          <w:p w:rsidR="00DB7CC8" w:rsidRDefault="002B5250">
            <w:pPr>
              <w:widowControl/>
              <w:spacing w:line="240" w:lineRule="auto"/>
              <w:ind w:firstLineChars="0" w:firstLine="0"/>
              <w:jc w:val="center"/>
              <w:rPr>
                <w:sz w:val="21"/>
                <w:szCs w:val="21"/>
              </w:rPr>
            </w:pPr>
            <w:r>
              <w:rPr>
                <w:sz w:val="21"/>
                <w:szCs w:val="21"/>
              </w:rPr>
              <w:t>900-24</w:t>
            </w:r>
            <w:r>
              <w:rPr>
                <w:rFonts w:hint="eastAsia"/>
                <w:sz w:val="21"/>
                <w:szCs w:val="21"/>
              </w:rPr>
              <w:t>9</w:t>
            </w:r>
            <w:r>
              <w:rPr>
                <w:sz w:val="21"/>
                <w:szCs w:val="21"/>
              </w:rPr>
              <w:t>-</w:t>
            </w:r>
            <w:r>
              <w:rPr>
                <w:rFonts w:hint="eastAsia"/>
                <w:sz w:val="21"/>
                <w:szCs w:val="21"/>
              </w:rPr>
              <w:t>08</w:t>
            </w:r>
          </w:p>
        </w:tc>
        <w:tc>
          <w:tcPr>
            <w:tcW w:w="988" w:type="dxa"/>
            <w:tcBorders>
              <w:right w:val="single" w:sz="4" w:space="0" w:color="auto"/>
            </w:tcBorders>
            <w:vAlign w:val="center"/>
          </w:tcPr>
          <w:p w:rsidR="00DB7CC8" w:rsidRDefault="002B5250">
            <w:pPr>
              <w:widowControl/>
              <w:spacing w:line="240" w:lineRule="auto"/>
              <w:ind w:firstLineChars="0" w:firstLine="0"/>
              <w:jc w:val="center"/>
              <w:rPr>
                <w:sz w:val="21"/>
                <w:szCs w:val="21"/>
              </w:rPr>
            </w:pPr>
            <w:r>
              <w:rPr>
                <w:sz w:val="21"/>
                <w:szCs w:val="21"/>
              </w:rPr>
              <w:t>0.15t</w:t>
            </w:r>
          </w:p>
        </w:tc>
      </w:tr>
    </w:tbl>
    <w:p w:rsidR="00DB7CC8" w:rsidRDefault="002B5250">
      <w:pPr>
        <w:pStyle w:val="4"/>
        <w:numPr>
          <w:ilvl w:val="3"/>
          <w:numId w:val="1"/>
        </w:numPr>
        <w:ind w:left="709" w:hanging="709"/>
        <w:rPr>
          <w:rFonts w:eastAsia="宋体"/>
          <w:b/>
        </w:rPr>
      </w:pPr>
      <w:r>
        <w:rPr>
          <w:rFonts w:eastAsia="宋体"/>
          <w:b/>
        </w:rPr>
        <w:t>固体废物处置措施</w:t>
      </w:r>
    </w:p>
    <w:p w:rsidR="00DB7CC8" w:rsidRDefault="002B5250">
      <w:pPr>
        <w:ind w:firstLine="480"/>
        <w:jc w:val="both"/>
        <w:textAlignment w:val="auto"/>
        <w:rPr>
          <w:kern w:val="2"/>
          <w:sz w:val="24"/>
          <w:szCs w:val="24"/>
        </w:rPr>
      </w:pPr>
      <w:bookmarkStart w:id="434" w:name="_Toc323717376"/>
      <w:bookmarkStart w:id="435" w:name="_Toc319941233"/>
      <w:bookmarkStart w:id="436" w:name="_Toc404609483"/>
      <w:bookmarkStart w:id="437" w:name="_Toc319940910"/>
      <w:bookmarkStart w:id="438" w:name="_Toc357061630"/>
      <w:bookmarkStart w:id="439" w:name="_Toc454814862"/>
      <w:bookmarkStart w:id="440" w:name="_Toc323716557"/>
      <w:bookmarkStart w:id="441" w:name="_Toc368058146"/>
      <w:bookmarkStart w:id="442" w:name="_Toc319052873"/>
      <w:bookmarkStart w:id="443" w:name="_Toc319654913"/>
      <w:bookmarkStart w:id="444" w:name="_Toc356290298"/>
      <w:bookmarkStart w:id="445" w:name="_Toc319051638"/>
      <w:bookmarkStart w:id="446" w:name="_Toc319053444"/>
      <w:r>
        <w:rPr>
          <w:kern w:val="2"/>
          <w:sz w:val="24"/>
          <w:szCs w:val="24"/>
        </w:rPr>
        <w:t>（</w:t>
      </w:r>
      <w:r>
        <w:rPr>
          <w:kern w:val="2"/>
          <w:sz w:val="24"/>
          <w:szCs w:val="24"/>
        </w:rPr>
        <w:t>1</w:t>
      </w:r>
      <w:r>
        <w:rPr>
          <w:kern w:val="2"/>
          <w:sz w:val="24"/>
          <w:szCs w:val="24"/>
        </w:rPr>
        <w:t>）尾矿砂、除尘器收尘、废钢球处置</w:t>
      </w:r>
      <w:bookmarkEnd w:id="434"/>
      <w:bookmarkEnd w:id="435"/>
      <w:bookmarkEnd w:id="436"/>
      <w:bookmarkEnd w:id="437"/>
      <w:bookmarkEnd w:id="438"/>
      <w:bookmarkEnd w:id="439"/>
      <w:bookmarkEnd w:id="440"/>
      <w:bookmarkEnd w:id="441"/>
      <w:bookmarkEnd w:id="442"/>
      <w:bookmarkEnd w:id="443"/>
      <w:bookmarkEnd w:id="444"/>
      <w:bookmarkEnd w:id="445"/>
      <w:bookmarkEnd w:id="446"/>
      <w:r>
        <w:rPr>
          <w:kern w:val="2"/>
          <w:sz w:val="24"/>
          <w:szCs w:val="24"/>
        </w:rPr>
        <w:t>措施</w:t>
      </w:r>
    </w:p>
    <w:p w:rsidR="00DB7CC8" w:rsidRDefault="002B5250">
      <w:pPr>
        <w:ind w:firstLine="480"/>
        <w:jc w:val="both"/>
        <w:textAlignment w:val="auto"/>
        <w:rPr>
          <w:kern w:val="2"/>
          <w:sz w:val="24"/>
          <w:szCs w:val="24"/>
        </w:rPr>
      </w:pPr>
      <w:r>
        <w:rPr>
          <w:kern w:val="2"/>
          <w:sz w:val="24"/>
          <w:szCs w:val="24"/>
        </w:rPr>
        <w:t>本项目产生的尾矿粗砂全部外售当地建材厂作为生产原料进行综合利用，尾矿细砂用于项目周边区域填坑造地；除尘器收集的粉尘</w:t>
      </w:r>
      <w:r>
        <w:rPr>
          <w:rFonts w:hint="eastAsia"/>
          <w:kern w:val="2"/>
          <w:sz w:val="24"/>
          <w:szCs w:val="24"/>
        </w:rPr>
        <w:t>，</w:t>
      </w:r>
      <w:r>
        <w:rPr>
          <w:rFonts w:hint="eastAsia"/>
          <w:spacing w:val="8"/>
          <w:sz w:val="23"/>
          <w:szCs w:val="23"/>
        </w:rPr>
        <w:t>灰仓底部设水箱，卸灰至水</w:t>
      </w:r>
      <w:r>
        <w:rPr>
          <w:rFonts w:hint="eastAsia"/>
          <w:spacing w:val="29"/>
          <w:sz w:val="23"/>
          <w:szCs w:val="23"/>
        </w:rPr>
        <w:t>箱内，由渣浆泵打入球磨机回用于生产</w:t>
      </w:r>
      <w:r>
        <w:rPr>
          <w:kern w:val="2"/>
          <w:sz w:val="24"/>
          <w:szCs w:val="24"/>
        </w:rPr>
        <w:t>，不外排；废钢球由供应厂家回收处理。</w:t>
      </w:r>
    </w:p>
    <w:p w:rsidR="00DB7CC8" w:rsidRDefault="002B5250">
      <w:pPr>
        <w:ind w:firstLine="480"/>
        <w:jc w:val="both"/>
        <w:textAlignment w:val="auto"/>
        <w:rPr>
          <w:kern w:val="2"/>
          <w:sz w:val="24"/>
          <w:szCs w:val="24"/>
        </w:rPr>
      </w:pPr>
      <w:r>
        <w:rPr>
          <w:kern w:val="2"/>
          <w:sz w:val="24"/>
          <w:szCs w:val="24"/>
        </w:rPr>
        <w:t>尾矿粗砂粒度分析结果见表</w:t>
      </w:r>
      <w:r>
        <w:rPr>
          <w:kern w:val="2"/>
          <w:sz w:val="24"/>
          <w:szCs w:val="24"/>
        </w:rPr>
        <w:t>5.2-3</w:t>
      </w:r>
      <w:r>
        <w:rPr>
          <w:rFonts w:hint="eastAsia"/>
          <w:kern w:val="2"/>
          <w:sz w:val="24"/>
          <w:szCs w:val="24"/>
        </w:rPr>
        <w:t>6</w:t>
      </w:r>
      <w:r>
        <w:rPr>
          <w:kern w:val="2"/>
          <w:sz w:val="24"/>
          <w:szCs w:val="24"/>
        </w:rPr>
        <w:t>。</w:t>
      </w:r>
    </w:p>
    <w:p w:rsidR="00DB7CC8" w:rsidRDefault="002B5250">
      <w:pPr>
        <w:autoSpaceDE w:val="0"/>
        <w:autoSpaceDN w:val="0"/>
        <w:spacing w:line="240" w:lineRule="auto"/>
        <w:ind w:firstLineChars="0" w:firstLine="0"/>
        <w:jc w:val="center"/>
        <w:textAlignment w:val="auto"/>
        <w:rPr>
          <w:rFonts w:eastAsia="黑体"/>
          <w:bCs/>
          <w:kern w:val="2"/>
          <w:sz w:val="21"/>
          <w:szCs w:val="21"/>
        </w:rPr>
      </w:pPr>
      <w:r>
        <w:rPr>
          <w:rFonts w:eastAsia="黑体"/>
          <w:bCs/>
          <w:kern w:val="2"/>
          <w:sz w:val="21"/>
          <w:szCs w:val="21"/>
        </w:rPr>
        <w:lastRenderedPageBreak/>
        <w:t>表</w:t>
      </w:r>
      <w:r>
        <w:rPr>
          <w:rFonts w:eastAsia="黑体"/>
          <w:bCs/>
          <w:kern w:val="2"/>
          <w:sz w:val="21"/>
          <w:szCs w:val="21"/>
        </w:rPr>
        <w:t>5.2-3</w:t>
      </w:r>
      <w:r>
        <w:rPr>
          <w:rFonts w:eastAsia="黑体" w:hint="eastAsia"/>
          <w:bCs/>
          <w:kern w:val="2"/>
          <w:sz w:val="21"/>
          <w:szCs w:val="21"/>
        </w:rPr>
        <w:t xml:space="preserve">6 </w:t>
      </w:r>
      <w:r>
        <w:rPr>
          <w:rFonts w:eastAsia="黑体"/>
          <w:bCs/>
          <w:kern w:val="2"/>
          <w:sz w:val="21"/>
          <w:szCs w:val="21"/>
        </w:rPr>
        <w:t xml:space="preserve">  </w:t>
      </w:r>
      <w:r>
        <w:rPr>
          <w:rFonts w:eastAsia="黑体"/>
          <w:bCs/>
          <w:kern w:val="2"/>
          <w:sz w:val="21"/>
          <w:szCs w:val="21"/>
        </w:rPr>
        <w:t>铁矿尾矿的粒度分析结果</w:t>
      </w:r>
    </w:p>
    <w:tbl>
      <w:tblPr>
        <w:tblW w:w="8528" w:type="dxa"/>
        <w:jc w:val="center"/>
        <w:tblBorders>
          <w:top w:val="single" w:sz="4" w:space="0" w:color="auto"/>
          <w:bottom w:val="single" w:sz="4" w:space="0" w:color="auto"/>
          <w:insideH w:val="single" w:sz="6" w:space="0" w:color="auto"/>
          <w:insideV w:val="single" w:sz="6" w:space="0" w:color="auto"/>
        </w:tblBorders>
        <w:tblLayout w:type="fixed"/>
        <w:tblLook w:val="04A0" w:firstRow="1" w:lastRow="0" w:firstColumn="1" w:lastColumn="0" w:noHBand="0" w:noVBand="1"/>
      </w:tblPr>
      <w:tblGrid>
        <w:gridCol w:w="1613"/>
        <w:gridCol w:w="1455"/>
        <w:gridCol w:w="1448"/>
        <w:gridCol w:w="1177"/>
        <w:gridCol w:w="1399"/>
        <w:gridCol w:w="1436"/>
      </w:tblGrid>
      <w:tr w:rsidR="00DB7CC8">
        <w:trPr>
          <w:trHeight w:val="283"/>
          <w:tblHeader/>
          <w:jc w:val="center"/>
        </w:trPr>
        <w:tc>
          <w:tcPr>
            <w:tcW w:w="1613" w:type="dxa"/>
            <w:tcBorders>
              <w:left w:val="single" w:sz="4" w:space="0" w:color="auto"/>
            </w:tcBorders>
            <w:vAlign w:val="center"/>
          </w:tcPr>
          <w:p w:rsidR="00DB7CC8" w:rsidRDefault="002B5250">
            <w:pPr>
              <w:widowControl/>
              <w:spacing w:line="240" w:lineRule="auto"/>
              <w:ind w:firstLineChars="0" w:firstLine="0"/>
              <w:jc w:val="center"/>
              <w:rPr>
                <w:sz w:val="21"/>
                <w:szCs w:val="21"/>
              </w:rPr>
            </w:pPr>
            <w:r>
              <w:rPr>
                <w:sz w:val="21"/>
                <w:szCs w:val="21"/>
              </w:rPr>
              <w:t>粒级</w:t>
            </w:r>
            <w:r>
              <w:rPr>
                <w:sz w:val="21"/>
                <w:szCs w:val="21"/>
              </w:rPr>
              <w:t>/mm</w:t>
            </w:r>
          </w:p>
        </w:tc>
        <w:tc>
          <w:tcPr>
            <w:tcW w:w="1455" w:type="dxa"/>
            <w:vAlign w:val="center"/>
          </w:tcPr>
          <w:p w:rsidR="00DB7CC8" w:rsidRDefault="002B5250">
            <w:pPr>
              <w:widowControl/>
              <w:spacing w:line="240" w:lineRule="auto"/>
              <w:ind w:firstLineChars="0" w:firstLine="0"/>
              <w:jc w:val="center"/>
              <w:rPr>
                <w:sz w:val="21"/>
                <w:szCs w:val="21"/>
              </w:rPr>
            </w:pPr>
            <w:r>
              <w:rPr>
                <w:sz w:val="21"/>
                <w:szCs w:val="21"/>
              </w:rPr>
              <w:t>+1.40</w:t>
            </w:r>
          </w:p>
        </w:tc>
        <w:tc>
          <w:tcPr>
            <w:tcW w:w="1448" w:type="dxa"/>
            <w:vAlign w:val="center"/>
          </w:tcPr>
          <w:p w:rsidR="00DB7CC8" w:rsidRDefault="002B5250">
            <w:pPr>
              <w:widowControl/>
              <w:spacing w:line="240" w:lineRule="auto"/>
              <w:ind w:firstLineChars="0" w:firstLine="0"/>
              <w:jc w:val="center"/>
              <w:rPr>
                <w:sz w:val="21"/>
                <w:szCs w:val="21"/>
              </w:rPr>
            </w:pPr>
            <w:r>
              <w:rPr>
                <w:sz w:val="21"/>
                <w:szCs w:val="21"/>
              </w:rPr>
              <w:t>-1.40</w:t>
            </w:r>
          </w:p>
        </w:tc>
        <w:tc>
          <w:tcPr>
            <w:tcW w:w="1177" w:type="dxa"/>
            <w:vAlign w:val="center"/>
          </w:tcPr>
          <w:p w:rsidR="00DB7CC8" w:rsidRDefault="002B5250">
            <w:pPr>
              <w:widowControl/>
              <w:spacing w:line="240" w:lineRule="auto"/>
              <w:ind w:firstLineChars="0" w:firstLine="0"/>
              <w:jc w:val="center"/>
              <w:rPr>
                <w:sz w:val="21"/>
                <w:szCs w:val="21"/>
              </w:rPr>
            </w:pPr>
            <w:r>
              <w:rPr>
                <w:sz w:val="21"/>
                <w:szCs w:val="21"/>
              </w:rPr>
              <w:t>-0.85</w:t>
            </w:r>
          </w:p>
        </w:tc>
        <w:tc>
          <w:tcPr>
            <w:tcW w:w="1399" w:type="dxa"/>
            <w:vAlign w:val="center"/>
          </w:tcPr>
          <w:p w:rsidR="00DB7CC8" w:rsidRDefault="002B5250">
            <w:pPr>
              <w:widowControl/>
              <w:spacing w:line="240" w:lineRule="auto"/>
              <w:ind w:firstLineChars="0" w:firstLine="0"/>
              <w:jc w:val="center"/>
              <w:rPr>
                <w:sz w:val="21"/>
                <w:szCs w:val="21"/>
              </w:rPr>
            </w:pPr>
            <w:r>
              <w:rPr>
                <w:sz w:val="21"/>
                <w:szCs w:val="21"/>
              </w:rPr>
              <w:t>-0.30</w:t>
            </w:r>
          </w:p>
        </w:tc>
        <w:tc>
          <w:tcPr>
            <w:tcW w:w="1436" w:type="dxa"/>
            <w:tcBorders>
              <w:right w:val="single" w:sz="4" w:space="0" w:color="auto"/>
            </w:tcBorders>
            <w:vAlign w:val="center"/>
          </w:tcPr>
          <w:p w:rsidR="00DB7CC8" w:rsidRDefault="002B5250">
            <w:pPr>
              <w:widowControl/>
              <w:spacing w:line="240" w:lineRule="auto"/>
              <w:ind w:firstLineChars="0" w:firstLine="0"/>
              <w:jc w:val="center"/>
              <w:rPr>
                <w:sz w:val="21"/>
                <w:szCs w:val="21"/>
              </w:rPr>
            </w:pPr>
            <w:r>
              <w:rPr>
                <w:sz w:val="21"/>
                <w:szCs w:val="21"/>
              </w:rPr>
              <w:t>-0.15</w:t>
            </w:r>
          </w:p>
        </w:tc>
      </w:tr>
      <w:tr w:rsidR="00DB7CC8">
        <w:trPr>
          <w:trHeight w:val="283"/>
          <w:jc w:val="center"/>
        </w:trPr>
        <w:tc>
          <w:tcPr>
            <w:tcW w:w="1613" w:type="dxa"/>
            <w:tcBorders>
              <w:left w:val="single" w:sz="4" w:space="0" w:color="auto"/>
            </w:tcBorders>
            <w:vAlign w:val="center"/>
          </w:tcPr>
          <w:p w:rsidR="00DB7CC8" w:rsidRDefault="002B5250">
            <w:pPr>
              <w:widowControl/>
              <w:spacing w:line="240" w:lineRule="auto"/>
              <w:ind w:firstLineChars="0" w:firstLine="0"/>
              <w:jc w:val="center"/>
              <w:rPr>
                <w:sz w:val="21"/>
                <w:szCs w:val="21"/>
              </w:rPr>
            </w:pPr>
            <w:r>
              <w:rPr>
                <w:sz w:val="21"/>
                <w:szCs w:val="21"/>
              </w:rPr>
              <w:t>百分比</w:t>
            </w:r>
            <w:r>
              <w:rPr>
                <w:sz w:val="21"/>
                <w:szCs w:val="21"/>
              </w:rPr>
              <w:t>/%</w:t>
            </w:r>
          </w:p>
        </w:tc>
        <w:tc>
          <w:tcPr>
            <w:tcW w:w="1455" w:type="dxa"/>
            <w:vAlign w:val="center"/>
          </w:tcPr>
          <w:p w:rsidR="00DB7CC8" w:rsidRDefault="002B5250">
            <w:pPr>
              <w:widowControl/>
              <w:spacing w:line="240" w:lineRule="auto"/>
              <w:ind w:firstLineChars="0" w:firstLine="0"/>
              <w:jc w:val="center"/>
              <w:rPr>
                <w:sz w:val="21"/>
                <w:szCs w:val="21"/>
              </w:rPr>
            </w:pPr>
            <w:r>
              <w:rPr>
                <w:sz w:val="21"/>
                <w:szCs w:val="21"/>
              </w:rPr>
              <w:t>1.15</w:t>
            </w:r>
          </w:p>
        </w:tc>
        <w:tc>
          <w:tcPr>
            <w:tcW w:w="1448" w:type="dxa"/>
            <w:vAlign w:val="center"/>
          </w:tcPr>
          <w:p w:rsidR="00DB7CC8" w:rsidRDefault="002B5250">
            <w:pPr>
              <w:widowControl/>
              <w:spacing w:line="240" w:lineRule="auto"/>
              <w:ind w:firstLineChars="0" w:firstLine="0"/>
              <w:jc w:val="center"/>
              <w:rPr>
                <w:sz w:val="21"/>
                <w:szCs w:val="21"/>
              </w:rPr>
            </w:pPr>
            <w:r>
              <w:rPr>
                <w:sz w:val="21"/>
                <w:szCs w:val="21"/>
              </w:rPr>
              <w:t>98.85</w:t>
            </w:r>
          </w:p>
        </w:tc>
        <w:tc>
          <w:tcPr>
            <w:tcW w:w="1177" w:type="dxa"/>
            <w:vAlign w:val="center"/>
          </w:tcPr>
          <w:p w:rsidR="00DB7CC8" w:rsidRDefault="002B5250">
            <w:pPr>
              <w:widowControl/>
              <w:spacing w:line="240" w:lineRule="auto"/>
              <w:ind w:firstLineChars="0" w:firstLine="0"/>
              <w:jc w:val="center"/>
              <w:rPr>
                <w:sz w:val="21"/>
                <w:szCs w:val="21"/>
              </w:rPr>
            </w:pPr>
            <w:r>
              <w:rPr>
                <w:sz w:val="21"/>
                <w:szCs w:val="21"/>
              </w:rPr>
              <w:t>97.18</w:t>
            </w:r>
          </w:p>
        </w:tc>
        <w:tc>
          <w:tcPr>
            <w:tcW w:w="1399" w:type="dxa"/>
            <w:vAlign w:val="center"/>
          </w:tcPr>
          <w:p w:rsidR="00DB7CC8" w:rsidRDefault="002B5250">
            <w:pPr>
              <w:widowControl/>
              <w:spacing w:line="240" w:lineRule="auto"/>
              <w:ind w:firstLineChars="0" w:firstLine="0"/>
              <w:jc w:val="center"/>
              <w:rPr>
                <w:sz w:val="21"/>
                <w:szCs w:val="21"/>
              </w:rPr>
            </w:pPr>
            <w:r>
              <w:rPr>
                <w:sz w:val="21"/>
                <w:szCs w:val="21"/>
              </w:rPr>
              <w:t>55.27</w:t>
            </w:r>
          </w:p>
        </w:tc>
        <w:tc>
          <w:tcPr>
            <w:tcW w:w="1436" w:type="dxa"/>
            <w:tcBorders>
              <w:right w:val="single" w:sz="4" w:space="0" w:color="auto"/>
            </w:tcBorders>
            <w:vAlign w:val="center"/>
          </w:tcPr>
          <w:p w:rsidR="00DB7CC8" w:rsidRDefault="002B5250">
            <w:pPr>
              <w:widowControl/>
              <w:spacing w:line="240" w:lineRule="auto"/>
              <w:ind w:firstLineChars="0" w:firstLine="0"/>
              <w:jc w:val="center"/>
              <w:rPr>
                <w:sz w:val="21"/>
                <w:szCs w:val="21"/>
              </w:rPr>
            </w:pPr>
            <w:r>
              <w:rPr>
                <w:sz w:val="21"/>
                <w:szCs w:val="21"/>
              </w:rPr>
              <w:t>26.77</w:t>
            </w:r>
          </w:p>
        </w:tc>
      </w:tr>
    </w:tbl>
    <w:p w:rsidR="00DB7CC8" w:rsidRDefault="002B5250">
      <w:pPr>
        <w:ind w:firstLine="480"/>
        <w:jc w:val="both"/>
        <w:textAlignment w:val="auto"/>
        <w:rPr>
          <w:kern w:val="2"/>
          <w:sz w:val="24"/>
          <w:szCs w:val="24"/>
        </w:rPr>
      </w:pPr>
      <w:r>
        <w:rPr>
          <w:kern w:val="2"/>
          <w:sz w:val="24"/>
          <w:szCs w:val="24"/>
        </w:rPr>
        <w:t>在制备</w:t>
      </w:r>
      <w:r>
        <w:rPr>
          <w:rFonts w:hint="eastAsia"/>
          <w:kern w:val="2"/>
          <w:sz w:val="24"/>
          <w:szCs w:val="24"/>
        </w:rPr>
        <w:t>建材</w:t>
      </w:r>
      <w:r>
        <w:rPr>
          <w:kern w:val="2"/>
          <w:sz w:val="24"/>
          <w:szCs w:val="24"/>
        </w:rPr>
        <w:t>砖时，一般要求原料最大粒径不超过</w:t>
      </w:r>
      <w:r>
        <w:rPr>
          <w:kern w:val="2"/>
          <w:sz w:val="24"/>
          <w:szCs w:val="24"/>
        </w:rPr>
        <w:t>10mm</w:t>
      </w:r>
      <w:r>
        <w:rPr>
          <w:kern w:val="2"/>
          <w:sz w:val="24"/>
          <w:szCs w:val="24"/>
        </w:rPr>
        <w:t>，且</w:t>
      </w:r>
      <w:r>
        <w:rPr>
          <w:kern w:val="2"/>
          <w:sz w:val="24"/>
          <w:szCs w:val="24"/>
        </w:rPr>
        <w:t>5-10mm</w:t>
      </w:r>
      <w:r>
        <w:rPr>
          <w:kern w:val="2"/>
          <w:sz w:val="24"/>
          <w:szCs w:val="24"/>
        </w:rPr>
        <w:t>含量不超过</w:t>
      </w:r>
      <w:r>
        <w:rPr>
          <w:kern w:val="2"/>
          <w:sz w:val="24"/>
          <w:szCs w:val="24"/>
        </w:rPr>
        <w:t>15%</w:t>
      </w:r>
      <w:r>
        <w:rPr>
          <w:kern w:val="2"/>
          <w:sz w:val="24"/>
          <w:szCs w:val="24"/>
        </w:rPr>
        <w:t>，</w:t>
      </w:r>
      <w:r>
        <w:rPr>
          <w:kern w:val="2"/>
          <w:sz w:val="24"/>
          <w:szCs w:val="24"/>
        </w:rPr>
        <w:t>-0.15mm</w:t>
      </w:r>
      <w:r>
        <w:rPr>
          <w:kern w:val="2"/>
          <w:sz w:val="24"/>
          <w:szCs w:val="24"/>
        </w:rPr>
        <w:t>含量应小于</w:t>
      </w:r>
      <w:r>
        <w:rPr>
          <w:kern w:val="2"/>
          <w:sz w:val="24"/>
          <w:szCs w:val="24"/>
        </w:rPr>
        <w:t>30%</w:t>
      </w:r>
      <w:r>
        <w:rPr>
          <w:kern w:val="2"/>
          <w:sz w:val="24"/>
          <w:szCs w:val="24"/>
        </w:rPr>
        <w:t>。根据表</w:t>
      </w:r>
      <w:r>
        <w:rPr>
          <w:kern w:val="2"/>
          <w:sz w:val="24"/>
          <w:szCs w:val="24"/>
        </w:rPr>
        <w:t>5.2-3</w:t>
      </w:r>
      <w:r>
        <w:rPr>
          <w:rFonts w:hint="eastAsia"/>
          <w:kern w:val="2"/>
          <w:sz w:val="24"/>
          <w:szCs w:val="24"/>
        </w:rPr>
        <w:t>6</w:t>
      </w:r>
      <w:r>
        <w:rPr>
          <w:kern w:val="2"/>
          <w:sz w:val="24"/>
          <w:szCs w:val="24"/>
        </w:rPr>
        <w:t>的粒度分布，</w:t>
      </w:r>
      <w:r>
        <w:rPr>
          <w:kern w:val="2"/>
          <w:sz w:val="24"/>
          <w:szCs w:val="24"/>
        </w:rPr>
        <w:t>+1.4mm</w:t>
      </w:r>
      <w:r>
        <w:rPr>
          <w:kern w:val="2"/>
          <w:sz w:val="24"/>
          <w:szCs w:val="24"/>
        </w:rPr>
        <w:t>粒径含量为</w:t>
      </w:r>
      <w:r>
        <w:rPr>
          <w:kern w:val="2"/>
          <w:sz w:val="24"/>
          <w:szCs w:val="24"/>
        </w:rPr>
        <w:t>1.15%</w:t>
      </w:r>
      <w:r>
        <w:rPr>
          <w:kern w:val="2"/>
          <w:sz w:val="24"/>
          <w:szCs w:val="24"/>
        </w:rPr>
        <w:t>，符合</w:t>
      </w:r>
      <w:r>
        <w:rPr>
          <w:kern w:val="2"/>
          <w:sz w:val="24"/>
          <w:szCs w:val="24"/>
        </w:rPr>
        <w:t>5-10mm</w:t>
      </w:r>
      <w:r>
        <w:rPr>
          <w:kern w:val="2"/>
          <w:sz w:val="24"/>
          <w:szCs w:val="24"/>
        </w:rPr>
        <w:t>含量不超过</w:t>
      </w:r>
      <w:r>
        <w:rPr>
          <w:kern w:val="2"/>
          <w:sz w:val="24"/>
          <w:szCs w:val="24"/>
        </w:rPr>
        <w:t>15%</w:t>
      </w:r>
      <w:r>
        <w:rPr>
          <w:kern w:val="2"/>
          <w:sz w:val="24"/>
          <w:szCs w:val="24"/>
        </w:rPr>
        <w:t>的要求，</w:t>
      </w:r>
      <w:r>
        <w:rPr>
          <w:kern w:val="2"/>
          <w:sz w:val="24"/>
          <w:szCs w:val="24"/>
        </w:rPr>
        <w:t>-0.15mm</w:t>
      </w:r>
      <w:r>
        <w:rPr>
          <w:kern w:val="2"/>
          <w:sz w:val="24"/>
          <w:szCs w:val="24"/>
        </w:rPr>
        <w:t>粒级含量为</w:t>
      </w:r>
      <w:r>
        <w:rPr>
          <w:kern w:val="2"/>
          <w:sz w:val="24"/>
          <w:szCs w:val="24"/>
        </w:rPr>
        <w:t>26.77</w:t>
      </w:r>
      <w:r>
        <w:rPr>
          <w:kern w:val="2"/>
          <w:sz w:val="24"/>
          <w:szCs w:val="24"/>
        </w:rPr>
        <w:t>，小于</w:t>
      </w:r>
      <w:r>
        <w:rPr>
          <w:kern w:val="2"/>
          <w:sz w:val="24"/>
          <w:szCs w:val="24"/>
        </w:rPr>
        <w:t>30%</w:t>
      </w:r>
      <w:r>
        <w:rPr>
          <w:kern w:val="2"/>
          <w:sz w:val="24"/>
          <w:szCs w:val="24"/>
        </w:rPr>
        <w:t>，符合</w:t>
      </w:r>
      <w:r>
        <w:rPr>
          <w:rFonts w:hint="eastAsia"/>
          <w:kern w:val="2"/>
          <w:sz w:val="24"/>
          <w:szCs w:val="24"/>
        </w:rPr>
        <w:t>建材</w:t>
      </w:r>
      <w:r>
        <w:rPr>
          <w:kern w:val="2"/>
          <w:sz w:val="24"/>
          <w:szCs w:val="24"/>
        </w:rPr>
        <w:t>砖原料粒级要求。</w:t>
      </w:r>
    </w:p>
    <w:p w:rsidR="00DB7CC8" w:rsidRDefault="002B5250">
      <w:pPr>
        <w:ind w:firstLine="480"/>
        <w:jc w:val="both"/>
        <w:rPr>
          <w:bCs/>
          <w:sz w:val="24"/>
          <w:szCs w:val="24"/>
        </w:rPr>
      </w:pPr>
      <w:r>
        <w:rPr>
          <w:bCs/>
          <w:sz w:val="24"/>
          <w:szCs w:val="24"/>
        </w:rPr>
        <w:t>（</w:t>
      </w:r>
      <w:r>
        <w:rPr>
          <w:rFonts w:hint="eastAsia"/>
          <w:bCs/>
          <w:sz w:val="24"/>
          <w:szCs w:val="24"/>
        </w:rPr>
        <w:t>2</w:t>
      </w:r>
      <w:r>
        <w:rPr>
          <w:bCs/>
          <w:sz w:val="24"/>
          <w:szCs w:val="24"/>
        </w:rPr>
        <w:t>）危险废物</w:t>
      </w:r>
    </w:p>
    <w:p w:rsidR="00DB7CC8" w:rsidRDefault="002B5250">
      <w:pPr>
        <w:ind w:firstLine="480"/>
        <w:jc w:val="both"/>
        <w:rPr>
          <w:bCs/>
          <w:sz w:val="24"/>
          <w:szCs w:val="24"/>
        </w:rPr>
      </w:pPr>
      <w:r>
        <w:rPr>
          <w:bCs/>
          <w:sz w:val="24"/>
          <w:szCs w:val="24"/>
        </w:rPr>
        <w:t>本项目选矿过程中使用设备的运行维护保养过程中会产生废机油、废油桶，产生量约为</w:t>
      </w:r>
      <w:r>
        <w:rPr>
          <w:bCs/>
          <w:sz w:val="24"/>
          <w:szCs w:val="24"/>
        </w:rPr>
        <w:t>0.3t/a</w:t>
      </w:r>
      <w:r>
        <w:rPr>
          <w:bCs/>
          <w:sz w:val="24"/>
          <w:szCs w:val="24"/>
        </w:rPr>
        <w:t>，收集于危废暂存间后，交由有资质的单位进行处理。</w:t>
      </w:r>
    </w:p>
    <w:p w:rsidR="00DB7CC8" w:rsidRDefault="002B5250">
      <w:pPr>
        <w:ind w:firstLine="480"/>
        <w:rPr>
          <w:sz w:val="24"/>
        </w:rPr>
      </w:pPr>
      <w:r>
        <w:rPr>
          <w:sz w:val="24"/>
        </w:rPr>
        <w:t>综上，项目营运过程中产生的固体废物均得到妥善处理，处理率达到</w:t>
      </w:r>
      <w:r>
        <w:rPr>
          <w:sz w:val="24"/>
        </w:rPr>
        <w:t>100%</w:t>
      </w:r>
      <w:r>
        <w:rPr>
          <w:sz w:val="24"/>
        </w:rPr>
        <w:t>，并充分回收利用有价值的物质，做到减量化、无害化，对环境无影响。</w:t>
      </w:r>
    </w:p>
    <w:p w:rsidR="00DB7CC8" w:rsidRDefault="002B5250">
      <w:pPr>
        <w:pStyle w:val="3"/>
        <w:numPr>
          <w:ilvl w:val="2"/>
          <w:numId w:val="1"/>
        </w:numPr>
        <w:rPr>
          <w:szCs w:val="28"/>
        </w:rPr>
      </w:pPr>
      <w:bookmarkStart w:id="447" w:name="_Toc521591802"/>
      <w:bookmarkStart w:id="448" w:name="_Toc27469"/>
      <w:r>
        <w:rPr>
          <w:szCs w:val="28"/>
        </w:rPr>
        <w:t>生态环境影响分析</w:t>
      </w:r>
      <w:bookmarkEnd w:id="447"/>
      <w:bookmarkEnd w:id="448"/>
    </w:p>
    <w:p w:rsidR="00DB7CC8" w:rsidRDefault="002B5250">
      <w:pPr>
        <w:ind w:firstLine="480"/>
        <w:jc w:val="both"/>
        <w:rPr>
          <w:bCs/>
          <w:sz w:val="24"/>
          <w:szCs w:val="24"/>
        </w:rPr>
      </w:pPr>
      <w:bookmarkStart w:id="449" w:name="_Hlk7569677"/>
      <w:bookmarkStart w:id="450" w:name="_Hlk535600763"/>
      <w:r>
        <w:rPr>
          <w:rFonts w:hint="eastAsia"/>
          <w:bCs/>
          <w:sz w:val="24"/>
          <w:szCs w:val="24"/>
        </w:rPr>
        <w:t>建设项目占地范围内没有植被分布，评价区植物资源主要为广布种和常见种，无国家和地区要求特别保护的种类，且分布较为均匀。因此，项目的建设不会改变项目所在地的植物群落的种类组成，也不会造成某一物种的消失。评级区现有野生动物多为一些常见的鸟类、啮齿类及昆虫等，没有国家和地方保护的珍稀濒危的野生动物。项目运营使人类活动更加趋于频繁，从而引起厂区附近动物的局部迁移，不会使评价区野生动物物种和种群数量发生明显变化。</w:t>
      </w:r>
      <w:bookmarkEnd w:id="449"/>
    </w:p>
    <w:p w:rsidR="00DB7CC8" w:rsidRDefault="002B5250">
      <w:pPr>
        <w:ind w:firstLine="480"/>
        <w:jc w:val="both"/>
        <w:rPr>
          <w:bCs/>
          <w:sz w:val="24"/>
          <w:szCs w:val="24"/>
        </w:rPr>
      </w:pPr>
      <w:r>
        <w:rPr>
          <w:rFonts w:hint="eastAsia"/>
          <w:bCs/>
          <w:sz w:val="24"/>
          <w:szCs w:val="24"/>
        </w:rPr>
        <w:t>（</w:t>
      </w:r>
      <w:r>
        <w:rPr>
          <w:rFonts w:hint="eastAsia"/>
          <w:bCs/>
          <w:sz w:val="24"/>
          <w:szCs w:val="24"/>
        </w:rPr>
        <w:t>1</w:t>
      </w:r>
      <w:r>
        <w:rPr>
          <w:rFonts w:hint="eastAsia"/>
          <w:bCs/>
          <w:sz w:val="24"/>
          <w:szCs w:val="24"/>
        </w:rPr>
        <w:t>）地貌景观变化及植被影响分析</w:t>
      </w:r>
    </w:p>
    <w:p w:rsidR="00DB7CC8" w:rsidRDefault="002B5250">
      <w:pPr>
        <w:ind w:firstLine="480"/>
        <w:jc w:val="both"/>
        <w:rPr>
          <w:bCs/>
          <w:sz w:val="24"/>
          <w:szCs w:val="24"/>
        </w:rPr>
      </w:pPr>
      <w:r>
        <w:rPr>
          <w:bCs/>
          <w:sz w:val="24"/>
          <w:szCs w:val="24"/>
        </w:rPr>
        <w:t>本项目</w:t>
      </w:r>
      <w:r>
        <w:rPr>
          <w:rFonts w:hint="eastAsia"/>
          <w:bCs/>
          <w:sz w:val="24"/>
          <w:szCs w:val="24"/>
        </w:rPr>
        <w:t>在现有厂区内进行建设</w:t>
      </w:r>
      <w:r>
        <w:rPr>
          <w:bCs/>
          <w:sz w:val="24"/>
          <w:szCs w:val="24"/>
        </w:rPr>
        <w:t>，铁选厂将在建设用地上建成新的工业建筑，并对厂</w:t>
      </w:r>
      <w:r>
        <w:rPr>
          <w:bCs/>
          <w:sz w:val="24"/>
          <w:szCs w:val="24"/>
        </w:rPr>
        <w:t>区道路外进行硬化，不能硬化的地面进行绿化。建成后裸露地面减少，相比建成前，绿化面积有所增加。</w:t>
      </w:r>
    </w:p>
    <w:p w:rsidR="00DB7CC8" w:rsidRDefault="002B5250">
      <w:pPr>
        <w:ind w:firstLine="480"/>
        <w:jc w:val="both"/>
        <w:rPr>
          <w:bCs/>
          <w:sz w:val="24"/>
          <w:szCs w:val="24"/>
        </w:rPr>
      </w:pPr>
      <w:r>
        <w:rPr>
          <w:rFonts w:hint="eastAsia"/>
          <w:bCs/>
          <w:sz w:val="24"/>
          <w:szCs w:val="24"/>
        </w:rPr>
        <w:t>（</w:t>
      </w:r>
      <w:r>
        <w:rPr>
          <w:rFonts w:hint="eastAsia"/>
          <w:bCs/>
          <w:sz w:val="24"/>
          <w:szCs w:val="24"/>
        </w:rPr>
        <w:t>2</w:t>
      </w:r>
      <w:r>
        <w:rPr>
          <w:rFonts w:hint="eastAsia"/>
          <w:bCs/>
          <w:sz w:val="24"/>
          <w:szCs w:val="24"/>
        </w:rPr>
        <w:t>）土地利用类型变化分析</w:t>
      </w:r>
    </w:p>
    <w:p w:rsidR="00DB7CC8" w:rsidRDefault="002B5250">
      <w:pPr>
        <w:ind w:firstLine="480"/>
        <w:jc w:val="both"/>
        <w:rPr>
          <w:bCs/>
          <w:sz w:val="24"/>
          <w:szCs w:val="24"/>
        </w:rPr>
      </w:pPr>
      <w:r>
        <w:rPr>
          <w:rFonts w:hint="eastAsia"/>
          <w:bCs/>
          <w:sz w:val="24"/>
          <w:szCs w:val="24"/>
        </w:rPr>
        <w:t>项目建设前为工矿用地，建成后用地性质不变，占地仍以工矿用地为主，闲置区将进行硬化或绿化，故土地总利用率有所提高，植被覆盖率略有增加，局部生态环境将有所改善。</w:t>
      </w:r>
    </w:p>
    <w:p w:rsidR="00DB7CC8" w:rsidRDefault="002B5250">
      <w:pPr>
        <w:ind w:firstLine="480"/>
        <w:jc w:val="both"/>
        <w:rPr>
          <w:bCs/>
          <w:sz w:val="24"/>
          <w:szCs w:val="24"/>
        </w:rPr>
      </w:pPr>
      <w:r>
        <w:rPr>
          <w:rFonts w:hint="eastAsia"/>
          <w:bCs/>
          <w:sz w:val="24"/>
          <w:szCs w:val="24"/>
        </w:rPr>
        <w:t>（</w:t>
      </w:r>
      <w:r>
        <w:rPr>
          <w:rFonts w:hint="eastAsia"/>
          <w:bCs/>
          <w:sz w:val="24"/>
          <w:szCs w:val="24"/>
        </w:rPr>
        <w:t>3</w:t>
      </w:r>
      <w:r>
        <w:rPr>
          <w:rFonts w:hint="eastAsia"/>
          <w:bCs/>
          <w:sz w:val="24"/>
          <w:szCs w:val="24"/>
        </w:rPr>
        <w:t>）水土流失影响分析</w:t>
      </w:r>
    </w:p>
    <w:p w:rsidR="00DB7CC8" w:rsidRDefault="002B5250">
      <w:pPr>
        <w:ind w:firstLine="480"/>
        <w:jc w:val="both"/>
        <w:rPr>
          <w:bCs/>
          <w:sz w:val="24"/>
          <w:szCs w:val="24"/>
        </w:rPr>
      </w:pPr>
      <w:r>
        <w:rPr>
          <w:rFonts w:hint="eastAsia"/>
          <w:bCs/>
          <w:sz w:val="24"/>
          <w:szCs w:val="24"/>
        </w:rPr>
        <w:t>针对项目所在区域特点，提出本项目水土保持防护措施，防治措施主要包括工程措施和植物措施：</w:t>
      </w:r>
    </w:p>
    <w:p w:rsidR="00DB7CC8" w:rsidRDefault="002B5250">
      <w:pPr>
        <w:ind w:firstLine="480"/>
        <w:jc w:val="both"/>
        <w:rPr>
          <w:bCs/>
          <w:sz w:val="24"/>
          <w:szCs w:val="24"/>
        </w:rPr>
      </w:pPr>
      <w:r>
        <w:rPr>
          <w:rFonts w:hint="eastAsia"/>
          <w:bCs/>
          <w:sz w:val="24"/>
          <w:szCs w:val="24"/>
        </w:rPr>
        <w:t>A</w:t>
      </w:r>
      <w:r>
        <w:rPr>
          <w:rFonts w:hint="eastAsia"/>
          <w:bCs/>
          <w:sz w:val="24"/>
          <w:szCs w:val="24"/>
        </w:rPr>
        <w:t>、工程措施</w:t>
      </w:r>
    </w:p>
    <w:p w:rsidR="00DB7CC8" w:rsidRDefault="002B5250">
      <w:pPr>
        <w:ind w:firstLine="480"/>
        <w:jc w:val="both"/>
        <w:rPr>
          <w:bCs/>
          <w:sz w:val="24"/>
          <w:szCs w:val="24"/>
        </w:rPr>
      </w:pPr>
      <w:r>
        <w:rPr>
          <w:rFonts w:hint="eastAsia"/>
          <w:bCs/>
          <w:sz w:val="24"/>
          <w:szCs w:val="24"/>
        </w:rPr>
        <w:lastRenderedPageBreak/>
        <w:t>在选厂厂内运输道路做水泥结合碎石路面，设计纵坡为场地自然坡度，梯形截面。防止运输车辆碾压造成颗粒物和雨水冲</w:t>
      </w:r>
      <w:r>
        <w:rPr>
          <w:rFonts w:hint="eastAsia"/>
          <w:bCs/>
          <w:sz w:val="24"/>
          <w:szCs w:val="24"/>
        </w:rPr>
        <w:t>刷路面造成水土流失。</w:t>
      </w:r>
    </w:p>
    <w:p w:rsidR="00DB7CC8" w:rsidRDefault="002B5250">
      <w:pPr>
        <w:ind w:firstLine="480"/>
        <w:jc w:val="both"/>
        <w:rPr>
          <w:bCs/>
          <w:sz w:val="24"/>
          <w:szCs w:val="24"/>
        </w:rPr>
      </w:pPr>
      <w:r>
        <w:rPr>
          <w:rFonts w:hint="eastAsia"/>
          <w:bCs/>
          <w:sz w:val="24"/>
          <w:szCs w:val="24"/>
        </w:rPr>
        <w:t>B</w:t>
      </w:r>
      <w:r>
        <w:rPr>
          <w:rFonts w:hint="eastAsia"/>
          <w:bCs/>
          <w:sz w:val="24"/>
          <w:szCs w:val="24"/>
        </w:rPr>
        <w:t>、植物措施</w:t>
      </w:r>
    </w:p>
    <w:p w:rsidR="00DB7CC8" w:rsidRDefault="002B5250">
      <w:pPr>
        <w:ind w:firstLine="480"/>
        <w:jc w:val="both"/>
        <w:rPr>
          <w:bCs/>
          <w:sz w:val="24"/>
          <w:szCs w:val="24"/>
        </w:rPr>
      </w:pPr>
      <w:r>
        <w:rPr>
          <w:rFonts w:hint="eastAsia"/>
          <w:bCs/>
          <w:sz w:val="24"/>
          <w:szCs w:val="24"/>
        </w:rPr>
        <w:t>在生产区、入料棚、成品库四周围栽植灌木，株距</w:t>
      </w:r>
      <w:r>
        <w:rPr>
          <w:rFonts w:hint="eastAsia"/>
          <w:bCs/>
          <w:sz w:val="24"/>
          <w:szCs w:val="24"/>
        </w:rPr>
        <w:t>1m</w:t>
      </w:r>
      <w:r>
        <w:rPr>
          <w:rFonts w:hint="eastAsia"/>
          <w:bCs/>
          <w:sz w:val="24"/>
          <w:szCs w:val="24"/>
        </w:rPr>
        <w:t>，每坑</w:t>
      </w:r>
      <w:r>
        <w:rPr>
          <w:rFonts w:hint="eastAsia"/>
          <w:bCs/>
          <w:sz w:val="24"/>
          <w:szCs w:val="24"/>
        </w:rPr>
        <w:t>2</w:t>
      </w:r>
      <w:r>
        <w:rPr>
          <w:rFonts w:hint="eastAsia"/>
          <w:bCs/>
          <w:sz w:val="24"/>
          <w:szCs w:val="24"/>
        </w:rPr>
        <w:t>株，小穴整地，穴径</w:t>
      </w:r>
      <w:r>
        <w:rPr>
          <w:rFonts w:hint="eastAsia"/>
          <w:bCs/>
          <w:sz w:val="24"/>
          <w:szCs w:val="24"/>
        </w:rPr>
        <w:t>0.3m</w:t>
      </w:r>
      <w:r>
        <w:rPr>
          <w:rFonts w:hint="eastAsia"/>
          <w:bCs/>
          <w:sz w:val="24"/>
          <w:szCs w:val="24"/>
        </w:rPr>
        <w:t>，深</w:t>
      </w:r>
      <w:r>
        <w:rPr>
          <w:rFonts w:hint="eastAsia"/>
          <w:bCs/>
          <w:sz w:val="24"/>
          <w:szCs w:val="24"/>
        </w:rPr>
        <w:t>0.3m</w:t>
      </w:r>
      <w:r>
        <w:rPr>
          <w:rFonts w:hint="eastAsia"/>
          <w:bCs/>
          <w:sz w:val="24"/>
          <w:szCs w:val="24"/>
        </w:rPr>
        <w:t>。</w:t>
      </w:r>
    </w:p>
    <w:p w:rsidR="00DB7CC8" w:rsidRDefault="002B5250">
      <w:pPr>
        <w:ind w:firstLine="480"/>
        <w:jc w:val="both"/>
        <w:rPr>
          <w:bCs/>
          <w:sz w:val="24"/>
          <w:szCs w:val="24"/>
        </w:rPr>
      </w:pPr>
      <w:r>
        <w:rPr>
          <w:rFonts w:hint="eastAsia"/>
          <w:bCs/>
          <w:sz w:val="24"/>
          <w:szCs w:val="24"/>
        </w:rPr>
        <w:t>综上，本项目建成后对生态环境将有较大改善。</w:t>
      </w:r>
    </w:p>
    <w:p w:rsidR="00DB7CC8" w:rsidRDefault="002B5250">
      <w:pPr>
        <w:pStyle w:val="3"/>
        <w:numPr>
          <w:ilvl w:val="2"/>
          <w:numId w:val="1"/>
        </w:numPr>
        <w:rPr>
          <w:szCs w:val="28"/>
        </w:rPr>
      </w:pPr>
      <w:r>
        <w:rPr>
          <w:rFonts w:hint="eastAsia"/>
          <w:szCs w:val="28"/>
        </w:rPr>
        <w:t>土壤环境影响评价</w:t>
      </w:r>
    </w:p>
    <w:p w:rsidR="00DB7CC8" w:rsidRDefault="002B5250">
      <w:pPr>
        <w:pStyle w:val="4"/>
        <w:numPr>
          <w:ilvl w:val="3"/>
          <w:numId w:val="1"/>
        </w:numPr>
        <w:ind w:left="709" w:hanging="709"/>
        <w:rPr>
          <w:rFonts w:eastAsia="宋体"/>
          <w:b/>
        </w:rPr>
      </w:pPr>
      <w:r>
        <w:rPr>
          <w:rFonts w:eastAsia="宋体" w:hint="eastAsia"/>
          <w:b/>
        </w:rPr>
        <w:t>土壤环境影响识别</w:t>
      </w:r>
    </w:p>
    <w:p w:rsidR="00DB7CC8" w:rsidRDefault="002B5250">
      <w:pPr>
        <w:ind w:firstLine="480"/>
        <w:jc w:val="both"/>
        <w:rPr>
          <w:bCs/>
          <w:sz w:val="24"/>
          <w:szCs w:val="24"/>
        </w:rPr>
      </w:pPr>
      <w:r>
        <w:rPr>
          <w:rFonts w:hint="eastAsia"/>
          <w:bCs/>
          <w:sz w:val="24"/>
          <w:szCs w:val="24"/>
        </w:rPr>
        <w:t>在工程分析的结果上，根据项目在建设期、运营期和服务期满后的具体特征，由于项目在建设期和服务期满后对土壤环境影响很小，本次评价主要对本项目运营期阶段对土壤环境影响进行识别，土壤环境影响类型与影响途径情况见表</w:t>
      </w:r>
      <w:r>
        <w:rPr>
          <w:rFonts w:hint="eastAsia"/>
          <w:bCs/>
          <w:sz w:val="24"/>
          <w:szCs w:val="24"/>
        </w:rPr>
        <w:t>5.2-37</w:t>
      </w:r>
      <w:r>
        <w:rPr>
          <w:rFonts w:hint="eastAsia"/>
          <w:bCs/>
          <w:sz w:val="24"/>
          <w:szCs w:val="24"/>
        </w:rPr>
        <w:t>，土壤环境影响源及影响因子识别情况见表</w:t>
      </w:r>
      <w:r>
        <w:rPr>
          <w:rFonts w:hint="eastAsia"/>
          <w:bCs/>
          <w:sz w:val="24"/>
          <w:szCs w:val="24"/>
        </w:rPr>
        <w:t>5.2-38</w:t>
      </w:r>
      <w:r>
        <w:rPr>
          <w:rFonts w:hint="eastAsia"/>
          <w:bCs/>
          <w:sz w:val="24"/>
          <w:szCs w:val="24"/>
        </w:rPr>
        <w:t>。</w:t>
      </w:r>
    </w:p>
    <w:p w:rsidR="00DB7CC8" w:rsidRDefault="002B5250">
      <w:pPr>
        <w:autoSpaceDE w:val="0"/>
        <w:autoSpaceDN w:val="0"/>
        <w:spacing w:line="240" w:lineRule="auto"/>
        <w:ind w:firstLineChars="0" w:firstLine="0"/>
        <w:jc w:val="center"/>
        <w:textAlignment w:val="auto"/>
        <w:rPr>
          <w:rFonts w:eastAsia="黑体"/>
          <w:bCs/>
          <w:kern w:val="2"/>
          <w:sz w:val="21"/>
          <w:szCs w:val="21"/>
        </w:rPr>
      </w:pPr>
      <w:bookmarkStart w:id="451" w:name="_Ref14769838"/>
      <w:r>
        <w:rPr>
          <w:rFonts w:eastAsia="黑体" w:hint="eastAsia"/>
          <w:bCs/>
          <w:kern w:val="2"/>
          <w:sz w:val="21"/>
          <w:szCs w:val="21"/>
        </w:rPr>
        <w:t>表</w:t>
      </w:r>
      <w:r>
        <w:rPr>
          <w:rFonts w:eastAsia="黑体" w:hint="eastAsia"/>
          <w:bCs/>
          <w:kern w:val="2"/>
          <w:sz w:val="21"/>
          <w:szCs w:val="21"/>
        </w:rPr>
        <w:t xml:space="preserve">5.2-37 </w:t>
      </w:r>
      <w:bookmarkEnd w:id="451"/>
      <w:r>
        <w:rPr>
          <w:rFonts w:eastAsia="黑体"/>
          <w:bCs/>
          <w:kern w:val="2"/>
          <w:sz w:val="21"/>
          <w:szCs w:val="21"/>
        </w:rPr>
        <w:t xml:space="preserve">   </w:t>
      </w:r>
      <w:r>
        <w:rPr>
          <w:rFonts w:eastAsia="黑体" w:hint="eastAsia"/>
          <w:bCs/>
          <w:kern w:val="2"/>
          <w:sz w:val="21"/>
          <w:szCs w:val="21"/>
        </w:rPr>
        <w:t>项目土</w:t>
      </w:r>
      <w:r>
        <w:rPr>
          <w:rFonts w:eastAsia="黑体" w:hint="eastAsia"/>
          <w:bCs/>
          <w:kern w:val="2"/>
          <w:sz w:val="21"/>
          <w:szCs w:val="21"/>
        </w:rPr>
        <w:t>壤环境影响类型与影响途径一览表</w:t>
      </w:r>
    </w:p>
    <w:tbl>
      <w:tblPr>
        <w:tblW w:w="8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0"/>
        <w:gridCol w:w="1739"/>
        <w:gridCol w:w="1739"/>
        <w:gridCol w:w="1739"/>
        <w:gridCol w:w="1739"/>
      </w:tblGrid>
      <w:tr w:rsidR="00DB7CC8">
        <w:trPr>
          <w:trHeight w:val="346"/>
        </w:trPr>
        <w:tc>
          <w:tcPr>
            <w:tcW w:w="1740" w:type="dxa"/>
            <w:vMerge w:val="restart"/>
            <w:shd w:val="clear" w:color="auto" w:fill="auto"/>
            <w:vAlign w:val="center"/>
          </w:tcPr>
          <w:p w:rsidR="00DB7CC8" w:rsidRDefault="002B5250">
            <w:pPr>
              <w:pStyle w:val="afffffffc"/>
              <w:spacing w:line="240" w:lineRule="auto"/>
            </w:pPr>
            <w:r>
              <w:rPr>
                <w:rFonts w:hint="eastAsia"/>
              </w:rPr>
              <w:t>不同时段</w:t>
            </w:r>
          </w:p>
        </w:tc>
        <w:tc>
          <w:tcPr>
            <w:tcW w:w="6956" w:type="dxa"/>
            <w:gridSpan w:val="4"/>
            <w:shd w:val="clear" w:color="auto" w:fill="auto"/>
            <w:vAlign w:val="center"/>
          </w:tcPr>
          <w:p w:rsidR="00DB7CC8" w:rsidRDefault="002B5250">
            <w:pPr>
              <w:pStyle w:val="afffffffc"/>
              <w:spacing w:line="240" w:lineRule="auto"/>
            </w:pPr>
            <w:r>
              <w:rPr>
                <w:rFonts w:hint="eastAsia"/>
              </w:rPr>
              <w:t>污染影响型</w:t>
            </w:r>
          </w:p>
        </w:tc>
      </w:tr>
      <w:tr w:rsidR="00DB7CC8">
        <w:trPr>
          <w:trHeight w:val="346"/>
        </w:trPr>
        <w:tc>
          <w:tcPr>
            <w:tcW w:w="1740" w:type="dxa"/>
            <w:vMerge/>
            <w:shd w:val="clear" w:color="auto" w:fill="auto"/>
            <w:vAlign w:val="center"/>
          </w:tcPr>
          <w:p w:rsidR="00DB7CC8" w:rsidRDefault="00DB7CC8">
            <w:pPr>
              <w:pStyle w:val="afffffffc"/>
              <w:spacing w:line="240" w:lineRule="auto"/>
            </w:pPr>
          </w:p>
        </w:tc>
        <w:tc>
          <w:tcPr>
            <w:tcW w:w="1739" w:type="dxa"/>
            <w:shd w:val="clear" w:color="auto" w:fill="auto"/>
            <w:vAlign w:val="center"/>
          </w:tcPr>
          <w:p w:rsidR="00DB7CC8" w:rsidRDefault="002B5250">
            <w:pPr>
              <w:pStyle w:val="afffffffc"/>
              <w:spacing w:line="240" w:lineRule="auto"/>
            </w:pPr>
            <w:r>
              <w:rPr>
                <w:rFonts w:hint="eastAsia"/>
              </w:rPr>
              <w:t>大气沉降</w:t>
            </w:r>
          </w:p>
        </w:tc>
        <w:tc>
          <w:tcPr>
            <w:tcW w:w="1739" w:type="dxa"/>
            <w:shd w:val="clear" w:color="auto" w:fill="auto"/>
            <w:vAlign w:val="center"/>
          </w:tcPr>
          <w:p w:rsidR="00DB7CC8" w:rsidRDefault="002B5250">
            <w:pPr>
              <w:pStyle w:val="afffffffc"/>
              <w:spacing w:line="240" w:lineRule="auto"/>
            </w:pPr>
            <w:r>
              <w:rPr>
                <w:rFonts w:hint="eastAsia"/>
              </w:rPr>
              <w:t>地面漫流</w:t>
            </w:r>
          </w:p>
        </w:tc>
        <w:tc>
          <w:tcPr>
            <w:tcW w:w="1739" w:type="dxa"/>
            <w:shd w:val="clear" w:color="auto" w:fill="auto"/>
            <w:vAlign w:val="center"/>
          </w:tcPr>
          <w:p w:rsidR="00DB7CC8" w:rsidRDefault="002B5250">
            <w:pPr>
              <w:pStyle w:val="afffffffc"/>
              <w:spacing w:line="240" w:lineRule="auto"/>
            </w:pPr>
            <w:r>
              <w:rPr>
                <w:rFonts w:hint="eastAsia"/>
              </w:rPr>
              <w:t>垂直入渗</w:t>
            </w:r>
          </w:p>
        </w:tc>
        <w:tc>
          <w:tcPr>
            <w:tcW w:w="1739" w:type="dxa"/>
            <w:shd w:val="clear" w:color="auto" w:fill="auto"/>
            <w:vAlign w:val="center"/>
          </w:tcPr>
          <w:p w:rsidR="00DB7CC8" w:rsidRDefault="002B5250">
            <w:pPr>
              <w:pStyle w:val="afffffffc"/>
              <w:spacing w:line="240" w:lineRule="auto"/>
            </w:pPr>
            <w:r>
              <w:rPr>
                <w:rFonts w:hint="eastAsia"/>
              </w:rPr>
              <w:t>其他</w:t>
            </w:r>
          </w:p>
        </w:tc>
      </w:tr>
      <w:tr w:rsidR="00DB7CC8">
        <w:trPr>
          <w:trHeight w:val="331"/>
        </w:trPr>
        <w:tc>
          <w:tcPr>
            <w:tcW w:w="1740" w:type="dxa"/>
            <w:shd w:val="clear" w:color="auto" w:fill="auto"/>
            <w:vAlign w:val="center"/>
          </w:tcPr>
          <w:p w:rsidR="00DB7CC8" w:rsidRDefault="002B5250">
            <w:pPr>
              <w:pStyle w:val="afffffffc"/>
              <w:spacing w:line="240" w:lineRule="auto"/>
            </w:pPr>
            <w:r>
              <w:rPr>
                <w:rFonts w:hint="eastAsia"/>
              </w:rPr>
              <w:t>运营期</w:t>
            </w:r>
          </w:p>
        </w:tc>
        <w:tc>
          <w:tcPr>
            <w:tcW w:w="1739" w:type="dxa"/>
            <w:shd w:val="clear" w:color="auto" w:fill="auto"/>
            <w:vAlign w:val="center"/>
          </w:tcPr>
          <w:p w:rsidR="00DB7CC8" w:rsidRDefault="002B5250">
            <w:pPr>
              <w:pStyle w:val="afffffffc"/>
              <w:spacing w:line="240" w:lineRule="auto"/>
            </w:pPr>
            <w:r>
              <w:rPr>
                <w:rFonts w:hint="eastAsia"/>
              </w:rPr>
              <w:t>√</w:t>
            </w:r>
          </w:p>
        </w:tc>
        <w:tc>
          <w:tcPr>
            <w:tcW w:w="1739" w:type="dxa"/>
            <w:shd w:val="clear" w:color="auto" w:fill="auto"/>
            <w:vAlign w:val="center"/>
          </w:tcPr>
          <w:p w:rsidR="00DB7CC8" w:rsidRDefault="002B5250">
            <w:pPr>
              <w:pStyle w:val="afffffffc"/>
              <w:spacing w:line="240" w:lineRule="auto"/>
            </w:pPr>
            <w:r>
              <w:rPr>
                <w:rFonts w:hint="eastAsia"/>
              </w:rPr>
              <w:t>-</w:t>
            </w:r>
            <w:r>
              <w:t>-</w:t>
            </w:r>
          </w:p>
        </w:tc>
        <w:tc>
          <w:tcPr>
            <w:tcW w:w="1739" w:type="dxa"/>
            <w:shd w:val="clear" w:color="auto" w:fill="auto"/>
            <w:vAlign w:val="center"/>
          </w:tcPr>
          <w:p w:rsidR="00DB7CC8" w:rsidRDefault="002B5250">
            <w:pPr>
              <w:pStyle w:val="afffffffc"/>
              <w:spacing w:line="240" w:lineRule="auto"/>
            </w:pPr>
            <w:r>
              <w:rPr>
                <w:rFonts w:hint="eastAsia"/>
              </w:rPr>
              <w:t>√</w:t>
            </w:r>
          </w:p>
        </w:tc>
        <w:tc>
          <w:tcPr>
            <w:tcW w:w="1739" w:type="dxa"/>
            <w:shd w:val="clear" w:color="auto" w:fill="auto"/>
            <w:vAlign w:val="center"/>
          </w:tcPr>
          <w:p w:rsidR="00DB7CC8" w:rsidRDefault="002B5250">
            <w:pPr>
              <w:pStyle w:val="afffffffc"/>
              <w:spacing w:line="240" w:lineRule="auto"/>
            </w:pPr>
            <w:r>
              <w:rPr>
                <w:rFonts w:hint="eastAsia"/>
              </w:rPr>
              <w:t>-</w:t>
            </w:r>
            <w:r>
              <w:t>-</w:t>
            </w:r>
          </w:p>
        </w:tc>
      </w:tr>
    </w:tbl>
    <w:p w:rsidR="00DB7CC8" w:rsidRDefault="002B5250">
      <w:pPr>
        <w:autoSpaceDE w:val="0"/>
        <w:autoSpaceDN w:val="0"/>
        <w:spacing w:line="240" w:lineRule="auto"/>
        <w:ind w:firstLineChars="0" w:firstLine="0"/>
        <w:jc w:val="center"/>
        <w:textAlignment w:val="auto"/>
        <w:rPr>
          <w:rFonts w:eastAsia="黑体"/>
          <w:bCs/>
          <w:kern w:val="2"/>
          <w:sz w:val="21"/>
          <w:szCs w:val="21"/>
        </w:rPr>
      </w:pPr>
      <w:bookmarkStart w:id="452" w:name="_Ref14769843"/>
      <w:r>
        <w:rPr>
          <w:rFonts w:eastAsia="黑体" w:hint="eastAsia"/>
          <w:bCs/>
          <w:kern w:val="2"/>
          <w:sz w:val="21"/>
          <w:szCs w:val="21"/>
        </w:rPr>
        <w:t>表</w:t>
      </w:r>
      <w:r>
        <w:rPr>
          <w:rFonts w:eastAsia="黑体" w:hint="eastAsia"/>
          <w:bCs/>
          <w:kern w:val="2"/>
          <w:sz w:val="21"/>
          <w:szCs w:val="21"/>
        </w:rPr>
        <w:t>5.2-38</w:t>
      </w:r>
      <w:bookmarkEnd w:id="452"/>
      <w:r>
        <w:rPr>
          <w:rFonts w:eastAsia="黑体" w:hint="eastAsia"/>
          <w:bCs/>
          <w:kern w:val="2"/>
          <w:sz w:val="21"/>
          <w:szCs w:val="21"/>
        </w:rPr>
        <w:t xml:space="preserve">   </w:t>
      </w:r>
      <w:r>
        <w:rPr>
          <w:rFonts w:eastAsia="黑体" w:hint="eastAsia"/>
          <w:bCs/>
          <w:kern w:val="2"/>
          <w:sz w:val="21"/>
          <w:szCs w:val="21"/>
        </w:rPr>
        <w:t>项目土壤环境影响源及影响因子识别一览表</w:t>
      </w:r>
    </w:p>
    <w:tbl>
      <w:tblPr>
        <w:tblW w:w="8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3"/>
        <w:gridCol w:w="1453"/>
        <w:gridCol w:w="1453"/>
        <w:gridCol w:w="1453"/>
        <w:gridCol w:w="1453"/>
        <w:gridCol w:w="1456"/>
      </w:tblGrid>
      <w:tr w:rsidR="00DB7CC8">
        <w:tc>
          <w:tcPr>
            <w:tcW w:w="1453" w:type="dxa"/>
            <w:shd w:val="clear" w:color="auto" w:fill="auto"/>
            <w:vAlign w:val="center"/>
          </w:tcPr>
          <w:p w:rsidR="00DB7CC8" w:rsidRDefault="002B5250">
            <w:pPr>
              <w:pStyle w:val="afffffffc"/>
              <w:spacing w:line="240" w:lineRule="auto"/>
            </w:pPr>
            <w:r>
              <w:rPr>
                <w:rFonts w:hint="eastAsia"/>
              </w:rPr>
              <w:t>污染源</w:t>
            </w:r>
          </w:p>
        </w:tc>
        <w:tc>
          <w:tcPr>
            <w:tcW w:w="1453" w:type="dxa"/>
            <w:shd w:val="clear" w:color="auto" w:fill="auto"/>
            <w:vAlign w:val="center"/>
          </w:tcPr>
          <w:p w:rsidR="00DB7CC8" w:rsidRDefault="002B5250">
            <w:pPr>
              <w:pStyle w:val="afffffffc"/>
              <w:spacing w:line="240" w:lineRule="auto"/>
            </w:pPr>
            <w:r>
              <w:rPr>
                <w:rFonts w:hint="eastAsia"/>
              </w:rPr>
              <w:t>工艺流程</w:t>
            </w:r>
            <w:r>
              <w:rPr>
                <w:rFonts w:hint="eastAsia"/>
              </w:rPr>
              <w:t>/</w:t>
            </w:r>
            <w:r>
              <w:rPr>
                <w:rFonts w:hint="eastAsia"/>
              </w:rPr>
              <w:t>节点</w:t>
            </w:r>
          </w:p>
        </w:tc>
        <w:tc>
          <w:tcPr>
            <w:tcW w:w="1453" w:type="dxa"/>
            <w:shd w:val="clear" w:color="auto" w:fill="auto"/>
            <w:vAlign w:val="center"/>
          </w:tcPr>
          <w:p w:rsidR="00DB7CC8" w:rsidRDefault="002B5250">
            <w:pPr>
              <w:pStyle w:val="afffffffc"/>
              <w:spacing w:line="240" w:lineRule="auto"/>
            </w:pPr>
            <w:r>
              <w:rPr>
                <w:rFonts w:hint="eastAsia"/>
              </w:rPr>
              <w:t>污染途径</w:t>
            </w:r>
          </w:p>
        </w:tc>
        <w:tc>
          <w:tcPr>
            <w:tcW w:w="1453" w:type="dxa"/>
            <w:shd w:val="clear" w:color="auto" w:fill="auto"/>
            <w:vAlign w:val="center"/>
          </w:tcPr>
          <w:p w:rsidR="00DB7CC8" w:rsidRDefault="002B5250">
            <w:pPr>
              <w:pStyle w:val="afffffffc"/>
              <w:spacing w:line="240" w:lineRule="auto"/>
            </w:pPr>
            <w:r>
              <w:rPr>
                <w:rFonts w:hint="eastAsia"/>
              </w:rPr>
              <w:t>全部污染物指标</w:t>
            </w:r>
          </w:p>
        </w:tc>
        <w:tc>
          <w:tcPr>
            <w:tcW w:w="1453" w:type="dxa"/>
            <w:shd w:val="clear" w:color="auto" w:fill="auto"/>
            <w:vAlign w:val="center"/>
          </w:tcPr>
          <w:p w:rsidR="00DB7CC8" w:rsidRDefault="002B5250">
            <w:pPr>
              <w:pStyle w:val="afffffffc"/>
              <w:spacing w:line="240" w:lineRule="auto"/>
            </w:pPr>
            <w:r>
              <w:rPr>
                <w:rFonts w:hint="eastAsia"/>
              </w:rPr>
              <w:t>特征因子</w:t>
            </w:r>
          </w:p>
        </w:tc>
        <w:tc>
          <w:tcPr>
            <w:tcW w:w="1456" w:type="dxa"/>
            <w:shd w:val="clear" w:color="auto" w:fill="auto"/>
            <w:vAlign w:val="center"/>
          </w:tcPr>
          <w:p w:rsidR="00DB7CC8" w:rsidRDefault="002B5250">
            <w:pPr>
              <w:pStyle w:val="afffffffc"/>
              <w:spacing w:line="240" w:lineRule="auto"/>
            </w:pPr>
            <w:r>
              <w:rPr>
                <w:rFonts w:hint="eastAsia"/>
              </w:rPr>
              <w:t>备注</w:t>
            </w:r>
          </w:p>
        </w:tc>
      </w:tr>
      <w:tr w:rsidR="00DB7CC8">
        <w:tc>
          <w:tcPr>
            <w:tcW w:w="1453" w:type="dxa"/>
            <w:shd w:val="clear" w:color="auto" w:fill="auto"/>
            <w:vAlign w:val="center"/>
          </w:tcPr>
          <w:p w:rsidR="00DB7CC8" w:rsidRDefault="002B5250">
            <w:pPr>
              <w:pStyle w:val="afffffffc"/>
              <w:spacing w:line="240" w:lineRule="auto"/>
            </w:pPr>
            <w:r>
              <w:rPr>
                <w:rFonts w:hint="eastAsia"/>
              </w:rPr>
              <w:t>破碎筛分生产线</w:t>
            </w:r>
          </w:p>
        </w:tc>
        <w:tc>
          <w:tcPr>
            <w:tcW w:w="1453" w:type="dxa"/>
            <w:shd w:val="clear" w:color="auto" w:fill="auto"/>
            <w:vAlign w:val="center"/>
          </w:tcPr>
          <w:p w:rsidR="00DB7CC8" w:rsidRDefault="002B5250">
            <w:pPr>
              <w:pStyle w:val="afffffffc"/>
              <w:spacing w:line="240" w:lineRule="auto"/>
            </w:pPr>
            <w:r>
              <w:rPr>
                <w:rFonts w:hint="eastAsia"/>
              </w:rPr>
              <w:t>破碎粉尘</w:t>
            </w:r>
          </w:p>
        </w:tc>
        <w:tc>
          <w:tcPr>
            <w:tcW w:w="1453" w:type="dxa"/>
            <w:shd w:val="clear" w:color="auto" w:fill="auto"/>
            <w:vAlign w:val="center"/>
          </w:tcPr>
          <w:p w:rsidR="00DB7CC8" w:rsidRDefault="002B5250">
            <w:pPr>
              <w:pStyle w:val="afffffffc"/>
              <w:spacing w:line="240" w:lineRule="auto"/>
            </w:pPr>
            <w:r>
              <w:rPr>
                <w:rFonts w:hint="eastAsia"/>
              </w:rPr>
              <w:t>大气沉降</w:t>
            </w:r>
          </w:p>
        </w:tc>
        <w:tc>
          <w:tcPr>
            <w:tcW w:w="1453" w:type="dxa"/>
            <w:shd w:val="clear" w:color="auto" w:fill="auto"/>
            <w:vAlign w:val="center"/>
          </w:tcPr>
          <w:p w:rsidR="00DB7CC8" w:rsidRDefault="002B5250">
            <w:pPr>
              <w:pStyle w:val="afffffffc"/>
              <w:spacing w:line="240" w:lineRule="auto"/>
            </w:pPr>
            <w:r>
              <w:rPr>
                <w:rFonts w:hint="eastAsia"/>
              </w:rPr>
              <w:t>铁</w:t>
            </w:r>
          </w:p>
        </w:tc>
        <w:tc>
          <w:tcPr>
            <w:tcW w:w="1453" w:type="dxa"/>
            <w:shd w:val="clear" w:color="auto" w:fill="auto"/>
            <w:vAlign w:val="center"/>
          </w:tcPr>
          <w:p w:rsidR="00DB7CC8" w:rsidRDefault="002B5250">
            <w:pPr>
              <w:pStyle w:val="afffffffc"/>
              <w:spacing w:line="240" w:lineRule="auto"/>
            </w:pPr>
            <w:r>
              <w:rPr>
                <w:rFonts w:hint="eastAsia"/>
              </w:rPr>
              <w:t>-</w:t>
            </w:r>
            <w:r>
              <w:t>-</w:t>
            </w:r>
          </w:p>
        </w:tc>
        <w:tc>
          <w:tcPr>
            <w:tcW w:w="1456" w:type="dxa"/>
            <w:shd w:val="clear" w:color="auto" w:fill="auto"/>
            <w:vAlign w:val="center"/>
          </w:tcPr>
          <w:p w:rsidR="00DB7CC8" w:rsidRDefault="002B5250">
            <w:pPr>
              <w:pStyle w:val="afffffffc"/>
              <w:spacing w:line="240" w:lineRule="auto"/>
            </w:pPr>
            <w:r>
              <w:rPr>
                <w:rFonts w:hint="eastAsia"/>
              </w:rPr>
              <w:t>周围敏感目标主要耕地</w:t>
            </w:r>
          </w:p>
        </w:tc>
      </w:tr>
      <w:tr w:rsidR="00DB7CC8">
        <w:tc>
          <w:tcPr>
            <w:tcW w:w="1453" w:type="dxa"/>
            <w:shd w:val="clear" w:color="auto" w:fill="auto"/>
            <w:vAlign w:val="center"/>
          </w:tcPr>
          <w:p w:rsidR="00DB7CC8" w:rsidRDefault="002B5250">
            <w:pPr>
              <w:pStyle w:val="afffffffc"/>
              <w:spacing w:line="240" w:lineRule="auto"/>
            </w:pPr>
            <w:r>
              <w:rPr>
                <w:rFonts w:hint="eastAsia"/>
              </w:rPr>
              <w:t>浓密池</w:t>
            </w:r>
          </w:p>
        </w:tc>
        <w:tc>
          <w:tcPr>
            <w:tcW w:w="1453" w:type="dxa"/>
            <w:shd w:val="clear" w:color="auto" w:fill="auto"/>
            <w:vAlign w:val="center"/>
          </w:tcPr>
          <w:p w:rsidR="00DB7CC8" w:rsidRDefault="002B5250">
            <w:pPr>
              <w:pStyle w:val="afffffffc"/>
              <w:spacing w:line="240" w:lineRule="auto"/>
            </w:pPr>
            <w:r>
              <w:rPr>
                <w:rFonts w:hint="eastAsia"/>
              </w:rPr>
              <w:t>水处理</w:t>
            </w:r>
          </w:p>
        </w:tc>
        <w:tc>
          <w:tcPr>
            <w:tcW w:w="1453" w:type="dxa"/>
            <w:shd w:val="clear" w:color="auto" w:fill="auto"/>
            <w:vAlign w:val="center"/>
          </w:tcPr>
          <w:p w:rsidR="00DB7CC8" w:rsidRDefault="002B5250">
            <w:pPr>
              <w:pStyle w:val="afffffffc"/>
              <w:spacing w:line="240" w:lineRule="auto"/>
            </w:pPr>
            <w:r>
              <w:rPr>
                <w:rFonts w:hint="eastAsia"/>
              </w:rPr>
              <w:t>垂直入渗</w:t>
            </w:r>
          </w:p>
        </w:tc>
        <w:tc>
          <w:tcPr>
            <w:tcW w:w="1453" w:type="dxa"/>
            <w:shd w:val="clear" w:color="auto" w:fill="auto"/>
            <w:vAlign w:val="center"/>
          </w:tcPr>
          <w:p w:rsidR="00DB7CC8" w:rsidRDefault="002B5250">
            <w:pPr>
              <w:pStyle w:val="afffffffc"/>
              <w:spacing w:line="240" w:lineRule="auto"/>
            </w:pPr>
            <w:r>
              <w:rPr>
                <w:rFonts w:hint="eastAsia"/>
              </w:rPr>
              <w:t>铁</w:t>
            </w:r>
          </w:p>
        </w:tc>
        <w:tc>
          <w:tcPr>
            <w:tcW w:w="1453" w:type="dxa"/>
            <w:shd w:val="clear" w:color="auto" w:fill="auto"/>
            <w:vAlign w:val="center"/>
          </w:tcPr>
          <w:p w:rsidR="00DB7CC8" w:rsidRDefault="002B5250">
            <w:pPr>
              <w:pStyle w:val="afffffffc"/>
              <w:spacing w:line="240" w:lineRule="auto"/>
            </w:pPr>
            <w:r>
              <w:rPr>
                <w:rFonts w:hint="eastAsia"/>
              </w:rPr>
              <w:t>铁</w:t>
            </w:r>
          </w:p>
        </w:tc>
        <w:tc>
          <w:tcPr>
            <w:tcW w:w="1456" w:type="dxa"/>
            <w:shd w:val="clear" w:color="auto" w:fill="auto"/>
            <w:vAlign w:val="center"/>
          </w:tcPr>
          <w:p w:rsidR="00DB7CC8" w:rsidRDefault="002B5250">
            <w:pPr>
              <w:pStyle w:val="afffffffc"/>
              <w:spacing w:line="240" w:lineRule="auto"/>
            </w:pPr>
            <w:r>
              <w:rPr>
                <w:rFonts w:hint="eastAsia"/>
              </w:rPr>
              <w:t>间断、事故</w:t>
            </w:r>
          </w:p>
        </w:tc>
      </w:tr>
    </w:tbl>
    <w:p w:rsidR="00DB7CC8" w:rsidRDefault="002B5250">
      <w:pPr>
        <w:pStyle w:val="4"/>
        <w:numPr>
          <w:ilvl w:val="3"/>
          <w:numId w:val="1"/>
        </w:numPr>
        <w:ind w:left="709" w:hanging="709"/>
        <w:rPr>
          <w:rFonts w:eastAsia="宋体"/>
          <w:b/>
        </w:rPr>
      </w:pPr>
      <w:r>
        <w:rPr>
          <w:rFonts w:eastAsia="宋体" w:hint="eastAsia"/>
          <w:b/>
        </w:rPr>
        <w:t>评价范围、评价时段、情景设置</w:t>
      </w:r>
    </w:p>
    <w:p w:rsidR="00DB7CC8" w:rsidRDefault="002B5250">
      <w:pPr>
        <w:ind w:firstLine="480"/>
        <w:jc w:val="both"/>
        <w:rPr>
          <w:bCs/>
          <w:sz w:val="24"/>
          <w:szCs w:val="24"/>
        </w:rPr>
      </w:pPr>
      <w:r>
        <w:rPr>
          <w:rFonts w:hint="eastAsia"/>
          <w:bCs/>
          <w:sz w:val="24"/>
          <w:szCs w:val="24"/>
        </w:rPr>
        <w:t>(1)</w:t>
      </w:r>
      <w:r>
        <w:rPr>
          <w:rFonts w:hint="eastAsia"/>
          <w:bCs/>
          <w:sz w:val="24"/>
          <w:szCs w:val="24"/>
        </w:rPr>
        <w:t>预测范围</w:t>
      </w:r>
    </w:p>
    <w:p w:rsidR="00DB7CC8" w:rsidRDefault="002B5250">
      <w:pPr>
        <w:ind w:firstLine="480"/>
        <w:jc w:val="both"/>
        <w:rPr>
          <w:bCs/>
          <w:sz w:val="24"/>
          <w:szCs w:val="24"/>
        </w:rPr>
      </w:pPr>
      <w:r>
        <w:rPr>
          <w:rFonts w:hint="eastAsia"/>
          <w:bCs/>
          <w:sz w:val="24"/>
          <w:szCs w:val="24"/>
        </w:rPr>
        <w:t>本次预测范围与现状调查范围一致，以项目厂址为中心区域，自厂界外延</w:t>
      </w:r>
      <w:r>
        <w:rPr>
          <w:rFonts w:hint="eastAsia"/>
          <w:bCs/>
          <w:sz w:val="24"/>
          <w:szCs w:val="24"/>
        </w:rPr>
        <w:t>0.05km</w:t>
      </w:r>
      <w:r>
        <w:rPr>
          <w:rFonts w:hint="eastAsia"/>
          <w:bCs/>
          <w:sz w:val="24"/>
          <w:szCs w:val="24"/>
        </w:rPr>
        <w:t>。</w:t>
      </w:r>
    </w:p>
    <w:p w:rsidR="00DB7CC8" w:rsidRDefault="002B5250">
      <w:pPr>
        <w:ind w:firstLine="480"/>
        <w:jc w:val="both"/>
        <w:rPr>
          <w:bCs/>
          <w:sz w:val="24"/>
          <w:szCs w:val="24"/>
        </w:rPr>
      </w:pPr>
      <w:r>
        <w:rPr>
          <w:rFonts w:hint="eastAsia"/>
          <w:bCs/>
          <w:sz w:val="24"/>
          <w:szCs w:val="24"/>
        </w:rPr>
        <w:t>(2)</w:t>
      </w:r>
      <w:r>
        <w:rPr>
          <w:rFonts w:hint="eastAsia"/>
          <w:bCs/>
          <w:sz w:val="24"/>
          <w:szCs w:val="24"/>
        </w:rPr>
        <w:t>评价时段</w:t>
      </w:r>
    </w:p>
    <w:p w:rsidR="00DB7CC8" w:rsidRDefault="002B5250">
      <w:pPr>
        <w:ind w:firstLine="480"/>
        <w:jc w:val="both"/>
        <w:rPr>
          <w:bCs/>
          <w:sz w:val="24"/>
          <w:szCs w:val="24"/>
        </w:rPr>
      </w:pPr>
      <w:r>
        <w:rPr>
          <w:rFonts w:hint="eastAsia"/>
          <w:bCs/>
          <w:sz w:val="24"/>
          <w:szCs w:val="24"/>
        </w:rPr>
        <w:t>根据本项目土壤环境影响识别结果，本项目对土壤环境的影响类型主要为大气沉降，确定重点评价时段为项目运营期。</w:t>
      </w:r>
    </w:p>
    <w:p w:rsidR="00DB7CC8" w:rsidRDefault="002B5250">
      <w:pPr>
        <w:ind w:firstLine="480"/>
        <w:jc w:val="both"/>
        <w:rPr>
          <w:bCs/>
          <w:sz w:val="24"/>
          <w:szCs w:val="24"/>
        </w:rPr>
      </w:pPr>
      <w:r>
        <w:rPr>
          <w:rFonts w:hint="eastAsia"/>
          <w:bCs/>
          <w:sz w:val="24"/>
          <w:szCs w:val="24"/>
        </w:rPr>
        <w:t>(3)</w:t>
      </w:r>
      <w:r>
        <w:rPr>
          <w:rFonts w:hint="eastAsia"/>
          <w:bCs/>
          <w:sz w:val="24"/>
          <w:szCs w:val="24"/>
        </w:rPr>
        <w:t>情景设置</w:t>
      </w:r>
    </w:p>
    <w:p w:rsidR="00DB7CC8" w:rsidRDefault="002B5250">
      <w:pPr>
        <w:ind w:firstLine="480"/>
        <w:jc w:val="both"/>
        <w:rPr>
          <w:bCs/>
          <w:sz w:val="24"/>
          <w:szCs w:val="24"/>
        </w:rPr>
      </w:pPr>
      <w:r>
        <w:rPr>
          <w:rFonts w:hint="eastAsia"/>
          <w:bCs/>
          <w:sz w:val="24"/>
          <w:szCs w:val="24"/>
        </w:rPr>
        <w:t>根据同类企业的实际情况分析，如果浓密池、事故池、环保设施防渗地面和生产污水明沟等可视场所发生破损，容易及时发现，可以及时采取修复措施，即使有物料或污水等泄漏，建设单位及时采取措施，不会任由物料或污水漫流渗漏，任其渗入土壤。</w:t>
      </w:r>
    </w:p>
    <w:p w:rsidR="00DB7CC8" w:rsidRDefault="002B5250">
      <w:pPr>
        <w:ind w:firstLine="480"/>
        <w:jc w:val="both"/>
        <w:rPr>
          <w:bCs/>
          <w:sz w:val="24"/>
          <w:szCs w:val="24"/>
        </w:rPr>
      </w:pPr>
      <w:r>
        <w:rPr>
          <w:rFonts w:hint="eastAsia"/>
          <w:bCs/>
          <w:sz w:val="24"/>
          <w:szCs w:val="24"/>
        </w:rPr>
        <w:lastRenderedPageBreak/>
        <w:t>本次评价土壤影响情景是影响识别的基础上，根据项目的工程特点，设定情景为破碎粉尘对周围耕地及村庄大气沉降影响。</w:t>
      </w:r>
    </w:p>
    <w:p w:rsidR="00DB7CC8" w:rsidRDefault="002B5250">
      <w:pPr>
        <w:pStyle w:val="4"/>
        <w:numPr>
          <w:ilvl w:val="3"/>
          <w:numId w:val="1"/>
        </w:numPr>
        <w:ind w:left="709" w:hanging="709"/>
        <w:rPr>
          <w:rFonts w:eastAsia="宋体"/>
          <w:b/>
        </w:rPr>
      </w:pPr>
      <w:r>
        <w:rPr>
          <w:rFonts w:eastAsia="宋体" w:hint="eastAsia"/>
          <w:b/>
        </w:rPr>
        <w:t>项目对土壤环境的影响</w:t>
      </w:r>
    </w:p>
    <w:p w:rsidR="00DB7CC8" w:rsidRDefault="002B5250">
      <w:pPr>
        <w:ind w:firstLine="480"/>
        <w:jc w:val="both"/>
        <w:rPr>
          <w:bCs/>
          <w:sz w:val="24"/>
          <w:szCs w:val="24"/>
        </w:rPr>
      </w:pPr>
      <w:r>
        <w:rPr>
          <w:rFonts w:hint="eastAsia"/>
          <w:bCs/>
          <w:sz w:val="24"/>
          <w:szCs w:val="24"/>
        </w:rPr>
        <w:t>通过工程分析可知，本项目使用的原</w:t>
      </w:r>
      <w:r>
        <w:rPr>
          <w:rFonts w:hint="eastAsia"/>
          <w:bCs/>
          <w:sz w:val="24"/>
          <w:szCs w:val="24"/>
        </w:rPr>
        <w:t>料为铁矿石，根据铁矿石全成分分析结果，原料未检出含砷、铜、铅等重金属。因铁矿石不含重金属，且铁矿石选矿过程为物理过程，不添加化学药剂，因此本项目原料不含重金属等有害元素。</w:t>
      </w:r>
    </w:p>
    <w:p w:rsidR="00DB7CC8" w:rsidRDefault="002B5250">
      <w:pPr>
        <w:ind w:firstLine="480"/>
        <w:jc w:val="both"/>
        <w:rPr>
          <w:bCs/>
          <w:sz w:val="24"/>
          <w:szCs w:val="24"/>
        </w:rPr>
      </w:pPr>
      <w:r>
        <w:rPr>
          <w:rFonts w:hint="eastAsia"/>
          <w:bCs/>
          <w:sz w:val="24"/>
          <w:szCs w:val="24"/>
        </w:rPr>
        <w:t>本项目除尘系统选用的是高效、先进的布袋除尘器，有效去除废气中的粉尘，废气中颗粒物的最高排放浓度能满足《铁矿采选工业污染物排放标准》</w:t>
      </w:r>
      <w:r>
        <w:rPr>
          <w:rFonts w:hint="eastAsia"/>
          <w:bCs/>
          <w:sz w:val="24"/>
          <w:szCs w:val="24"/>
        </w:rPr>
        <w:t>(GB28661-2012)</w:t>
      </w:r>
      <w:r>
        <w:rPr>
          <w:rFonts w:hint="eastAsia"/>
          <w:bCs/>
          <w:sz w:val="24"/>
          <w:szCs w:val="24"/>
        </w:rPr>
        <w:t>表</w:t>
      </w:r>
      <w:r>
        <w:rPr>
          <w:rFonts w:hint="eastAsia"/>
          <w:bCs/>
          <w:sz w:val="24"/>
          <w:szCs w:val="24"/>
        </w:rPr>
        <w:t>6</w:t>
      </w:r>
      <w:r>
        <w:rPr>
          <w:rFonts w:hint="eastAsia"/>
          <w:bCs/>
          <w:sz w:val="24"/>
          <w:szCs w:val="24"/>
        </w:rPr>
        <w:t>大气污染物特别排放限值</w:t>
      </w:r>
      <w:r>
        <w:rPr>
          <w:rFonts w:hint="eastAsia"/>
          <w:bCs/>
          <w:sz w:val="24"/>
          <w:szCs w:val="24"/>
        </w:rPr>
        <w:t>10mg/m</w:t>
      </w:r>
      <w:r>
        <w:rPr>
          <w:rFonts w:hint="eastAsia"/>
          <w:bCs/>
          <w:sz w:val="24"/>
          <w:szCs w:val="24"/>
        </w:rPr>
        <w:t>³的要求。</w:t>
      </w:r>
    </w:p>
    <w:p w:rsidR="00DB7CC8" w:rsidRDefault="002B5250">
      <w:pPr>
        <w:ind w:firstLine="480"/>
        <w:jc w:val="both"/>
        <w:rPr>
          <w:bCs/>
          <w:sz w:val="24"/>
          <w:szCs w:val="24"/>
        </w:rPr>
      </w:pPr>
      <w:r>
        <w:rPr>
          <w:rFonts w:hint="eastAsia"/>
          <w:bCs/>
          <w:sz w:val="24"/>
          <w:szCs w:val="24"/>
        </w:rPr>
        <w:t>因此，本项目排放污染物粉尘中无重金属颗粒，不会有重金属污染物沉降至厂址四周地表，随雨水及农灌水渗入地下，污染土壤。</w:t>
      </w:r>
    </w:p>
    <w:p w:rsidR="00DB7CC8" w:rsidRDefault="002B5250">
      <w:pPr>
        <w:ind w:firstLine="480"/>
        <w:jc w:val="both"/>
        <w:rPr>
          <w:bCs/>
          <w:sz w:val="24"/>
          <w:szCs w:val="24"/>
        </w:rPr>
      </w:pPr>
      <w:r>
        <w:rPr>
          <w:rFonts w:hint="eastAsia"/>
          <w:bCs/>
          <w:sz w:val="24"/>
          <w:szCs w:val="24"/>
        </w:rPr>
        <w:t>项目场地土壤分布连续稳定，其渗透系数较小，具有较强的隔水作用，有利于阻止污染物向下运移，且具有良好的吸附性能。项目按防渗技术规范要求做好分区防渗，可进一步保护项目场地的土壤环境。</w:t>
      </w:r>
    </w:p>
    <w:p w:rsidR="00DB7CC8" w:rsidRDefault="002B5250">
      <w:pPr>
        <w:pStyle w:val="4"/>
        <w:numPr>
          <w:ilvl w:val="3"/>
          <w:numId w:val="1"/>
        </w:numPr>
        <w:ind w:left="709" w:hanging="709"/>
        <w:rPr>
          <w:rFonts w:eastAsia="宋体"/>
          <w:b/>
        </w:rPr>
      </w:pPr>
      <w:r>
        <w:rPr>
          <w:rFonts w:eastAsia="宋体" w:hint="eastAsia"/>
          <w:b/>
        </w:rPr>
        <w:t>保护措施与对策</w:t>
      </w:r>
    </w:p>
    <w:p w:rsidR="00DB7CC8" w:rsidRDefault="002B5250">
      <w:pPr>
        <w:ind w:firstLine="480"/>
        <w:jc w:val="both"/>
        <w:rPr>
          <w:bCs/>
          <w:sz w:val="24"/>
          <w:szCs w:val="24"/>
        </w:rPr>
      </w:pPr>
      <w:r>
        <w:rPr>
          <w:rFonts w:hint="eastAsia"/>
          <w:bCs/>
          <w:sz w:val="24"/>
          <w:szCs w:val="24"/>
        </w:rPr>
        <w:t>(1)</w:t>
      </w:r>
      <w:r>
        <w:rPr>
          <w:rFonts w:hint="eastAsia"/>
          <w:bCs/>
          <w:sz w:val="24"/>
          <w:szCs w:val="24"/>
        </w:rPr>
        <w:t>土壤环境质量现状保障措施</w:t>
      </w:r>
    </w:p>
    <w:p w:rsidR="00DB7CC8" w:rsidRDefault="002B5250">
      <w:pPr>
        <w:ind w:firstLine="480"/>
        <w:jc w:val="both"/>
        <w:rPr>
          <w:bCs/>
          <w:sz w:val="24"/>
          <w:szCs w:val="24"/>
        </w:rPr>
      </w:pPr>
      <w:r>
        <w:rPr>
          <w:rFonts w:hint="eastAsia"/>
          <w:bCs/>
          <w:sz w:val="24"/>
          <w:szCs w:val="24"/>
        </w:rPr>
        <w:t>根据土壤现状监测，建设用地采样区监测点监测值均小于《土壤环境质量</w:t>
      </w:r>
      <w:r>
        <w:rPr>
          <w:rFonts w:hint="eastAsia"/>
          <w:bCs/>
          <w:sz w:val="24"/>
          <w:szCs w:val="24"/>
        </w:rPr>
        <w:t xml:space="preserve"> </w:t>
      </w:r>
      <w:r>
        <w:rPr>
          <w:rFonts w:hint="eastAsia"/>
          <w:bCs/>
          <w:sz w:val="24"/>
          <w:szCs w:val="24"/>
        </w:rPr>
        <w:t>建设用地土壤污染风险管控标准（试行）》</w:t>
      </w:r>
      <w:r>
        <w:rPr>
          <w:rFonts w:hint="eastAsia"/>
          <w:bCs/>
          <w:sz w:val="24"/>
          <w:szCs w:val="24"/>
        </w:rPr>
        <w:t>(GB36600-2018)</w:t>
      </w:r>
      <w:r>
        <w:rPr>
          <w:rFonts w:hint="eastAsia"/>
          <w:bCs/>
          <w:sz w:val="24"/>
          <w:szCs w:val="24"/>
        </w:rPr>
        <w:t>中筛选值。</w:t>
      </w:r>
    </w:p>
    <w:p w:rsidR="00DB7CC8" w:rsidRDefault="002B5250">
      <w:pPr>
        <w:ind w:firstLine="480"/>
        <w:jc w:val="both"/>
        <w:rPr>
          <w:bCs/>
          <w:sz w:val="24"/>
          <w:szCs w:val="24"/>
        </w:rPr>
      </w:pPr>
      <w:r>
        <w:rPr>
          <w:rFonts w:hint="eastAsia"/>
          <w:bCs/>
          <w:sz w:val="24"/>
          <w:szCs w:val="24"/>
        </w:rPr>
        <w:t>(2)</w:t>
      </w:r>
      <w:r>
        <w:rPr>
          <w:rFonts w:hint="eastAsia"/>
          <w:bCs/>
          <w:sz w:val="24"/>
          <w:szCs w:val="24"/>
        </w:rPr>
        <w:t>源头控制措施</w:t>
      </w:r>
    </w:p>
    <w:p w:rsidR="00DB7CC8" w:rsidRDefault="002B5250">
      <w:pPr>
        <w:ind w:firstLine="480"/>
        <w:jc w:val="both"/>
        <w:rPr>
          <w:bCs/>
          <w:sz w:val="24"/>
          <w:szCs w:val="24"/>
        </w:rPr>
      </w:pPr>
      <w:r>
        <w:rPr>
          <w:rFonts w:hint="eastAsia"/>
          <w:bCs/>
          <w:sz w:val="24"/>
          <w:szCs w:val="24"/>
        </w:rPr>
        <w:t>本项目采取了粗选工段破碎筛分工序均在封闭的车间内，在各破碎机、振动筛进料、出料口、入料口分别设置集气罩，粉尘经集气管收集</w:t>
      </w:r>
      <w:r>
        <w:rPr>
          <w:rFonts w:hint="eastAsia"/>
          <w:bCs/>
          <w:sz w:val="24"/>
          <w:szCs w:val="24"/>
        </w:rPr>
        <w:t>进入脉冲布袋收尘器处理后，经</w:t>
      </w:r>
      <w:r>
        <w:rPr>
          <w:rFonts w:hint="eastAsia"/>
          <w:bCs/>
          <w:sz w:val="24"/>
          <w:szCs w:val="24"/>
        </w:rPr>
        <w:t>18</w:t>
      </w:r>
      <w:r>
        <w:rPr>
          <w:rFonts w:hint="eastAsia"/>
          <w:bCs/>
          <w:sz w:val="24"/>
          <w:szCs w:val="24"/>
        </w:rPr>
        <w:t>m</w:t>
      </w:r>
      <w:r>
        <w:rPr>
          <w:rFonts w:hint="eastAsia"/>
          <w:bCs/>
          <w:sz w:val="24"/>
          <w:szCs w:val="24"/>
        </w:rPr>
        <w:t>高排气筒排放；原料、中间产品、最终产品以及尾砂均堆存在封闭厂房内，同时设有喷淋装置，从源头减少颗粒物的产生。</w:t>
      </w:r>
    </w:p>
    <w:p w:rsidR="00DB7CC8" w:rsidRDefault="002B5250">
      <w:pPr>
        <w:ind w:firstLine="480"/>
        <w:jc w:val="both"/>
        <w:rPr>
          <w:bCs/>
          <w:sz w:val="24"/>
          <w:szCs w:val="24"/>
        </w:rPr>
      </w:pPr>
      <w:r>
        <w:rPr>
          <w:rFonts w:hint="eastAsia"/>
          <w:bCs/>
          <w:sz w:val="24"/>
          <w:szCs w:val="24"/>
        </w:rPr>
        <w:t>(3)</w:t>
      </w:r>
      <w:r>
        <w:rPr>
          <w:rFonts w:hint="eastAsia"/>
          <w:bCs/>
          <w:sz w:val="24"/>
          <w:szCs w:val="24"/>
        </w:rPr>
        <w:t>过程控制措施</w:t>
      </w:r>
    </w:p>
    <w:p w:rsidR="00DB7CC8" w:rsidRDefault="002B5250">
      <w:pPr>
        <w:ind w:firstLine="480"/>
        <w:jc w:val="both"/>
        <w:rPr>
          <w:bCs/>
          <w:sz w:val="24"/>
          <w:szCs w:val="24"/>
        </w:rPr>
      </w:pPr>
      <w:r>
        <w:rPr>
          <w:rFonts w:hint="eastAsia"/>
          <w:bCs/>
          <w:sz w:val="24"/>
          <w:szCs w:val="24"/>
        </w:rPr>
        <w:t>本项目已将危废间、浓密池等区域采取相应的防渗措施，有效控制污染物的跑、冒、滴、漏，将污染物泄漏至土壤中的环境风险事故降至最低限度。</w:t>
      </w:r>
    </w:p>
    <w:p w:rsidR="00DB7CC8" w:rsidRDefault="002B5250">
      <w:pPr>
        <w:ind w:firstLine="480"/>
        <w:jc w:val="both"/>
        <w:rPr>
          <w:bCs/>
          <w:sz w:val="24"/>
          <w:szCs w:val="24"/>
        </w:rPr>
      </w:pPr>
      <w:r>
        <w:rPr>
          <w:rFonts w:hint="eastAsia"/>
          <w:bCs/>
          <w:sz w:val="24"/>
          <w:szCs w:val="24"/>
        </w:rPr>
        <w:t>项目在项目占地区充分利用道路两侧、地下管道通廊上方以及零散地块种植草皮、灌木等绿化措施，吸附大气沉降至土壤中的污染物，减轻对土壤环境的影响。</w:t>
      </w:r>
    </w:p>
    <w:p w:rsidR="00DB7CC8" w:rsidRDefault="002B5250">
      <w:pPr>
        <w:pStyle w:val="4"/>
        <w:numPr>
          <w:ilvl w:val="3"/>
          <w:numId w:val="1"/>
        </w:numPr>
        <w:ind w:left="709" w:hanging="709"/>
        <w:rPr>
          <w:rFonts w:eastAsia="宋体"/>
          <w:b/>
        </w:rPr>
      </w:pPr>
      <w:r>
        <w:rPr>
          <w:rFonts w:eastAsia="宋体" w:hint="eastAsia"/>
          <w:b/>
        </w:rPr>
        <w:lastRenderedPageBreak/>
        <w:t>评价结论</w:t>
      </w:r>
    </w:p>
    <w:p w:rsidR="00DB7CC8" w:rsidRDefault="002B5250">
      <w:pPr>
        <w:ind w:firstLine="480"/>
        <w:jc w:val="both"/>
        <w:rPr>
          <w:bCs/>
          <w:sz w:val="24"/>
          <w:szCs w:val="24"/>
        </w:rPr>
      </w:pPr>
      <w:r>
        <w:rPr>
          <w:rFonts w:hint="eastAsia"/>
          <w:bCs/>
          <w:sz w:val="24"/>
          <w:szCs w:val="24"/>
        </w:rPr>
        <w:t>(1)</w:t>
      </w:r>
      <w:r>
        <w:rPr>
          <w:rFonts w:hint="eastAsia"/>
          <w:bCs/>
          <w:sz w:val="24"/>
          <w:szCs w:val="24"/>
        </w:rPr>
        <w:t>土壤环境现状</w:t>
      </w:r>
    </w:p>
    <w:p w:rsidR="00DB7CC8" w:rsidRDefault="002B5250">
      <w:pPr>
        <w:ind w:firstLine="480"/>
        <w:jc w:val="both"/>
        <w:rPr>
          <w:bCs/>
          <w:sz w:val="24"/>
          <w:szCs w:val="24"/>
        </w:rPr>
      </w:pPr>
      <w:r>
        <w:rPr>
          <w:rFonts w:hint="eastAsia"/>
          <w:bCs/>
          <w:sz w:val="24"/>
          <w:szCs w:val="24"/>
        </w:rPr>
        <w:t>土壤现状调查评价区内的建设用地采样区监测点监</w:t>
      </w:r>
      <w:r>
        <w:rPr>
          <w:rFonts w:hint="eastAsia"/>
          <w:bCs/>
          <w:sz w:val="24"/>
          <w:szCs w:val="24"/>
        </w:rPr>
        <w:t>测值均小于《土壤环境质量</w:t>
      </w:r>
      <w:r>
        <w:rPr>
          <w:rFonts w:hint="eastAsia"/>
          <w:bCs/>
          <w:sz w:val="24"/>
          <w:szCs w:val="24"/>
        </w:rPr>
        <w:t xml:space="preserve"> </w:t>
      </w:r>
      <w:r>
        <w:rPr>
          <w:rFonts w:hint="eastAsia"/>
          <w:bCs/>
          <w:sz w:val="24"/>
          <w:szCs w:val="24"/>
        </w:rPr>
        <w:t>建设用地土壤污染风险管控标准（试行）》</w:t>
      </w:r>
      <w:r>
        <w:rPr>
          <w:rFonts w:hint="eastAsia"/>
          <w:bCs/>
          <w:sz w:val="24"/>
          <w:szCs w:val="24"/>
        </w:rPr>
        <w:t>(GB36600-2018)</w:t>
      </w:r>
      <w:r>
        <w:rPr>
          <w:rFonts w:hint="eastAsia"/>
          <w:bCs/>
          <w:sz w:val="24"/>
          <w:szCs w:val="24"/>
        </w:rPr>
        <w:t>中筛选值。</w:t>
      </w:r>
    </w:p>
    <w:p w:rsidR="00DB7CC8" w:rsidRDefault="002B5250">
      <w:pPr>
        <w:ind w:firstLine="480"/>
        <w:jc w:val="both"/>
        <w:rPr>
          <w:bCs/>
          <w:sz w:val="24"/>
          <w:szCs w:val="24"/>
        </w:rPr>
      </w:pPr>
      <w:r>
        <w:rPr>
          <w:rFonts w:hint="eastAsia"/>
          <w:bCs/>
          <w:sz w:val="24"/>
          <w:szCs w:val="24"/>
        </w:rPr>
        <w:t>(2)</w:t>
      </w:r>
      <w:r>
        <w:rPr>
          <w:rFonts w:hint="eastAsia"/>
          <w:bCs/>
          <w:sz w:val="24"/>
          <w:szCs w:val="24"/>
        </w:rPr>
        <w:t>土壤环境影响</w:t>
      </w:r>
    </w:p>
    <w:p w:rsidR="00DB7CC8" w:rsidRDefault="002B5250">
      <w:pPr>
        <w:ind w:firstLine="480"/>
        <w:jc w:val="both"/>
        <w:rPr>
          <w:bCs/>
          <w:sz w:val="24"/>
          <w:szCs w:val="24"/>
        </w:rPr>
      </w:pPr>
      <w:r>
        <w:rPr>
          <w:rFonts w:hint="eastAsia"/>
          <w:bCs/>
          <w:sz w:val="24"/>
          <w:szCs w:val="24"/>
        </w:rPr>
        <w:t>本次土壤环境影响评价等级为三级，采用定性描述的方法进行预测与评价。本项目排放污染物粉尘中无重金属颗粒，不会有重金属污染物沉降至厂址四周地表，随雨水及农灌水渗入地下，污染土壤。</w:t>
      </w:r>
    </w:p>
    <w:p w:rsidR="00DB7CC8" w:rsidRDefault="002B5250">
      <w:pPr>
        <w:ind w:firstLine="480"/>
        <w:jc w:val="both"/>
        <w:rPr>
          <w:bCs/>
          <w:sz w:val="24"/>
          <w:szCs w:val="24"/>
        </w:rPr>
      </w:pPr>
      <w:r>
        <w:rPr>
          <w:rFonts w:hint="eastAsia"/>
          <w:bCs/>
          <w:sz w:val="24"/>
          <w:szCs w:val="24"/>
        </w:rPr>
        <w:t>(3)</w:t>
      </w:r>
      <w:r>
        <w:rPr>
          <w:rFonts w:hint="eastAsia"/>
          <w:bCs/>
          <w:sz w:val="24"/>
          <w:szCs w:val="24"/>
        </w:rPr>
        <w:t>土壤环境污染防控措施</w:t>
      </w:r>
    </w:p>
    <w:p w:rsidR="00DB7CC8" w:rsidRDefault="002B5250">
      <w:pPr>
        <w:ind w:firstLine="480"/>
        <w:jc w:val="both"/>
        <w:rPr>
          <w:bCs/>
          <w:sz w:val="24"/>
          <w:szCs w:val="24"/>
        </w:rPr>
      </w:pPr>
      <w:r>
        <w:rPr>
          <w:rFonts w:hint="eastAsia"/>
          <w:bCs/>
          <w:sz w:val="24"/>
          <w:szCs w:val="24"/>
        </w:rPr>
        <w:t>本项目采取了源头控制措施和分区防控措施，从源头上减少了污染物的排放量，同时通过采取严格的防渗措施，切断了垂向入渗进入土壤的途径。</w:t>
      </w:r>
    </w:p>
    <w:p w:rsidR="00DB7CC8" w:rsidRDefault="002B5250">
      <w:pPr>
        <w:ind w:firstLine="480"/>
        <w:jc w:val="both"/>
        <w:rPr>
          <w:bCs/>
          <w:sz w:val="24"/>
          <w:szCs w:val="24"/>
        </w:rPr>
      </w:pPr>
      <w:r>
        <w:rPr>
          <w:rFonts w:hint="eastAsia"/>
          <w:bCs/>
          <w:sz w:val="24"/>
          <w:szCs w:val="24"/>
        </w:rPr>
        <w:t>综合以上分析，本项目对土壤环境的影响可以接受，从土壤环境影响的角度分析，项目的建设是可行的。</w:t>
      </w:r>
    </w:p>
    <w:p w:rsidR="00DB7CC8" w:rsidRDefault="002B5250">
      <w:pPr>
        <w:pStyle w:val="a9"/>
        <w:rPr>
          <w:rFonts w:ascii="Times New Roman" w:eastAsia="黑体" w:hAnsi="Times New Roman" w:cs="Times New Roman"/>
          <w:b w:val="0"/>
          <w:bCs/>
          <w:snapToGrid/>
          <w:kern w:val="2"/>
          <w:sz w:val="21"/>
          <w:szCs w:val="21"/>
        </w:rPr>
      </w:pPr>
      <w:r>
        <w:rPr>
          <w:rFonts w:ascii="Times New Roman" w:eastAsia="黑体" w:hAnsi="Times New Roman" w:cs="Times New Roman" w:hint="eastAsia"/>
          <w:b w:val="0"/>
          <w:bCs/>
          <w:snapToGrid/>
          <w:kern w:val="2"/>
          <w:sz w:val="21"/>
          <w:szCs w:val="21"/>
        </w:rPr>
        <w:t>表</w:t>
      </w:r>
      <w:r>
        <w:rPr>
          <w:rFonts w:ascii="Times New Roman" w:eastAsia="黑体" w:hAnsi="Times New Roman" w:cs="Times New Roman" w:hint="eastAsia"/>
          <w:b w:val="0"/>
          <w:bCs/>
          <w:snapToGrid/>
          <w:kern w:val="2"/>
          <w:sz w:val="21"/>
          <w:szCs w:val="21"/>
        </w:rPr>
        <w:t xml:space="preserve">5.2-39     </w:t>
      </w:r>
      <w:r>
        <w:rPr>
          <w:rFonts w:ascii="Times New Roman" w:eastAsia="黑体" w:hAnsi="Times New Roman" w:cs="Times New Roman" w:hint="eastAsia"/>
          <w:b w:val="0"/>
          <w:bCs/>
          <w:snapToGrid/>
          <w:kern w:val="2"/>
          <w:sz w:val="21"/>
          <w:szCs w:val="21"/>
        </w:rPr>
        <w:t>土壤环境影响评价自查表</w:t>
      </w:r>
    </w:p>
    <w:tbl>
      <w:tblPr>
        <w:tblW w:w="85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4"/>
        <w:gridCol w:w="1851"/>
        <w:gridCol w:w="1698"/>
        <w:gridCol w:w="487"/>
        <w:gridCol w:w="617"/>
        <w:gridCol w:w="617"/>
        <w:gridCol w:w="1096"/>
        <w:gridCol w:w="976"/>
        <w:gridCol w:w="699"/>
      </w:tblGrid>
      <w:tr w:rsidR="00DB7CC8">
        <w:tc>
          <w:tcPr>
            <w:tcW w:w="2325" w:type="dxa"/>
            <w:gridSpan w:val="2"/>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工作内容</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完成情况</w:t>
            </w:r>
          </w:p>
        </w:tc>
        <w:tc>
          <w:tcPr>
            <w:tcW w:w="699"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备注</w:t>
            </w:r>
          </w:p>
        </w:tc>
      </w:tr>
      <w:tr w:rsidR="00DB7CC8">
        <w:tc>
          <w:tcPr>
            <w:tcW w:w="474" w:type="dxa"/>
            <w:vMerge w:val="restart"/>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影响识别</w:t>
            </w: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影响类型</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污染影响型</w:t>
            </w:r>
            <w:r>
              <w:rPr>
                <w:sz w:val="20"/>
                <w:szCs w:val="20"/>
              </w:rPr>
              <w:t>√</w:t>
            </w:r>
            <w:r>
              <w:rPr>
                <w:sz w:val="20"/>
                <w:szCs w:val="20"/>
              </w:rPr>
              <w:t>；生态影响型</w:t>
            </w:r>
            <w:r>
              <w:rPr>
                <w:sz w:val="20"/>
                <w:szCs w:val="20"/>
              </w:rPr>
              <w:t>□</w:t>
            </w:r>
            <w:r>
              <w:rPr>
                <w:sz w:val="20"/>
                <w:szCs w:val="20"/>
              </w:rPr>
              <w:t>；两种兼有</w:t>
            </w:r>
            <w:r>
              <w:rPr>
                <w:sz w:val="20"/>
                <w:szCs w:val="20"/>
              </w:rPr>
              <w:t>□</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土地利用类型</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建设用地</w:t>
            </w:r>
            <w:r>
              <w:rPr>
                <w:sz w:val="20"/>
                <w:szCs w:val="20"/>
              </w:rPr>
              <w:t>√</w:t>
            </w:r>
            <w:r>
              <w:rPr>
                <w:sz w:val="20"/>
                <w:szCs w:val="20"/>
              </w:rPr>
              <w:t>；农用地</w:t>
            </w:r>
            <w:r>
              <w:rPr>
                <w:sz w:val="20"/>
                <w:szCs w:val="20"/>
              </w:rPr>
              <w:t>□</w:t>
            </w:r>
            <w:r>
              <w:rPr>
                <w:sz w:val="20"/>
                <w:szCs w:val="20"/>
              </w:rPr>
              <w:t>；未利用地</w:t>
            </w:r>
            <w:r>
              <w:rPr>
                <w:sz w:val="20"/>
                <w:szCs w:val="20"/>
              </w:rPr>
              <w:t>□</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占地规模</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w:t>
            </w:r>
            <w:r>
              <w:rPr>
                <w:sz w:val="20"/>
                <w:szCs w:val="20"/>
              </w:rPr>
              <w:t>0.66</w:t>
            </w:r>
            <w:r>
              <w:rPr>
                <w:sz w:val="20"/>
                <w:szCs w:val="20"/>
              </w:rPr>
              <w:t>）</w:t>
            </w:r>
            <w:r>
              <w:rPr>
                <w:sz w:val="20"/>
                <w:szCs w:val="20"/>
              </w:rPr>
              <w:t>h</w:t>
            </w:r>
            <w:r>
              <w:rPr>
                <w:sz w:val="20"/>
                <w:szCs w:val="20"/>
              </w:rPr>
              <w:t>㎡</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敏感目标信息</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敏感目标（耕地、林地）、方位（四周）、距离（</w:t>
            </w:r>
            <w:r>
              <w:rPr>
                <w:sz w:val="20"/>
                <w:szCs w:val="20"/>
              </w:rPr>
              <w:t>50m</w:t>
            </w:r>
            <w:r>
              <w:rPr>
                <w:sz w:val="20"/>
                <w:szCs w:val="20"/>
              </w:rPr>
              <w:t>内）</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影响途径</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大气沉降</w:t>
            </w:r>
            <w:r>
              <w:rPr>
                <w:sz w:val="20"/>
                <w:szCs w:val="20"/>
              </w:rPr>
              <w:t>√</w:t>
            </w:r>
            <w:r>
              <w:rPr>
                <w:sz w:val="20"/>
                <w:szCs w:val="20"/>
              </w:rPr>
              <w:t>；地面漫流</w:t>
            </w:r>
            <w:r>
              <w:rPr>
                <w:sz w:val="20"/>
                <w:szCs w:val="20"/>
              </w:rPr>
              <w:t>□</w:t>
            </w:r>
            <w:r>
              <w:rPr>
                <w:sz w:val="20"/>
                <w:szCs w:val="20"/>
              </w:rPr>
              <w:t>；垂直入渗</w:t>
            </w:r>
            <w:r>
              <w:rPr>
                <w:sz w:val="20"/>
                <w:szCs w:val="20"/>
              </w:rPr>
              <w:t>√</w:t>
            </w:r>
            <w:r>
              <w:rPr>
                <w:sz w:val="20"/>
                <w:szCs w:val="20"/>
              </w:rPr>
              <w:t>；地下水位</w:t>
            </w:r>
            <w:r>
              <w:rPr>
                <w:sz w:val="20"/>
                <w:szCs w:val="20"/>
              </w:rPr>
              <w:t>□</w:t>
            </w:r>
            <w:r>
              <w:rPr>
                <w:sz w:val="20"/>
                <w:szCs w:val="20"/>
              </w:rPr>
              <w:t>；其他（</w:t>
            </w:r>
            <w:r>
              <w:rPr>
                <w:sz w:val="20"/>
                <w:szCs w:val="20"/>
              </w:rPr>
              <w:t xml:space="preserve"> </w:t>
            </w:r>
            <w:r>
              <w:rPr>
                <w:sz w:val="20"/>
                <w:szCs w:val="20"/>
              </w:rPr>
              <w:t>）</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全部污染物</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颗粒物、铁</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特征因子</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所属土壤环境影响评价项目类别</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Ⅰ</w:t>
            </w:r>
            <w:r>
              <w:rPr>
                <w:sz w:val="20"/>
                <w:szCs w:val="20"/>
              </w:rPr>
              <w:t>类</w:t>
            </w:r>
            <w:r>
              <w:rPr>
                <w:sz w:val="20"/>
                <w:szCs w:val="20"/>
              </w:rPr>
              <w:t>□</w:t>
            </w:r>
            <w:r>
              <w:rPr>
                <w:sz w:val="20"/>
                <w:szCs w:val="20"/>
              </w:rPr>
              <w:t>；</w:t>
            </w:r>
            <w:r>
              <w:rPr>
                <w:sz w:val="20"/>
                <w:szCs w:val="20"/>
              </w:rPr>
              <w:t>Ⅱ</w:t>
            </w:r>
            <w:r>
              <w:rPr>
                <w:sz w:val="20"/>
                <w:szCs w:val="20"/>
              </w:rPr>
              <w:t>类</w:t>
            </w:r>
            <w:r>
              <w:rPr>
                <w:sz w:val="20"/>
                <w:szCs w:val="20"/>
              </w:rPr>
              <w:t>□</w:t>
            </w:r>
            <w:r>
              <w:rPr>
                <w:sz w:val="20"/>
                <w:szCs w:val="20"/>
              </w:rPr>
              <w:t>；</w:t>
            </w:r>
            <w:r>
              <w:rPr>
                <w:sz w:val="20"/>
                <w:szCs w:val="20"/>
              </w:rPr>
              <w:t>Ⅲ</w:t>
            </w:r>
            <w:r>
              <w:rPr>
                <w:sz w:val="20"/>
                <w:szCs w:val="20"/>
              </w:rPr>
              <w:t>类</w:t>
            </w:r>
            <w:r>
              <w:rPr>
                <w:sz w:val="20"/>
                <w:szCs w:val="20"/>
              </w:rPr>
              <w:t>√</w:t>
            </w:r>
            <w:r>
              <w:rPr>
                <w:sz w:val="20"/>
                <w:szCs w:val="20"/>
              </w:rPr>
              <w:t>；</w:t>
            </w:r>
            <w:r>
              <w:rPr>
                <w:sz w:val="20"/>
                <w:szCs w:val="20"/>
              </w:rPr>
              <w:t>Ⅳ</w:t>
            </w:r>
            <w:r>
              <w:rPr>
                <w:sz w:val="20"/>
                <w:szCs w:val="20"/>
              </w:rPr>
              <w:t>类</w:t>
            </w:r>
            <w:r>
              <w:rPr>
                <w:sz w:val="20"/>
                <w:szCs w:val="20"/>
              </w:rPr>
              <w:t>□</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敏感程度</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敏感</w:t>
            </w:r>
            <w:r>
              <w:rPr>
                <w:sz w:val="20"/>
                <w:szCs w:val="20"/>
              </w:rPr>
              <w:t>√</w:t>
            </w:r>
            <w:r>
              <w:rPr>
                <w:sz w:val="20"/>
                <w:szCs w:val="20"/>
              </w:rPr>
              <w:t>；较敏感</w:t>
            </w:r>
            <w:r>
              <w:rPr>
                <w:sz w:val="20"/>
                <w:szCs w:val="20"/>
              </w:rPr>
              <w:t>□</w:t>
            </w:r>
            <w:r>
              <w:rPr>
                <w:sz w:val="20"/>
                <w:szCs w:val="20"/>
              </w:rPr>
              <w:t>；不敏感</w:t>
            </w:r>
            <w:r>
              <w:rPr>
                <w:sz w:val="20"/>
                <w:szCs w:val="20"/>
              </w:rPr>
              <w:t>□</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2325" w:type="dxa"/>
            <w:gridSpan w:val="2"/>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评价工作等级</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一级</w:t>
            </w:r>
            <w:r>
              <w:rPr>
                <w:sz w:val="20"/>
                <w:szCs w:val="20"/>
              </w:rPr>
              <w:t>□</w:t>
            </w:r>
            <w:r>
              <w:rPr>
                <w:sz w:val="20"/>
                <w:szCs w:val="20"/>
              </w:rPr>
              <w:t>；二级</w:t>
            </w:r>
            <w:r>
              <w:rPr>
                <w:sz w:val="20"/>
                <w:szCs w:val="20"/>
              </w:rPr>
              <w:t>□</w:t>
            </w:r>
            <w:r>
              <w:rPr>
                <w:sz w:val="20"/>
                <w:szCs w:val="20"/>
              </w:rPr>
              <w:t>；三级</w:t>
            </w:r>
            <w:r>
              <w:rPr>
                <w:sz w:val="20"/>
                <w:szCs w:val="20"/>
              </w:rPr>
              <w:t>√</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val="restart"/>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现</w:t>
            </w:r>
          </w:p>
          <w:p w:rsidR="00DB7CC8" w:rsidRDefault="002B5250">
            <w:pPr>
              <w:pStyle w:val="afffffffc"/>
              <w:spacing w:line="240" w:lineRule="auto"/>
              <w:rPr>
                <w:sz w:val="20"/>
                <w:szCs w:val="20"/>
              </w:rPr>
            </w:pPr>
            <w:r>
              <w:rPr>
                <w:sz w:val="20"/>
                <w:szCs w:val="20"/>
              </w:rPr>
              <w:t>状</w:t>
            </w:r>
          </w:p>
          <w:p w:rsidR="00DB7CC8" w:rsidRDefault="002B5250">
            <w:pPr>
              <w:pStyle w:val="afffffffc"/>
              <w:spacing w:line="240" w:lineRule="auto"/>
              <w:rPr>
                <w:sz w:val="20"/>
                <w:szCs w:val="20"/>
              </w:rPr>
            </w:pPr>
            <w:r>
              <w:rPr>
                <w:sz w:val="20"/>
                <w:szCs w:val="20"/>
              </w:rPr>
              <w:t>调</w:t>
            </w:r>
          </w:p>
          <w:p w:rsidR="00DB7CC8" w:rsidRDefault="002B5250">
            <w:pPr>
              <w:pStyle w:val="afffffffc"/>
              <w:spacing w:line="240" w:lineRule="auto"/>
              <w:rPr>
                <w:sz w:val="20"/>
                <w:szCs w:val="20"/>
              </w:rPr>
            </w:pPr>
            <w:r>
              <w:rPr>
                <w:sz w:val="20"/>
                <w:szCs w:val="20"/>
              </w:rPr>
              <w:t>查</w:t>
            </w:r>
          </w:p>
          <w:p w:rsidR="00DB7CC8" w:rsidRDefault="002B5250">
            <w:pPr>
              <w:pStyle w:val="afffffffc"/>
              <w:spacing w:line="240" w:lineRule="auto"/>
              <w:rPr>
                <w:sz w:val="20"/>
                <w:szCs w:val="20"/>
              </w:rPr>
            </w:pPr>
            <w:r>
              <w:rPr>
                <w:sz w:val="20"/>
                <w:szCs w:val="20"/>
              </w:rPr>
              <w:t>内</w:t>
            </w:r>
          </w:p>
          <w:p w:rsidR="00DB7CC8" w:rsidRDefault="002B5250">
            <w:pPr>
              <w:pStyle w:val="afffffffc"/>
              <w:spacing w:line="240" w:lineRule="auto"/>
              <w:rPr>
                <w:sz w:val="20"/>
                <w:szCs w:val="20"/>
              </w:rPr>
            </w:pPr>
            <w:r>
              <w:rPr>
                <w:sz w:val="20"/>
                <w:szCs w:val="20"/>
              </w:rPr>
              <w:t>容</w:t>
            </w:r>
          </w:p>
          <w:p w:rsidR="00DB7CC8" w:rsidRDefault="002B5250">
            <w:pPr>
              <w:pStyle w:val="afffffffc"/>
              <w:spacing w:line="240" w:lineRule="auto"/>
              <w:rPr>
                <w:sz w:val="20"/>
                <w:szCs w:val="20"/>
              </w:rPr>
            </w:pPr>
            <w:r>
              <w:rPr>
                <w:sz w:val="20"/>
                <w:szCs w:val="20"/>
              </w:rPr>
              <w:t>.</w:t>
            </w: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资料收集</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a</w:t>
            </w:r>
            <w:r>
              <w:rPr>
                <w:sz w:val="20"/>
                <w:szCs w:val="20"/>
              </w:rPr>
              <w:t>）</w:t>
            </w:r>
            <w:r>
              <w:rPr>
                <w:sz w:val="20"/>
                <w:szCs w:val="20"/>
              </w:rPr>
              <w:t>□</w:t>
            </w:r>
            <w:r>
              <w:rPr>
                <w:sz w:val="20"/>
                <w:szCs w:val="20"/>
              </w:rPr>
              <w:t>；</w:t>
            </w:r>
            <w:r>
              <w:rPr>
                <w:sz w:val="20"/>
                <w:szCs w:val="20"/>
              </w:rPr>
              <w:t>b</w:t>
            </w:r>
            <w:r>
              <w:rPr>
                <w:sz w:val="20"/>
                <w:szCs w:val="20"/>
              </w:rPr>
              <w:t>）</w:t>
            </w:r>
            <w:r>
              <w:rPr>
                <w:sz w:val="20"/>
                <w:szCs w:val="20"/>
              </w:rPr>
              <w:t>√</w:t>
            </w:r>
            <w:r>
              <w:rPr>
                <w:sz w:val="20"/>
                <w:szCs w:val="20"/>
              </w:rPr>
              <w:t>；</w:t>
            </w:r>
            <w:r>
              <w:rPr>
                <w:sz w:val="20"/>
                <w:szCs w:val="20"/>
              </w:rPr>
              <w:t>c</w:t>
            </w:r>
            <w:r>
              <w:rPr>
                <w:sz w:val="20"/>
                <w:szCs w:val="20"/>
              </w:rPr>
              <w:t>）</w:t>
            </w:r>
            <w:r>
              <w:rPr>
                <w:sz w:val="20"/>
                <w:szCs w:val="20"/>
              </w:rPr>
              <w:t>√</w:t>
            </w:r>
            <w:r>
              <w:rPr>
                <w:sz w:val="20"/>
                <w:szCs w:val="20"/>
              </w:rPr>
              <w:t>；</w:t>
            </w:r>
            <w:r>
              <w:rPr>
                <w:sz w:val="20"/>
                <w:szCs w:val="20"/>
              </w:rPr>
              <w:t>d</w:t>
            </w:r>
            <w:r>
              <w:rPr>
                <w:sz w:val="20"/>
                <w:szCs w:val="20"/>
              </w:rPr>
              <w:t>）</w:t>
            </w:r>
            <w:r>
              <w:rPr>
                <w:sz w:val="20"/>
                <w:szCs w:val="20"/>
              </w:rPr>
              <w:t>□</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理化特性</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见环境质量现状监测报告（附件</w:t>
            </w:r>
            <w:r>
              <w:rPr>
                <w:sz w:val="20"/>
                <w:szCs w:val="20"/>
              </w:rPr>
              <w:t>6</w:t>
            </w:r>
            <w:r>
              <w:rPr>
                <w:sz w:val="20"/>
                <w:szCs w:val="20"/>
              </w:rPr>
              <w:t>）</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vMerge w:val="restart"/>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现状监测点位</w:t>
            </w:r>
          </w:p>
        </w:tc>
        <w:tc>
          <w:tcPr>
            <w:tcW w:w="2185" w:type="dxa"/>
            <w:gridSpan w:val="2"/>
            <w:shd w:val="clear" w:color="auto" w:fill="auto"/>
            <w:tcMar>
              <w:left w:w="0" w:type="dxa"/>
              <w:right w:w="0" w:type="dxa"/>
            </w:tcMar>
            <w:vAlign w:val="center"/>
          </w:tcPr>
          <w:p w:rsidR="00DB7CC8" w:rsidRDefault="00DB7CC8">
            <w:pPr>
              <w:pStyle w:val="afffffffc"/>
              <w:spacing w:line="240" w:lineRule="auto"/>
              <w:rPr>
                <w:sz w:val="20"/>
                <w:szCs w:val="20"/>
              </w:rPr>
            </w:pPr>
          </w:p>
        </w:tc>
        <w:tc>
          <w:tcPr>
            <w:tcW w:w="1234" w:type="dxa"/>
            <w:gridSpan w:val="2"/>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占地范围内</w:t>
            </w:r>
          </w:p>
        </w:tc>
        <w:tc>
          <w:tcPr>
            <w:tcW w:w="1096"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占地范围外</w:t>
            </w:r>
          </w:p>
        </w:tc>
        <w:tc>
          <w:tcPr>
            <w:tcW w:w="976"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深度</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2185" w:type="dxa"/>
            <w:gridSpan w:val="2"/>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表层样点数</w:t>
            </w:r>
          </w:p>
        </w:tc>
        <w:tc>
          <w:tcPr>
            <w:tcW w:w="1234" w:type="dxa"/>
            <w:gridSpan w:val="2"/>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3</w:t>
            </w:r>
          </w:p>
        </w:tc>
        <w:tc>
          <w:tcPr>
            <w:tcW w:w="1096"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w:t>
            </w:r>
          </w:p>
        </w:tc>
        <w:tc>
          <w:tcPr>
            <w:tcW w:w="976"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0-0.2m</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2185" w:type="dxa"/>
            <w:gridSpan w:val="2"/>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柱状样点数</w:t>
            </w:r>
          </w:p>
        </w:tc>
        <w:tc>
          <w:tcPr>
            <w:tcW w:w="1234" w:type="dxa"/>
            <w:gridSpan w:val="2"/>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w:t>
            </w:r>
          </w:p>
        </w:tc>
        <w:tc>
          <w:tcPr>
            <w:tcW w:w="1096"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w:t>
            </w:r>
          </w:p>
        </w:tc>
        <w:tc>
          <w:tcPr>
            <w:tcW w:w="976"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现状监测因子</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砷、镉、铬</w:t>
            </w:r>
            <w:r>
              <w:rPr>
                <w:sz w:val="20"/>
                <w:szCs w:val="20"/>
              </w:rPr>
              <w:t>(</w:t>
            </w:r>
            <w:r>
              <w:rPr>
                <w:sz w:val="20"/>
                <w:szCs w:val="20"/>
              </w:rPr>
              <w:t>六价</w:t>
            </w:r>
            <w:r>
              <w:rPr>
                <w:sz w:val="20"/>
                <w:szCs w:val="20"/>
              </w:rPr>
              <w:t>)</w:t>
            </w:r>
            <w:r>
              <w:rPr>
                <w:sz w:val="20"/>
                <w:szCs w:val="20"/>
              </w:rPr>
              <w:t>、铜、铅、汞、镍、四氯化碳、氯仿、氯甲烷、</w:t>
            </w:r>
            <w:r>
              <w:rPr>
                <w:sz w:val="20"/>
                <w:szCs w:val="20"/>
              </w:rPr>
              <w:t>1,1-</w:t>
            </w:r>
            <w:r>
              <w:rPr>
                <w:sz w:val="20"/>
                <w:szCs w:val="20"/>
              </w:rPr>
              <w:t>二氯乙烷、</w:t>
            </w:r>
            <w:r>
              <w:rPr>
                <w:sz w:val="20"/>
                <w:szCs w:val="20"/>
              </w:rPr>
              <w:t>1,2-</w:t>
            </w:r>
            <w:r>
              <w:rPr>
                <w:sz w:val="20"/>
                <w:szCs w:val="20"/>
              </w:rPr>
              <w:t>二氯乙烷、</w:t>
            </w:r>
            <w:r>
              <w:rPr>
                <w:sz w:val="20"/>
                <w:szCs w:val="20"/>
              </w:rPr>
              <w:t>1,1-</w:t>
            </w:r>
            <w:r>
              <w:rPr>
                <w:sz w:val="20"/>
                <w:szCs w:val="20"/>
              </w:rPr>
              <w:t>二氯乙烯、顺</w:t>
            </w:r>
            <w:r>
              <w:rPr>
                <w:sz w:val="20"/>
                <w:szCs w:val="20"/>
              </w:rPr>
              <w:t>1,2-</w:t>
            </w:r>
            <w:r>
              <w:rPr>
                <w:sz w:val="20"/>
                <w:szCs w:val="20"/>
              </w:rPr>
              <w:t>二氯乙烯、反</w:t>
            </w:r>
            <w:r>
              <w:rPr>
                <w:sz w:val="20"/>
                <w:szCs w:val="20"/>
              </w:rPr>
              <w:t>1,2-</w:t>
            </w:r>
            <w:r>
              <w:rPr>
                <w:sz w:val="20"/>
                <w:szCs w:val="20"/>
              </w:rPr>
              <w:t>二氯乙烯、二氯甲烷、</w:t>
            </w:r>
            <w:r>
              <w:rPr>
                <w:sz w:val="20"/>
                <w:szCs w:val="20"/>
              </w:rPr>
              <w:t>1,2-</w:t>
            </w:r>
            <w:r>
              <w:rPr>
                <w:sz w:val="20"/>
                <w:szCs w:val="20"/>
              </w:rPr>
              <w:t>二氯丙烷、</w:t>
            </w:r>
            <w:r>
              <w:rPr>
                <w:sz w:val="20"/>
                <w:szCs w:val="20"/>
              </w:rPr>
              <w:t>1,1,1,2-</w:t>
            </w:r>
            <w:r>
              <w:rPr>
                <w:sz w:val="20"/>
                <w:szCs w:val="20"/>
              </w:rPr>
              <w:t>四氯乙烷、</w:t>
            </w:r>
            <w:r>
              <w:rPr>
                <w:sz w:val="20"/>
                <w:szCs w:val="20"/>
              </w:rPr>
              <w:t>1,1,2,2-</w:t>
            </w:r>
            <w:r>
              <w:rPr>
                <w:sz w:val="20"/>
                <w:szCs w:val="20"/>
              </w:rPr>
              <w:t>四氯乙烷、四氯乙烯、</w:t>
            </w:r>
            <w:r>
              <w:rPr>
                <w:sz w:val="20"/>
                <w:szCs w:val="20"/>
              </w:rPr>
              <w:t>1,1,1-</w:t>
            </w:r>
            <w:r>
              <w:rPr>
                <w:sz w:val="20"/>
                <w:szCs w:val="20"/>
              </w:rPr>
              <w:t>三氯乙烷、</w:t>
            </w:r>
            <w:r>
              <w:rPr>
                <w:sz w:val="20"/>
                <w:szCs w:val="20"/>
              </w:rPr>
              <w:t>1,1,2-</w:t>
            </w:r>
            <w:r>
              <w:rPr>
                <w:sz w:val="20"/>
                <w:szCs w:val="20"/>
              </w:rPr>
              <w:t>三氯乙烷、三氯乙烯、</w:t>
            </w:r>
            <w:r>
              <w:rPr>
                <w:sz w:val="20"/>
                <w:szCs w:val="20"/>
              </w:rPr>
              <w:t>1,1,3-</w:t>
            </w:r>
            <w:r>
              <w:rPr>
                <w:sz w:val="20"/>
                <w:szCs w:val="20"/>
              </w:rPr>
              <w:t>三氯丙烷、氯乙烯、苯、氯苯、</w:t>
            </w:r>
            <w:r>
              <w:rPr>
                <w:sz w:val="20"/>
                <w:szCs w:val="20"/>
              </w:rPr>
              <w:t>1,2-</w:t>
            </w:r>
            <w:r>
              <w:rPr>
                <w:sz w:val="20"/>
                <w:szCs w:val="20"/>
              </w:rPr>
              <w:t>二氯苯、</w:t>
            </w:r>
            <w:r>
              <w:rPr>
                <w:sz w:val="20"/>
                <w:szCs w:val="20"/>
              </w:rPr>
              <w:t>1,4-</w:t>
            </w:r>
            <w:r>
              <w:rPr>
                <w:sz w:val="20"/>
                <w:szCs w:val="20"/>
              </w:rPr>
              <w:t>二氯苯、乙苯、苯乙烯、甲苯、间二甲苯</w:t>
            </w:r>
            <w:r>
              <w:rPr>
                <w:sz w:val="20"/>
                <w:szCs w:val="20"/>
              </w:rPr>
              <w:t>+</w:t>
            </w:r>
            <w:r>
              <w:rPr>
                <w:sz w:val="20"/>
                <w:szCs w:val="20"/>
              </w:rPr>
              <w:t>对二甲苯、邻二甲苯、硝基苯、苯胺、</w:t>
            </w:r>
            <w:r>
              <w:rPr>
                <w:sz w:val="20"/>
                <w:szCs w:val="20"/>
              </w:rPr>
              <w:t>2-</w:t>
            </w:r>
            <w:r>
              <w:rPr>
                <w:sz w:val="20"/>
                <w:szCs w:val="20"/>
              </w:rPr>
              <w:t>氯酚、苯并</w:t>
            </w:r>
            <w:r>
              <w:rPr>
                <w:sz w:val="20"/>
                <w:szCs w:val="20"/>
              </w:rPr>
              <w:t>[a]</w:t>
            </w:r>
            <w:r>
              <w:rPr>
                <w:sz w:val="20"/>
                <w:szCs w:val="20"/>
              </w:rPr>
              <w:t>蒽、苯并</w:t>
            </w:r>
            <w:r>
              <w:rPr>
                <w:sz w:val="20"/>
                <w:szCs w:val="20"/>
              </w:rPr>
              <w:t>[a]</w:t>
            </w:r>
            <w:r>
              <w:rPr>
                <w:sz w:val="20"/>
                <w:szCs w:val="20"/>
              </w:rPr>
              <w:t>芘、苯并</w:t>
            </w:r>
            <w:r>
              <w:rPr>
                <w:sz w:val="20"/>
                <w:szCs w:val="20"/>
              </w:rPr>
              <w:t>[b]</w:t>
            </w:r>
            <w:r>
              <w:rPr>
                <w:sz w:val="20"/>
                <w:szCs w:val="20"/>
              </w:rPr>
              <w:t>荧蒽、苯并</w:t>
            </w:r>
            <w:r>
              <w:rPr>
                <w:sz w:val="20"/>
                <w:szCs w:val="20"/>
              </w:rPr>
              <w:t>[k]</w:t>
            </w:r>
            <w:r>
              <w:rPr>
                <w:sz w:val="20"/>
                <w:szCs w:val="20"/>
              </w:rPr>
              <w:t>荧蒽、䓛、二苯</w:t>
            </w:r>
            <w:r>
              <w:rPr>
                <w:sz w:val="20"/>
                <w:szCs w:val="20"/>
              </w:rPr>
              <w:t>并</w:t>
            </w:r>
            <w:r>
              <w:rPr>
                <w:sz w:val="20"/>
                <w:szCs w:val="20"/>
              </w:rPr>
              <w:t>[a,h]</w:t>
            </w:r>
            <w:r>
              <w:rPr>
                <w:sz w:val="20"/>
                <w:szCs w:val="20"/>
              </w:rPr>
              <w:t>蒽、茚并</w:t>
            </w:r>
            <w:r>
              <w:rPr>
                <w:sz w:val="20"/>
                <w:szCs w:val="20"/>
              </w:rPr>
              <w:t>[1,2,3-cd]</w:t>
            </w:r>
            <w:r>
              <w:rPr>
                <w:sz w:val="20"/>
                <w:szCs w:val="20"/>
              </w:rPr>
              <w:t>芘、萘</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val="restart"/>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现</w:t>
            </w:r>
          </w:p>
          <w:p w:rsidR="00DB7CC8" w:rsidRDefault="002B5250">
            <w:pPr>
              <w:pStyle w:val="afffffffc"/>
              <w:spacing w:line="240" w:lineRule="auto"/>
              <w:rPr>
                <w:sz w:val="20"/>
                <w:szCs w:val="20"/>
              </w:rPr>
            </w:pPr>
            <w:r>
              <w:rPr>
                <w:sz w:val="20"/>
                <w:szCs w:val="20"/>
              </w:rPr>
              <w:t>状</w:t>
            </w:r>
          </w:p>
          <w:p w:rsidR="00DB7CC8" w:rsidRDefault="002B5250">
            <w:pPr>
              <w:pStyle w:val="afffffffc"/>
              <w:spacing w:line="240" w:lineRule="auto"/>
              <w:rPr>
                <w:sz w:val="20"/>
                <w:szCs w:val="20"/>
              </w:rPr>
            </w:pPr>
            <w:r>
              <w:rPr>
                <w:sz w:val="20"/>
                <w:szCs w:val="20"/>
              </w:rPr>
              <w:t>评</w:t>
            </w:r>
          </w:p>
          <w:p w:rsidR="00DB7CC8" w:rsidRDefault="002B5250">
            <w:pPr>
              <w:pStyle w:val="afffffffc"/>
              <w:spacing w:line="240" w:lineRule="auto"/>
              <w:rPr>
                <w:sz w:val="20"/>
                <w:szCs w:val="20"/>
              </w:rPr>
            </w:pPr>
            <w:r>
              <w:rPr>
                <w:sz w:val="20"/>
                <w:szCs w:val="20"/>
              </w:rPr>
              <w:t>价</w:t>
            </w:r>
          </w:p>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lastRenderedPageBreak/>
              <w:t>评价因子</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同现状监测因子</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评价标准</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GB 15618□</w:t>
            </w:r>
            <w:r>
              <w:rPr>
                <w:sz w:val="20"/>
                <w:szCs w:val="20"/>
              </w:rPr>
              <w:t>；</w:t>
            </w:r>
            <w:r>
              <w:rPr>
                <w:sz w:val="20"/>
                <w:szCs w:val="20"/>
              </w:rPr>
              <w:t>GB 36600√</w:t>
            </w:r>
            <w:r>
              <w:rPr>
                <w:sz w:val="20"/>
                <w:szCs w:val="20"/>
              </w:rPr>
              <w:t>；表</w:t>
            </w:r>
            <w:r>
              <w:rPr>
                <w:sz w:val="20"/>
                <w:szCs w:val="20"/>
              </w:rPr>
              <w:t>D.1□</w:t>
            </w:r>
            <w:r>
              <w:rPr>
                <w:sz w:val="20"/>
                <w:szCs w:val="20"/>
              </w:rPr>
              <w:t>；表</w:t>
            </w:r>
            <w:r>
              <w:rPr>
                <w:sz w:val="20"/>
                <w:szCs w:val="20"/>
              </w:rPr>
              <w:t xml:space="preserve"> D.2□</w:t>
            </w:r>
            <w:r>
              <w:rPr>
                <w:sz w:val="20"/>
                <w:szCs w:val="20"/>
              </w:rPr>
              <w:t>；其他（</w:t>
            </w:r>
            <w:r>
              <w:rPr>
                <w:sz w:val="20"/>
                <w:szCs w:val="20"/>
              </w:rPr>
              <w:t xml:space="preserve"> </w:t>
            </w:r>
            <w:r>
              <w:rPr>
                <w:sz w:val="20"/>
                <w:szCs w:val="20"/>
              </w:rPr>
              <w:t>）</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现状评价结论</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土壤污染风险可以忽略</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val="restart"/>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影</w:t>
            </w:r>
          </w:p>
          <w:p w:rsidR="00DB7CC8" w:rsidRDefault="002B5250">
            <w:pPr>
              <w:pStyle w:val="afffffffc"/>
              <w:spacing w:line="240" w:lineRule="auto"/>
              <w:rPr>
                <w:sz w:val="20"/>
                <w:szCs w:val="20"/>
              </w:rPr>
            </w:pPr>
            <w:r>
              <w:rPr>
                <w:sz w:val="20"/>
                <w:szCs w:val="20"/>
              </w:rPr>
              <w:t>响</w:t>
            </w:r>
          </w:p>
          <w:p w:rsidR="00DB7CC8" w:rsidRDefault="002B5250">
            <w:pPr>
              <w:pStyle w:val="afffffffc"/>
              <w:spacing w:line="240" w:lineRule="auto"/>
              <w:rPr>
                <w:sz w:val="20"/>
                <w:szCs w:val="20"/>
              </w:rPr>
            </w:pPr>
            <w:r>
              <w:rPr>
                <w:sz w:val="20"/>
                <w:szCs w:val="20"/>
              </w:rPr>
              <w:t>预</w:t>
            </w:r>
          </w:p>
          <w:p w:rsidR="00DB7CC8" w:rsidRDefault="002B5250">
            <w:pPr>
              <w:pStyle w:val="afffffffc"/>
              <w:spacing w:line="240" w:lineRule="auto"/>
              <w:rPr>
                <w:sz w:val="20"/>
                <w:szCs w:val="20"/>
              </w:rPr>
            </w:pPr>
            <w:r>
              <w:rPr>
                <w:sz w:val="20"/>
                <w:szCs w:val="20"/>
              </w:rPr>
              <w:t>测</w:t>
            </w: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预测因子</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颗粒物</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预测方法</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附录</w:t>
            </w:r>
            <w:r>
              <w:rPr>
                <w:sz w:val="20"/>
                <w:szCs w:val="20"/>
              </w:rPr>
              <w:t xml:space="preserve"> E□</w:t>
            </w:r>
            <w:r>
              <w:rPr>
                <w:sz w:val="20"/>
                <w:szCs w:val="20"/>
              </w:rPr>
              <w:t>；附录</w:t>
            </w:r>
            <w:r>
              <w:rPr>
                <w:sz w:val="20"/>
                <w:szCs w:val="20"/>
              </w:rPr>
              <w:t xml:space="preserve"> F□</w:t>
            </w:r>
            <w:r>
              <w:rPr>
                <w:sz w:val="20"/>
                <w:szCs w:val="20"/>
              </w:rPr>
              <w:t>；其他（定性描述）</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预测分析内容</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影响范围（以项目厂址为中心区域，自厂界外延</w:t>
            </w:r>
            <w:r>
              <w:rPr>
                <w:sz w:val="20"/>
                <w:szCs w:val="20"/>
              </w:rPr>
              <w:t>0.05km</w:t>
            </w:r>
            <w:r>
              <w:rPr>
                <w:sz w:val="20"/>
                <w:szCs w:val="20"/>
              </w:rPr>
              <w:t>）</w:t>
            </w:r>
          </w:p>
          <w:p w:rsidR="00DB7CC8" w:rsidRDefault="002B5250">
            <w:pPr>
              <w:pStyle w:val="afffffffc"/>
              <w:spacing w:line="240" w:lineRule="auto"/>
              <w:rPr>
                <w:sz w:val="20"/>
                <w:szCs w:val="20"/>
              </w:rPr>
            </w:pPr>
            <w:r>
              <w:rPr>
                <w:sz w:val="20"/>
                <w:szCs w:val="20"/>
              </w:rPr>
              <w:t>影响程度（无影响）</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预测结论</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达标结论：</w:t>
            </w:r>
            <w:r>
              <w:rPr>
                <w:sz w:val="20"/>
                <w:szCs w:val="20"/>
              </w:rPr>
              <w:t>a</w:t>
            </w:r>
            <w:r>
              <w:rPr>
                <w:sz w:val="20"/>
                <w:szCs w:val="20"/>
              </w:rPr>
              <w:t>）</w:t>
            </w:r>
            <w:r>
              <w:rPr>
                <w:sz w:val="20"/>
                <w:szCs w:val="20"/>
              </w:rPr>
              <w:t>√</w:t>
            </w:r>
            <w:r>
              <w:rPr>
                <w:sz w:val="20"/>
                <w:szCs w:val="20"/>
              </w:rPr>
              <w:t>；</w:t>
            </w:r>
            <w:r>
              <w:rPr>
                <w:sz w:val="20"/>
                <w:szCs w:val="20"/>
              </w:rPr>
              <w:t>b</w:t>
            </w:r>
            <w:r>
              <w:rPr>
                <w:sz w:val="20"/>
                <w:szCs w:val="20"/>
              </w:rPr>
              <w:t>）</w:t>
            </w:r>
            <w:r>
              <w:rPr>
                <w:sz w:val="20"/>
                <w:szCs w:val="20"/>
              </w:rPr>
              <w:t>□</w:t>
            </w:r>
            <w:r>
              <w:rPr>
                <w:sz w:val="20"/>
                <w:szCs w:val="20"/>
              </w:rPr>
              <w:t>；</w:t>
            </w:r>
            <w:r>
              <w:rPr>
                <w:sz w:val="20"/>
                <w:szCs w:val="20"/>
              </w:rPr>
              <w:t>c</w:t>
            </w:r>
            <w:r>
              <w:rPr>
                <w:sz w:val="20"/>
                <w:szCs w:val="20"/>
              </w:rPr>
              <w:t>）</w:t>
            </w:r>
            <w:r>
              <w:rPr>
                <w:sz w:val="20"/>
                <w:szCs w:val="20"/>
              </w:rPr>
              <w:t>□</w:t>
            </w:r>
          </w:p>
          <w:p w:rsidR="00DB7CC8" w:rsidRDefault="002B5250">
            <w:pPr>
              <w:pStyle w:val="afffffffc"/>
              <w:spacing w:line="240" w:lineRule="auto"/>
              <w:rPr>
                <w:sz w:val="20"/>
                <w:szCs w:val="20"/>
              </w:rPr>
            </w:pPr>
            <w:r>
              <w:rPr>
                <w:sz w:val="20"/>
                <w:szCs w:val="20"/>
              </w:rPr>
              <w:t>不达标结论：</w:t>
            </w:r>
            <w:r>
              <w:rPr>
                <w:sz w:val="20"/>
                <w:szCs w:val="20"/>
              </w:rPr>
              <w:t>a</w:t>
            </w:r>
            <w:r>
              <w:rPr>
                <w:sz w:val="20"/>
                <w:szCs w:val="20"/>
              </w:rPr>
              <w:t>）</w:t>
            </w:r>
            <w:r>
              <w:rPr>
                <w:sz w:val="20"/>
                <w:szCs w:val="20"/>
              </w:rPr>
              <w:t>□</w:t>
            </w:r>
            <w:r>
              <w:rPr>
                <w:sz w:val="20"/>
                <w:szCs w:val="20"/>
              </w:rPr>
              <w:t>；</w:t>
            </w:r>
            <w:r>
              <w:rPr>
                <w:sz w:val="20"/>
                <w:szCs w:val="20"/>
              </w:rPr>
              <w:t>b</w:t>
            </w:r>
            <w:r>
              <w:rPr>
                <w:sz w:val="20"/>
                <w:szCs w:val="20"/>
              </w:rPr>
              <w:t>）</w:t>
            </w:r>
            <w:r>
              <w:rPr>
                <w:sz w:val="20"/>
                <w:szCs w:val="20"/>
              </w:rPr>
              <w:t>□</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val="restart"/>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防</w:t>
            </w:r>
          </w:p>
          <w:p w:rsidR="00DB7CC8" w:rsidRDefault="002B5250">
            <w:pPr>
              <w:pStyle w:val="afffffffc"/>
              <w:spacing w:line="240" w:lineRule="auto"/>
              <w:rPr>
                <w:sz w:val="20"/>
                <w:szCs w:val="20"/>
              </w:rPr>
            </w:pPr>
            <w:r>
              <w:rPr>
                <w:sz w:val="20"/>
                <w:szCs w:val="20"/>
              </w:rPr>
              <w:t>治</w:t>
            </w:r>
          </w:p>
          <w:p w:rsidR="00DB7CC8" w:rsidRDefault="002B5250">
            <w:pPr>
              <w:pStyle w:val="afffffffc"/>
              <w:spacing w:line="240" w:lineRule="auto"/>
              <w:rPr>
                <w:sz w:val="20"/>
                <w:szCs w:val="20"/>
              </w:rPr>
            </w:pPr>
            <w:r>
              <w:rPr>
                <w:sz w:val="20"/>
                <w:szCs w:val="20"/>
              </w:rPr>
              <w:t>措</w:t>
            </w:r>
          </w:p>
          <w:p w:rsidR="00DB7CC8" w:rsidRDefault="002B5250">
            <w:pPr>
              <w:pStyle w:val="afffffffc"/>
              <w:spacing w:line="240" w:lineRule="auto"/>
              <w:rPr>
                <w:sz w:val="20"/>
                <w:szCs w:val="20"/>
              </w:rPr>
            </w:pPr>
            <w:r>
              <w:rPr>
                <w:sz w:val="20"/>
                <w:szCs w:val="20"/>
              </w:rPr>
              <w:t>施</w:t>
            </w:r>
          </w:p>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防控措施</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土壤环境质量现状保障</w:t>
            </w:r>
            <w:r>
              <w:rPr>
                <w:sz w:val="20"/>
                <w:szCs w:val="20"/>
              </w:rPr>
              <w:t>√</w:t>
            </w:r>
            <w:r>
              <w:rPr>
                <w:sz w:val="20"/>
                <w:szCs w:val="20"/>
              </w:rPr>
              <w:t>；源头控制</w:t>
            </w:r>
            <w:r>
              <w:rPr>
                <w:sz w:val="20"/>
                <w:szCs w:val="20"/>
              </w:rPr>
              <w:t>√</w:t>
            </w:r>
            <w:r>
              <w:rPr>
                <w:sz w:val="20"/>
                <w:szCs w:val="20"/>
              </w:rPr>
              <w:t>；过程防控</w:t>
            </w:r>
            <w:r>
              <w:rPr>
                <w:sz w:val="20"/>
                <w:szCs w:val="20"/>
              </w:rPr>
              <w:t>√</w:t>
            </w:r>
            <w:r>
              <w:rPr>
                <w:sz w:val="20"/>
                <w:szCs w:val="20"/>
              </w:rPr>
              <w:t>；其他（</w:t>
            </w:r>
            <w:r>
              <w:rPr>
                <w:sz w:val="20"/>
                <w:szCs w:val="20"/>
              </w:rPr>
              <w:t xml:space="preserve"> </w:t>
            </w:r>
            <w:r>
              <w:rPr>
                <w:sz w:val="20"/>
                <w:szCs w:val="20"/>
              </w:rPr>
              <w:t>）</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跟踪监测</w:t>
            </w:r>
          </w:p>
        </w:tc>
        <w:tc>
          <w:tcPr>
            <w:tcW w:w="1698"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监测点数</w:t>
            </w:r>
          </w:p>
        </w:tc>
        <w:tc>
          <w:tcPr>
            <w:tcW w:w="1104" w:type="dxa"/>
            <w:gridSpan w:val="2"/>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监测指标</w:t>
            </w:r>
          </w:p>
        </w:tc>
        <w:tc>
          <w:tcPr>
            <w:tcW w:w="2689" w:type="dxa"/>
            <w:gridSpan w:val="3"/>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监测频次</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DB7CC8">
            <w:pPr>
              <w:pStyle w:val="afffffffc"/>
              <w:spacing w:line="240" w:lineRule="auto"/>
              <w:rPr>
                <w:sz w:val="20"/>
                <w:szCs w:val="20"/>
              </w:rPr>
            </w:pPr>
          </w:p>
        </w:tc>
        <w:tc>
          <w:tcPr>
            <w:tcW w:w="1698"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w:t>
            </w:r>
          </w:p>
        </w:tc>
        <w:tc>
          <w:tcPr>
            <w:tcW w:w="1104" w:type="dxa"/>
            <w:gridSpan w:val="2"/>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w:t>
            </w:r>
          </w:p>
        </w:tc>
        <w:tc>
          <w:tcPr>
            <w:tcW w:w="2689" w:type="dxa"/>
            <w:gridSpan w:val="3"/>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474" w:type="dxa"/>
            <w:vMerge/>
            <w:shd w:val="clear" w:color="auto" w:fill="auto"/>
            <w:tcMar>
              <w:left w:w="0" w:type="dxa"/>
              <w:right w:w="0" w:type="dxa"/>
            </w:tcMar>
            <w:vAlign w:val="center"/>
          </w:tcPr>
          <w:p w:rsidR="00DB7CC8" w:rsidRDefault="00DB7CC8">
            <w:pPr>
              <w:pStyle w:val="afffffffc"/>
              <w:spacing w:line="240" w:lineRule="auto"/>
              <w:rPr>
                <w:sz w:val="20"/>
                <w:szCs w:val="20"/>
              </w:rPr>
            </w:pPr>
          </w:p>
        </w:tc>
        <w:tc>
          <w:tcPr>
            <w:tcW w:w="1851" w:type="dxa"/>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信息公开指标</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r w:rsidR="00DB7CC8">
        <w:tc>
          <w:tcPr>
            <w:tcW w:w="2325" w:type="dxa"/>
            <w:gridSpan w:val="2"/>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评价结论</w:t>
            </w:r>
          </w:p>
        </w:tc>
        <w:tc>
          <w:tcPr>
            <w:tcW w:w="5491" w:type="dxa"/>
            <w:gridSpan w:val="6"/>
            <w:shd w:val="clear" w:color="auto" w:fill="auto"/>
            <w:tcMar>
              <w:left w:w="0" w:type="dxa"/>
              <w:right w:w="0" w:type="dxa"/>
            </w:tcMar>
            <w:vAlign w:val="center"/>
          </w:tcPr>
          <w:p w:rsidR="00DB7CC8" w:rsidRDefault="002B5250">
            <w:pPr>
              <w:pStyle w:val="afffffffc"/>
              <w:spacing w:line="240" w:lineRule="auto"/>
              <w:rPr>
                <w:sz w:val="20"/>
                <w:szCs w:val="20"/>
              </w:rPr>
            </w:pPr>
            <w:r>
              <w:rPr>
                <w:sz w:val="20"/>
                <w:szCs w:val="20"/>
              </w:rPr>
              <w:t>本项目对土壤环境的影响可以接受，从土壤环境影响的角度分析，项目的建设是可行的</w:t>
            </w:r>
          </w:p>
        </w:tc>
        <w:tc>
          <w:tcPr>
            <w:tcW w:w="699" w:type="dxa"/>
            <w:shd w:val="clear" w:color="auto" w:fill="auto"/>
            <w:tcMar>
              <w:left w:w="0" w:type="dxa"/>
              <w:right w:w="0" w:type="dxa"/>
            </w:tcMar>
            <w:vAlign w:val="center"/>
          </w:tcPr>
          <w:p w:rsidR="00DB7CC8" w:rsidRDefault="00DB7CC8">
            <w:pPr>
              <w:pStyle w:val="afffffffc"/>
              <w:spacing w:line="240" w:lineRule="auto"/>
              <w:rPr>
                <w:sz w:val="20"/>
                <w:szCs w:val="20"/>
              </w:rPr>
            </w:pPr>
          </w:p>
        </w:tc>
      </w:tr>
    </w:tbl>
    <w:p w:rsidR="00DB7CC8" w:rsidRDefault="002B5250">
      <w:pPr>
        <w:ind w:firstLine="420"/>
        <w:jc w:val="both"/>
        <w:rPr>
          <w:bCs/>
          <w:sz w:val="21"/>
          <w:szCs w:val="21"/>
        </w:rPr>
      </w:pPr>
      <w:r>
        <w:rPr>
          <w:rFonts w:hint="eastAsia"/>
          <w:bCs/>
          <w:sz w:val="21"/>
          <w:szCs w:val="21"/>
        </w:rPr>
        <w:t>注</w:t>
      </w:r>
      <w:r>
        <w:rPr>
          <w:rFonts w:hint="eastAsia"/>
          <w:bCs/>
          <w:sz w:val="21"/>
          <w:szCs w:val="21"/>
        </w:rPr>
        <w:t xml:space="preserve"> 1</w:t>
      </w:r>
      <w:r>
        <w:rPr>
          <w:rFonts w:hint="eastAsia"/>
          <w:bCs/>
          <w:sz w:val="21"/>
          <w:szCs w:val="21"/>
        </w:rPr>
        <w:t>：“□”为勾选项，可√；“（</w:t>
      </w:r>
      <w:r>
        <w:rPr>
          <w:rFonts w:hint="eastAsia"/>
          <w:bCs/>
          <w:sz w:val="21"/>
          <w:szCs w:val="21"/>
        </w:rPr>
        <w:t xml:space="preserve"> </w:t>
      </w:r>
      <w:r>
        <w:rPr>
          <w:rFonts w:hint="eastAsia"/>
          <w:bCs/>
          <w:sz w:val="21"/>
          <w:szCs w:val="21"/>
        </w:rPr>
        <w:t>）”为内容填写项；“备注”为其他补充内容。</w:t>
      </w:r>
    </w:p>
    <w:p w:rsidR="00DB7CC8" w:rsidRDefault="002B5250">
      <w:pPr>
        <w:ind w:firstLine="420"/>
        <w:jc w:val="both"/>
        <w:rPr>
          <w:sz w:val="24"/>
        </w:rPr>
      </w:pPr>
      <w:r>
        <w:rPr>
          <w:rFonts w:hint="eastAsia"/>
          <w:bCs/>
          <w:sz w:val="21"/>
          <w:szCs w:val="21"/>
        </w:rPr>
        <w:t>注</w:t>
      </w:r>
      <w:r>
        <w:rPr>
          <w:rFonts w:hint="eastAsia"/>
          <w:bCs/>
          <w:sz w:val="21"/>
          <w:szCs w:val="21"/>
        </w:rPr>
        <w:t xml:space="preserve"> 2</w:t>
      </w:r>
      <w:r>
        <w:rPr>
          <w:rFonts w:hint="eastAsia"/>
          <w:bCs/>
          <w:sz w:val="21"/>
          <w:szCs w:val="21"/>
        </w:rPr>
        <w:t>：需要分别开展土壤环境影响评级工作的，分别填写自查表。</w:t>
      </w:r>
      <w:bookmarkStart w:id="453" w:name="_Hlk522137230"/>
      <w:bookmarkEnd w:id="450"/>
    </w:p>
    <w:p w:rsidR="00DB7CC8" w:rsidRDefault="002B5250">
      <w:pPr>
        <w:pStyle w:val="3"/>
        <w:numPr>
          <w:ilvl w:val="2"/>
          <w:numId w:val="1"/>
        </w:numPr>
        <w:rPr>
          <w:szCs w:val="28"/>
        </w:rPr>
      </w:pPr>
      <w:bookmarkStart w:id="454" w:name="_Toc503218116"/>
      <w:bookmarkStart w:id="455" w:name="_Toc28561"/>
      <w:bookmarkStart w:id="456" w:name="_Toc521426317"/>
      <w:r>
        <w:rPr>
          <w:szCs w:val="28"/>
        </w:rPr>
        <w:t>环境风险</w:t>
      </w:r>
      <w:bookmarkEnd w:id="454"/>
      <w:r>
        <w:rPr>
          <w:szCs w:val="28"/>
        </w:rPr>
        <w:t>影响分析</w:t>
      </w:r>
      <w:bookmarkEnd w:id="455"/>
      <w:bookmarkEnd w:id="456"/>
    </w:p>
    <w:p w:rsidR="00DB7CC8" w:rsidRDefault="002B5250">
      <w:pPr>
        <w:ind w:firstLine="480"/>
        <w:jc w:val="both"/>
        <w:rPr>
          <w:bCs/>
          <w:sz w:val="24"/>
          <w:szCs w:val="24"/>
        </w:rPr>
      </w:pPr>
      <w:r>
        <w:rPr>
          <w:rFonts w:hint="eastAsia"/>
          <w:bCs/>
          <w:sz w:val="24"/>
          <w:szCs w:val="24"/>
        </w:rPr>
        <w:t>环境风险评价是分析和预测建设项目对环境存在的潜在危险、有害因素，针对建设项目建设和运行期间可能发生的突发性事件或事故，引起有毒有害和易燃易爆等物质泄漏所造成的对环境影响和损害程度，提出合理可行的防范、应急与减缓措施，以使建设项目环境风险达到可接受水平。</w:t>
      </w:r>
    </w:p>
    <w:p w:rsidR="00DB7CC8" w:rsidRDefault="002B5250">
      <w:pPr>
        <w:ind w:firstLine="480"/>
        <w:jc w:val="both"/>
        <w:rPr>
          <w:bCs/>
          <w:sz w:val="24"/>
          <w:szCs w:val="24"/>
        </w:rPr>
      </w:pPr>
      <w:r>
        <w:rPr>
          <w:rFonts w:hint="eastAsia"/>
          <w:bCs/>
          <w:sz w:val="24"/>
          <w:szCs w:val="24"/>
        </w:rPr>
        <w:t>本项目废矿物油在储存过程中当发生火灾、爆炸或泄露时导致有毒有害物质的放散，对环境产生一定的危害。本次环境风险评价的目的在于分析、识别生产装置运行过程中及物料储存运输中的风险因素及可能诱发的环境问题，并针对潜在的环境风险，按照《关于进一步加强环境影响评价管理防</w:t>
      </w:r>
      <w:r>
        <w:rPr>
          <w:rFonts w:hint="eastAsia"/>
          <w:bCs/>
          <w:sz w:val="24"/>
          <w:szCs w:val="24"/>
        </w:rPr>
        <w:t>范环境风险的通知》</w:t>
      </w:r>
      <w:r>
        <w:rPr>
          <w:rFonts w:hint="eastAsia"/>
          <w:bCs/>
          <w:sz w:val="24"/>
          <w:szCs w:val="24"/>
        </w:rPr>
        <w:t>(</w:t>
      </w:r>
      <w:r>
        <w:rPr>
          <w:rFonts w:hint="eastAsia"/>
          <w:bCs/>
          <w:sz w:val="24"/>
          <w:szCs w:val="24"/>
        </w:rPr>
        <w:t>环发</w:t>
      </w:r>
      <w:r>
        <w:rPr>
          <w:rFonts w:hint="eastAsia"/>
          <w:bCs/>
          <w:sz w:val="24"/>
          <w:szCs w:val="24"/>
        </w:rPr>
        <w:t>[2012]77</w:t>
      </w:r>
      <w:r>
        <w:rPr>
          <w:rFonts w:hint="eastAsia"/>
          <w:bCs/>
          <w:sz w:val="24"/>
          <w:szCs w:val="24"/>
        </w:rPr>
        <w:t>号</w:t>
      </w:r>
      <w:r>
        <w:rPr>
          <w:rFonts w:hint="eastAsia"/>
          <w:bCs/>
          <w:sz w:val="24"/>
          <w:szCs w:val="24"/>
        </w:rPr>
        <w:t>)</w:t>
      </w:r>
      <w:r>
        <w:rPr>
          <w:rFonts w:hint="eastAsia"/>
          <w:bCs/>
          <w:sz w:val="24"/>
          <w:szCs w:val="24"/>
        </w:rPr>
        <w:t>和《关于切实加强风险防范严格环境影响评价管理的通知》</w:t>
      </w:r>
      <w:r>
        <w:rPr>
          <w:rFonts w:hint="eastAsia"/>
          <w:bCs/>
          <w:sz w:val="24"/>
          <w:szCs w:val="24"/>
        </w:rPr>
        <w:t>(</w:t>
      </w:r>
      <w:r>
        <w:rPr>
          <w:rFonts w:hint="eastAsia"/>
          <w:bCs/>
          <w:sz w:val="24"/>
          <w:szCs w:val="24"/>
        </w:rPr>
        <w:t>环发</w:t>
      </w:r>
      <w:r>
        <w:rPr>
          <w:rFonts w:hint="eastAsia"/>
          <w:bCs/>
          <w:sz w:val="24"/>
          <w:szCs w:val="24"/>
        </w:rPr>
        <w:t>[2012]98</w:t>
      </w:r>
      <w:r>
        <w:rPr>
          <w:rFonts w:hint="eastAsia"/>
          <w:bCs/>
          <w:sz w:val="24"/>
          <w:szCs w:val="24"/>
        </w:rPr>
        <w:t>号</w:t>
      </w:r>
      <w:r>
        <w:rPr>
          <w:rFonts w:hint="eastAsia"/>
          <w:bCs/>
          <w:sz w:val="24"/>
          <w:szCs w:val="24"/>
        </w:rPr>
        <w:t>)</w:t>
      </w:r>
      <w:r>
        <w:rPr>
          <w:rFonts w:hint="eastAsia"/>
          <w:bCs/>
          <w:sz w:val="24"/>
          <w:szCs w:val="24"/>
        </w:rPr>
        <w:t>等文件的相关要求，提出相应的预防措施，力求在建设中将潜在的风险危害程度降至最低。</w:t>
      </w:r>
    </w:p>
    <w:p w:rsidR="00DB7CC8" w:rsidRDefault="002B5250">
      <w:pPr>
        <w:pStyle w:val="4"/>
        <w:numPr>
          <w:ilvl w:val="3"/>
          <w:numId w:val="1"/>
        </w:numPr>
        <w:ind w:left="709" w:hanging="709"/>
        <w:jc w:val="both"/>
        <w:textAlignment w:val="auto"/>
        <w:rPr>
          <w:rFonts w:eastAsia="宋体"/>
          <w:b/>
        </w:rPr>
      </w:pPr>
      <w:r>
        <w:rPr>
          <w:rFonts w:eastAsia="宋体"/>
          <w:b/>
        </w:rPr>
        <w:t>评价依据</w:t>
      </w:r>
    </w:p>
    <w:p w:rsidR="00DB7CC8" w:rsidRDefault="002B5250">
      <w:pPr>
        <w:ind w:firstLine="480"/>
        <w:jc w:val="both"/>
        <w:rPr>
          <w:bCs/>
          <w:sz w:val="24"/>
          <w:szCs w:val="24"/>
        </w:rPr>
      </w:pPr>
      <w:r>
        <w:rPr>
          <w:rFonts w:hint="eastAsia"/>
          <w:bCs/>
          <w:sz w:val="24"/>
          <w:szCs w:val="24"/>
        </w:rPr>
        <w:t>（</w:t>
      </w:r>
      <w:r>
        <w:rPr>
          <w:rFonts w:hint="eastAsia"/>
          <w:bCs/>
          <w:sz w:val="24"/>
          <w:szCs w:val="24"/>
        </w:rPr>
        <w:t>1</w:t>
      </w:r>
      <w:r>
        <w:rPr>
          <w:rFonts w:hint="eastAsia"/>
          <w:bCs/>
          <w:sz w:val="24"/>
          <w:szCs w:val="24"/>
        </w:rPr>
        <w:t>）风险调查</w:t>
      </w:r>
    </w:p>
    <w:p w:rsidR="00DB7CC8" w:rsidRDefault="002B5250">
      <w:pPr>
        <w:ind w:firstLine="480"/>
        <w:jc w:val="both"/>
        <w:rPr>
          <w:bCs/>
          <w:sz w:val="24"/>
          <w:szCs w:val="24"/>
        </w:rPr>
      </w:pPr>
      <w:r>
        <w:rPr>
          <w:rFonts w:hint="eastAsia"/>
          <w:bCs/>
          <w:sz w:val="24"/>
          <w:szCs w:val="24"/>
        </w:rPr>
        <w:t>风险识别范围包括生产设施风险识别和生产过程所涉及的物质风险识别。</w:t>
      </w:r>
    </w:p>
    <w:p w:rsidR="00DB7CC8" w:rsidRDefault="002B5250">
      <w:pPr>
        <w:ind w:firstLine="480"/>
        <w:jc w:val="both"/>
        <w:rPr>
          <w:bCs/>
          <w:sz w:val="24"/>
          <w:szCs w:val="24"/>
        </w:rPr>
      </w:pPr>
      <w:r>
        <w:rPr>
          <w:rFonts w:hint="eastAsia"/>
          <w:bCs/>
          <w:sz w:val="24"/>
          <w:szCs w:val="24"/>
        </w:rPr>
        <w:t>生产设施风险识别范围：主要生产装置、贮运系统、公用工程系统、工程环保设施及辅助生产设施等。</w:t>
      </w:r>
    </w:p>
    <w:p w:rsidR="00DB7CC8" w:rsidRDefault="002B5250">
      <w:pPr>
        <w:ind w:firstLine="480"/>
        <w:jc w:val="both"/>
        <w:rPr>
          <w:bCs/>
          <w:sz w:val="24"/>
          <w:szCs w:val="24"/>
        </w:rPr>
      </w:pPr>
      <w:r>
        <w:rPr>
          <w:rFonts w:hint="eastAsia"/>
          <w:bCs/>
          <w:sz w:val="24"/>
          <w:szCs w:val="24"/>
        </w:rPr>
        <w:t>物质风险识别范围：主要原材料及辅助材料、中间产品、最终产品以及生产过程排放的“三废”污染物等。</w:t>
      </w:r>
    </w:p>
    <w:p w:rsidR="00DB7CC8" w:rsidRDefault="002B5250">
      <w:pPr>
        <w:ind w:firstLine="480"/>
        <w:jc w:val="both"/>
        <w:rPr>
          <w:bCs/>
          <w:sz w:val="24"/>
          <w:szCs w:val="24"/>
        </w:rPr>
      </w:pPr>
      <w:r>
        <w:rPr>
          <w:rFonts w:hint="eastAsia"/>
          <w:bCs/>
          <w:sz w:val="24"/>
          <w:szCs w:val="24"/>
        </w:rPr>
        <w:t>风险物质：</w:t>
      </w:r>
    </w:p>
    <w:p w:rsidR="00DB7CC8" w:rsidRDefault="002B5250">
      <w:pPr>
        <w:ind w:firstLine="480"/>
        <w:jc w:val="both"/>
        <w:rPr>
          <w:bCs/>
          <w:sz w:val="24"/>
          <w:szCs w:val="24"/>
        </w:rPr>
      </w:pPr>
      <w:r>
        <w:rPr>
          <w:rFonts w:hint="eastAsia"/>
          <w:bCs/>
          <w:sz w:val="24"/>
          <w:szCs w:val="24"/>
        </w:rPr>
        <w:lastRenderedPageBreak/>
        <w:t>本项目主要涉及的</w:t>
      </w:r>
      <w:r>
        <w:rPr>
          <w:rFonts w:hint="eastAsia"/>
          <w:bCs/>
          <w:sz w:val="24"/>
          <w:szCs w:val="24"/>
        </w:rPr>
        <w:t>风险物质主要为危险废物—废矿物油，危废暂存危废间委托有资质单位处置。</w:t>
      </w:r>
    </w:p>
    <w:p w:rsidR="00DB7CC8" w:rsidRDefault="002B5250">
      <w:pPr>
        <w:ind w:firstLine="480"/>
        <w:jc w:val="both"/>
        <w:rPr>
          <w:bCs/>
          <w:sz w:val="24"/>
          <w:szCs w:val="24"/>
        </w:rPr>
      </w:pPr>
      <w:r>
        <w:rPr>
          <w:rFonts w:hint="eastAsia"/>
          <w:bCs/>
          <w:sz w:val="24"/>
          <w:szCs w:val="24"/>
        </w:rPr>
        <w:t>（</w:t>
      </w:r>
      <w:r>
        <w:rPr>
          <w:rFonts w:hint="eastAsia"/>
          <w:bCs/>
          <w:sz w:val="24"/>
          <w:szCs w:val="24"/>
        </w:rPr>
        <w:t>2</w:t>
      </w:r>
      <w:r>
        <w:rPr>
          <w:rFonts w:hint="eastAsia"/>
          <w:bCs/>
          <w:sz w:val="24"/>
          <w:szCs w:val="24"/>
        </w:rPr>
        <w:t>）风险潜势初判</w:t>
      </w:r>
    </w:p>
    <w:p w:rsidR="00DB7CC8" w:rsidRDefault="002B5250">
      <w:pPr>
        <w:ind w:firstLine="482"/>
        <w:jc w:val="both"/>
        <w:rPr>
          <w:b/>
          <w:sz w:val="24"/>
          <w:szCs w:val="24"/>
        </w:rPr>
      </w:pPr>
      <w:r>
        <w:rPr>
          <w:rFonts w:hint="eastAsia"/>
          <w:b/>
          <w:sz w:val="24"/>
          <w:szCs w:val="24"/>
        </w:rPr>
        <w:t>项目危险物质数量与临界量比值</w:t>
      </w:r>
      <w:r>
        <w:rPr>
          <w:rFonts w:hint="eastAsia"/>
          <w:b/>
          <w:sz w:val="24"/>
          <w:szCs w:val="24"/>
        </w:rPr>
        <w:t>Q</w:t>
      </w:r>
      <w:r>
        <w:rPr>
          <w:rFonts w:hint="eastAsia"/>
          <w:b/>
          <w:sz w:val="24"/>
          <w:szCs w:val="24"/>
        </w:rPr>
        <w:t>值的确定</w:t>
      </w:r>
    </w:p>
    <w:p w:rsidR="00DB7CC8" w:rsidRDefault="002B5250">
      <w:pPr>
        <w:ind w:firstLine="480"/>
        <w:jc w:val="both"/>
        <w:rPr>
          <w:bCs/>
          <w:sz w:val="24"/>
          <w:szCs w:val="24"/>
        </w:rPr>
      </w:pPr>
      <w:r>
        <w:rPr>
          <w:rFonts w:hint="eastAsia"/>
          <w:bCs/>
          <w:sz w:val="24"/>
          <w:szCs w:val="24"/>
        </w:rPr>
        <w:t>按照《建设项目环境风险评价技术导则》（</w:t>
      </w:r>
      <w:r>
        <w:rPr>
          <w:rFonts w:hint="eastAsia"/>
          <w:bCs/>
          <w:sz w:val="24"/>
          <w:szCs w:val="24"/>
        </w:rPr>
        <w:t>HJ169-2018</w:t>
      </w:r>
      <w:r>
        <w:rPr>
          <w:rFonts w:hint="eastAsia"/>
          <w:bCs/>
          <w:sz w:val="24"/>
          <w:szCs w:val="24"/>
        </w:rPr>
        <w:t>）附录</w:t>
      </w:r>
      <w:r>
        <w:rPr>
          <w:rFonts w:hint="eastAsia"/>
          <w:bCs/>
          <w:sz w:val="24"/>
          <w:szCs w:val="24"/>
        </w:rPr>
        <w:t>C</w:t>
      </w:r>
      <w:r>
        <w:rPr>
          <w:rFonts w:hint="eastAsia"/>
          <w:bCs/>
          <w:sz w:val="24"/>
          <w:szCs w:val="24"/>
        </w:rPr>
        <w:t>对本项目涉及的危险物质进行风险识别，并确定其</w:t>
      </w:r>
      <w:r>
        <w:rPr>
          <w:rFonts w:hint="eastAsia"/>
          <w:bCs/>
          <w:sz w:val="24"/>
          <w:szCs w:val="24"/>
        </w:rPr>
        <w:t>Q</w:t>
      </w:r>
      <w:r>
        <w:rPr>
          <w:rFonts w:hint="eastAsia"/>
          <w:bCs/>
          <w:sz w:val="24"/>
          <w:szCs w:val="24"/>
        </w:rPr>
        <w:t>值。</w:t>
      </w:r>
    </w:p>
    <w:p w:rsidR="00DB7CC8" w:rsidRDefault="002B5250">
      <w:pPr>
        <w:ind w:firstLine="480"/>
        <w:jc w:val="both"/>
        <w:rPr>
          <w:bCs/>
          <w:sz w:val="24"/>
          <w:szCs w:val="24"/>
        </w:rPr>
      </w:pPr>
      <w:r>
        <w:rPr>
          <w:rFonts w:hint="eastAsia"/>
          <w:bCs/>
          <w:sz w:val="24"/>
          <w:szCs w:val="24"/>
        </w:rPr>
        <w:t>计算所涉及的每种危险物质在厂界内的最大存在总量与其在附录</w:t>
      </w:r>
      <w:r>
        <w:rPr>
          <w:rFonts w:hint="eastAsia"/>
          <w:bCs/>
          <w:sz w:val="24"/>
          <w:szCs w:val="24"/>
        </w:rPr>
        <w:t>B</w:t>
      </w:r>
      <w:r>
        <w:rPr>
          <w:rFonts w:hint="eastAsia"/>
          <w:bCs/>
          <w:sz w:val="24"/>
          <w:szCs w:val="24"/>
        </w:rPr>
        <w:t>中对应临界量的比值</w:t>
      </w:r>
      <w:r>
        <w:rPr>
          <w:rFonts w:hint="eastAsia"/>
          <w:bCs/>
          <w:sz w:val="24"/>
          <w:szCs w:val="24"/>
        </w:rPr>
        <w:t>Q</w:t>
      </w:r>
      <w:r>
        <w:rPr>
          <w:rFonts w:hint="eastAsia"/>
          <w:bCs/>
          <w:sz w:val="24"/>
          <w:szCs w:val="24"/>
        </w:rPr>
        <w:t>。在不同厂区的同一种物质，按其在厂界内的最大存在总量计算。</w:t>
      </w:r>
    </w:p>
    <w:p w:rsidR="00DB7CC8" w:rsidRDefault="002B5250">
      <w:pPr>
        <w:ind w:firstLine="480"/>
        <w:jc w:val="both"/>
        <w:rPr>
          <w:bCs/>
          <w:sz w:val="24"/>
          <w:szCs w:val="24"/>
        </w:rPr>
      </w:pPr>
      <w:r>
        <w:rPr>
          <w:rFonts w:hint="eastAsia"/>
          <w:bCs/>
          <w:sz w:val="24"/>
          <w:szCs w:val="24"/>
        </w:rPr>
        <w:t>当存在多种危险物质时，则按下式计算</w:t>
      </w:r>
      <w:r>
        <w:rPr>
          <w:rFonts w:hint="eastAsia"/>
          <w:bCs/>
          <w:sz w:val="24"/>
          <w:szCs w:val="24"/>
        </w:rPr>
        <w:t>Q</w:t>
      </w:r>
      <w:r>
        <w:rPr>
          <w:rFonts w:hint="eastAsia"/>
          <w:bCs/>
          <w:sz w:val="24"/>
          <w:szCs w:val="24"/>
        </w:rPr>
        <w:t>值：</w:t>
      </w:r>
    </w:p>
    <w:p w:rsidR="00DB7CC8" w:rsidRDefault="002B5250">
      <w:pPr>
        <w:ind w:firstLine="560"/>
      </w:pPr>
      <w:r>
        <w:rPr>
          <w:noProof/>
        </w:rPr>
        <w:drawing>
          <wp:inline distT="0" distB="0" distL="114300" distR="114300">
            <wp:extent cx="1807210" cy="479425"/>
            <wp:effectExtent l="0" t="0" r="2540" b="15875"/>
            <wp:docPr id="13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41"/>
                    <pic:cNvPicPr>
                      <a:picLocks noChangeAspect="1"/>
                    </pic:cNvPicPr>
                  </pic:nvPicPr>
                  <pic:blipFill>
                    <a:blip r:embed="rId19" cstate="print"/>
                    <a:stretch>
                      <a:fillRect/>
                    </a:stretch>
                  </pic:blipFill>
                  <pic:spPr>
                    <a:xfrm>
                      <a:off x="0" y="0"/>
                      <a:ext cx="1807210" cy="479425"/>
                    </a:xfrm>
                    <a:prstGeom prst="rect">
                      <a:avLst/>
                    </a:prstGeom>
                    <a:noFill/>
                    <a:ln>
                      <a:noFill/>
                    </a:ln>
                  </pic:spPr>
                </pic:pic>
              </a:graphicData>
            </a:graphic>
          </wp:inline>
        </w:drawing>
      </w:r>
    </w:p>
    <w:p w:rsidR="00DB7CC8" w:rsidRDefault="002B5250">
      <w:pPr>
        <w:ind w:firstLine="480"/>
        <w:jc w:val="both"/>
        <w:rPr>
          <w:bCs/>
          <w:sz w:val="24"/>
          <w:szCs w:val="24"/>
        </w:rPr>
      </w:pPr>
      <w:r>
        <w:rPr>
          <w:rFonts w:hint="eastAsia"/>
          <w:bCs/>
          <w:sz w:val="24"/>
          <w:szCs w:val="24"/>
        </w:rPr>
        <w:t>式中：</w:t>
      </w:r>
      <w:r>
        <w:rPr>
          <w:rFonts w:hint="eastAsia"/>
          <w:bCs/>
          <w:sz w:val="24"/>
          <w:szCs w:val="24"/>
        </w:rPr>
        <w:t>q</w:t>
      </w:r>
      <w:r>
        <w:rPr>
          <w:rFonts w:hint="eastAsia"/>
          <w:bCs/>
          <w:sz w:val="24"/>
          <w:szCs w:val="24"/>
          <w:vertAlign w:val="subscript"/>
        </w:rPr>
        <w:t>1</w:t>
      </w:r>
      <w:r>
        <w:rPr>
          <w:rFonts w:hint="eastAsia"/>
          <w:bCs/>
          <w:sz w:val="24"/>
          <w:szCs w:val="24"/>
        </w:rPr>
        <w:t>，</w:t>
      </w:r>
      <w:r>
        <w:rPr>
          <w:rFonts w:hint="eastAsia"/>
          <w:bCs/>
          <w:sz w:val="24"/>
          <w:szCs w:val="24"/>
        </w:rPr>
        <w:t>q</w:t>
      </w:r>
      <w:r>
        <w:rPr>
          <w:rFonts w:hint="eastAsia"/>
          <w:bCs/>
          <w:sz w:val="24"/>
          <w:szCs w:val="24"/>
          <w:vertAlign w:val="subscript"/>
        </w:rPr>
        <w:t>2</w:t>
      </w:r>
      <w:r>
        <w:rPr>
          <w:rFonts w:hint="eastAsia"/>
          <w:bCs/>
          <w:sz w:val="24"/>
          <w:szCs w:val="24"/>
        </w:rPr>
        <w:t>，</w:t>
      </w:r>
      <w:r>
        <w:rPr>
          <w:rFonts w:hint="eastAsia"/>
          <w:bCs/>
          <w:sz w:val="24"/>
          <w:szCs w:val="24"/>
        </w:rPr>
        <w:t>...</w:t>
      </w:r>
      <w:r>
        <w:rPr>
          <w:rFonts w:hint="eastAsia"/>
          <w:bCs/>
          <w:sz w:val="24"/>
          <w:szCs w:val="24"/>
        </w:rPr>
        <w:t>，</w:t>
      </w:r>
      <w:r>
        <w:rPr>
          <w:rFonts w:hint="eastAsia"/>
          <w:bCs/>
          <w:sz w:val="24"/>
          <w:szCs w:val="24"/>
        </w:rPr>
        <w:t>q</w:t>
      </w:r>
      <w:r>
        <w:rPr>
          <w:rFonts w:hint="eastAsia"/>
          <w:bCs/>
          <w:sz w:val="24"/>
          <w:szCs w:val="24"/>
          <w:vertAlign w:val="subscript"/>
        </w:rPr>
        <w:t>n</w:t>
      </w:r>
      <w:r>
        <w:rPr>
          <w:rFonts w:hint="eastAsia"/>
          <w:bCs/>
          <w:sz w:val="24"/>
          <w:szCs w:val="24"/>
        </w:rPr>
        <w:t>——每种危险物质的最大存在总量，</w:t>
      </w:r>
      <w:r>
        <w:rPr>
          <w:rFonts w:hint="eastAsia"/>
          <w:bCs/>
          <w:sz w:val="24"/>
          <w:szCs w:val="24"/>
        </w:rPr>
        <w:t>t</w:t>
      </w:r>
      <w:r>
        <w:rPr>
          <w:rFonts w:hint="eastAsia"/>
          <w:bCs/>
          <w:sz w:val="24"/>
          <w:szCs w:val="24"/>
        </w:rPr>
        <w:t>；</w:t>
      </w:r>
    </w:p>
    <w:p w:rsidR="00DB7CC8" w:rsidRDefault="002B5250">
      <w:pPr>
        <w:ind w:firstLine="480"/>
        <w:jc w:val="both"/>
        <w:rPr>
          <w:bCs/>
          <w:sz w:val="24"/>
          <w:szCs w:val="24"/>
        </w:rPr>
      </w:pPr>
      <w:r>
        <w:rPr>
          <w:rFonts w:hint="eastAsia"/>
          <w:bCs/>
          <w:sz w:val="24"/>
          <w:szCs w:val="24"/>
        </w:rPr>
        <w:t>Q</w:t>
      </w:r>
      <w:r>
        <w:rPr>
          <w:rFonts w:hint="eastAsia"/>
          <w:bCs/>
          <w:sz w:val="24"/>
          <w:szCs w:val="24"/>
          <w:vertAlign w:val="subscript"/>
        </w:rPr>
        <w:t>1</w:t>
      </w:r>
      <w:r>
        <w:rPr>
          <w:rFonts w:hint="eastAsia"/>
          <w:bCs/>
          <w:sz w:val="24"/>
          <w:szCs w:val="24"/>
        </w:rPr>
        <w:t>，</w:t>
      </w:r>
      <w:r>
        <w:rPr>
          <w:rFonts w:hint="eastAsia"/>
          <w:bCs/>
          <w:sz w:val="24"/>
          <w:szCs w:val="24"/>
        </w:rPr>
        <w:t>Q</w:t>
      </w:r>
      <w:r>
        <w:rPr>
          <w:rFonts w:hint="eastAsia"/>
          <w:bCs/>
          <w:sz w:val="24"/>
          <w:szCs w:val="24"/>
          <w:vertAlign w:val="subscript"/>
        </w:rPr>
        <w:t>2</w:t>
      </w:r>
      <w:r>
        <w:rPr>
          <w:rFonts w:hint="eastAsia"/>
          <w:bCs/>
          <w:sz w:val="24"/>
          <w:szCs w:val="24"/>
        </w:rPr>
        <w:t>，</w:t>
      </w:r>
      <w:r>
        <w:rPr>
          <w:rFonts w:hint="eastAsia"/>
          <w:bCs/>
          <w:sz w:val="24"/>
          <w:szCs w:val="24"/>
        </w:rPr>
        <w:t>...</w:t>
      </w:r>
      <w:r>
        <w:rPr>
          <w:rFonts w:hint="eastAsia"/>
          <w:bCs/>
          <w:sz w:val="24"/>
          <w:szCs w:val="24"/>
        </w:rPr>
        <w:t>，</w:t>
      </w:r>
      <w:r>
        <w:rPr>
          <w:rFonts w:hint="eastAsia"/>
          <w:bCs/>
          <w:sz w:val="24"/>
          <w:szCs w:val="24"/>
        </w:rPr>
        <w:t>Q</w:t>
      </w:r>
      <w:r>
        <w:rPr>
          <w:rFonts w:hint="eastAsia"/>
          <w:bCs/>
          <w:sz w:val="24"/>
          <w:szCs w:val="24"/>
          <w:vertAlign w:val="subscript"/>
        </w:rPr>
        <w:t>n</w:t>
      </w:r>
      <w:r>
        <w:rPr>
          <w:rFonts w:hint="eastAsia"/>
          <w:bCs/>
          <w:sz w:val="24"/>
          <w:szCs w:val="24"/>
        </w:rPr>
        <w:t>——每种危险物质的临界量，</w:t>
      </w:r>
      <w:r>
        <w:rPr>
          <w:rFonts w:hint="eastAsia"/>
          <w:bCs/>
          <w:sz w:val="24"/>
          <w:szCs w:val="24"/>
        </w:rPr>
        <w:t>t</w:t>
      </w:r>
      <w:r>
        <w:rPr>
          <w:rFonts w:hint="eastAsia"/>
          <w:bCs/>
          <w:sz w:val="24"/>
          <w:szCs w:val="24"/>
        </w:rPr>
        <w:t>。</w:t>
      </w:r>
    </w:p>
    <w:p w:rsidR="00DB7CC8" w:rsidRDefault="002B5250">
      <w:pPr>
        <w:ind w:firstLine="480"/>
        <w:jc w:val="both"/>
        <w:rPr>
          <w:bCs/>
          <w:sz w:val="24"/>
          <w:szCs w:val="24"/>
        </w:rPr>
      </w:pPr>
      <w:r>
        <w:rPr>
          <w:rFonts w:hint="eastAsia"/>
          <w:bCs/>
          <w:sz w:val="24"/>
          <w:szCs w:val="24"/>
        </w:rPr>
        <w:t>当</w:t>
      </w:r>
      <w:r>
        <w:rPr>
          <w:rFonts w:hint="eastAsia"/>
          <w:bCs/>
          <w:sz w:val="24"/>
          <w:szCs w:val="24"/>
        </w:rPr>
        <w:t>Q</w:t>
      </w:r>
      <w:r>
        <w:rPr>
          <w:rFonts w:hint="eastAsia"/>
          <w:bCs/>
          <w:sz w:val="24"/>
          <w:szCs w:val="24"/>
        </w:rPr>
        <w:t>＜</w:t>
      </w:r>
      <w:r>
        <w:rPr>
          <w:rFonts w:hint="eastAsia"/>
          <w:bCs/>
          <w:sz w:val="24"/>
          <w:szCs w:val="24"/>
        </w:rPr>
        <w:t>1</w:t>
      </w:r>
      <w:r>
        <w:rPr>
          <w:rFonts w:hint="eastAsia"/>
          <w:bCs/>
          <w:sz w:val="24"/>
          <w:szCs w:val="24"/>
        </w:rPr>
        <w:t>时，该项目环境风险潜势为Ⅰ。</w:t>
      </w:r>
    </w:p>
    <w:p w:rsidR="00DB7CC8" w:rsidRDefault="002B5250">
      <w:pPr>
        <w:ind w:firstLine="480"/>
        <w:jc w:val="both"/>
        <w:rPr>
          <w:bCs/>
          <w:sz w:val="24"/>
          <w:szCs w:val="24"/>
        </w:rPr>
      </w:pPr>
      <w:r>
        <w:rPr>
          <w:rFonts w:hint="eastAsia"/>
          <w:bCs/>
          <w:sz w:val="24"/>
          <w:szCs w:val="24"/>
        </w:rPr>
        <w:t>当</w:t>
      </w:r>
      <w:r>
        <w:rPr>
          <w:rFonts w:hint="eastAsia"/>
          <w:bCs/>
          <w:sz w:val="24"/>
          <w:szCs w:val="24"/>
        </w:rPr>
        <w:t>Q</w:t>
      </w:r>
      <w:r>
        <w:rPr>
          <w:rFonts w:hint="eastAsia"/>
          <w:bCs/>
          <w:sz w:val="24"/>
          <w:szCs w:val="24"/>
        </w:rPr>
        <w:t>≥</w:t>
      </w:r>
      <w:r>
        <w:rPr>
          <w:rFonts w:hint="eastAsia"/>
          <w:bCs/>
          <w:sz w:val="24"/>
          <w:szCs w:val="24"/>
        </w:rPr>
        <w:t>1</w:t>
      </w:r>
      <w:r>
        <w:rPr>
          <w:rFonts w:hint="eastAsia"/>
          <w:bCs/>
          <w:sz w:val="24"/>
          <w:szCs w:val="24"/>
        </w:rPr>
        <w:t>时，将</w:t>
      </w:r>
      <w:r>
        <w:rPr>
          <w:rFonts w:hint="eastAsia"/>
          <w:bCs/>
          <w:sz w:val="24"/>
          <w:szCs w:val="24"/>
        </w:rPr>
        <w:t>Q</w:t>
      </w:r>
      <w:r>
        <w:rPr>
          <w:rFonts w:hint="eastAsia"/>
          <w:bCs/>
          <w:sz w:val="24"/>
          <w:szCs w:val="24"/>
        </w:rPr>
        <w:t>值划分为：（</w:t>
      </w:r>
      <w:r>
        <w:rPr>
          <w:rFonts w:hint="eastAsia"/>
          <w:bCs/>
          <w:sz w:val="24"/>
          <w:szCs w:val="24"/>
        </w:rPr>
        <w:t>1</w:t>
      </w:r>
      <w:r>
        <w:rPr>
          <w:rFonts w:hint="eastAsia"/>
          <w:bCs/>
          <w:sz w:val="24"/>
          <w:szCs w:val="24"/>
        </w:rPr>
        <w:t>）</w:t>
      </w:r>
      <w:r>
        <w:rPr>
          <w:rFonts w:hint="eastAsia"/>
          <w:bCs/>
          <w:sz w:val="24"/>
          <w:szCs w:val="24"/>
        </w:rPr>
        <w:t>1</w:t>
      </w:r>
      <w:r>
        <w:rPr>
          <w:rFonts w:hint="eastAsia"/>
          <w:bCs/>
          <w:sz w:val="24"/>
          <w:szCs w:val="24"/>
        </w:rPr>
        <w:t>≤</w:t>
      </w:r>
      <w:r>
        <w:rPr>
          <w:rFonts w:hint="eastAsia"/>
          <w:bCs/>
          <w:sz w:val="24"/>
          <w:szCs w:val="24"/>
        </w:rPr>
        <w:t>Q</w:t>
      </w:r>
      <w:r>
        <w:rPr>
          <w:rFonts w:hint="eastAsia"/>
          <w:bCs/>
          <w:sz w:val="24"/>
          <w:szCs w:val="24"/>
        </w:rPr>
        <w:t>＜</w:t>
      </w:r>
      <w:r>
        <w:rPr>
          <w:rFonts w:hint="eastAsia"/>
          <w:bCs/>
          <w:sz w:val="24"/>
          <w:szCs w:val="24"/>
        </w:rPr>
        <w:t>10</w:t>
      </w:r>
      <w:r>
        <w:rPr>
          <w:rFonts w:hint="eastAsia"/>
          <w:bCs/>
          <w:sz w:val="24"/>
          <w:szCs w:val="24"/>
        </w:rPr>
        <w:t>；（</w:t>
      </w:r>
      <w:r>
        <w:rPr>
          <w:rFonts w:hint="eastAsia"/>
          <w:bCs/>
          <w:sz w:val="24"/>
          <w:szCs w:val="24"/>
        </w:rPr>
        <w:t>2</w:t>
      </w:r>
      <w:r>
        <w:rPr>
          <w:rFonts w:hint="eastAsia"/>
          <w:bCs/>
          <w:sz w:val="24"/>
          <w:szCs w:val="24"/>
        </w:rPr>
        <w:t>）</w:t>
      </w:r>
      <w:r>
        <w:rPr>
          <w:rFonts w:hint="eastAsia"/>
          <w:bCs/>
          <w:sz w:val="24"/>
          <w:szCs w:val="24"/>
        </w:rPr>
        <w:t>10</w:t>
      </w:r>
      <w:r>
        <w:rPr>
          <w:rFonts w:hint="eastAsia"/>
          <w:bCs/>
          <w:sz w:val="24"/>
          <w:szCs w:val="24"/>
        </w:rPr>
        <w:t>≤</w:t>
      </w:r>
      <w:r>
        <w:rPr>
          <w:rFonts w:hint="eastAsia"/>
          <w:bCs/>
          <w:sz w:val="24"/>
          <w:szCs w:val="24"/>
        </w:rPr>
        <w:t>Q</w:t>
      </w:r>
      <w:r>
        <w:rPr>
          <w:rFonts w:hint="eastAsia"/>
          <w:bCs/>
          <w:sz w:val="24"/>
          <w:szCs w:val="24"/>
        </w:rPr>
        <w:t>＜</w:t>
      </w:r>
      <w:r>
        <w:rPr>
          <w:rFonts w:hint="eastAsia"/>
          <w:bCs/>
          <w:sz w:val="24"/>
          <w:szCs w:val="24"/>
        </w:rPr>
        <w:t>100</w:t>
      </w:r>
      <w:r>
        <w:rPr>
          <w:rFonts w:hint="eastAsia"/>
          <w:bCs/>
          <w:sz w:val="24"/>
          <w:szCs w:val="24"/>
        </w:rPr>
        <w:t>；（</w:t>
      </w:r>
      <w:r>
        <w:rPr>
          <w:rFonts w:hint="eastAsia"/>
          <w:bCs/>
          <w:sz w:val="24"/>
          <w:szCs w:val="24"/>
        </w:rPr>
        <w:t>3</w:t>
      </w:r>
      <w:r>
        <w:rPr>
          <w:rFonts w:hint="eastAsia"/>
          <w:bCs/>
          <w:sz w:val="24"/>
          <w:szCs w:val="24"/>
        </w:rPr>
        <w:t>）</w:t>
      </w:r>
      <w:r>
        <w:rPr>
          <w:rFonts w:hint="eastAsia"/>
          <w:bCs/>
          <w:sz w:val="24"/>
          <w:szCs w:val="24"/>
        </w:rPr>
        <w:t>Q</w:t>
      </w:r>
      <w:r>
        <w:rPr>
          <w:rFonts w:hint="eastAsia"/>
          <w:bCs/>
          <w:sz w:val="24"/>
          <w:szCs w:val="24"/>
        </w:rPr>
        <w:t>≥</w:t>
      </w:r>
      <w:r>
        <w:rPr>
          <w:rFonts w:hint="eastAsia"/>
          <w:bCs/>
          <w:sz w:val="24"/>
          <w:szCs w:val="24"/>
        </w:rPr>
        <w:t>100</w:t>
      </w:r>
      <w:r>
        <w:rPr>
          <w:rFonts w:hint="eastAsia"/>
          <w:bCs/>
          <w:sz w:val="24"/>
          <w:szCs w:val="24"/>
        </w:rPr>
        <w:t>。</w:t>
      </w:r>
    </w:p>
    <w:p w:rsidR="00DB7CC8" w:rsidRDefault="002B5250">
      <w:pPr>
        <w:pStyle w:val="a9"/>
        <w:ind w:firstLine="480"/>
        <w:rPr>
          <w:rFonts w:ascii="Times New Roman" w:eastAsia="黑体" w:hAnsi="Times New Roman" w:cs="Times New Roman"/>
          <w:b w:val="0"/>
          <w:bCs/>
          <w:snapToGrid/>
          <w:kern w:val="2"/>
          <w:sz w:val="21"/>
          <w:szCs w:val="21"/>
        </w:rPr>
      </w:pPr>
      <w:r>
        <w:rPr>
          <w:rFonts w:ascii="Times New Roman" w:eastAsia="黑体" w:hAnsi="Times New Roman" w:cs="Times New Roman" w:hint="eastAsia"/>
          <w:b w:val="0"/>
          <w:bCs/>
          <w:snapToGrid/>
          <w:kern w:val="2"/>
          <w:sz w:val="21"/>
          <w:szCs w:val="21"/>
        </w:rPr>
        <w:t>表</w:t>
      </w:r>
      <w:r>
        <w:rPr>
          <w:rFonts w:ascii="Times New Roman" w:eastAsia="黑体" w:hAnsi="Times New Roman" w:cs="Times New Roman" w:hint="eastAsia"/>
          <w:b w:val="0"/>
          <w:bCs/>
          <w:snapToGrid/>
          <w:kern w:val="2"/>
          <w:sz w:val="21"/>
          <w:szCs w:val="21"/>
        </w:rPr>
        <w:t xml:space="preserve">5.2-40 </w:t>
      </w:r>
      <w:r>
        <w:rPr>
          <w:rFonts w:ascii="Times New Roman" w:eastAsia="黑体" w:hAnsi="Times New Roman" w:cs="Times New Roman"/>
          <w:b w:val="0"/>
          <w:bCs/>
          <w:snapToGrid/>
          <w:kern w:val="2"/>
          <w:sz w:val="21"/>
          <w:szCs w:val="21"/>
        </w:rPr>
        <w:t xml:space="preserve">  </w:t>
      </w:r>
      <w:r>
        <w:rPr>
          <w:rFonts w:ascii="Times New Roman" w:eastAsia="黑体" w:hAnsi="Times New Roman" w:cs="Times New Roman" w:hint="eastAsia"/>
          <w:b w:val="0"/>
          <w:bCs/>
          <w:snapToGrid/>
          <w:kern w:val="2"/>
          <w:sz w:val="21"/>
          <w:szCs w:val="21"/>
        </w:rPr>
        <w:t>项目危险物质储存情况一览表</w:t>
      </w:r>
    </w:p>
    <w:tbl>
      <w:tblPr>
        <w:tblW w:w="85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9"/>
        <w:gridCol w:w="901"/>
        <w:gridCol w:w="460"/>
        <w:gridCol w:w="940"/>
        <w:gridCol w:w="1453"/>
        <w:gridCol w:w="1451"/>
        <w:gridCol w:w="1058"/>
        <w:gridCol w:w="901"/>
        <w:gridCol w:w="892"/>
      </w:tblGrid>
      <w:tr w:rsidR="00DB7CC8">
        <w:trPr>
          <w:trHeight w:hRule="exact" w:val="581"/>
          <w:tblHeader/>
          <w:jc w:val="center"/>
        </w:trPr>
        <w:tc>
          <w:tcPr>
            <w:tcW w:w="459" w:type="dxa"/>
            <w:shd w:val="clear" w:color="auto" w:fill="auto"/>
            <w:vAlign w:val="center"/>
          </w:tcPr>
          <w:p w:rsidR="00DB7CC8" w:rsidRDefault="002B5250">
            <w:pPr>
              <w:pStyle w:val="afffffffc"/>
              <w:spacing w:line="240" w:lineRule="auto"/>
            </w:pPr>
            <w:r>
              <w:t>序号</w:t>
            </w:r>
          </w:p>
        </w:tc>
        <w:tc>
          <w:tcPr>
            <w:tcW w:w="901" w:type="dxa"/>
            <w:shd w:val="clear" w:color="auto" w:fill="auto"/>
            <w:vAlign w:val="center"/>
          </w:tcPr>
          <w:p w:rsidR="00DB7CC8" w:rsidRDefault="002B5250">
            <w:pPr>
              <w:pStyle w:val="afffffffc"/>
              <w:spacing w:line="240" w:lineRule="auto"/>
            </w:pPr>
            <w:r>
              <w:t>项</w:t>
            </w:r>
            <w:r>
              <w:t xml:space="preserve">  </w:t>
            </w:r>
            <w:r>
              <w:t>目</w:t>
            </w:r>
          </w:p>
        </w:tc>
        <w:tc>
          <w:tcPr>
            <w:tcW w:w="460" w:type="dxa"/>
            <w:shd w:val="clear" w:color="auto" w:fill="auto"/>
            <w:vAlign w:val="center"/>
          </w:tcPr>
          <w:p w:rsidR="00DB7CC8" w:rsidRDefault="002B5250">
            <w:pPr>
              <w:pStyle w:val="afffffffc"/>
              <w:spacing w:line="240" w:lineRule="auto"/>
            </w:pPr>
            <w:r>
              <w:t>规格</w:t>
            </w:r>
          </w:p>
        </w:tc>
        <w:tc>
          <w:tcPr>
            <w:tcW w:w="940" w:type="dxa"/>
            <w:shd w:val="clear" w:color="auto" w:fill="auto"/>
            <w:vAlign w:val="center"/>
          </w:tcPr>
          <w:p w:rsidR="00DB7CC8" w:rsidRDefault="002B5250">
            <w:pPr>
              <w:pStyle w:val="afffffffc"/>
              <w:spacing w:line="240" w:lineRule="auto"/>
            </w:pPr>
            <w:r>
              <w:t>年用量（</w:t>
            </w:r>
            <w:r>
              <w:t>t</w:t>
            </w:r>
            <w:r>
              <w:t>）</w:t>
            </w:r>
          </w:p>
        </w:tc>
        <w:tc>
          <w:tcPr>
            <w:tcW w:w="1453" w:type="dxa"/>
            <w:shd w:val="clear" w:color="auto" w:fill="auto"/>
            <w:vAlign w:val="center"/>
          </w:tcPr>
          <w:p w:rsidR="00DB7CC8" w:rsidRDefault="002B5250">
            <w:pPr>
              <w:pStyle w:val="afffffffc"/>
              <w:spacing w:line="240" w:lineRule="auto"/>
            </w:pPr>
            <w:r>
              <w:t>循环使用量（</w:t>
            </w:r>
            <w:r>
              <w:t>t</w:t>
            </w:r>
            <w:r>
              <w:t>）</w:t>
            </w:r>
          </w:p>
        </w:tc>
        <w:tc>
          <w:tcPr>
            <w:tcW w:w="1451" w:type="dxa"/>
            <w:shd w:val="clear" w:color="auto" w:fill="auto"/>
            <w:vAlign w:val="center"/>
          </w:tcPr>
          <w:p w:rsidR="00DB7CC8" w:rsidRDefault="002B5250">
            <w:pPr>
              <w:pStyle w:val="afffffffc"/>
              <w:spacing w:line="240" w:lineRule="auto"/>
            </w:pPr>
            <w:r>
              <w:t>包装规格</w:t>
            </w:r>
          </w:p>
        </w:tc>
        <w:tc>
          <w:tcPr>
            <w:tcW w:w="1058" w:type="dxa"/>
            <w:shd w:val="clear" w:color="auto" w:fill="auto"/>
            <w:vAlign w:val="center"/>
          </w:tcPr>
          <w:p w:rsidR="00DB7CC8" w:rsidRDefault="002B5250">
            <w:pPr>
              <w:pStyle w:val="afffffffc"/>
              <w:spacing w:line="240" w:lineRule="auto"/>
            </w:pPr>
            <w:r>
              <w:t>储存量（</w:t>
            </w:r>
            <w:r>
              <w:t>t</w:t>
            </w:r>
            <w:r>
              <w:t>）</w:t>
            </w:r>
          </w:p>
        </w:tc>
        <w:tc>
          <w:tcPr>
            <w:tcW w:w="901" w:type="dxa"/>
            <w:vAlign w:val="center"/>
          </w:tcPr>
          <w:p w:rsidR="00DB7CC8" w:rsidRDefault="002B5250">
            <w:pPr>
              <w:pStyle w:val="afffffffc"/>
              <w:spacing w:line="240" w:lineRule="auto"/>
            </w:pPr>
            <w:r>
              <w:t>储存方式</w:t>
            </w:r>
          </w:p>
        </w:tc>
        <w:tc>
          <w:tcPr>
            <w:tcW w:w="892" w:type="dxa"/>
            <w:vAlign w:val="center"/>
          </w:tcPr>
          <w:p w:rsidR="00DB7CC8" w:rsidRDefault="002B5250">
            <w:pPr>
              <w:pStyle w:val="afffffffc"/>
              <w:spacing w:line="240" w:lineRule="auto"/>
            </w:pPr>
            <w:r>
              <w:t>储存地点</w:t>
            </w:r>
          </w:p>
        </w:tc>
      </w:tr>
      <w:tr w:rsidR="00DB7CC8">
        <w:trPr>
          <w:trHeight w:hRule="exact" w:val="397"/>
          <w:jc w:val="center"/>
        </w:trPr>
        <w:tc>
          <w:tcPr>
            <w:tcW w:w="459" w:type="dxa"/>
            <w:shd w:val="clear" w:color="auto" w:fill="auto"/>
            <w:vAlign w:val="center"/>
          </w:tcPr>
          <w:p w:rsidR="00DB7CC8" w:rsidRDefault="002B5250">
            <w:pPr>
              <w:pStyle w:val="afffffffc"/>
              <w:spacing w:line="240" w:lineRule="auto"/>
            </w:pPr>
            <w:r>
              <w:t>1</w:t>
            </w:r>
          </w:p>
        </w:tc>
        <w:tc>
          <w:tcPr>
            <w:tcW w:w="901" w:type="dxa"/>
            <w:shd w:val="clear" w:color="auto" w:fill="auto"/>
            <w:vAlign w:val="center"/>
          </w:tcPr>
          <w:p w:rsidR="00DB7CC8" w:rsidRDefault="002B5250">
            <w:pPr>
              <w:pStyle w:val="afffffffc"/>
              <w:spacing w:line="240" w:lineRule="auto"/>
            </w:pPr>
            <w:r>
              <w:rPr>
                <w:rFonts w:hint="eastAsia"/>
              </w:rPr>
              <w:t>废矿物油</w:t>
            </w:r>
          </w:p>
        </w:tc>
        <w:tc>
          <w:tcPr>
            <w:tcW w:w="460" w:type="dxa"/>
            <w:shd w:val="clear" w:color="auto" w:fill="auto"/>
            <w:vAlign w:val="center"/>
          </w:tcPr>
          <w:p w:rsidR="00DB7CC8" w:rsidRDefault="002B5250">
            <w:pPr>
              <w:pStyle w:val="afffffffc"/>
              <w:spacing w:line="240" w:lineRule="auto"/>
            </w:pPr>
            <w:r>
              <w:rPr>
                <w:rFonts w:hint="eastAsia"/>
              </w:rPr>
              <w:t>液</w:t>
            </w:r>
          </w:p>
        </w:tc>
        <w:tc>
          <w:tcPr>
            <w:tcW w:w="940" w:type="dxa"/>
            <w:shd w:val="clear" w:color="auto" w:fill="auto"/>
            <w:vAlign w:val="center"/>
          </w:tcPr>
          <w:p w:rsidR="00DB7CC8" w:rsidRDefault="002B5250">
            <w:pPr>
              <w:pStyle w:val="afffffffc"/>
              <w:spacing w:line="240" w:lineRule="auto"/>
            </w:pPr>
            <w:r>
              <w:rPr>
                <w:rFonts w:hint="eastAsia"/>
              </w:rPr>
              <w:t>0.6</w:t>
            </w:r>
          </w:p>
        </w:tc>
        <w:tc>
          <w:tcPr>
            <w:tcW w:w="1453" w:type="dxa"/>
            <w:shd w:val="clear" w:color="auto" w:fill="auto"/>
            <w:vAlign w:val="center"/>
          </w:tcPr>
          <w:p w:rsidR="00DB7CC8" w:rsidRDefault="002B5250">
            <w:pPr>
              <w:pStyle w:val="afffffffc"/>
              <w:spacing w:line="240" w:lineRule="auto"/>
            </w:pPr>
            <w:r>
              <w:t>—</w:t>
            </w:r>
          </w:p>
        </w:tc>
        <w:tc>
          <w:tcPr>
            <w:tcW w:w="1451" w:type="dxa"/>
            <w:shd w:val="clear" w:color="auto" w:fill="auto"/>
            <w:vAlign w:val="center"/>
          </w:tcPr>
          <w:p w:rsidR="00DB7CC8" w:rsidRDefault="002B5250">
            <w:pPr>
              <w:pStyle w:val="afffffffc"/>
              <w:spacing w:line="240" w:lineRule="auto"/>
            </w:pPr>
            <w:r>
              <w:t>25kg/</w:t>
            </w:r>
            <w:r>
              <w:t>桶</w:t>
            </w:r>
          </w:p>
        </w:tc>
        <w:tc>
          <w:tcPr>
            <w:tcW w:w="1058" w:type="dxa"/>
            <w:shd w:val="clear" w:color="auto" w:fill="auto"/>
            <w:vAlign w:val="center"/>
          </w:tcPr>
          <w:p w:rsidR="00DB7CC8" w:rsidRDefault="002B5250">
            <w:pPr>
              <w:pStyle w:val="afffffffc"/>
              <w:spacing w:line="240" w:lineRule="auto"/>
            </w:pPr>
            <w:r>
              <w:rPr>
                <w:rFonts w:hint="eastAsia"/>
              </w:rPr>
              <w:t>0.3</w:t>
            </w:r>
          </w:p>
        </w:tc>
        <w:tc>
          <w:tcPr>
            <w:tcW w:w="901" w:type="dxa"/>
            <w:vAlign w:val="center"/>
          </w:tcPr>
          <w:p w:rsidR="00DB7CC8" w:rsidRDefault="002B5250">
            <w:pPr>
              <w:pStyle w:val="afffffffc"/>
              <w:spacing w:line="240" w:lineRule="auto"/>
            </w:pPr>
            <w:r>
              <w:rPr>
                <w:rFonts w:hint="eastAsia"/>
              </w:rPr>
              <w:t>塑料桶</w:t>
            </w:r>
          </w:p>
        </w:tc>
        <w:tc>
          <w:tcPr>
            <w:tcW w:w="892" w:type="dxa"/>
            <w:vAlign w:val="center"/>
          </w:tcPr>
          <w:p w:rsidR="00DB7CC8" w:rsidRDefault="002B5250">
            <w:pPr>
              <w:pStyle w:val="afffffffc"/>
              <w:spacing w:line="240" w:lineRule="auto"/>
            </w:pPr>
            <w:r>
              <w:rPr>
                <w:rFonts w:hint="eastAsia"/>
              </w:rPr>
              <w:t>危废间</w:t>
            </w:r>
          </w:p>
        </w:tc>
      </w:tr>
    </w:tbl>
    <w:p w:rsidR="00DB7CC8" w:rsidRDefault="00DB7CC8">
      <w:pPr>
        <w:pStyle w:val="a9"/>
        <w:ind w:firstLine="480"/>
        <w:rPr>
          <w:rFonts w:ascii="Times New Roman" w:eastAsia="黑体" w:hAnsi="Times New Roman" w:cs="Times New Roman"/>
          <w:b w:val="0"/>
          <w:bCs/>
          <w:snapToGrid/>
          <w:kern w:val="2"/>
          <w:sz w:val="21"/>
          <w:szCs w:val="21"/>
        </w:rPr>
      </w:pPr>
    </w:p>
    <w:p w:rsidR="00DB7CC8" w:rsidRDefault="002B5250">
      <w:pPr>
        <w:pStyle w:val="a9"/>
        <w:ind w:firstLine="480"/>
        <w:rPr>
          <w:rFonts w:ascii="Times New Roman" w:eastAsia="黑体" w:hAnsi="Times New Roman" w:cs="Times New Roman"/>
          <w:b w:val="0"/>
          <w:bCs/>
          <w:snapToGrid/>
          <w:kern w:val="2"/>
          <w:sz w:val="21"/>
          <w:szCs w:val="21"/>
        </w:rPr>
      </w:pPr>
      <w:r>
        <w:rPr>
          <w:rFonts w:ascii="Times New Roman" w:eastAsia="黑体" w:hAnsi="Times New Roman" w:cs="Times New Roman" w:hint="eastAsia"/>
          <w:b w:val="0"/>
          <w:bCs/>
          <w:snapToGrid/>
          <w:kern w:val="2"/>
          <w:sz w:val="21"/>
          <w:szCs w:val="21"/>
        </w:rPr>
        <w:t>表</w:t>
      </w:r>
      <w:r>
        <w:rPr>
          <w:rFonts w:ascii="Times New Roman" w:eastAsia="黑体" w:hAnsi="Times New Roman" w:cs="Times New Roman" w:hint="eastAsia"/>
          <w:b w:val="0"/>
          <w:bCs/>
          <w:snapToGrid/>
          <w:kern w:val="2"/>
          <w:sz w:val="21"/>
          <w:szCs w:val="21"/>
        </w:rPr>
        <w:t xml:space="preserve">5.2-41  </w:t>
      </w:r>
      <w:r>
        <w:rPr>
          <w:rFonts w:ascii="Times New Roman" w:eastAsia="黑体" w:hAnsi="Times New Roman" w:cs="Times New Roman" w:hint="eastAsia"/>
          <w:b w:val="0"/>
          <w:bCs/>
          <w:snapToGrid/>
          <w:kern w:val="2"/>
          <w:sz w:val="21"/>
          <w:szCs w:val="21"/>
        </w:rPr>
        <w:t>本项目危险物质数量与临界量比值</w:t>
      </w:r>
      <w:r>
        <w:rPr>
          <w:rFonts w:ascii="Times New Roman" w:eastAsia="黑体" w:hAnsi="Times New Roman" w:cs="Times New Roman" w:hint="eastAsia"/>
          <w:b w:val="0"/>
          <w:bCs/>
          <w:snapToGrid/>
          <w:kern w:val="2"/>
          <w:sz w:val="21"/>
          <w:szCs w:val="21"/>
        </w:rPr>
        <w:t>Q</w:t>
      </w:r>
      <w:r>
        <w:rPr>
          <w:rFonts w:ascii="Times New Roman" w:eastAsia="黑体" w:hAnsi="Times New Roman" w:cs="Times New Roman" w:hint="eastAsia"/>
          <w:b w:val="0"/>
          <w:bCs/>
          <w:snapToGrid/>
          <w:kern w:val="2"/>
          <w:sz w:val="21"/>
          <w:szCs w:val="21"/>
        </w:rPr>
        <w:t>确定表</w:t>
      </w:r>
    </w:p>
    <w:tbl>
      <w:tblPr>
        <w:tblW w:w="8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93"/>
        <w:gridCol w:w="1613"/>
        <w:gridCol w:w="1413"/>
        <w:gridCol w:w="1911"/>
        <w:gridCol w:w="1387"/>
        <w:gridCol w:w="1644"/>
      </w:tblGrid>
      <w:tr w:rsidR="00DB7CC8">
        <w:trPr>
          <w:trHeight w:hRule="exact" w:val="397"/>
          <w:jc w:val="center"/>
        </w:trPr>
        <w:tc>
          <w:tcPr>
            <w:tcW w:w="593" w:type="dxa"/>
            <w:shd w:val="clear" w:color="auto" w:fill="auto"/>
            <w:vAlign w:val="center"/>
          </w:tcPr>
          <w:p w:rsidR="00DB7CC8" w:rsidRDefault="002B5250">
            <w:pPr>
              <w:pStyle w:val="afffffffc"/>
              <w:spacing w:line="240" w:lineRule="auto"/>
            </w:pPr>
            <w:r>
              <w:t>序号</w:t>
            </w:r>
          </w:p>
        </w:tc>
        <w:tc>
          <w:tcPr>
            <w:tcW w:w="1613" w:type="dxa"/>
            <w:shd w:val="clear" w:color="auto" w:fill="auto"/>
            <w:vAlign w:val="center"/>
          </w:tcPr>
          <w:p w:rsidR="00DB7CC8" w:rsidRDefault="002B5250">
            <w:pPr>
              <w:pStyle w:val="afffffffc"/>
              <w:spacing w:line="240" w:lineRule="auto"/>
            </w:pPr>
            <w:r>
              <w:t>危险物质名称</w:t>
            </w:r>
          </w:p>
        </w:tc>
        <w:tc>
          <w:tcPr>
            <w:tcW w:w="1413" w:type="dxa"/>
            <w:shd w:val="clear" w:color="auto" w:fill="auto"/>
            <w:vAlign w:val="center"/>
          </w:tcPr>
          <w:p w:rsidR="00DB7CC8" w:rsidRDefault="002B5250">
            <w:pPr>
              <w:pStyle w:val="afffffffc"/>
              <w:spacing w:line="240" w:lineRule="auto"/>
            </w:pPr>
            <w:r>
              <w:t>CAS</w:t>
            </w:r>
            <w:r>
              <w:t>号</w:t>
            </w:r>
          </w:p>
        </w:tc>
        <w:tc>
          <w:tcPr>
            <w:tcW w:w="1911" w:type="dxa"/>
            <w:shd w:val="clear" w:color="auto" w:fill="auto"/>
            <w:vAlign w:val="center"/>
          </w:tcPr>
          <w:p w:rsidR="00DB7CC8" w:rsidRDefault="002B5250">
            <w:pPr>
              <w:pStyle w:val="afffffffc"/>
              <w:spacing w:line="240" w:lineRule="auto"/>
            </w:pPr>
            <w:r>
              <w:t>最大存在量</w:t>
            </w:r>
            <w:r>
              <w:t>qn/t</w:t>
            </w:r>
          </w:p>
        </w:tc>
        <w:tc>
          <w:tcPr>
            <w:tcW w:w="1387" w:type="dxa"/>
            <w:shd w:val="clear" w:color="auto" w:fill="auto"/>
            <w:vAlign w:val="center"/>
          </w:tcPr>
          <w:p w:rsidR="00DB7CC8" w:rsidRDefault="002B5250">
            <w:pPr>
              <w:pStyle w:val="afffffffc"/>
              <w:spacing w:line="240" w:lineRule="auto"/>
            </w:pPr>
            <w:r>
              <w:t>临界量</w:t>
            </w:r>
            <w:r>
              <w:t>Q</w:t>
            </w:r>
            <w:r>
              <w:rPr>
                <w:vertAlign w:val="subscript"/>
              </w:rPr>
              <w:t>n</w:t>
            </w:r>
            <w:r>
              <w:t>/t</w:t>
            </w:r>
          </w:p>
        </w:tc>
        <w:tc>
          <w:tcPr>
            <w:tcW w:w="1644" w:type="dxa"/>
            <w:shd w:val="clear" w:color="auto" w:fill="auto"/>
            <w:vAlign w:val="center"/>
          </w:tcPr>
          <w:p w:rsidR="00DB7CC8" w:rsidRDefault="002B5250">
            <w:pPr>
              <w:pStyle w:val="afffffffc"/>
              <w:spacing w:line="240" w:lineRule="auto"/>
            </w:pPr>
            <w:r>
              <w:t>危险物质</w:t>
            </w:r>
            <w:r>
              <w:t>Q</w:t>
            </w:r>
            <w:r>
              <w:t>值</w:t>
            </w:r>
          </w:p>
        </w:tc>
      </w:tr>
      <w:tr w:rsidR="00DB7CC8">
        <w:trPr>
          <w:trHeight w:hRule="exact" w:val="397"/>
          <w:jc w:val="center"/>
        </w:trPr>
        <w:tc>
          <w:tcPr>
            <w:tcW w:w="593" w:type="dxa"/>
            <w:shd w:val="clear" w:color="auto" w:fill="auto"/>
            <w:vAlign w:val="center"/>
          </w:tcPr>
          <w:p w:rsidR="00DB7CC8" w:rsidRDefault="002B5250">
            <w:pPr>
              <w:pStyle w:val="afffffffc"/>
              <w:spacing w:line="240" w:lineRule="auto"/>
            </w:pPr>
            <w:r>
              <w:t>1</w:t>
            </w:r>
          </w:p>
        </w:tc>
        <w:tc>
          <w:tcPr>
            <w:tcW w:w="1613" w:type="dxa"/>
            <w:shd w:val="clear" w:color="auto" w:fill="auto"/>
            <w:vAlign w:val="center"/>
          </w:tcPr>
          <w:p w:rsidR="00DB7CC8" w:rsidRDefault="002B5250">
            <w:pPr>
              <w:pStyle w:val="afffffffc"/>
              <w:spacing w:line="240" w:lineRule="auto"/>
            </w:pPr>
            <w:r>
              <w:rPr>
                <w:rFonts w:hint="eastAsia"/>
              </w:rPr>
              <w:t>废矿物油</w:t>
            </w:r>
          </w:p>
        </w:tc>
        <w:tc>
          <w:tcPr>
            <w:tcW w:w="1413" w:type="dxa"/>
            <w:shd w:val="clear" w:color="auto" w:fill="auto"/>
            <w:vAlign w:val="center"/>
          </w:tcPr>
          <w:p w:rsidR="00DB7CC8" w:rsidRDefault="002B5250">
            <w:pPr>
              <w:pStyle w:val="afffffffc"/>
              <w:spacing w:line="240" w:lineRule="auto"/>
            </w:pPr>
            <w:r>
              <w:t>--</w:t>
            </w:r>
          </w:p>
        </w:tc>
        <w:tc>
          <w:tcPr>
            <w:tcW w:w="1911" w:type="dxa"/>
            <w:shd w:val="clear" w:color="auto" w:fill="auto"/>
            <w:vAlign w:val="center"/>
          </w:tcPr>
          <w:p w:rsidR="00DB7CC8" w:rsidRDefault="002B5250">
            <w:pPr>
              <w:pStyle w:val="afffffffc"/>
              <w:spacing w:line="240" w:lineRule="auto"/>
            </w:pPr>
            <w:r>
              <w:rPr>
                <w:rFonts w:hint="eastAsia"/>
              </w:rPr>
              <w:t>0.3</w:t>
            </w:r>
          </w:p>
        </w:tc>
        <w:tc>
          <w:tcPr>
            <w:tcW w:w="1387" w:type="dxa"/>
            <w:shd w:val="clear" w:color="auto" w:fill="auto"/>
            <w:vAlign w:val="center"/>
          </w:tcPr>
          <w:p w:rsidR="00DB7CC8" w:rsidRDefault="002B5250">
            <w:pPr>
              <w:pStyle w:val="afffffffc"/>
              <w:spacing w:line="240" w:lineRule="auto"/>
            </w:pPr>
            <w:r>
              <w:t>2500</w:t>
            </w:r>
          </w:p>
        </w:tc>
        <w:tc>
          <w:tcPr>
            <w:tcW w:w="1644" w:type="dxa"/>
            <w:shd w:val="clear" w:color="auto" w:fill="auto"/>
            <w:vAlign w:val="center"/>
          </w:tcPr>
          <w:p w:rsidR="00DB7CC8" w:rsidRDefault="002B5250">
            <w:pPr>
              <w:pStyle w:val="afffffffc"/>
              <w:spacing w:line="240" w:lineRule="auto"/>
            </w:pPr>
            <w:r>
              <w:t>0.000</w:t>
            </w:r>
            <w:r>
              <w:rPr>
                <w:rFonts w:hint="eastAsia"/>
              </w:rPr>
              <w:t>12</w:t>
            </w:r>
          </w:p>
        </w:tc>
      </w:tr>
    </w:tbl>
    <w:p w:rsidR="00DB7CC8" w:rsidRDefault="002B5250">
      <w:pPr>
        <w:ind w:firstLine="480"/>
        <w:jc w:val="both"/>
        <w:rPr>
          <w:bCs/>
          <w:sz w:val="24"/>
          <w:szCs w:val="24"/>
        </w:rPr>
      </w:pPr>
      <w:r>
        <w:rPr>
          <w:rFonts w:hint="eastAsia"/>
          <w:bCs/>
          <w:sz w:val="24"/>
          <w:szCs w:val="24"/>
        </w:rPr>
        <w:t>表</w:t>
      </w:r>
      <w:r>
        <w:rPr>
          <w:rFonts w:hint="eastAsia"/>
          <w:bCs/>
          <w:sz w:val="24"/>
          <w:szCs w:val="24"/>
        </w:rPr>
        <w:t>5.2-41</w:t>
      </w:r>
      <w:r>
        <w:rPr>
          <w:rFonts w:hint="eastAsia"/>
          <w:bCs/>
          <w:sz w:val="24"/>
          <w:szCs w:val="24"/>
        </w:rPr>
        <w:t>可知，本项目</w:t>
      </w:r>
      <w:r>
        <w:rPr>
          <w:rFonts w:hint="eastAsia"/>
          <w:bCs/>
          <w:sz w:val="24"/>
          <w:szCs w:val="24"/>
        </w:rPr>
        <w:t>Q=0.00012</w:t>
      </w:r>
      <w:r>
        <w:rPr>
          <w:rFonts w:hint="eastAsia"/>
          <w:bCs/>
          <w:sz w:val="24"/>
          <w:szCs w:val="24"/>
        </w:rPr>
        <w:t>，</w:t>
      </w:r>
      <w:r>
        <w:rPr>
          <w:rFonts w:hint="eastAsia"/>
          <w:bCs/>
          <w:sz w:val="24"/>
          <w:szCs w:val="24"/>
        </w:rPr>
        <w:t>Q</w:t>
      </w:r>
      <w:r>
        <w:rPr>
          <w:rFonts w:hint="eastAsia"/>
          <w:bCs/>
          <w:sz w:val="24"/>
          <w:szCs w:val="24"/>
        </w:rPr>
        <w:t>＜</w:t>
      </w:r>
      <w:r>
        <w:rPr>
          <w:rFonts w:hint="eastAsia"/>
          <w:bCs/>
          <w:sz w:val="24"/>
          <w:szCs w:val="24"/>
        </w:rPr>
        <w:t>1</w:t>
      </w:r>
      <w:r>
        <w:rPr>
          <w:rFonts w:hint="eastAsia"/>
          <w:bCs/>
          <w:sz w:val="24"/>
          <w:szCs w:val="24"/>
        </w:rPr>
        <w:t>。因此，确定本项目环境风险潜势为Ⅰ。</w:t>
      </w:r>
    </w:p>
    <w:p w:rsidR="00DB7CC8" w:rsidRDefault="002B5250">
      <w:pPr>
        <w:ind w:firstLine="480"/>
        <w:jc w:val="both"/>
        <w:rPr>
          <w:bCs/>
          <w:sz w:val="24"/>
          <w:szCs w:val="24"/>
        </w:rPr>
      </w:pPr>
      <w:r>
        <w:rPr>
          <w:rFonts w:hint="eastAsia"/>
          <w:bCs/>
          <w:sz w:val="24"/>
          <w:szCs w:val="24"/>
        </w:rPr>
        <w:t>（</w:t>
      </w:r>
      <w:r>
        <w:rPr>
          <w:rFonts w:hint="eastAsia"/>
          <w:bCs/>
          <w:sz w:val="24"/>
          <w:szCs w:val="24"/>
        </w:rPr>
        <w:t>3</w:t>
      </w:r>
      <w:r>
        <w:rPr>
          <w:rFonts w:hint="eastAsia"/>
          <w:bCs/>
          <w:sz w:val="24"/>
          <w:szCs w:val="24"/>
        </w:rPr>
        <w:t>）评价等级</w:t>
      </w:r>
    </w:p>
    <w:p w:rsidR="00DB7CC8" w:rsidRDefault="002B5250">
      <w:pPr>
        <w:ind w:firstLine="480"/>
        <w:jc w:val="both"/>
        <w:rPr>
          <w:bCs/>
          <w:sz w:val="24"/>
          <w:szCs w:val="24"/>
        </w:rPr>
      </w:pPr>
      <w:r>
        <w:rPr>
          <w:rFonts w:hint="eastAsia"/>
          <w:bCs/>
          <w:sz w:val="24"/>
          <w:szCs w:val="24"/>
        </w:rPr>
        <w:t>根据《建设项目环境风险评价技术导则》（</w:t>
      </w:r>
      <w:r>
        <w:rPr>
          <w:rFonts w:hint="eastAsia"/>
          <w:bCs/>
          <w:sz w:val="24"/>
          <w:szCs w:val="24"/>
        </w:rPr>
        <w:t>HJ169-2018</w:t>
      </w:r>
      <w:r>
        <w:rPr>
          <w:rFonts w:hint="eastAsia"/>
          <w:bCs/>
          <w:sz w:val="24"/>
          <w:szCs w:val="24"/>
        </w:rPr>
        <w:t>）的要求，环境风险评价工作等级划分为一级、二级、三级，根据建设项目涉及的危险物质及工艺系统危险性和所在地的环境敏感性确定环境风险潜势。风险潜势为Ⅳ及以上，进行一级评价；风险潜势为Ⅲ，进行二级评价；风险潜势为Ⅱ，进行三级评价；风险潜势为Ⅰ，可开展简单分析。评价工作级别划分见表</w:t>
      </w:r>
      <w:r>
        <w:rPr>
          <w:rFonts w:hint="eastAsia"/>
          <w:bCs/>
          <w:sz w:val="24"/>
          <w:szCs w:val="24"/>
        </w:rPr>
        <w:t xml:space="preserve"> </w:t>
      </w:r>
      <w:r>
        <w:rPr>
          <w:bCs/>
          <w:sz w:val="24"/>
          <w:szCs w:val="24"/>
        </w:rPr>
        <w:t>5.2-</w:t>
      </w:r>
      <w:r>
        <w:rPr>
          <w:rFonts w:hint="eastAsia"/>
          <w:bCs/>
          <w:sz w:val="24"/>
          <w:szCs w:val="24"/>
        </w:rPr>
        <w:t>42</w:t>
      </w:r>
      <w:r>
        <w:rPr>
          <w:rFonts w:hint="eastAsia"/>
          <w:bCs/>
          <w:sz w:val="24"/>
          <w:szCs w:val="24"/>
        </w:rPr>
        <w:t>。</w:t>
      </w:r>
    </w:p>
    <w:p w:rsidR="00DB7CC8" w:rsidRDefault="002B5250">
      <w:pPr>
        <w:ind w:firstLine="420"/>
        <w:jc w:val="center"/>
        <w:rPr>
          <w:rFonts w:eastAsia="黑体"/>
          <w:bCs/>
          <w:kern w:val="2"/>
          <w:sz w:val="21"/>
          <w:szCs w:val="21"/>
        </w:rPr>
      </w:pPr>
      <w:r>
        <w:rPr>
          <w:rFonts w:eastAsia="黑体" w:hint="eastAsia"/>
          <w:bCs/>
          <w:kern w:val="2"/>
          <w:sz w:val="21"/>
          <w:szCs w:val="21"/>
        </w:rPr>
        <w:t>表</w:t>
      </w:r>
      <w:r>
        <w:rPr>
          <w:rFonts w:eastAsia="黑体" w:hint="eastAsia"/>
          <w:bCs/>
          <w:kern w:val="2"/>
          <w:sz w:val="21"/>
          <w:szCs w:val="21"/>
        </w:rPr>
        <w:t xml:space="preserve"> </w:t>
      </w:r>
      <w:r>
        <w:rPr>
          <w:rFonts w:eastAsia="黑体"/>
          <w:bCs/>
          <w:kern w:val="2"/>
          <w:sz w:val="21"/>
          <w:szCs w:val="21"/>
        </w:rPr>
        <w:t>5.2-</w:t>
      </w:r>
      <w:r>
        <w:rPr>
          <w:rFonts w:eastAsia="黑体" w:hint="eastAsia"/>
          <w:bCs/>
          <w:kern w:val="2"/>
          <w:sz w:val="21"/>
          <w:szCs w:val="21"/>
        </w:rPr>
        <w:t xml:space="preserve">42   </w:t>
      </w:r>
      <w:r>
        <w:rPr>
          <w:rFonts w:eastAsia="黑体" w:hint="eastAsia"/>
          <w:bCs/>
          <w:kern w:val="2"/>
          <w:sz w:val="21"/>
          <w:szCs w:val="21"/>
        </w:rPr>
        <w:t>评价工作级别划分一览表</w:t>
      </w:r>
    </w:p>
    <w:tbl>
      <w:tblPr>
        <w:tblW w:w="8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713"/>
        <w:gridCol w:w="1716"/>
        <w:gridCol w:w="1710"/>
        <w:gridCol w:w="1710"/>
        <w:gridCol w:w="1712"/>
      </w:tblGrid>
      <w:tr w:rsidR="00DB7CC8">
        <w:tc>
          <w:tcPr>
            <w:tcW w:w="1713" w:type="dxa"/>
            <w:shd w:val="clear" w:color="auto" w:fill="auto"/>
          </w:tcPr>
          <w:p w:rsidR="00DB7CC8" w:rsidRDefault="002B5250">
            <w:pPr>
              <w:pStyle w:val="afffffffc"/>
              <w:spacing w:line="240" w:lineRule="auto"/>
            </w:pPr>
            <w:r>
              <w:rPr>
                <w:rFonts w:hint="eastAsia"/>
              </w:rPr>
              <w:lastRenderedPageBreak/>
              <w:t>环境风险潜势</w:t>
            </w:r>
          </w:p>
        </w:tc>
        <w:tc>
          <w:tcPr>
            <w:tcW w:w="1716" w:type="dxa"/>
            <w:shd w:val="clear" w:color="auto" w:fill="auto"/>
          </w:tcPr>
          <w:p w:rsidR="00DB7CC8" w:rsidRDefault="002B5250">
            <w:pPr>
              <w:pStyle w:val="afffffffc"/>
              <w:spacing w:line="240" w:lineRule="auto"/>
            </w:pPr>
            <w:r>
              <w:rPr>
                <w:rFonts w:hint="eastAsia"/>
              </w:rPr>
              <w:t>Ⅳ</w:t>
            </w:r>
            <w:r>
              <w:t>、</w:t>
            </w:r>
            <w:r>
              <w:rPr>
                <w:rFonts w:hint="eastAsia"/>
              </w:rPr>
              <w:t>Ⅳ</w:t>
            </w:r>
            <w:r>
              <w:t>+</w:t>
            </w:r>
          </w:p>
        </w:tc>
        <w:tc>
          <w:tcPr>
            <w:tcW w:w="1710" w:type="dxa"/>
            <w:shd w:val="clear" w:color="auto" w:fill="auto"/>
          </w:tcPr>
          <w:p w:rsidR="00DB7CC8" w:rsidRDefault="002B5250">
            <w:pPr>
              <w:pStyle w:val="afffffffc"/>
              <w:spacing w:line="240" w:lineRule="auto"/>
            </w:pPr>
            <w:r>
              <w:rPr>
                <w:rFonts w:hint="eastAsia"/>
              </w:rPr>
              <w:t>Ⅲ</w:t>
            </w:r>
          </w:p>
        </w:tc>
        <w:tc>
          <w:tcPr>
            <w:tcW w:w="1710" w:type="dxa"/>
            <w:shd w:val="clear" w:color="auto" w:fill="auto"/>
          </w:tcPr>
          <w:p w:rsidR="00DB7CC8" w:rsidRDefault="002B5250">
            <w:pPr>
              <w:pStyle w:val="afffffffc"/>
              <w:spacing w:line="240" w:lineRule="auto"/>
            </w:pPr>
            <w:r>
              <w:rPr>
                <w:rFonts w:hint="eastAsia"/>
              </w:rPr>
              <w:t>Ⅱ</w:t>
            </w:r>
          </w:p>
        </w:tc>
        <w:tc>
          <w:tcPr>
            <w:tcW w:w="1712" w:type="dxa"/>
            <w:shd w:val="clear" w:color="auto" w:fill="auto"/>
          </w:tcPr>
          <w:p w:rsidR="00DB7CC8" w:rsidRDefault="002B5250">
            <w:pPr>
              <w:pStyle w:val="afffffffc"/>
              <w:spacing w:line="240" w:lineRule="auto"/>
              <w:rPr>
                <w:b/>
              </w:rPr>
            </w:pPr>
            <w:r>
              <w:rPr>
                <w:rFonts w:hint="eastAsia"/>
                <w:b/>
              </w:rPr>
              <w:t>Ⅰ</w:t>
            </w:r>
          </w:p>
        </w:tc>
      </w:tr>
      <w:tr w:rsidR="00DB7CC8">
        <w:tc>
          <w:tcPr>
            <w:tcW w:w="1713" w:type="dxa"/>
            <w:shd w:val="clear" w:color="auto" w:fill="auto"/>
          </w:tcPr>
          <w:p w:rsidR="00DB7CC8" w:rsidRDefault="002B5250">
            <w:pPr>
              <w:pStyle w:val="afffffffc"/>
              <w:spacing w:line="240" w:lineRule="auto"/>
            </w:pPr>
            <w:r>
              <w:rPr>
                <w:rFonts w:hint="eastAsia"/>
              </w:rPr>
              <w:t>评价工作等级</w:t>
            </w:r>
          </w:p>
        </w:tc>
        <w:tc>
          <w:tcPr>
            <w:tcW w:w="1716" w:type="dxa"/>
            <w:shd w:val="clear" w:color="auto" w:fill="auto"/>
          </w:tcPr>
          <w:p w:rsidR="00DB7CC8" w:rsidRDefault="002B5250">
            <w:pPr>
              <w:pStyle w:val="afffffffc"/>
              <w:spacing w:line="240" w:lineRule="auto"/>
            </w:pPr>
            <w:r>
              <w:t>一</w:t>
            </w:r>
          </w:p>
        </w:tc>
        <w:tc>
          <w:tcPr>
            <w:tcW w:w="1710" w:type="dxa"/>
            <w:shd w:val="clear" w:color="auto" w:fill="auto"/>
          </w:tcPr>
          <w:p w:rsidR="00DB7CC8" w:rsidRDefault="002B5250">
            <w:pPr>
              <w:pStyle w:val="afffffffc"/>
              <w:spacing w:line="240" w:lineRule="auto"/>
            </w:pPr>
            <w:r>
              <w:t>二</w:t>
            </w:r>
          </w:p>
        </w:tc>
        <w:tc>
          <w:tcPr>
            <w:tcW w:w="1710" w:type="dxa"/>
            <w:shd w:val="clear" w:color="auto" w:fill="auto"/>
          </w:tcPr>
          <w:p w:rsidR="00DB7CC8" w:rsidRDefault="002B5250">
            <w:pPr>
              <w:pStyle w:val="afffffffc"/>
              <w:spacing w:line="240" w:lineRule="auto"/>
            </w:pPr>
            <w:r>
              <w:t>三</w:t>
            </w:r>
          </w:p>
        </w:tc>
        <w:tc>
          <w:tcPr>
            <w:tcW w:w="1712" w:type="dxa"/>
            <w:shd w:val="clear" w:color="auto" w:fill="auto"/>
          </w:tcPr>
          <w:p w:rsidR="00DB7CC8" w:rsidRDefault="002B5250">
            <w:pPr>
              <w:pStyle w:val="afffffffc"/>
              <w:spacing w:line="240" w:lineRule="auto"/>
              <w:rPr>
                <w:b/>
              </w:rPr>
            </w:pPr>
            <w:r>
              <w:rPr>
                <w:b/>
              </w:rPr>
              <w:t>简单分析</w:t>
            </w:r>
            <w:r>
              <w:rPr>
                <w:rFonts w:hint="eastAsia"/>
                <w:b/>
              </w:rPr>
              <w:t>a</w:t>
            </w:r>
          </w:p>
        </w:tc>
      </w:tr>
      <w:tr w:rsidR="00DB7CC8">
        <w:tc>
          <w:tcPr>
            <w:tcW w:w="8561" w:type="dxa"/>
            <w:gridSpan w:val="5"/>
            <w:shd w:val="clear" w:color="auto" w:fill="auto"/>
          </w:tcPr>
          <w:p w:rsidR="00DB7CC8" w:rsidRDefault="002B5250">
            <w:pPr>
              <w:pStyle w:val="afffffffc"/>
              <w:spacing w:line="240" w:lineRule="auto"/>
              <w:ind w:firstLine="480"/>
            </w:pPr>
            <w:r>
              <w:t>a</w:t>
            </w:r>
            <w:r>
              <w:t>是相对于详细评价工作内容而言，在描述危险物质、环境影响途径、环境危害后果、风险防范措施等方面给</w:t>
            </w:r>
            <w:r>
              <w:rPr>
                <w:rFonts w:hint="eastAsia"/>
              </w:rPr>
              <w:t>出定性的说明。</w:t>
            </w:r>
          </w:p>
        </w:tc>
      </w:tr>
    </w:tbl>
    <w:p w:rsidR="00DB7CC8" w:rsidRDefault="002B5250">
      <w:pPr>
        <w:ind w:firstLine="480"/>
      </w:pPr>
      <w:r>
        <w:rPr>
          <w:rFonts w:hint="eastAsia"/>
          <w:bCs/>
          <w:sz w:val="24"/>
          <w:szCs w:val="24"/>
        </w:rPr>
        <w:t>经判定，该项目风险潜势为Ⅰ。因此，本项目风险评价等级</w:t>
      </w:r>
      <w:r>
        <w:rPr>
          <w:rFonts w:hint="eastAsia"/>
          <w:bCs/>
          <w:sz w:val="24"/>
          <w:szCs w:val="24"/>
          <w:lang w:val="zh-CN"/>
        </w:rPr>
        <w:t>为简单分析。</w:t>
      </w:r>
    </w:p>
    <w:p w:rsidR="00DB7CC8" w:rsidRDefault="002B5250">
      <w:pPr>
        <w:pStyle w:val="4"/>
        <w:numPr>
          <w:ilvl w:val="3"/>
          <w:numId w:val="1"/>
        </w:numPr>
        <w:ind w:left="709" w:hanging="709"/>
        <w:rPr>
          <w:rFonts w:eastAsia="宋体"/>
          <w:b/>
        </w:rPr>
      </w:pPr>
      <w:r>
        <w:rPr>
          <w:rFonts w:eastAsia="宋体"/>
          <w:b/>
        </w:rPr>
        <w:t>环境敏感目标概况</w:t>
      </w:r>
    </w:p>
    <w:p w:rsidR="00DB7CC8" w:rsidRDefault="002B5250">
      <w:pPr>
        <w:ind w:firstLine="480"/>
        <w:rPr>
          <w:kern w:val="2"/>
          <w:sz w:val="24"/>
          <w:szCs w:val="24"/>
        </w:rPr>
      </w:pPr>
      <w:r>
        <w:rPr>
          <w:rFonts w:hint="eastAsia"/>
          <w:bCs/>
          <w:sz w:val="24"/>
          <w:szCs w:val="24"/>
          <w:lang w:val="zh-CN"/>
        </w:rPr>
        <w:t>本项目评价区域内没有珍稀动植物资源、自然保护区等敏感区，根据本项目性质及周围环境特征，确定评价范围内居民点等作为大气环境保护对象，区域地下水为地下水保护对象，主要环境风险保护对象及其保护目标见表</w:t>
      </w:r>
      <w:r>
        <w:rPr>
          <w:rFonts w:hint="eastAsia"/>
          <w:bCs/>
          <w:sz w:val="24"/>
          <w:szCs w:val="24"/>
          <w:lang w:val="zh-CN"/>
        </w:rPr>
        <w:t xml:space="preserve"> </w:t>
      </w:r>
      <w:r>
        <w:rPr>
          <w:bCs/>
          <w:sz w:val="24"/>
          <w:szCs w:val="24"/>
          <w:lang w:val="zh-CN"/>
        </w:rPr>
        <w:t>5.2-</w:t>
      </w:r>
      <w:r>
        <w:rPr>
          <w:rFonts w:hint="eastAsia"/>
          <w:bCs/>
          <w:sz w:val="24"/>
          <w:szCs w:val="24"/>
        </w:rPr>
        <w:t>43</w:t>
      </w:r>
      <w:r>
        <w:rPr>
          <w:rFonts w:hint="eastAsia"/>
          <w:bCs/>
          <w:sz w:val="24"/>
          <w:szCs w:val="24"/>
          <w:lang w:val="zh-CN"/>
        </w:rPr>
        <w:t>，环境保护目标图见附图</w:t>
      </w:r>
      <w:r>
        <w:rPr>
          <w:rFonts w:hint="eastAsia"/>
          <w:bCs/>
          <w:sz w:val="24"/>
          <w:szCs w:val="24"/>
          <w:lang w:val="zh-CN"/>
        </w:rPr>
        <w:t>1</w:t>
      </w:r>
      <w:r>
        <w:rPr>
          <w:rFonts w:hint="eastAsia"/>
          <w:bCs/>
          <w:sz w:val="24"/>
          <w:szCs w:val="24"/>
          <w:lang w:val="zh-CN"/>
        </w:rPr>
        <w:t>。</w:t>
      </w:r>
    </w:p>
    <w:p w:rsidR="00DB7CC8" w:rsidRDefault="002B5250">
      <w:pPr>
        <w:spacing w:line="240" w:lineRule="auto"/>
        <w:ind w:firstLineChars="0" w:firstLine="0"/>
        <w:jc w:val="center"/>
        <w:textAlignment w:val="auto"/>
        <w:rPr>
          <w:rFonts w:eastAsia="黑体"/>
          <w:kern w:val="2"/>
          <w:sz w:val="21"/>
          <w:szCs w:val="21"/>
        </w:rPr>
      </w:pPr>
      <w:bookmarkStart w:id="457" w:name="_Ref9219858"/>
      <w:r>
        <w:rPr>
          <w:rFonts w:eastAsia="黑体" w:hint="eastAsia"/>
          <w:bCs/>
          <w:kern w:val="2"/>
          <w:sz w:val="21"/>
          <w:szCs w:val="21"/>
          <w:lang w:val="zh-CN"/>
        </w:rPr>
        <w:t>表</w:t>
      </w:r>
      <w:r>
        <w:rPr>
          <w:rFonts w:eastAsia="黑体" w:hint="eastAsia"/>
          <w:bCs/>
          <w:kern w:val="2"/>
          <w:sz w:val="21"/>
          <w:szCs w:val="21"/>
          <w:lang w:val="zh-CN"/>
        </w:rPr>
        <w:t xml:space="preserve"> </w:t>
      </w:r>
      <w:bookmarkEnd w:id="457"/>
      <w:r>
        <w:rPr>
          <w:rFonts w:eastAsia="黑体"/>
          <w:bCs/>
          <w:kern w:val="2"/>
          <w:sz w:val="21"/>
          <w:szCs w:val="21"/>
          <w:lang w:val="zh-CN"/>
        </w:rPr>
        <w:t>5.2-</w:t>
      </w:r>
      <w:r>
        <w:rPr>
          <w:rFonts w:eastAsia="黑体" w:hint="eastAsia"/>
          <w:bCs/>
          <w:kern w:val="2"/>
          <w:sz w:val="21"/>
          <w:szCs w:val="21"/>
        </w:rPr>
        <w:t>43</w:t>
      </w:r>
      <w:r>
        <w:rPr>
          <w:rFonts w:eastAsia="黑体" w:hint="eastAsia"/>
          <w:bCs/>
          <w:kern w:val="2"/>
          <w:sz w:val="21"/>
          <w:szCs w:val="21"/>
          <w:lang w:val="zh-CN"/>
        </w:rPr>
        <w:t xml:space="preserve">   </w:t>
      </w:r>
      <w:r>
        <w:rPr>
          <w:rFonts w:eastAsia="黑体" w:hint="eastAsia"/>
          <w:bCs/>
          <w:kern w:val="2"/>
          <w:sz w:val="21"/>
          <w:szCs w:val="21"/>
          <w:lang w:val="zh-CN"/>
        </w:rPr>
        <w:t>环境保护对象及环境保护目标一览表</w:t>
      </w:r>
    </w:p>
    <w:tbl>
      <w:tblPr>
        <w:tblW w:w="882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645"/>
        <w:gridCol w:w="994"/>
        <w:gridCol w:w="1065"/>
        <w:gridCol w:w="1273"/>
        <w:gridCol w:w="775"/>
        <w:gridCol w:w="851"/>
        <w:gridCol w:w="853"/>
        <w:gridCol w:w="1132"/>
        <w:gridCol w:w="1235"/>
      </w:tblGrid>
      <w:tr w:rsidR="00DB7CC8">
        <w:trPr>
          <w:trHeight w:val="326"/>
          <w:jc w:val="center"/>
        </w:trPr>
        <w:tc>
          <w:tcPr>
            <w:tcW w:w="645"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环境</w:t>
            </w:r>
          </w:p>
          <w:p w:rsidR="00DB7CC8" w:rsidRDefault="002B5250">
            <w:pPr>
              <w:snapToGrid w:val="0"/>
              <w:spacing w:line="240" w:lineRule="auto"/>
              <w:ind w:firstLineChars="0" w:firstLine="0"/>
              <w:jc w:val="center"/>
              <w:rPr>
                <w:sz w:val="21"/>
                <w:szCs w:val="21"/>
              </w:rPr>
            </w:pPr>
            <w:r>
              <w:rPr>
                <w:sz w:val="21"/>
                <w:szCs w:val="21"/>
              </w:rPr>
              <w:t>要素</w:t>
            </w:r>
          </w:p>
        </w:tc>
        <w:tc>
          <w:tcPr>
            <w:tcW w:w="2059" w:type="dxa"/>
            <w:gridSpan w:val="2"/>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坐标</w:t>
            </w:r>
          </w:p>
        </w:tc>
        <w:tc>
          <w:tcPr>
            <w:tcW w:w="1273"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保护对象</w:t>
            </w:r>
          </w:p>
        </w:tc>
        <w:tc>
          <w:tcPr>
            <w:tcW w:w="775"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保护</w:t>
            </w:r>
          </w:p>
          <w:p w:rsidR="00DB7CC8" w:rsidRDefault="002B5250">
            <w:pPr>
              <w:snapToGrid w:val="0"/>
              <w:spacing w:line="240" w:lineRule="auto"/>
              <w:ind w:firstLineChars="0" w:firstLine="0"/>
              <w:jc w:val="center"/>
              <w:rPr>
                <w:sz w:val="21"/>
                <w:szCs w:val="21"/>
              </w:rPr>
            </w:pPr>
            <w:r>
              <w:rPr>
                <w:sz w:val="21"/>
                <w:szCs w:val="21"/>
              </w:rPr>
              <w:t>内容</w:t>
            </w:r>
          </w:p>
        </w:tc>
        <w:tc>
          <w:tcPr>
            <w:tcW w:w="851"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环境功能区</w:t>
            </w:r>
          </w:p>
        </w:tc>
        <w:tc>
          <w:tcPr>
            <w:tcW w:w="853"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相对厂址方位</w:t>
            </w:r>
          </w:p>
        </w:tc>
        <w:tc>
          <w:tcPr>
            <w:tcW w:w="1132"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相对厂界距离（</w:t>
            </w:r>
            <w:r>
              <w:rPr>
                <w:sz w:val="21"/>
                <w:szCs w:val="21"/>
              </w:rPr>
              <w:t>m</w:t>
            </w:r>
            <w:r>
              <w:rPr>
                <w:sz w:val="21"/>
                <w:szCs w:val="21"/>
              </w:rPr>
              <w:t>）</w:t>
            </w:r>
          </w:p>
        </w:tc>
        <w:tc>
          <w:tcPr>
            <w:tcW w:w="1235"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保护级别</w:t>
            </w:r>
          </w:p>
        </w:tc>
      </w:tr>
      <w:tr w:rsidR="00DB7CC8">
        <w:trPr>
          <w:trHeight w:val="285"/>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X</w:t>
            </w:r>
          </w:p>
        </w:tc>
        <w:tc>
          <w:tcPr>
            <w:tcW w:w="106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Y</w:t>
            </w:r>
          </w:p>
        </w:tc>
        <w:tc>
          <w:tcPr>
            <w:tcW w:w="1273"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77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1132"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环境</w:t>
            </w:r>
          </w:p>
          <w:p w:rsidR="00DB7CC8" w:rsidRDefault="002B5250">
            <w:pPr>
              <w:snapToGrid w:val="0"/>
              <w:spacing w:line="240" w:lineRule="auto"/>
              <w:ind w:firstLineChars="0" w:firstLine="0"/>
              <w:jc w:val="center"/>
              <w:rPr>
                <w:sz w:val="21"/>
                <w:szCs w:val="21"/>
              </w:rPr>
            </w:pPr>
            <w:r>
              <w:rPr>
                <w:sz w:val="21"/>
                <w:szCs w:val="21"/>
              </w:rPr>
              <w:t>空气</w:t>
            </w: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118.1124</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40.1898</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rFonts w:hint="eastAsia"/>
                <w:sz w:val="21"/>
                <w:szCs w:val="21"/>
              </w:rPr>
              <w:t>靠山庄村</w:t>
            </w:r>
          </w:p>
        </w:tc>
        <w:tc>
          <w:tcPr>
            <w:tcW w:w="77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二类区</w:t>
            </w: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N</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330</w:t>
            </w:r>
          </w:p>
        </w:tc>
        <w:tc>
          <w:tcPr>
            <w:tcW w:w="1235" w:type="dxa"/>
            <w:vMerge w:val="restart"/>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《环境空气质量标准》（</w:t>
            </w:r>
            <w:r>
              <w:rPr>
                <w:sz w:val="21"/>
                <w:szCs w:val="21"/>
              </w:rPr>
              <w:t>GB3095-2012</w:t>
            </w:r>
            <w:r>
              <w:rPr>
                <w:sz w:val="21"/>
                <w:szCs w:val="21"/>
              </w:rPr>
              <w:t>）二级</w:t>
            </w: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118.1195</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40.1963</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下王市庄村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NW</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950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118.1069</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40.1990</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廖高庄村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NW</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2000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118.1037</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40.1908</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阎家屯村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W</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1400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118.1085</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40.1828</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小安乐庄村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SW</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1550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118.1113</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40.1789</w:t>
            </w:r>
          </w:p>
        </w:tc>
        <w:tc>
          <w:tcPr>
            <w:tcW w:w="127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大安乐庄村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SW</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1650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118.0964</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40.1911</w:t>
            </w:r>
          </w:p>
        </w:tc>
        <w:tc>
          <w:tcPr>
            <w:tcW w:w="127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赵家庄村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W</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2300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118.0950</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40.1912</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刁庄子村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W</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2800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118.1273</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40.1874</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庄户沟</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SW</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460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118.1437</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40.18953</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西铺村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E</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1200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118.1380</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40.19487</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大于家沟村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NE</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1000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283"/>
          <w:jc w:val="center"/>
        </w:trPr>
        <w:tc>
          <w:tcPr>
            <w:tcW w:w="64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994"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118.16032</w:t>
            </w:r>
          </w:p>
        </w:tc>
        <w:tc>
          <w:tcPr>
            <w:tcW w:w="1065" w:type="dxa"/>
            <w:tcBorders>
              <w:tl2br w:val="nil"/>
              <w:tr2bl w:val="nil"/>
            </w:tcBorders>
            <w:vAlign w:val="center"/>
          </w:tcPr>
          <w:p w:rsidR="00DB7CC8" w:rsidRDefault="002B5250">
            <w:pPr>
              <w:snapToGrid w:val="0"/>
              <w:spacing w:line="240" w:lineRule="auto"/>
              <w:ind w:firstLineChars="0" w:firstLine="0"/>
              <w:jc w:val="center"/>
              <w:rPr>
                <w:sz w:val="18"/>
                <w:szCs w:val="18"/>
              </w:rPr>
            </w:pPr>
            <w:r>
              <w:rPr>
                <w:sz w:val="18"/>
                <w:szCs w:val="18"/>
              </w:rPr>
              <w:t>40.18973</w:t>
            </w:r>
          </w:p>
        </w:tc>
        <w:tc>
          <w:tcPr>
            <w:tcW w:w="1273" w:type="dxa"/>
            <w:tcBorders>
              <w:tl2br w:val="nil"/>
              <w:tr2bl w:val="nil"/>
            </w:tcBorders>
            <w:vAlign w:val="center"/>
          </w:tcPr>
          <w:p w:rsidR="00DB7CC8" w:rsidRDefault="002B5250">
            <w:pPr>
              <w:widowControl/>
              <w:snapToGrid w:val="0"/>
              <w:spacing w:line="240" w:lineRule="auto"/>
              <w:ind w:firstLineChars="0" w:firstLine="0"/>
              <w:jc w:val="center"/>
              <w:rPr>
                <w:sz w:val="21"/>
                <w:szCs w:val="21"/>
              </w:rPr>
            </w:pPr>
            <w:r>
              <w:rPr>
                <w:sz w:val="21"/>
                <w:szCs w:val="21"/>
              </w:rPr>
              <w:t>白马峪村</w:t>
            </w:r>
          </w:p>
        </w:tc>
        <w:tc>
          <w:tcPr>
            <w:tcW w:w="775" w:type="dxa"/>
            <w:tcBorders>
              <w:tl2br w:val="nil"/>
              <w:tr2bl w:val="nil"/>
            </w:tcBorders>
          </w:tcPr>
          <w:p w:rsidR="00DB7CC8" w:rsidRDefault="002B5250">
            <w:pPr>
              <w:snapToGrid w:val="0"/>
              <w:spacing w:line="240" w:lineRule="auto"/>
              <w:ind w:firstLineChars="0" w:firstLine="0"/>
              <w:jc w:val="center"/>
              <w:rPr>
                <w:sz w:val="21"/>
                <w:szCs w:val="21"/>
              </w:rPr>
            </w:pPr>
            <w:r>
              <w:rPr>
                <w:sz w:val="21"/>
                <w:szCs w:val="21"/>
              </w:rPr>
              <w:t>居民</w:t>
            </w:r>
          </w:p>
        </w:tc>
        <w:tc>
          <w:tcPr>
            <w:tcW w:w="851"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E</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2550</w:t>
            </w:r>
          </w:p>
        </w:tc>
        <w:tc>
          <w:tcPr>
            <w:tcW w:w="1235" w:type="dxa"/>
            <w:vMerge/>
            <w:tcBorders>
              <w:tl2br w:val="nil"/>
              <w:tr2bl w:val="nil"/>
            </w:tcBorders>
            <w:vAlign w:val="center"/>
          </w:tcPr>
          <w:p w:rsidR="00DB7CC8" w:rsidRDefault="00DB7CC8">
            <w:pPr>
              <w:snapToGrid w:val="0"/>
              <w:spacing w:line="240" w:lineRule="auto"/>
              <w:ind w:firstLineChars="0" w:firstLine="0"/>
              <w:jc w:val="center"/>
              <w:rPr>
                <w:sz w:val="21"/>
                <w:szCs w:val="21"/>
              </w:rPr>
            </w:pPr>
          </w:p>
        </w:tc>
      </w:tr>
      <w:tr w:rsidR="00DB7CC8">
        <w:trPr>
          <w:trHeight w:val="1115"/>
          <w:jc w:val="center"/>
        </w:trPr>
        <w:tc>
          <w:tcPr>
            <w:tcW w:w="64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地表水</w:t>
            </w:r>
          </w:p>
        </w:tc>
        <w:tc>
          <w:tcPr>
            <w:tcW w:w="3332" w:type="dxa"/>
            <w:gridSpan w:val="3"/>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黎河</w:t>
            </w:r>
          </w:p>
        </w:tc>
        <w:tc>
          <w:tcPr>
            <w:tcW w:w="77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河流</w:t>
            </w:r>
          </w:p>
        </w:tc>
        <w:tc>
          <w:tcPr>
            <w:tcW w:w="851"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Ⅲ</w:t>
            </w:r>
            <w:r>
              <w:rPr>
                <w:sz w:val="21"/>
                <w:szCs w:val="21"/>
              </w:rPr>
              <w:t>类</w:t>
            </w: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 xml:space="preserve">S </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100</w:t>
            </w:r>
          </w:p>
        </w:tc>
        <w:tc>
          <w:tcPr>
            <w:tcW w:w="123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《地表水环境质量标准》（</w:t>
            </w:r>
            <w:r>
              <w:rPr>
                <w:sz w:val="21"/>
                <w:szCs w:val="21"/>
              </w:rPr>
              <w:t>GB3838-2002</w:t>
            </w:r>
            <w:r>
              <w:rPr>
                <w:sz w:val="21"/>
                <w:szCs w:val="21"/>
              </w:rPr>
              <w:t>）</w:t>
            </w:r>
            <w:r>
              <w:rPr>
                <w:sz w:val="21"/>
                <w:szCs w:val="21"/>
              </w:rPr>
              <w:t>Ⅲ</w:t>
            </w:r>
            <w:r>
              <w:rPr>
                <w:sz w:val="21"/>
                <w:szCs w:val="21"/>
              </w:rPr>
              <w:t>类标准</w:t>
            </w:r>
          </w:p>
        </w:tc>
      </w:tr>
      <w:tr w:rsidR="00DB7CC8">
        <w:trPr>
          <w:trHeight w:val="283"/>
          <w:jc w:val="center"/>
        </w:trPr>
        <w:tc>
          <w:tcPr>
            <w:tcW w:w="64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声环境</w:t>
            </w:r>
          </w:p>
        </w:tc>
        <w:tc>
          <w:tcPr>
            <w:tcW w:w="4107" w:type="dxa"/>
            <w:gridSpan w:val="4"/>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项目厂界外</w:t>
            </w:r>
            <w:r>
              <w:rPr>
                <w:rFonts w:hint="eastAsia"/>
                <w:sz w:val="21"/>
                <w:szCs w:val="21"/>
              </w:rPr>
              <w:t>1</w:t>
            </w:r>
            <w:r>
              <w:rPr>
                <w:sz w:val="21"/>
                <w:szCs w:val="21"/>
              </w:rPr>
              <w:t>m</w:t>
            </w:r>
          </w:p>
        </w:tc>
        <w:tc>
          <w:tcPr>
            <w:tcW w:w="851"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2</w:t>
            </w:r>
            <w:r>
              <w:rPr>
                <w:sz w:val="21"/>
                <w:szCs w:val="21"/>
              </w:rPr>
              <w:t>类</w:t>
            </w: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w:t>
            </w:r>
          </w:p>
        </w:tc>
        <w:tc>
          <w:tcPr>
            <w:tcW w:w="123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《声环境</w:t>
            </w:r>
          </w:p>
          <w:p w:rsidR="00DB7CC8" w:rsidRDefault="002B5250">
            <w:pPr>
              <w:snapToGrid w:val="0"/>
              <w:spacing w:line="240" w:lineRule="auto"/>
              <w:ind w:firstLineChars="0" w:firstLine="0"/>
              <w:jc w:val="center"/>
              <w:rPr>
                <w:sz w:val="21"/>
                <w:szCs w:val="21"/>
              </w:rPr>
            </w:pPr>
            <w:r>
              <w:rPr>
                <w:sz w:val="21"/>
                <w:szCs w:val="21"/>
              </w:rPr>
              <w:t>质量标准》</w:t>
            </w:r>
            <w:r>
              <w:rPr>
                <w:sz w:val="21"/>
                <w:szCs w:val="21"/>
              </w:rPr>
              <w:t>(GB3096-2008)</w:t>
            </w:r>
          </w:p>
          <w:p w:rsidR="00DB7CC8" w:rsidRDefault="002B5250">
            <w:pPr>
              <w:snapToGrid w:val="0"/>
              <w:spacing w:line="240" w:lineRule="auto"/>
              <w:ind w:firstLineChars="0" w:firstLine="0"/>
              <w:jc w:val="center"/>
              <w:rPr>
                <w:sz w:val="21"/>
                <w:szCs w:val="21"/>
              </w:rPr>
            </w:pPr>
            <w:r>
              <w:rPr>
                <w:sz w:val="21"/>
                <w:szCs w:val="21"/>
              </w:rPr>
              <w:t>2</w:t>
            </w:r>
            <w:r>
              <w:rPr>
                <w:sz w:val="21"/>
                <w:szCs w:val="21"/>
              </w:rPr>
              <w:t>类区标准</w:t>
            </w:r>
          </w:p>
        </w:tc>
      </w:tr>
      <w:tr w:rsidR="00DB7CC8">
        <w:trPr>
          <w:trHeight w:val="283"/>
          <w:jc w:val="center"/>
        </w:trPr>
        <w:tc>
          <w:tcPr>
            <w:tcW w:w="64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地下水</w:t>
            </w:r>
          </w:p>
        </w:tc>
        <w:tc>
          <w:tcPr>
            <w:tcW w:w="4107" w:type="dxa"/>
            <w:gridSpan w:val="4"/>
            <w:tcBorders>
              <w:tl2br w:val="nil"/>
              <w:tr2bl w:val="nil"/>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评价区范围内村庄备用饮用水井、建明镇集中供水厂水井（详见下表</w:t>
            </w:r>
            <w:r>
              <w:rPr>
                <w:sz w:val="21"/>
                <w:szCs w:val="21"/>
              </w:rPr>
              <w:t>2.6-2</w:t>
            </w:r>
            <w:r>
              <w:rPr>
                <w:rFonts w:hint="eastAsia"/>
                <w:sz w:val="21"/>
                <w:szCs w:val="21"/>
              </w:rPr>
              <w:t>）</w:t>
            </w:r>
          </w:p>
        </w:tc>
        <w:tc>
          <w:tcPr>
            <w:tcW w:w="851"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Ⅲ</w:t>
            </w:r>
            <w:r>
              <w:rPr>
                <w:sz w:val="21"/>
                <w:szCs w:val="21"/>
              </w:rPr>
              <w:t>类</w:t>
            </w: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w:t>
            </w:r>
          </w:p>
        </w:tc>
        <w:tc>
          <w:tcPr>
            <w:tcW w:w="123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sz w:val="21"/>
                <w:szCs w:val="21"/>
              </w:rPr>
              <w:t>《地下水质量标准》</w:t>
            </w:r>
          </w:p>
          <w:p w:rsidR="00DB7CC8" w:rsidRDefault="002B5250">
            <w:pPr>
              <w:snapToGrid w:val="0"/>
              <w:spacing w:line="240" w:lineRule="auto"/>
              <w:ind w:firstLineChars="0" w:firstLine="0"/>
              <w:jc w:val="center"/>
              <w:rPr>
                <w:sz w:val="21"/>
                <w:szCs w:val="21"/>
              </w:rPr>
            </w:pPr>
            <w:r>
              <w:rPr>
                <w:sz w:val="21"/>
                <w:szCs w:val="21"/>
              </w:rPr>
              <w:t>（</w:t>
            </w:r>
            <w:r>
              <w:rPr>
                <w:sz w:val="21"/>
                <w:szCs w:val="21"/>
              </w:rPr>
              <w:t>GB/T14848-2017</w:t>
            </w:r>
            <w:r>
              <w:rPr>
                <w:sz w:val="21"/>
                <w:szCs w:val="21"/>
              </w:rPr>
              <w:t>）</w:t>
            </w:r>
            <w:r>
              <w:rPr>
                <w:sz w:val="21"/>
                <w:szCs w:val="21"/>
              </w:rPr>
              <w:t>Ⅲ</w:t>
            </w:r>
            <w:r>
              <w:rPr>
                <w:sz w:val="21"/>
                <w:szCs w:val="21"/>
              </w:rPr>
              <w:t>类标准</w:t>
            </w:r>
          </w:p>
        </w:tc>
      </w:tr>
      <w:tr w:rsidR="00DB7CC8">
        <w:trPr>
          <w:trHeight w:val="283"/>
          <w:jc w:val="center"/>
        </w:trPr>
        <w:tc>
          <w:tcPr>
            <w:tcW w:w="64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生态环境</w:t>
            </w:r>
          </w:p>
        </w:tc>
        <w:tc>
          <w:tcPr>
            <w:tcW w:w="4107" w:type="dxa"/>
            <w:gridSpan w:val="4"/>
            <w:tcBorders>
              <w:tl2br w:val="nil"/>
              <w:tr2bl w:val="nil"/>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工程占地范围</w:t>
            </w:r>
          </w:p>
        </w:tc>
        <w:tc>
          <w:tcPr>
            <w:tcW w:w="851" w:type="dxa"/>
            <w:tcBorders>
              <w:tl2br w:val="nil"/>
              <w:tr2bl w:val="nil"/>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办公区、选矿区</w:t>
            </w:r>
          </w:p>
        </w:tc>
        <w:tc>
          <w:tcPr>
            <w:tcW w:w="853" w:type="dxa"/>
            <w:tcBorders>
              <w:tl2br w:val="nil"/>
              <w:tr2bl w:val="nil"/>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w:t>
            </w:r>
          </w:p>
        </w:tc>
        <w:tc>
          <w:tcPr>
            <w:tcW w:w="1132" w:type="dxa"/>
            <w:tcBorders>
              <w:tl2br w:val="nil"/>
              <w:tr2bl w:val="nil"/>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w:t>
            </w:r>
          </w:p>
        </w:tc>
        <w:tc>
          <w:tcPr>
            <w:tcW w:w="1235" w:type="dxa"/>
            <w:tcBorders>
              <w:tl2br w:val="nil"/>
              <w:tr2bl w:val="nil"/>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w:t>
            </w:r>
          </w:p>
        </w:tc>
      </w:tr>
    </w:tbl>
    <w:p w:rsidR="00DB7CC8" w:rsidRDefault="002B5250">
      <w:pPr>
        <w:pStyle w:val="4"/>
        <w:numPr>
          <w:ilvl w:val="3"/>
          <w:numId w:val="1"/>
        </w:numPr>
        <w:ind w:left="709" w:hanging="709"/>
        <w:rPr>
          <w:rFonts w:eastAsia="宋体"/>
          <w:b/>
        </w:rPr>
      </w:pPr>
      <w:r>
        <w:rPr>
          <w:rFonts w:eastAsia="宋体"/>
          <w:b/>
        </w:rPr>
        <w:lastRenderedPageBreak/>
        <w:t>环境风险识别</w:t>
      </w:r>
    </w:p>
    <w:p w:rsidR="00DB7CC8" w:rsidRDefault="002B5250">
      <w:pPr>
        <w:ind w:firstLine="480"/>
        <w:rPr>
          <w:bCs/>
          <w:sz w:val="24"/>
          <w:szCs w:val="24"/>
          <w:lang w:val="zh-CN"/>
        </w:rPr>
      </w:pPr>
      <w:r>
        <w:rPr>
          <w:rFonts w:hint="eastAsia"/>
          <w:bCs/>
          <w:sz w:val="24"/>
          <w:szCs w:val="24"/>
          <w:lang w:val="zh-CN"/>
        </w:rPr>
        <w:t>本项目主要涉及的风险物质主要为危险废物—废矿物油，危废暂存危废间委托有资质单位处置。</w:t>
      </w:r>
    </w:p>
    <w:p w:rsidR="00DB7CC8" w:rsidRDefault="002B5250">
      <w:pPr>
        <w:ind w:firstLine="480"/>
        <w:rPr>
          <w:bCs/>
          <w:sz w:val="24"/>
          <w:szCs w:val="24"/>
          <w:lang w:val="zh-CN"/>
        </w:rPr>
      </w:pPr>
      <w:r>
        <w:rPr>
          <w:rFonts w:hint="eastAsia"/>
          <w:bCs/>
          <w:sz w:val="24"/>
          <w:szCs w:val="24"/>
          <w:lang w:val="zh-CN"/>
        </w:rPr>
        <w:t>风险事故的特征及其对环境的影响包括火灾、爆炸、液（气）体化学品泄漏等几个方面，根据对类行业的调研、生产过程中各个工序的分析，针对已识别出的危险因素和风险类型，确定最大可信事故及其概率。从事故发生的概率来分析，因泄漏后扩散引起大气环境污染的事故比因泄漏后发生火灾、爆炸的事故要多</w:t>
      </w:r>
      <w:r>
        <w:rPr>
          <w:rFonts w:hint="eastAsia"/>
          <w:bCs/>
          <w:sz w:val="24"/>
          <w:szCs w:val="24"/>
          <w:lang w:val="zh-CN"/>
        </w:rPr>
        <w:t>10-100</w:t>
      </w:r>
      <w:r>
        <w:rPr>
          <w:rFonts w:hint="eastAsia"/>
          <w:bCs/>
          <w:sz w:val="24"/>
          <w:szCs w:val="24"/>
          <w:lang w:val="zh-CN"/>
        </w:rPr>
        <w:t>倍，而且火灾、爆炸事故造成的危害通常情况下集中在项目地块内，其危害评价一般属于安全评价范围，因此，本次风险评价不考虑燃爆类事故，项目最大可</w:t>
      </w:r>
      <w:r>
        <w:rPr>
          <w:rFonts w:hint="eastAsia"/>
          <w:bCs/>
          <w:sz w:val="24"/>
          <w:szCs w:val="24"/>
          <w:lang w:val="zh-CN"/>
        </w:rPr>
        <w:t>信事故设定为由于在防渗层损坏失效的情况下对地下水造成污染。</w:t>
      </w:r>
    </w:p>
    <w:p w:rsidR="00DB7CC8" w:rsidRDefault="002B5250">
      <w:pPr>
        <w:pStyle w:val="4"/>
        <w:numPr>
          <w:ilvl w:val="3"/>
          <w:numId w:val="1"/>
        </w:numPr>
        <w:ind w:left="709" w:hanging="709"/>
        <w:rPr>
          <w:rFonts w:eastAsia="宋体"/>
          <w:b/>
        </w:rPr>
      </w:pPr>
      <w:r>
        <w:rPr>
          <w:rFonts w:eastAsia="宋体"/>
          <w:b/>
        </w:rPr>
        <w:t>环境风险分析</w:t>
      </w:r>
    </w:p>
    <w:p w:rsidR="00DB7CC8" w:rsidRDefault="002B5250">
      <w:pPr>
        <w:ind w:firstLine="480"/>
        <w:rPr>
          <w:bCs/>
          <w:sz w:val="24"/>
          <w:szCs w:val="24"/>
          <w:lang w:val="zh-CN"/>
        </w:rPr>
      </w:pPr>
      <w:r>
        <w:rPr>
          <w:rFonts w:hint="eastAsia"/>
          <w:bCs/>
          <w:sz w:val="24"/>
          <w:szCs w:val="24"/>
          <w:lang w:val="zh-CN"/>
        </w:rPr>
        <w:t>在防渗层损坏失效的情况下，主要可能的环境影响途径为地下水，本项目废矿物油产生量较小，定期委托有资质单位进行处置，对地下水影响较小。</w:t>
      </w:r>
    </w:p>
    <w:p w:rsidR="00DB7CC8" w:rsidRDefault="002B5250">
      <w:pPr>
        <w:pStyle w:val="4"/>
        <w:numPr>
          <w:ilvl w:val="3"/>
          <w:numId w:val="1"/>
        </w:numPr>
        <w:ind w:left="709" w:hanging="709"/>
        <w:rPr>
          <w:rFonts w:eastAsia="宋体"/>
          <w:b/>
        </w:rPr>
      </w:pPr>
      <w:r>
        <w:rPr>
          <w:rFonts w:eastAsia="宋体"/>
          <w:b/>
        </w:rPr>
        <w:t>环境风险防范措施及应急要求</w:t>
      </w:r>
    </w:p>
    <w:p w:rsidR="00DB7CC8" w:rsidRDefault="002B5250">
      <w:pPr>
        <w:ind w:firstLine="480"/>
        <w:rPr>
          <w:bCs/>
          <w:sz w:val="24"/>
          <w:szCs w:val="24"/>
          <w:lang w:val="zh-CN"/>
        </w:rPr>
      </w:pPr>
      <w:r>
        <w:rPr>
          <w:rFonts w:hint="eastAsia"/>
          <w:bCs/>
          <w:sz w:val="24"/>
          <w:szCs w:val="24"/>
          <w:lang w:val="zh-CN"/>
        </w:rPr>
        <w:t>1</w:t>
      </w:r>
      <w:r>
        <w:rPr>
          <w:rFonts w:hint="eastAsia"/>
          <w:bCs/>
          <w:sz w:val="24"/>
          <w:szCs w:val="24"/>
          <w:lang w:val="zh-CN"/>
        </w:rPr>
        <w:t>、总图布置安全对策措施</w:t>
      </w:r>
    </w:p>
    <w:p w:rsidR="00DB7CC8" w:rsidRDefault="002B5250">
      <w:pPr>
        <w:ind w:firstLine="480"/>
        <w:rPr>
          <w:bCs/>
          <w:sz w:val="24"/>
          <w:szCs w:val="24"/>
          <w:lang w:val="zh-CN"/>
        </w:rPr>
      </w:pPr>
      <w:r>
        <w:rPr>
          <w:rFonts w:hint="eastAsia"/>
          <w:bCs/>
          <w:sz w:val="24"/>
          <w:szCs w:val="24"/>
          <w:lang w:val="zh-CN"/>
        </w:rPr>
        <w:t>根据《工业企业总平面设计规范》（</w:t>
      </w:r>
      <w:r>
        <w:rPr>
          <w:rFonts w:hint="eastAsia"/>
          <w:bCs/>
          <w:sz w:val="24"/>
          <w:szCs w:val="24"/>
          <w:lang w:val="zh-CN"/>
        </w:rPr>
        <w:t>GB50187-2012</w:t>
      </w:r>
      <w:r>
        <w:rPr>
          <w:rFonts w:hint="eastAsia"/>
          <w:bCs/>
          <w:sz w:val="24"/>
          <w:szCs w:val="24"/>
          <w:lang w:val="zh-CN"/>
        </w:rPr>
        <w:t>）、《建筑设计防火规范》（</w:t>
      </w:r>
      <w:r>
        <w:rPr>
          <w:rFonts w:hint="eastAsia"/>
          <w:bCs/>
          <w:sz w:val="24"/>
          <w:szCs w:val="24"/>
          <w:lang w:val="zh-CN"/>
        </w:rPr>
        <w:t>GB50016-2006</w:t>
      </w:r>
      <w:r>
        <w:rPr>
          <w:rFonts w:hint="eastAsia"/>
          <w:bCs/>
          <w:sz w:val="24"/>
          <w:szCs w:val="24"/>
          <w:lang w:val="zh-CN"/>
        </w:rPr>
        <w:t>）、《工业企业设计卫生标准》（</w:t>
      </w:r>
      <w:r>
        <w:rPr>
          <w:rFonts w:hint="eastAsia"/>
          <w:bCs/>
          <w:sz w:val="24"/>
          <w:szCs w:val="24"/>
          <w:lang w:val="zh-CN"/>
        </w:rPr>
        <w:t>GBZ1-2010</w:t>
      </w:r>
      <w:r>
        <w:rPr>
          <w:rFonts w:hint="eastAsia"/>
          <w:bCs/>
          <w:sz w:val="24"/>
          <w:szCs w:val="24"/>
          <w:lang w:val="zh-CN"/>
        </w:rPr>
        <w:t>）标准的要求，项目布置应满足下列安全要求：总体布局应遵循国家现行有关规范标准，在满足工艺生产及运输</w:t>
      </w:r>
      <w:r>
        <w:rPr>
          <w:rFonts w:hint="eastAsia"/>
          <w:bCs/>
          <w:sz w:val="24"/>
          <w:szCs w:val="24"/>
          <w:lang w:val="zh-CN"/>
        </w:rPr>
        <w:t>要求，合理布局。在设计中结合安全卫生、交通运输、地形地貌、水文气象等方面的因素，力求布置紧奏，整体协调、美观。</w:t>
      </w:r>
    </w:p>
    <w:p w:rsidR="00DB7CC8" w:rsidRDefault="002B5250">
      <w:pPr>
        <w:ind w:firstLine="480"/>
        <w:rPr>
          <w:bCs/>
          <w:sz w:val="24"/>
          <w:szCs w:val="24"/>
          <w:lang w:val="zh-CN"/>
        </w:rPr>
      </w:pPr>
      <w:r>
        <w:rPr>
          <w:rFonts w:hint="eastAsia"/>
          <w:bCs/>
          <w:sz w:val="24"/>
          <w:szCs w:val="24"/>
          <w:lang w:val="zh-CN"/>
        </w:rPr>
        <w:t>具体安全对策措施：</w:t>
      </w:r>
    </w:p>
    <w:p w:rsidR="00DB7CC8" w:rsidRDefault="002B5250">
      <w:pPr>
        <w:ind w:firstLine="480"/>
        <w:rPr>
          <w:bCs/>
          <w:sz w:val="24"/>
          <w:szCs w:val="24"/>
          <w:lang w:val="zh-CN"/>
        </w:rPr>
      </w:pPr>
      <w:r>
        <w:rPr>
          <w:rFonts w:hint="eastAsia"/>
          <w:bCs/>
          <w:sz w:val="24"/>
          <w:szCs w:val="24"/>
          <w:lang w:val="zh-CN"/>
        </w:rPr>
        <w:t>（</w:t>
      </w:r>
      <w:r>
        <w:rPr>
          <w:rFonts w:hint="eastAsia"/>
          <w:bCs/>
          <w:sz w:val="24"/>
          <w:szCs w:val="24"/>
          <w:lang w:val="zh-CN"/>
        </w:rPr>
        <w:t>1</w:t>
      </w:r>
      <w:r>
        <w:rPr>
          <w:rFonts w:hint="eastAsia"/>
          <w:bCs/>
          <w:sz w:val="24"/>
          <w:szCs w:val="24"/>
          <w:lang w:val="zh-CN"/>
        </w:rPr>
        <w:t>）总平面布置应满足工艺生产要求，保证工艺流程顺畅，有利于生产及方便管理；并应满足安全、卫生、消防、环保及运输等有关法律、法规、标准和规章的要求。</w:t>
      </w:r>
    </w:p>
    <w:p w:rsidR="00DB7CC8" w:rsidRDefault="002B5250">
      <w:pPr>
        <w:ind w:firstLine="480"/>
        <w:rPr>
          <w:bCs/>
          <w:sz w:val="24"/>
          <w:szCs w:val="24"/>
          <w:lang w:val="zh-CN"/>
        </w:rPr>
      </w:pPr>
      <w:r>
        <w:rPr>
          <w:rFonts w:hint="eastAsia"/>
          <w:bCs/>
          <w:sz w:val="24"/>
          <w:szCs w:val="24"/>
          <w:lang w:val="zh-CN"/>
        </w:rPr>
        <w:t>（</w:t>
      </w:r>
      <w:r>
        <w:rPr>
          <w:rFonts w:hint="eastAsia"/>
          <w:bCs/>
          <w:sz w:val="24"/>
          <w:szCs w:val="24"/>
          <w:lang w:val="zh-CN"/>
        </w:rPr>
        <w:t>2</w:t>
      </w:r>
      <w:r>
        <w:rPr>
          <w:rFonts w:hint="eastAsia"/>
          <w:bCs/>
          <w:sz w:val="24"/>
          <w:szCs w:val="24"/>
          <w:lang w:val="zh-CN"/>
        </w:rPr>
        <w:t>）化学品应根据贮存物料的性质、货流出入方向、供应对象、贮存面积、运输方式等因素，按不同类别相对集中布置，并为运输、装卸、管理创造有利条件，且应符合国家现行的防火、安全、卫生标准的有关规定。</w:t>
      </w:r>
    </w:p>
    <w:p w:rsidR="00DB7CC8" w:rsidRDefault="002B5250">
      <w:pPr>
        <w:ind w:firstLine="480"/>
        <w:rPr>
          <w:bCs/>
          <w:sz w:val="24"/>
          <w:szCs w:val="24"/>
          <w:lang w:val="zh-CN"/>
        </w:rPr>
      </w:pPr>
      <w:r>
        <w:rPr>
          <w:rFonts w:hint="eastAsia"/>
          <w:bCs/>
          <w:sz w:val="24"/>
          <w:szCs w:val="24"/>
          <w:lang w:val="zh-CN"/>
        </w:rPr>
        <w:t>2</w:t>
      </w:r>
      <w:r>
        <w:rPr>
          <w:rFonts w:hint="eastAsia"/>
          <w:bCs/>
          <w:sz w:val="24"/>
          <w:szCs w:val="24"/>
          <w:lang w:val="zh-CN"/>
        </w:rPr>
        <w:t>、风险防范应急措施</w:t>
      </w:r>
    </w:p>
    <w:p w:rsidR="00DB7CC8" w:rsidRDefault="002B5250">
      <w:pPr>
        <w:ind w:firstLine="480"/>
        <w:rPr>
          <w:bCs/>
          <w:sz w:val="24"/>
          <w:szCs w:val="24"/>
          <w:lang w:val="zh-CN"/>
        </w:rPr>
      </w:pPr>
      <w:r>
        <w:rPr>
          <w:rFonts w:hint="eastAsia"/>
          <w:bCs/>
          <w:sz w:val="24"/>
          <w:szCs w:val="24"/>
          <w:lang w:val="zh-CN"/>
        </w:rPr>
        <w:t>（</w:t>
      </w:r>
      <w:r>
        <w:rPr>
          <w:rFonts w:hint="eastAsia"/>
          <w:bCs/>
          <w:sz w:val="24"/>
          <w:szCs w:val="24"/>
          <w:lang w:val="zh-CN"/>
        </w:rPr>
        <w:t>1</w:t>
      </w:r>
      <w:r>
        <w:rPr>
          <w:rFonts w:hint="eastAsia"/>
          <w:bCs/>
          <w:sz w:val="24"/>
          <w:szCs w:val="24"/>
          <w:lang w:val="zh-CN"/>
        </w:rPr>
        <w:t>）如发现废矿物油桶发生泄漏，立即对废矿物没进行倒桶处理，更换完好不泄漏的容器进行储存；</w:t>
      </w:r>
    </w:p>
    <w:p w:rsidR="00DB7CC8" w:rsidRDefault="002B5250">
      <w:pPr>
        <w:ind w:firstLine="480"/>
        <w:rPr>
          <w:bCs/>
          <w:sz w:val="24"/>
          <w:szCs w:val="24"/>
          <w:lang w:val="zh-CN"/>
        </w:rPr>
      </w:pPr>
      <w:r>
        <w:rPr>
          <w:rFonts w:hint="eastAsia"/>
          <w:bCs/>
          <w:sz w:val="24"/>
          <w:szCs w:val="24"/>
          <w:lang w:val="zh-CN"/>
        </w:rPr>
        <w:lastRenderedPageBreak/>
        <w:t>（</w:t>
      </w:r>
      <w:r>
        <w:rPr>
          <w:rFonts w:hint="eastAsia"/>
          <w:bCs/>
          <w:sz w:val="24"/>
          <w:szCs w:val="24"/>
          <w:lang w:val="zh-CN"/>
        </w:rPr>
        <w:t>2</w:t>
      </w:r>
      <w:r>
        <w:rPr>
          <w:rFonts w:hint="eastAsia"/>
          <w:bCs/>
          <w:sz w:val="24"/>
          <w:szCs w:val="24"/>
          <w:lang w:val="zh-CN"/>
        </w:rPr>
        <w:t>）根据《危险废物贮存污染控制标准》（</w:t>
      </w:r>
      <w:r>
        <w:rPr>
          <w:rFonts w:hint="eastAsia"/>
          <w:bCs/>
          <w:sz w:val="24"/>
          <w:szCs w:val="24"/>
          <w:lang w:val="zh-CN"/>
        </w:rPr>
        <w:t>GB18597-20</w:t>
      </w:r>
      <w:r>
        <w:rPr>
          <w:rFonts w:hint="eastAsia"/>
          <w:bCs/>
          <w:sz w:val="24"/>
          <w:szCs w:val="24"/>
        </w:rPr>
        <w:t>23</w:t>
      </w:r>
      <w:r>
        <w:rPr>
          <w:rFonts w:hint="eastAsia"/>
          <w:bCs/>
          <w:sz w:val="24"/>
          <w:szCs w:val="24"/>
          <w:lang w:val="zh-CN"/>
        </w:rPr>
        <w:t>）关于防渗要求处理：地面及裙角均采取抗渗水泥防渗，地面水泥厚度为</w:t>
      </w:r>
      <w:r>
        <w:rPr>
          <w:rFonts w:hint="eastAsia"/>
          <w:bCs/>
          <w:sz w:val="24"/>
          <w:szCs w:val="24"/>
          <w:lang w:val="zh-CN"/>
        </w:rPr>
        <w:t>20cm</w:t>
      </w:r>
      <w:r>
        <w:rPr>
          <w:rFonts w:hint="eastAsia"/>
          <w:bCs/>
          <w:sz w:val="24"/>
          <w:szCs w:val="24"/>
          <w:lang w:val="zh-CN"/>
        </w:rPr>
        <w:t>；裙角高度</w:t>
      </w:r>
      <w:r>
        <w:rPr>
          <w:rFonts w:hint="eastAsia"/>
          <w:bCs/>
          <w:sz w:val="24"/>
          <w:szCs w:val="24"/>
          <w:lang w:val="zh-CN"/>
        </w:rPr>
        <w:t>1.5m</w:t>
      </w:r>
      <w:r>
        <w:rPr>
          <w:rFonts w:hint="eastAsia"/>
          <w:bCs/>
          <w:sz w:val="24"/>
          <w:szCs w:val="24"/>
          <w:lang w:val="zh-CN"/>
        </w:rPr>
        <w:t>，厚度</w:t>
      </w:r>
      <w:r>
        <w:rPr>
          <w:rFonts w:hint="eastAsia"/>
          <w:bCs/>
          <w:sz w:val="24"/>
          <w:szCs w:val="24"/>
          <w:lang w:val="zh-CN"/>
        </w:rPr>
        <w:t>20cm</w:t>
      </w:r>
      <w:r>
        <w:rPr>
          <w:rFonts w:hint="eastAsia"/>
          <w:bCs/>
          <w:sz w:val="24"/>
          <w:szCs w:val="24"/>
          <w:lang w:val="zh-CN"/>
        </w:rPr>
        <w:t>，地面及四周裙脚均应耐腐蚀，耐热且表面无裂隙，同时设置泄漏液体的收集装置。防渗层渗透系数小于</w:t>
      </w:r>
      <w:r>
        <w:rPr>
          <w:rFonts w:hint="eastAsia"/>
          <w:bCs/>
          <w:sz w:val="24"/>
          <w:szCs w:val="24"/>
          <w:lang w:val="zh-CN"/>
        </w:rPr>
        <w:t>10</w:t>
      </w:r>
      <w:r>
        <w:rPr>
          <w:rFonts w:hint="eastAsia"/>
          <w:bCs/>
          <w:sz w:val="24"/>
          <w:szCs w:val="24"/>
          <w:vertAlign w:val="superscript"/>
          <w:lang w:val="zh-CN"/>
        </w:rPr>
        <w:t>-10</w:t>
      </w:r>
      <w:r>
        <w:rPr>
          <w:rFonts w:hint="eastAsia"/>
          <w:bCs/>
          <w:sz w:val="24"/>
          <w:szCs w:val="24"/>
          <w:lang w:val="zh-CN"/>
        </w:rPr>
        <w:t>cm/s</w:t>
      </w:r>
      <w:r>
        <w:rPr>
          <w:rFonts w:hint="eastAsia"/>
          <w:bCs/>
          <w:sz w:val="24"/>
          <w:szCs w:val="24"/>
          <w:lang w:val="zh-CN"/>
        </w:rPr>
        <w:t>。</w:t>
      </w:r>
    </w:p>
    <w:p w:rsidR="00DB7CC8" w:rsidRDefault="002B5250">
      <w:pPr>
        <w:pStyle w:val="af2"/>
        <w:kinsoku w:val="0"/>
        <w:overflowPunct w:val="0"/>
        <w:snapToGrid w:val="0"/>
        <w:spacing w:after="0"/>
        <w:ind w:left="23" w:firstLine="480"/>
        <w:rPr>
          <w:bCs/>
          <w:sz w:val="24"/>
          <w:szCs w:val="24"/>
          <w:lang w:val="zh-CN"/>
        </w:rPr>
      </w:pPr>
      <w:r>
        <w:rPr>
          <w:rFonts w:hint="eastAsia"/>
          <w:bCs/>
          <w:sz w:val="24"/>
          <w:szCs w:val="24"/>
          <w:lang w:val="zh-CN"/>
        </w:rPr>
        <w:t>（</w:t>
      </w:r>
      <w:r>
        <w:rPr>
          <w:rFonts w:hint="eastAsia"/>
          <w:bCs/>
          <w:sz w:val="24"/>
          <w:szCs w:val="24"/>
          <w:lang w:val="zh-CN"/>
        </w:rPr>
        <w:t>3</w:t>
      </w:r>
      <w:r>
        <w:rPr>
          <w:rFonts w:hint="eastAsia"/>
          <w:bCs/>
          <w:sz w:val="24"/>
          <w:szCs w:val="24"/>
          <w:lang w:val="zh-CN"/>
        </w:rPr>
        <w:t>）如发现废矿物油泄漏已对厂区土壤和地下水造成的污染，立即启动应急预案，报当地环保部门。</w:t>
      </w:r>
    </w:p>
    <w:p w:rsidR="00DB7CC8" w:rsidRDefault="002B5250">
      <w:pPr>
        <w:pStyle w:val="4"/>
        <w:numPr>
          <w:ilvl w:val="3"/>
          <w:numId w:val="1"/>
        </w:numPr>
        <w:ind w:left="709" w:hanging="709"/>
        <w:rPr>
          <w:rFonts w:eastAsia="宋体"/>
          <w:b/>
        </w:rPr>
      </w:pPr>
      <w:r>
        <w:rPr>
          <w:rFonts w:eastAsia="宋体"/>
          <w:b/>
        </w:rPr>
        <w:t>风险评价结论</w:t>
      </w:r>
    </w:p>
    <w:p w:rsidR="00DB7CC8" w:rsidRDefault="002B5250">
      <w:pPr>
        <w:ind w:firstLine="480"/>
        <w:rPr>
          <w:bCs/>
          <w:sz w:val="24"/>
          <w:szCs w:val="24"/>
          <w:lang w:val="zh-CN"/>
        </w:rPr>
      </w:pPr>
      <w:bookmarkStart w:id="458" w:name="_Hlk9231858"/>
      <w:r>
        <w:rPr>
          <w:rFonts w:hint="eastAsia"/>
          <w:bCs/>
          <w:sz w:val="24"/>
          <w:szCs w:val="24"/>
          <w:lang w:val="zh-CN"/>
        </w:rPr>
        <w:t>本项目在设备维护及保养过程中产生</w:t>
      </w:r>
      <w:r>
        <w:rPr>
          <w:rFonts w:hint="eastAsia"/>
          <w:bCs/>
          <w:sz w:val="24"/>
          <w:szCs w:val="24"/>
          <w:lang w:val="zh-CN"/>
        </w:rPr>
        <w:t>的废机油及废机油桶，暂存于危废暂存间定期由有资质单位进行处置。</w:t>
      </w:r>
    </w:p>
    <w:p w:rsidR="00DB7CC8" w:rsidRDefault="002B5250">
      <w:pPr>
        <w:ind w:firstLine="480"/>
        <w:rPr>
          <w:bCs/>
          <w:sz w:val="24"/>
          <w:szCs w:val="24"/>
          <w:lang w:val="zh-CN"/>
        </w:rPr>
      </w:pPr>
      <w:r>
        <w:rPr>
          <w:rFonts w:hint="eastAsia"/>
          <w:bCs/>
          <w:sz w:val="24"/>
          <w:szCs w:val="24"/>
          <w:lang w:val="zh-CN"/>
        </w:rPr>
        <w:t>本项目暂存于危废暂存间，地面采取抗渗水泥防渗，暂存时间短，若一旦发生泄漏，立即对废矿物没进行倒桶处理，更换完好不泄漏的容器进行储存。对地下水影响较小。项目环境风险水平可接受，采取的环境风险管理措施可行，项目建设从环境风险角度是可行的。</w:t>
      </w:r>
    </w:p>
    <w:p w:rsidR="00DB7CC8" w:rsidRDefault="002B5250">
      <w:pPr>
        <w:ind w:firstLine="480"/>
        <w:jc w:val="both"/>
        <w:textAlignment w:val="auto"/>
        <w:rPr>
          <w:kern w:val="2"/>
          <w:sz w:val="24"/>
          <w:szCs w:val="24"/>
        </w:rPr>
      </w:pPr>
      <w:r>
        <w:rPr>
          <w:rFonts w:hint="eastAsia"/>
          <w:bCs/>
          <w:sz w:val="24"/>
          <w:szCs w:val="24"/>
          <w:lang w:val="zh-CN"/>
        </w:rPr>
        <w:t>项目环境风险简单分析内容见</w:t>
      </w:r>
      <w:bookmarkEnd w:id="458"/>
      <w:r>
        <w:rPr>
          <w:rFonts w:hint="eastAsia"/>
          <w:bCs/>
          <w:sz w:val="24"/>
          <w:szCs w:val="24"/>
          <w:lang w:val="zh-CN"/>
        </w:rPr>
        <w:t>表</w:t>
      </w:r>
      <w:r>
        <w:rPr>
          <w:rFonts w:hint="eastAsia"/>
          <w:bCs/>
          <w:sz w:val="24"/>
          <w:szCs w:val="24"/>
        </w:rPr>
        <w:t>5.2-44</w:t>
      </w:r>
      <w:r>
        <w:rPr>
          <w:rFonts w:hint="eastAsia"/>
          <w:bCs/>
          <w:sz w:val="24"/>
          <w:szCs w:val="24"/>
          <w:lang w:val="zh-CN"/>
        </w:rPr>
        <w:t>。</w:t>
      </w:r>
    </w:p>
    <w:p w:rsidR="00DB7CC8" w:rsidRDefault="002B5250">
      <w:pPr>
        <w:ind w:firstLine="420"/>
        <w:jc w:val="center"/>
        <w:rPr>
          <w:rFonts w:ascii="黑体" w:eastAsia="黑体" w:hAnsi="黑体"/>
          <w:kern w:val="2"/>
          <w:sz w:val="21"/>
          <w:szCs w:val="21"/>
        </w:rPr>
      </w:pPr>
      <w:bookmarkStart w:id="459" w:name="_Ref8045523"/>
      <w:r>
        <w:rPr>
          <w:rFonts w:eastAsia="黑体"/>
          <w:kern w:val="2"/>
          <w:sz w:val="21"/>
          <w:szCs w:val="21"/>
        </w:rPr>
        <w:t>表</w:t>
      </w:r>
      <w:r>
        <w:rPr>
          <w:rFonts w:eastAsia="黑体"/>
          <w:kern w:val="2"/>
          <w:sz w:val="21"/>
          <w:szCs w:val="21"/>
        </w:rPr>
        <w:t>5.2-4</w:t>
      </w:r>
      <w:bookmarkEnd w:id="459"/>
      <w:r>
        <w:rPr>
          <w:rFonts w:eastAsia="黑体" w:hint="eastAsia"/>
          <w:kern w:val="2"/>
          <w:sz w:val="21"/>
          <w:szCs w:val="21"/>
        </w:rPr>
        <w:t>4</w:t>
      </w:r>
      <w:r>
        <w:rPr>
          <w:rFonts w:ascii="黑体" w:eastAsia="黑体" w:hAnsi="黑体" w:hint="eastAsia"/>
          <w:kern w:val="2"/>
          <w:sz w:val="21"/>
          <w:szCs w:val="21"/>
        </w:rPr>
        <w:t xml:space="preserve">    </w:t>
      </w:r>
      <w:r>
        <w:rPr>
          <w:rFonts w:ascii="黑体" w:eastAsia="黑体" w:hAnsi="黑体" w:hint="eastAsia"/>
          <w:kern w:val="2"/>
          <w:sz w:val="21"/>
          <w:szCs w:val="21"/>
        </w:rPr>
        <w:t>建设项目环境风险简单分析内容表</w:t>
      </w:r>
    </w:p>
    <w:tbl>
      <w:tblPr>
        <w:tblW w:w="8505"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983"/>
        <w:gridCol w:w="1783"/>
        <w:gridCol w:w="1241"/>
        <w:gridCol w:w="1290"/>
        <w:gridCol w:w="1280"/>
      </w:tblGrid>
      <w:tr w:rsidR="00DB7CC8">
        <w:trPr>
          <w:trHeight w:val="340"/>
        </w:trPr>
        <w:tc>
          <w:tcPr>
            <w:tcW w:w="1928" w:type="dxa"/>
            <w:shd w:val="clear" w:color="auto" w:fill="auto"/>
            <w:vAlign w:val="center"/>
          </w:tcPr>
          <w:p w:rsidR="00DB7CC8" w:rsidRDefault="002B5250">
            <w:pPr>
              <w:pStyle w:val="afffffffc"/>
              <w:spacing w:line="240" w:lineRule="auto"/>
              <w:rPr>
                <w:lang w:val="zh-CN" w:bidi="zh-CN"/>
              </w:rPr>
            </w:pPr>
            <w:r>
              <w:rPr>
                <w:rFonts w:hint="eastAsia"/>
                <w:lang w:val="zh-CN" w:bidi="zh-CN"/>
              </w:rPr>
              <w:t>建设项目名称</w:t>
            </w:r>
          </w:p>
        </w:tc>
        <w:tc>
          <w:tcPr>
            <w:tcW w:w="6577" w:type="dxa"/>
            <w:gridSpan w:val="5"/>
            <w:shd w:val="clear" w:color="auto" w:fill="auto"/>
            <w:vAlign w:val="center"/>
          </w:tcPr>
          <w:p w:rsidR="00DB7CC8" w:rsidRDefault="002B5250">
            <w:pPr>
              <w:pStyle w:val="af2"/>
              <w:kinsoku w:val="0"/>
              <w:overflowPunct w:val="0"/>
              <w:snapToGrid w:val="0"/>
              <w:spacing w:after="0" w:line="240" w:lineRule="auto"/>
              <w:ind w:firstLineChars="0" w:firstLine="0"/>
              <w:jc w:val="center"/>
              <w:rPr>
                <w:highlight w:val="yellow"/>
                <w:lang w:val="zh-CN" w:bidi="zh-CN"/>
              </w:rPr>
            </w:pPr>
            <w:r>
              <w:rPr>
                <w:rFonts w:hint="eastAsia"/>
                <w:kern w:val="2"/>
                <w:sz w:val="21"/>
                <w:szCs w:val="21"/>
              </w:rPr>
              <w:t>遵化市鑫伟铁选厂年处理</w:t>
            </w:r>
            <w:r>
              <w:rPr>
                <w:rFonts w:hint="eastAsia"/>
                <w:kern w:val="2"/>
                <w:sz w:val="21"/>
                <w:szCs w:val="21"/>
              </w:rPr>
              <w:t>110</w:t>
            </w:r>
            <w:r>
              <w:rPr>
                <w:rFonts w:hint="eastAsia"/>
                <w:kern w:val="2"/>
                <w:sz w:val="21"/>
                <w:szCs w:val="21"/>
              </w:rPr>
              <w:t>万吨铁矿石</w:t>
            </w:r>
            <w:r>
              <w:rPr>
                <w:rFonts w:hint="eastAsia"/>
                <w:kern w:val="2"/>
                <w:sz w:val="21"/>
                <w:szCs w:val="21"/>
              </w:rPr>
              <w:t>、</w:t>
            </w:r>
            <w:r>
              <w:rPr>
                <w:rFonts w:hint="eastAsia"/>
                <w:kern w:val="2"/>
                <w:sz w:val="21"/>
                <w:szCs w:val="21"/>
              </w:rPr>
              <w:t>40</w:t>
            </w:r>
            <w:r>
              <w:rPr>
                <w:rFonts w:hint="eastAsia"/>
                <w:kern w:val="2"/>
                <w:sz w:val="21"/>
                <w:szCs w:val="21"/>
              </w:rPr>
              <w:t>万吨粗精矿改扩建</w:t>
            </w:r>
            <w:r>
              <w:rPr>
                <w:rFonts w:hint="eastAsia"/>
                <w:kern w:val="2"/>
                <w:sz w:val="21"/>
                <w:szCs w:val="21"/>
              </w:rPr>
              <w:t>项目</w:t>
            </w:r>
          </w:p>
        </w:tc>
      </w:tr>
      <w:tr w:rsidR="00DB7CC8">
        <w:trPr>
          <w:trHeight w:val="340"/>
        </w:trPr>
        <w:tc>
          <w:tcPr>
            <w:tcW w:w="1928" w:type="dxa"/>
            <w:shd w:val="clear" w:color="auto" w:fill="auto"/>
            <w:vAlign w:val="center"/>
          </w:tcPr>
          <w:p w:rsidR="00DB7CC8" w:rsidRDefault="002B5250">
            <w:pPr>
              <w:pStyle w:val="afffffffc"/>
              <w:spacing w:line="240" w:lineRule="auto"/>
              <w:rPr>
                <w:lang w:val="zh-CN" w:bidi="zh-CN"/>
              </w:rPr>
            </w:pPr>
            <w:r>
              <w:rPr>
                <w:rFonts w:hint="eastAsia"/>
                <w:lang w:val="zh-CN" w:bidi="zh-CN"/>
              </w:rPr>
              <w:t>建设地点</w:t>
            </w:r>
          </w:p>
        </w:tc>
        <w:tc>
          <w:tcPr>
            <w:tcW w:w="983" w:type="dxa"/>
            <w:shd w:val="clear" w:color="auto" w:fill="auto"/>
            <w:vAlign w:val="center"/>
          </w:tcPr>
          <w:p w:rsidR="00DB7CC8" w:rsidRDefault="002B5250">
            <w:pPr>
              <w:pStyle w:val="af2"/>
              <w:kinsoku w:val="0"/>
              <w:overflowPunct w:val="0"/>
              <w:snapToGrid w:val="0"/>
              <w:spacing w:after="0" w:line="240" w:lineRule="auto"/>
              <w:ind w:firstLineChars="0" w:firstLine="0"/>
              <w:jc w:val="center"/>
              <w:rPr>
                <w:sz w:val="21"/>
                <w:szCs w:val="21"/>
                <w:highlight w:val="yellow"/>
                <w:lang w:val="zh-CN" w:bidi="zh-CN"/>
              </w:rPr>
            </w:pPr>
            <w:r>
              <w:rPr>
                <w:rFonts w:hint="eastAsia"/>
                <w:kern w:val="2"/>
                <w:sz w:val="21"/>
                <w:szCs w:val="21"/>
              </w:rPr>
              <w:t>河北省</w:t>
            </w:r>
          </w:p>
        </w:tc>
        <w:tc>
          <w:tcPr>
            <w:tcW w:w="1783" w:type="dxa"/>
            <w:shd w:val="clear" w:color="auto" w:fill="auto"/>
            <w:vAlign w:val="center"/>
          </w:tcPr>
          <w:p w:rsidR="00DB7CC8" w:rsidRDefault="002B5250">
            <w:pPr>
              <w:pStyle w:val="af2"/>
              <w:kinsoku w:val="0"/>
              <w:overflowPunct w:val="0"/>
              <w:snapToGrid w:val="0"/>
              <w:spacing w:after="0" w:line="240" w:lineRule="auto"/>
              <w:ind w:firstLineChars="0" w:firstLine="0"/>
              <w:jc w:val="center"/>
              <w:rPr>
                <w:sz w:val="21"/>
                <w:szCs w:val="21"/>
                <w:highlight w:val="yellow"/>
                <w:lang w:val="zh-CN" w:bidi="zh-CN"/>
              </w:rPr>
            </w:pPr>
            <w:r>
              <w:rPr>
                <w:rFonts w:hint="eastAsia"/>
                <w:kern w:val="2"/>
                <w:sz w:val="21"/>
                <w:szCs w:val="21"/>
              </w:rPr>
              <w:t>唐山市</w:t>
            </w:r>
          </w:p>
        </w:tc>
        <w:tc>
          <w:tcPr>
            <w:tcW w:w="1241" w:type="dxa"/>
            <w:shd w:val="clear" w:color="auto" w:fill="auto"/>
            <w:vAlign w:val="center"/>
          </w:tcPr>
          <w:p w:rsidR="00DB7CC8" w:rsidRDefault="002B5250">
            <w:pPr>
              <w:pStyle w:val="af2"/>
              <w:kinsoku w:val="0"/>
              <w:overflowPunct w:val="0"/>
              <w:snapToGrid w:val="0"/>
              <w:spacing w:after="0" w:line="240" w:lineRule="auto"/>
              <w:ind w:firstLineChars="0" w:firstLine="0"/>
              <w:jc w:val="center"/>
              <w:rPr>
                <w:sz w:val="21"/>
                <w:szCs w:val="21"/>
                <w:highlight w:val="yellow"/>
                <w:lang w:val="zh-CN" w:bidi="zh-CN"/>
              </w:rPr>
            </w:pPr>
            <w:r>
              <w:rPr>
                <w:rFonts w:hint="eastAsia"/>
                <w:kern w:val="2"/>
                <w:sz w:val="21"/>
                <w:szCs w:val="21"/>
              </w:rPr>
              <w:t>遵化市</w:t>
            </w:r>
          </w:p>
        </w:tc>
        <w:tc>
          <w:tcPr>
            <w:tcW w:w="1290" w:type="dxa"/>
            <w:shd w:val="clear" w:color="auto" w:fill="auto"/>
            <w:vAlign w:val="center"/>
          </w:tcPr>
          <w:p w:rsidR="00DB7CC8" w:rsidRDefault="002B5250">
            <w:pPr>
              <w:pStyle w:val="af2"/>
              <w:kinsoku w:val="0"/>
              <w:overflowPunct w:val="0"/>
              <w:snapToGrid w:val="0"/>
              <w:spacing w:after="0" w:line="240" w:lineRule="auto"/>
              <w:ind w:firstLineChars="0" w:firstLine="0"/>
              <w:jc w:val="center"/>
              <w:rPr>
                <w:sz w:val="21"/>
                <w:szCs w:val="21"/>
                <w:highlight w:val="yellow"/>
                <w:lang w:val="zh-CN" w:bidi="zh-CN"/>
              </w:rPr>
            </w:pPr>
            <w:r>
              <w:rPr>
                <w:rFonts w:hint="eastAsia"/>
                <w:kern w:val="2"/>
                <w:sz w:val="21"/>
                <w:szCs w:val="21"/>
              </w:rPr>
              <w:t>建明镇</w:t>
            </w:r>
          </w:p>
        </w:tc>
        <w:tc>
          <w:tcPr>
            <w:tcW w:w="1280" w:type="dxa"/>
            <w:shd w:val="clear" w:color="auto" w:fill="auto"/>
            <w:vAlign w:val="center"/>
          </w:tcPr>
          <w:p w:rsidR="00DB7CC8" w:rsidRDefault="002B5250">
            <w:pPr>
              <w:pStyle w:val="af2"/>
              <w:kinsoku w:val="0"/>
              <w:overflowPunct w:val="0"/>
              <w:snapToGrid w:val="0"/>
              <w:spacing w:after="0" w:line="240" w:lineRule="auto"/>
              <w:ind w:firstLineChars="0" w:firstLine="0"/>
              <w:jc w:val="center"/>
              <w:rPr>
                <w:sz w:val="21"/>
                <w:szCs w:val="21"/>
                <w:highlight w:val="yellow"/>
                <w:lang w:val="zh-CN" w:bidi="zh-CN"/>
              </w:rPr>
            </w:pPr>
            <w:r>
              <w:rPr>
                <w:rFonts w:hint="eastAsia"/>
                <w:kern w:val="2"/>
                <w:sz w:val="21"/>
                <w:szCs w:val="21"/>
              </w:rPr>
              <w:t>靠山庄村</w:t>
            </w:r>
          </w:p>
        </w:tc>
      </w:tr>
      <w:tr w:rsidR="00DB7CC8">
        <w:trPr>
          <w:trHeight w:val="340"/>
        </w:trPr>
        <w:tc>
          <w:tcPr>
            <w:tcW w:w="1928" w:type="dxa"/>
            <w:shd w:val="clear" w:color="auto" w:fill="auto"/>
            <w:vAlign w:val="center"/>
          </w:tcPr>
          <w:p w:rsidR="00DB7CC8" w:rsidRDefault="002B5250">
            <w:pPr>
              <w:pStyle w:val="afffffffc"/>
              <w:spacing w:line="240" w:lineRule="auto"/>
              <w:rPr>
                <w:lang w:val="zh-CN" w:bidi="zh-CN"/>
              </w:rPr>
            </w:pPr>
            <w:r>
              <w:rPr>
                <w:rFonts w:hint="eastAsia"/>
                <w:lang w:val="zh-CN" w:bidi="zh-CN"/>
              </w:rPr>
              <w:t>地理坐标</w:t>
            </w:r>
          </w:p>
        </w:tc>
        <w:tc>
          <w:tcPr>
            <w:tcW w:w="983" w:type="dxa"/>
            <w:shd w:val="clear" w:color="auto" w:fill="auto"/>
            <w:vAlign w:val="center"/>
          </w:tcPr>
          <w:p w:rsidR="00DB7CC8" w:rsidRDefault="002B5250">
            <w:pPr>
              <w:pStyle w:val="af2"/>
              <w:kinsoku w:val="0"/>
              <w:overflowPunct w:val="0"/>
              <w:snapToGrid w:val="0"/>
              <w:spacing w:after="0" w:line="240" w:lineRule="auto"/>
              <w:ind w:firstLineChars="0" w:firstLine="0"/>
              <w:jc w:val="center"/>
              <w:rPr>
                <w:sz w:val="21"/>
                <w:szCs w:val="21"/>
                <w:highlight w:val="yellow"/>
                <w:lang w:val="zh-CN" w:bidi="zh-CN"/>
              </w:rPr>
            </w:pPr>
            <w:r>
              <w:rPr>
                <w:rFonts w:hint="eastAsia"/>
                <w:kern w:val="2"/>
                <w:sz w:val="21"/>
                <w:szCs w:val="21"/>
              </w:rPr>
              <w:t>经度</w:t>
            </w:r>
          </w:p>
        </w:tc>
        <w:tc>
          <w:tcPr>
            <w:tcW w:w="1783" w:type="dxa"/>
            <w:shd w:val="clear" w:color="auto" w:fill="auto"/>
            <w:vAlign w:val="center"/>
          </w:tcPr>
          <w:p w:rsidR="00DB7CC8" w:rsidRDefault="002B5250">
            <w:pPr>
              <w:pStyle w:val="af2"/>
              <w:kinsoku w:val="0"/>
              <w:overflowPunct w:val="0"/>
              <w:snapToGrid w:val="0"/>
              <w:spacing w:after="0" w:line="240" w:lineRule="auto"/>
              <w:ind w:firstLineChars="0" w:firstLine="0"/>
              <w:jc w:val="center"/>
              <w:rPr>
                <w:sz w:val="21"/>
                <w:szCs w:val="21"/>
                <w:highlight w:val="yellow"/>
                <w:lang w:val="zh-CN" w:bidi="zh-CN"/>
              </w:rPr>
            </w:pPr>
            <w:r>
              <w:rPr>
                <w:sz w:val="21"/>
                <w:szCs w:val="21"/>
              </w:rPr>
              <w:t>E</w:t>
            </w:r>
            <w:r>
              <w:rPr>
                <w:bCs/>
                <w:sz w:val="21"/>
                <w:szCs w:val="21"/>
              </w:rPr>
              <w:t>118°7'</w:t>
            </w:r>
            <w:r>
              <w:rPr>
                <w:rFonts w:hint="eastAsia"/>
                <w:bCs/>
                <w:sz w:val="21"/>
                <w:szCs w:val="21"/>
              </w:rPr>
              <w:t>17.73</w:t>
            </w:r>
            <w:r>
              <w:rPr>
                <w:bCs/>
                <w:sz w:val="21"/>
                <w:szCs w:val="21"/>
              </w:rPr>
              <w:t>"</w:t>
            </w:r>
          </w:p>
        </w:tc>
        <w:tc>
          <w:tcPr>
            <w:tcW w:w="1241" w:type="dxa"/>
            <w:shd w:val="clear" w:color="auto" w:fill="auto"/>
            <w:vAlign w:val="center"/>
          </w:tcPr>
          <w:p w:rsidR="00DB7CC8" w:rsidRDefault="002B5250">
            <w:pPr>
              <w:pStyle w:val="af2"/>
              <w:kinsoku w:val="0"/>
              <w:overflowPunct w:val="0"/>
              <w:snapToGrid w:val="0"/>
              <w:spacing w:after="0" w:line="240" w:lineRule="auto"/>
              <w:ind w:firstLineChars="0" w:firstLine="0"/>
              <w:jc w:val="center"/>
              <w:rPr>
                <w:sz w:val="21"/>
                <w:szCs w:val="21"/>
                <w:highlight w:val="yellow"/>
                <w:lang w:val="zh-CN" w:bidi="zh-CN"/>
              </w:rPr>
            </w:pPr>
            <w:r>
              <w:rPr>
                <w:rFonts w:hint="eastAsia"/>
                <w:kern w:val="2"/>
                <w:sz w:val="21"/>
                <w:szCs w:val="21"/>
              </w:rPr>
              <w:t>纬度</w:t>
            </w:r>
          </w:p>
        </w:tc>
        <w:tc>
          <w:tcPr>
            <w:tcW w:w="2570" w:type="dxa"/>
            <w:gridSpan w:val="2"/>
            <w:shd w:val="clear" w:color="auto" w:fill="auto"/>
            <w:vAlign w:val="center"/>
          </w:tcPr>
          <w:p w:rsidR="00DB7CC8" w:rsidRDefault="002B5250">
            <w:pPr>
              <w:pStyle w:val="af2"/>
              <w:kinsoku w:val="0"/>
              <w:overflowPunct w:val="0"/>
              <w:snapToGrid w:val="0"/>
              <w:spacing w:after="0" w:line="240" w:lineRule="auto"/>
              <w:ind w:firstLineChars="0" w:firstLine="0"/>
              <w:jc w:val="center"/>
              <w:rPr>
                <w:sz w:val="21"/>
                <w:szCs w:val="21"/>
                <w:highlight w:val="yellow"/>
                <w:lang w:val="zh-CN" w:bidi="zh-CN"/>
              </w:rPr>
            </w:pPr>
            <w:r>
              <w:rPr>
                <w:sz w:val="21"/>
                <w:szCs w:val="21"/>
              </w:rPr>
              <w:t>N</w:t>
            </w:r>
            <w:r>
              <w:rPr>
                <w:bCs/>
                <w:sz w:val="21"/>
                <w:szCs w:val="21"/>
              </w:rPr>
              <w:t>40°11'</w:t>
            </w:r>
            <w:r>
              <w:rPr>
                <w:rFonts w:hint="eastAsia"/>
                <w:bCs/>
                <w:sz w:val="21"/>
                <w:szCs w:val="21"/>
              </w:rPr>
              <w:t>12.13</w:t>
            </w:r>
            <w:r>
              <w:rPr>
                <w:bCs/>
                <w:sz w:val="21"/>
                <w:szCs w:val="21"/>
              </w:rPr>
              <w:t>"</w:t>
            </w:r>
          </w:p>
        </w:tc>
      </w:tr>
      <w:tr w:rsidR="00DB7CC8">
        <w:trPr>
          <w:trHeight w:val="340"/>
        </w:trPr>
        <w:tc>
          <w:tcPr>
            <w:tcW w:w="1928" w:type="dxa"/>
            <w:shd w:val="clear" w:color="auto" w:fill="auto"/>
            <w:vAlign w:val="center"/>
          </w:tcPr>
          <w:p w:rsidR="00DB7CC8" w:rsidRDefault="002B5250">
            <w:pPr>
              <w:pStyle w:val="afffffffc"/>
              <w:spacing w:line="240" w:lineRule="auto"/>
              <w:rPr>
                <w:lang w:val="zh-CN" w:bidi="zh-CN"/>
              </w:rPr>
            </w:pPr>
            <w:r>
              <w:rPr>
                <w:rFonts w:hint="eastAsia"/>
                <w:lang w:val="zh-CN" w:bidi="zh-CN"/>
              </w:rPr>
              <w:t>主要危险物质及分布</w:t>
            </w:r>
          </w:p>
        </w:tc>
        <w:tc>
          <w:tcPr>
            <w:tcW w:w="6577" w:type="dxa"/>
            <w:gridSpan w:val="5"/>
            <w:shd w:val="clear" w:color="auto" w:fill="auto"/>
            <w:vAlign w:val="center"/>
          </w:tcPr>
          <w:p w:rsidR="00DB7CC8" w:rsidRDefault="002B5250">
            <w:pPr>
              <w:pStyle w:val="afffffffc"/>
              <w:spacing w:line="240" w:lineRule="auto"/>
              <w:rPr>
                <w:lang w:val="zh-CN" w:bidi="zh-CN"/>
              </w:rPr>
            </w:pPr>
            <w:r>
              <w:rPr>
                <w:rFonts w:hint="eastAsia"/>
                <w:lang w:val="zh-CN" w:bidi="zh-CN"/>
              </w:rPr>
              <w:t>废矿物油，分布于厂内设置的危废暂存间</w:t>
            </w:r>
            <w:r>
              <w:rPr>
                <w:rFonts w:hint="eastAsia"/>
                <w:bCs/>
                <w:szCs w:val="24"/>
                <w:lang w:val="zh-CN" w:bidi="zh-CN"/>
              </w:rPr>
              <w:t>。</w:t>
            </w:r>
          </w:p>
        </w:tc>
      </w:tr>
      <w:tr w:rsidR="00DB7CC8">
        <w:trPr>
          <w:trHeight w:val="340"/>
        </w:trPr>
        <w:tc>
          <w:tcPr>
            <w:tcW w:w="1928" w:type="dxa"/>
            <w:shd w:val="clear" w:color="auto" w:fill="auto"/>
            <w:vAlign w:val="center"/>
          </w:tcPr>
          <w:p w:rsidR="00DB7CC8" w:rsidRDefault="002B5250">
            <w:pPr>
              <w:pStyle w:val="afffffffc"/>
              <w:spacing w:line="240" w:lineRule="auto"/>
              <w:rPr>
                <w:lang w:val="zh-CN" w:bidi="zh-CN"/>
              </w:rPr>
            </w:pPr>
            <w:r>
              <w:rPr>
                <w:rFonts w:hint="eastAsia"/>
                <w:lang w:val="zh-CN" w:bidi="zh-CN"/>
              </w:rPr>
              <w:t>环境影响途径及后果（大气、地表水、地下水等）</w:t>
            </w:r>
          </w:p>
        </w:tc>
        <w:tc>
          <w:tcPr>
            <w:tcW w:w="6577" w:type="dxa"/>
            <w:gridSpan w:val="5"/>
            <w:shd w:val="clear" w:color="auto" w:fill="auto"/>
            <w:vAlign w:val="center"/>
          </w:tcPr>
          <w:p w:rsidR="00DB7CC8" w:rsidRDefault="002B5250">
            <w:pPr>
              <w:pStyle w:val="afffffffc"/>
              <w:spacing w:line="240" w:lineRule="auto"/>
              <w:rPr>
                <w:lang w:val="zh-CN" w:bidi="zh-CN"/>
              </w:rPr>
            </w:pPr>
            <w:r>
              <w:rPr>
                <w:rFonts w:hint="eastAsia"/>
                <w:lang w:val="zh-CN" w:bidi="zh-CN"/>
              </w:rPr>
              <w:t>在防渗层损坏失效的情况下，主要可能的环境影响途径为地下水，本项目废矿物油产生量较小，定期委托有资质单位进行处置，对地下水影响较小。</w:t>
            </w:r>
          </w:p>
        </w:tc>
      </w:tr>
      <w:tr w:rsidR="00DB7CC8">
        <w:trPr>
          <w:trHeight w:val="340"/>
        </w:trPr>
        <w:tc>
          <w:tcPr>
            <w:tcW w:w="1928" w:type="dxa"/>
            <w:shd w:val="clear" w:color="auto" w:fill="auto"/>
            <w:vAlign w:val="center"/>
          </w:tcPr>
          <w:p w:rsidR="00DB7CC8" w:rsidRDefault="002B5250">
            <w:pPr>
              <w:pStyle w:val="afffffffc"/>
              <w:spacing w:line="240" w:lineRule="auto"/>
              <w:rPr>
                <w:lang w:val="zh-CN" w:bidi="zh-CN"/>
              </w:rPr>
            </w:pPr>
            <w:r>
              <w:rPr>
                <w:rFonts w:hint="eastAsia"/>
                <w:lang w:val="zh-CN" w:bidi="zh-CN"/>
              </w:rPr>
              <w:t>风险防范措施要求</w:t>
            </w:r>
          </w:p>
        </w:tc>
        <w:tc>
          <w:tcPr>
            <w:tcW w:w="6577" w:type="dxa"/>
            <w:gridSpan w:val="5"/>
            <w:shd w:val="clear" w:color="auto" w:fill="auto"/>
            <w:vAlign w:val="center"/>
          </w:tcPr>
          <w:p w:rsidR="00DB7CC8" w:rsidRDefault="002B5250">
            <w:pPr>
              <w:pStyle w:val="afffffffc"/>
              <w:spacing w:line="240" w:lineRule="auto"/>
              <w:jc w:val="left"/>
              <w:rPr>
                <w:lang w:val="zh-CN" w:bidi="zh-CN"/>
              </w:rPr>
            </w:pPr>
            <w:r>
              <w:rPr>
                <w:rFonts w:hint="eastAsia"/>
                <w:lang w:val="zh-CN" w:bidi="zh-CN"/>
              </w:rPr>
              <w:t>1</w:t>
            </w:r>
            <w:r>
              <w:rPr>
                <w:rFonts w:hint="eastAsia"/>
                <w:lang w:val="zh-CN" w:bidi="zh-CN"/>
              </w:rPr>
              <w:t>、如发现废矿物油桶发生泄漏，立即对废矿物没进行倒桶处理，更换完好不泄漏的容器进行储存；</w:t>
            </w:r>
          </w:p>
          <w:p w:rsidR="00DB7CC8" w:rsidRDefault="002B5250">
            <w:pPr>
              <w:pStyle w:val="afffffffc"/>
              <w:spacing w:line="240" w:lineRule="auto"/>
              <w:jc w:val="left"/>
              <w:rPr>
                <w:lang w:val="zh-CN" w:bidi="zh-CN"/>
              </w:rPr>
            </w:pPr>
            <w:r>
              <w:rPr>
                <w:lang w:val="zh-CN" w:bidi="zh-CN"/>
              </w:rPr>
              <w:t>2</w:t>
            </w:r>
            <w:r>
              <w:rPr>
                <w:rFonts w:hint="eastAsia"/>
                <w:lang w:val="zh-CN" w:bidi="zh-CN"/>
              </w:rPr>
              <w:t>、根据</w:t>
            </w:r>
            <w:r>
              <w:rPr>
                <w:lang w:val="zh-CN" w:bidi="zh-CN"/>
              </w:rPr>
              <w:t>《危险废物贮存污染控制标准》（</w:t>
            </w:r>
            <w:r>
              <w:rPr>
                <w:lang w:val="zh-CN" w:bidi="zh-CN"/>
              </w:rPr>
              <w:t>GB18597-20</w:t>
            </w:r>
            <w:r>
              <w:rPr>
                <w:rFonts w:hint="eastAsia"/>
                <w:lang w:bidi="zh-CN"/>
              </w:rPr>
              <w:t>23</w:t>
            </w:r>
            <w:r>
              <w:rPr>
                <w:lang w:val="zh-CN" w:bidi="zh-CN"/>
              </w:rPr>
              <w:t>）关于防渗要求处理：地面及裙角均采取抗渗水泥防渗，地面水泥厚度为</w:t>
            </w:r>
            <w:r>
              <w:rPr>
                <w:lang w:val="zh-CN" w:bidi="zh-CN"/>
              </w:rPr>
              <w:t>20cm</w:t>
            </w:r>
            <w:r>
              <w:rPr>
                <w:lang w:val="zh-CN" w:bidi="zh-CN"/>
              </w:rPr>
              <w:t>；裙角高度</w:t>
            </w:r>
            <w:r>
              <w:rPr>
                <w:lang w:val="zh-CN" w:bidi="zh-CN"/>
              </w:rPr>
              <w:t>1.5m</w:t>
            </w:r>
            <w:r>
              <w:rPr>
                <w:lang w:val="zh-CN" w:bidi="zh-CN"/>
              </w:rPr>
              <w:t>，厚度</w:t>
            </w:r>
            <w:r>
              <w:rPr>
                <w:lang w:val="zh-CN" w:bidi="zh-CN"/>
              </w:rPr>
              <w:t>20cm</w:t>
            </w:r>
            <w:r>
              <w:rPr>
                <w:lang w:val="zh-CN" w:bidi="zh-CN"/>
              </w:rPr>
              <w:t>，地面及四周裙脚均应耐腐蚀，耐热且表面无裂隙，同时设置泄漏液体的收集装置。防渗层渗透系数小于</w:t>
            </w:r>
            <w:r>
              <w:rPr>
                <w:lang w:val="zh-CN" w:bidi="zh-CN"/>
              </w:rPr>
              <w:t>10</w:t>
            </w:r>
            <w:r>
              <w:rPr>
                <w:vertAlign w:val="superscript"/>
                <w:lang w:val="zh-CN" w:bidi="zh-CN"/>
              </w:rPr>
              <w:t>-10</w:t>
            </w:r>
            <w:r>
              <w:rPr>
                <w:lang w:val="zh-CN" w:bidi="zh-CN"/>
              </w:rPr>
              <w:t>cm/s</w:t>
            </w:r>
            <w:r>
              <w:rPr>
                <w:lang w:val="zh-CN" w:bidi="zh-CN"/>
              </w:rPr>
              <w:t>。</w:t>
            </w:r>
          </w:p>
          <w:p w:rsidR="00DB7CC8" w:rsidRDefault="002B5250">
            <w:pPr>
              <w:pStyle w:val="afffffffc"/>
              <w:spacing w:line="240" w:lineRule="auto"/>
              <w:jc w:val="left"/>
              <w:rPr>
                <w:lang w:val="zh-CN" w:bidi="zh-CN"/>
              </w:rPr>
            </w:pPr>
            <w:r>
              <w:rPr>
                <w:rFonts w:hint="eastAsia"/>
                <w:lang w:val="zh-CN" w:bidi="zh-CN"/>
              </w:rPr>
              <w:t>3</w:t>
            </w:r>
            <w:r>
              <w:rPr>
                <w:rFonts w:hint="eastAsia"/>
                <w:lang w:val="zh-CN" w:bidi="zh-CN"/>
              </w:rPr>
              <w:t>、如发现废矿物油泄漏已对厂区土壤和地下水造成的污染，立即启动应急预案，报当地环保部门。</w:t>
            </w:r>
          </w:p>
        </w:tc>
      </w:tr>
      <w:tr w:rsidR="00DB7CC8">
        <w:trPr>
          <w:trHeight w:val="340"/>
        </w:trPr>
        <w:tc>
          <w:tcPr>
            <w:tcW w:w="1928" w:type="dxa"/>
            <w:shd w:val="clear" w:color="auto" w:fill="auto"/>
            <w:vAlign w:val="center"/>
          </w:tcPr>
          <w:p w:rsidR="00DB7CC8" w:rsidRDefault="002B5250">
            <w:pPr>
              <w:pStyle w:val="afffffffc"/>
              <w:spacing w:line="240" w:lineRule="auto"/>
              <w:rPr>
                <w:lang w:val="zh-CN" w:bidi="zh-CN"/>
              </w:rPr>
            </w:pPr>
            <w:r>
              <w:rPr>
                <w:rFonts w:hint="eastAsia"/>
                <w:lang w:val="zh-CN" w:bidi="zh-CN"/>
              </w:rPr>
              <w:t>填表说明（列出相关信息及评价说明）</w:t>
            </w:r>
          </w:p>
        </w:tc>
        <w:tc>
          <w:tcPr>
            <w:tcW w:w="6577" w:type="dxa"/>
            <w:gridSpan w:val="5"/>
            <w:shd w:val="clear" w:color="auto" w:fill="auto"/>
            <w:vAlign w:val="center"/>
          </w:tcPr>
          <w:p w:rsidR="00DB7CC8" w:rsidRDefault="002B5250">
            <w:pPr>
              <w:pStyle w:val="afffffffc"/>
              <w:spacing w:line="240" w:lineRule="auto"/>
              <w:jc w:val="left"/>
              <w:rPr>
                <w:lang w:val="zh-CN" w:bidi="zh-CN"/>
              </w:rPr>
            </w:pPr>
            <w:r>
              <w:rPr>
                <w:rFonts w:hint="eastAsia"/>
                <w:lang w:val="zh-CN" w:bidi="zh-CN"/>
              </w:rPr>
              <w:t>1</w:t>
            </w:r>
            <w:r>
              <w:rPr>
                <w:rFonts w:hint="eastAsia"/>
                <w:lang w:val="zh-CN" w:bidi="zh-CN"/>
              </w:rPr>
              <w:t>、根据</w:t>
            </w:r>
            <w:r>
              <w:rPr>
                <w:rFonts w:hint="eastAsia"/>
                <w:lang w:val="zh-CN" w:bidi="zh-CN"/>
              </w:rPr>
              <w:t>HJ169-2018</w:t>
            </w:r>
            <w:r>
              <w:rPr>
                <w:rFonts w:hint="eastAsia"/>
                <w:lang w:val="zh-CN" w:bidi="zh-CN"/>
              </w:rPr>
              <w:t>附录</w:t>
            </w:r>
            <w:r>
              <w:rPr>
                <w:rFonts w:hint="eastAsia"/>
                <w:lang w:val="zh-CN" w:bidi="zh-CN"/>
              </w:rPr>
              <w:t>B</w:t>
            </w:r>
            <w:r>
              <w:rPr>
                <w:rFonts w:hint="eastAsia"/>
                <w:lang w:val="zh-CN" w:bidi="zh-CN"/>
              </w:rPr>
              <w:t>，本项目涉及的主要危险物质为废矿物油，属“附录</w:t>
            </w:r>
            <w:r>
              <w:rPr>
                <w:rFonts w:hint="eastAsia"/>
                <w:lang w:val="zh-CN" w:bidi="zh-CN"/>
              </w:rPr>
              <w:t xml:space="preserve">B  381 </w:t>
            </w:r>
            <w:r>
              <w:rPr>
                <w:rFonts w:hint="eastAsia"/>
                <w:lang w:val="zh-CN" w:bidi="zh-CN"/>
              </w:rPr>
              <w:t>油类物质”，其临界量为</w:t>
            </w:r>
            <w:r>
              <w:rPr>
                <w:rFonts w:hint="eastAsia"/>
                <w:lang w:val="zh-CN" w:bidi="zh-CN"/>
              </w:rPr>
              <w:t>2500t</w:t>
            </w:r>
            <w:r>
              <w:rPr>
                <w:rFonts w:hint="eastAsia"/>
                <w:lang w:val="zh-CN" w:bidi="zh-CN"/>
              </w:rPr>
              <w:t>，根据附录</w:t>
            </w:r>
            <w:r>
              <w:rPr>
                <w:rFonts w:hint="eastAsia"/>
                <w:lang w:val="zh-CN" w:bidi="zh-CN"/>
              </w:rPr>
              <w:t>C</w:t>
            </w:r>
            <w:r>
              <w:rPr>
                <w:rFonts w:hint="eastAsia"/>
                <w:lang w:val="zh-CN" w:bidi="zh-CN"/>
              </w:rPr>
              <w:t>，危险物质及工艺系统危险</w:t>
            </w:r>
            <w:r>
              <w:rPr>
                <w:rFonts w:hint="eastAsia"/>
                <w:lang w:val="zh-CN" w:bidi="zh-CN"/>
              </w:rPr>
              <w:t>性的分级，本项目危险物质最大储存量为</w:t>
            </w:r>
            <w:r>
              <w:rPr>
                <w:rFonts w:hint="eastAsia"/>
                <w:lang w:val="zh-CN" w:bidi="zh-CN"/>
              </w:rPr>
              <w:t>0.</w:t>
            </w:r>
            <w:r>
              <w:rPr>
                <w:rFonts w:hint="eastAsia"/>
                <w:lang w:bidi="zh-CN"/>
              </w:rPr>
              <w:t>3</w:t>
            </w:r>
            <w:r>
              <w:rPr>
                <w:rFonts w:hint="eastAsia"/>
                <w:lang w:val="zh-CN" w:bidi="zh-CN"/>
              </w:rPr>
              <w:t>t</w:t>
            </w:r>
            <w:r>
              <w:rPr>
                <w:rFonts w:hint="eastAsia"/>
                <w:lang w:val="zh-CN" w:bidi="zh-CN"/>
              </w:rPr>
              <w:t>，其数量与临界量比值</w:t>
            </w:r>
            <w:r>
              <w:rPr>
                <w:rFonts w:hint="eastAsia"/>
                <w:lang w:val="zh-CN" w:bidi="zh-CN"/>
              </w:rPr>
              <w:t>Q</w:t>
            </w:r>
            <w:r>
              <w:rPr>
                <w:rFonts w:hint="eastAsia"/>
                <w:lang w:val="zh-CN" w:bidi="zh-CN"/>
              </w:rPr>
              <w:t>为</w:t>
            </w:r>
            <w:r>
              <w:rPr>
                <w:rFonts w:hint="eastAsia"/>
                <w:lang w:val="zh-CN" w:bidi="zh-CN"/>
              </w:rPr>
              <w:t>0.000</w:t>
            </w:r>
            <w:r>
              <w:rPr>
                <w:rFonts w:hint="eastAsia"/>
                <w:lang w:bidi="zh-CN"/>
              </w:rPr>
              <w:t>12</w:t>
            </w:r>
            <w:r>
              <w:rPr>
                <w:rFonts w:hint="eastAsia"/>
                <w:lang w:val="zh-CN" w:bidi="zh-CN"/>
              </w:rPr>
              <w:t>，</w:t>
            </w:r>
            <w:r>
              <w:rPr>
                <w:rFonts w:hint="eastAsia"/>
                <w:lang w:val="zh-CN" w:bidi="zh-CN"/>
              </w:rPr>
              <w:t>Q</w:t>
            </w:r>
            <w:r>
              <w:rPr>
                <w:rFonts w:hint="eastAsia"/>
                <w:lang w:val="zh-CN" w:bidi="zh-CN"/>
              </w:rPr>
              <w:t>小于</w:t>
            </w:r>
            <w:r>
              <w:rPr>
                <w:rFonts w:hint="eastAsia"/>
                <w:lang w:val="zh-CN" w:bidi="zh-CN"/>
              </w:rPr>
              <w:t>1</w:t>
            </w:r>
            <w:r>
              <w:rPr>
                <w:rFonts w:hint="eastAsia"/>
                <w:lang w:val="zh-CN" w:bidi="zh-CN"/>
              </w:rPr>
              <w:t>，环境风险潜势为Ⅰ，可开展简单分析</w:t>
            </w:r>
          </w:p>
          <w:p w:rsidR="00DB7CC8" w:rsidRDefault="002B5250">
            <w:pPr>
              <w:pStyle w:val="afffffffc"/>
              <w:spacing w:line="240" w:lineRule="auto"/>
              <w:jc w:val="left"/>
              <w:rPr>
                <w:lang w:val="zh-CN" w:bidi="zh-CN"/>
              </w:rPr>
            </w:pPr>
            <w:r>
              <w:rPr>
                <w:rFonts w:hint="eastAsia"/>
                <w:lang w:val="zh-CN" w:bidi="zh-CN"/>
              </w:rPr>
              <w:t>2</w:t>
            </w:r>
            <w:r>
              <w:rPr>
                <w:rFonts w:hint="eastAsia"/>
                <w:lang w:val="zh-CN" w:bidi="zh-CN"/>
              </w:rPr>
              <w:t>、本项目主要环境影响途径为地下水，主要环境保护目标为厂区附近浅层地下水，环境保护目标见表</w:t>
            </w:r>
            <w:r>
              <w:rPr>
                <w:lang w:val="zh-CN" w:bidi="zh-CN"/>
              </w:rPr>
              <w:t>5.2-</w:t>
            </w:r>
            <w:r>
              <w:rPr>
                <w:rFonts w:hint="eastAsia"/>
                <w:lang w:bidi="zh-CN"/>
              </w:rPr>
              <w:t>40</w:t>
            </w:r>
            <w:r>
              <w:rPr>
                <w:rFonts w:hint="eastAsia"/>
                <w:lang w:val="zh-CN" w:bidi="zh-CN"/>
              </w:rPr>
              <w:t>。</w:t>
            </w:r>
          </w:p>
        </w:tc>
      </w:tr>
    </w:tbl>
    <w:p w:rsidR="00DB7CC8" w:rsidRDefault="00DB7CC8">
      <w:pPr>
        <w:spacing w:line="460" w:lineRule="exact"/>
        <w:ind w:firstLine="480"/>
        <w:jc w:val="both"/>
        <w:rPr>
          <w:sz w:val="24"/>
        </w:rPr>
      </w:pPr>
    </w:p>
    <w:p w:rsidR="00DB7CC8" w:rsidRDefault="00DB7CC8">
      <w:pPr>
        <w:pStyle w:val="af2"/>
        <w:ind w:firstLineChars="0" w:firstLine="0"/>
        <w:rPr>
          <w:sz w:val="24"/>
        </w:rPr>
        <w:sectPr w:rsidR="00DB7CC8">
          <w:footerReference w:type="default" r:id="rId115"/>
          <w:pgSz w:w="11905" w:h="16838"/>
          <w:pgMar w:top="1440" w:right="1803" w:bottom="1134" w:left="1803" w:header="850" w:footer="992" w:gutter="0"/>
          <w:cols w:space="0"/>
          <w:docGrid w:linePitch="312"/>
        </w:sectPr>
      </w:pPr>
    </w:p>
    <w:p w:rsidR="00DB7CC8" w:rsidRDefault="002B5250">
      <w:pPr>
        <w:pStyle w:val="1"/>
        <w:numPr>
          <w:ilvl w:val="0"/>
          <w:numId w:val="1"/>
        </w:numPr>
        <w:rPr>
          <w:rFonts w:ascii="Times New Roman"/>
          <w:sz w:val="36"/>
        </w:rPr>
      </w:pPr>
      <w:bookmarkStart w:id="460" w:name="_Toc521591803"/>
      <w:bookmarkStart w:id="461" w:name="_Toc266"/>
      <w:bookmarkStart w:id="462" w:name="_Toc28650"/>
      <w:bookmarkStart w:id="463" w:name="_Toc3682"/>
      <w:bookmarkStart w:id="464" w:name="_Toc524285111"/>
      <w:bookmarkStart w:id="465" w:name="_Toc9822"/>
      <w:bookmarkEnd w:id="453"/>
      <w:r>
        <w:rPr>
          <w:rFonts w:ascii="Times New Roman"/>
          <w:sz w:val="36"/>
        </w:rPr>
        <w:lastRenderedPageBreak/>
        <w:t>环境保护措施及其可行性论证</w:t>
      </w:r>
      <w:bookmarkEnd w:id="460"/>
      <w:bookmarkEnd w:id="461"/>
      <w:bookmarkEnd w:id="462"/>
      <w:bookmarkEnd w:id="463"/>
      <w:bookmarkEnd w:id="464"/>
      <w:bookmarkEnd w:id="465"/>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466" w:name="_Toc3015"/>
      <w:bookmarkStart w:id="467" w:name="_Toc521591804"/>
      <w:bookmarkStart w:id="468" w:name="_Toc527049885"/>
      <w:bookmarkStart w:id="469" w:name="_Toc524285112"/>
      <w:bookmarkStart w:id="470" w:name="_Toc499651420"/>
      <w:bookmarkStart w:id="471" w:name="_Toc503218119"/>
      <w:bookmarkStart w:id="472" w:name="_Toc19609"/>
      <w:bookmarkStart w:id="473" w:name="_Toc3975"/>
      <w:bookmarkStart w:id="474" w:name="_Toc31188"/>
      <w:bookmarkStart w:id="475" w:name="_Toc499651421"/>
      <w:bookmarkStart w:id="476" w:name="_Toc1695"/>
      <w:bookmarkStart w:id="477" w:name="_Toc524285113"/>
      <w:bookmarkStart w:id="478" w:name="_Toc14033"/>
      <w:bookmarkStart w:id="479" w:name="_Toc22362"/>
      <w:bookmarkStart w:id="480" w:name="_Toc503218120"/>
      <w:bookmarkStart w:id="481" w:name="_Toc521591810"/>
      <w:r>
        <w:rPr>
          <w:rFonts w:ascii="Times New Roman" w:eastAsia="宋体" w:hAnsi="Times New Roman"/>
          <w:bCs w:val="0"/>
          <w:snapToGrid w:val="0"/>
          <w:kern w:val="0"/>
          <w:sz w:val="28"/>
          <w:szCs w:val="28"/>
        </w:rPr>
        <w:t>施工期环境保护措施</w:t>
      </w:r>
      <w:bookmarkEnd w:id="466"/>
      <w:bookmarkEnd w:id="467"/>
      <w:bookmarkEnd w:id="468"/>
      <w:bookmarkEnd w:id="469"/>
      <w:bookmarkEnd w:id="470"/>
      <w:bookmarkEnd w:id="471"/>
      <w:bookmarkEnd w:id="472"/>
      <w:bookmarkEnd w:id="473"/>
      <w:r>
        <w:rPr>
          <w:rFonts w:ascii="Times New Roman" w:eastAsia="宋体" w:hAnsi="Times New Roman" w:hint="eastAsia"/>
          <w:bCs w:val="0"/>
          <w:snapToGrid w:val="0"/>
          <w:kern w:val="0"/>
          <w:sz w:val="28"/>
          <w:szCs w:val="28"/>
        </w:rPr>
        <w:t>可行性论证</w:t>
      </w:r>
      <w:bookmarkEnd w:id="474"/>
    </w:p>
    <w:p w:rsidR="00DB7CC8" w:rsidRDefault="002B5250">
      <w:pPr>
        <w:pStyle w:val="3"/>
        <w:numPr>
          <w:ilvl w:val="2"/>
          <w:numId w:val="1"/>
        </w:numPr>
        <w:rPr>
          <w:szCs w:val="28"/>
        </w:rPr>
      </w:pPr>
      <w:bookmarkStart w:id="482" w:name="_Toc4607"/>
      <w:bookmarkStart w:id="483" w:name="_Toc521591805"/>
      <w:r>
        <w:rPr>
          <w:szCs w:val="28"/>
        </w:rPr>
        <w:t>施工期大气污染控制措施</w:t>
      </w:r>
      <w:bookmarkEnd w:id="482"/>
      <w:bookmarkEnd w:id="483"/>
      <w:r>
        <w:rPr>
          <w:rFonts w:hint="eastAsia"/>
          <w:szCs w:val="28"/>
        </w:rPr>
        <w:t>可行性论证</w:t>
      </w:r>
    </w:p>
    <w:p w:rsidR="00DB7CC8" w:rsidRDefault="002B5250">
      <w:pPr>
        <w:autoSpaceDE w:val="0"/>
        <w:autoSpaceDN w:val="0"/>
        <w:ind w:firstLine="480"/>
        <w:textAlignment w:val="auto"/>
        <w:rPr>
          <w:sz w:val="24"/>
          <w:szCs w:val="24"/>
        </w:rPr>
      </w:pPr>
      <w:r>
        <w:rPr>
          <w:sz w:val="24"/>
          <w:szCs w:val="24"/>
        </w:rPr>
        <w:t>本项目施工期对环境空气的污染主要包括扬尘及施工车辆尾气排放。</w:t>
      </w:r>
    </w:p>
    <w:p w:rsidR="00DB7CC8" w:rsidRDefault="002B5250">
      <w:pPr>
        <w:autoSpaceDE w:val="0"/>
        <w:autoSpaceDN w:val="0"/>
        <w:ind w:firstLine="480"/>
        <w:textAlignment w:val="auto"/>
        <w:rPr>
          <w:sz w:val="24"/>
          <w:szCs w:val="24"/>
        </w:rPr>
      </w:pPr>
      <w:r>
        <w:rPr>
          <w:sz w:val="24"/>
          <w:szCs w:val="24"/>
        </w:rPr>
        <w:t>（</w:t>
      </w:r>
      <w:r>
        <w:rPr>
          <w:sz w:val="24"/>
          <w:szCs w:val="24"/>
        </w:rPr>
        <w:t>1</w:t>
      </w:r>
      <w:r>
        <w:rPr>
          <w:sz w:val="24"/>
          <w:szCs w:val="24"/>
        </w:rPr>
        <w:t>）工地道路全部硬化，每天都进行清扫和洒水抑尘；严禁在车行道上堆放建筑材料等。</w:t>
      </w:r>
    </w:p>
    <w:p w:rsidR="00DB7CC8" w:rsidRDefault="002B5250">
      <w:pPr>
        <w:autoSpaceDE w:val="0"/>
        <w:autoSpaceDN w:val="0"/>
        <w:ind w:firstLine="480"/>
        <w:textAlignment w:val="auto"/>
        <w:rPr>
          <w:sz w:val="24"/>
          <w:szCs w:val="24"/>
        </w:rPr>
      </w:pPr>
      <w:r>
        <w:rPr>
          <w:sz w:val="24"/>
          <w:szCs w:val="24"/>
        </w:rPr>
        <w:t>（</w:t>
      </w:r>
      <w:r>
        <w:rPr>
          <w:sz w:val="24"/>
          <w:szCs w:val="24"/>
        </w:rPr>
        <w:t>2</w:t>
      </w:r>
      <w:r>
        <w:rPr>
          <w:sz w:val="24"/>
          <w:szCs w:val="24"/>
        </w:rPr>
        <w:t>）运输车辆进入施工场地低速或限速行驶，以减少产尘量；工地出入口处设置冲洗车轮的设备，确保出入工地车轮不带泥。</w:t>
      </w:r>
    </w:p>
    <w:p w:rsidR="00DB7CC8" w:rsidRDefault="002B5250">
      <w:pPr>
        <w:autoSpaceDE w:val="0"/>
        <w:autoSpaceDN w:val="0"/>
        <w:ind w:firstLine="480"/>
        <w:textAlignment w:val="auto"/>
        <w:rPr>
          <w:sz w:val="24"/>
          <w:szCs w:val="24"/>
        </w:rPr>
      </w:pPr>
      <w:r>
        <w:rPr>
          <w:sz w:val="24"/>
          <w:szCs w:val="24"/>
        </w:rPr>
        <w:t>（</w:t>
      </w:r>
      <w:r>
        <w:rPr>
          <w:sz w:val="24"/>
          <w:szCs w:val="24"/>
        </w:rPr>
        <w:t>3</w:t>
      </w:r>
      <w:r>
        <w:rPr>
          <w:sz w:val="24"/>
          <w:szCs w:val="24"/>
        </w:rPr>
        <w:t>）施工垃圾运输采用</w:t>
      </w:r>
      <w:bookmarkStart w:id="484" w:name="baidusnap1"/>
      <w:bookmarkEnd w:id="484"/>
      <w:r>
        <w:rPr>
          <w:sz w:val="24"/>
          <w:szCs w:val="24"/>
        </w:rPr>
        <w:t>密闭式运输</w:t>
      </w:r>
      <w:bookmarkStart w:id="485" w:name="baidusnap0"/>
      <w:bookmarkEnd w:id="485"/>
      <w:r>
        <w:rPr>
          <w:sz w:val="24"/>
          <w:szCs w:val="24"/>
        </w:rPr>
        <w:t>车辆或采取覆盖措施；施工现场出入口处采取保证车辆清洁的措施。</w:t>
      </w:r>
    </w:p>
    <w:p w:rsidR="00DB7CC8" w:rsidRDefault="002B5250">
      <w:pPr>
        <w:autoSpaceDE w:val="0"/>
        <w:autoSpaceDN w:val="0"/>
        <w:ind w:firstLine="480"/>
        <w:jc w:val="both"/>
        <w:textAlignment w:val="auto"/>
        <w:rPr>
          <w:sz w:val="24"/>
          <w:szCs w:val="24"/>
        </w:rPr>
      </w:pPr>
      <w:r>
        <w:rPr>
          <w:sz w:val="24"/>
          <w:szCs w:val="24"/>
        </w:rPr>
        <w:t>（</w:t>
      </w:r>
      <w:r>
        <w:rPr>
          <w:sz w:val="24"/>
          <w:szCs w:val="24"/>
        </w:rPr>
        <w:t>4</w:t>
      </w:r>
      <w:r>
        <w:rPr>
          <w:sz w:val="24"/>
          <w:szCs w:val="24"/>
        </w:rPr>
        <w:t>）施工现场管理严格执行《河北省建筑施工扬尘治理方案》（冀建安〔</w:t>
      </w:r>
      <w:r>
        <w:rPr>
          <w:sz w:val="24"/>
          <w:szCs w:val="24"/>
        </w:rPr>
        <w:t>2017</w:t>
      </w:r>
      <w:r>
        <w:rPr>
          <w:sz w:val="24"/>
          <w:szCs w:val="24"/>
        </w:rPr>
        <w:t>〕</w:t>
      </w:r>
      <w:r>
        <w:rPr>
          <w:sz w:val="24"/>
          <w:szCs w:val="24"/>
        </w:rPr>
        <w:t>9</w:t>
      </w:r>
      <w:r>
        <w:rPr>
          <w:sz w:val="24"/>
          <w:szCs w:val="24"/>
        </w:rPr>
        <w:t>号，</w:t>
      </w:r>
      <w:r>
        <w:rPr>
          <w:sz w:val="24"/>
          <w:szCs w:val="24"/>
        </w:rPr>
        <w:t>2017.3.20</w:t>
      </w:r>
      <w:r>
        <w:rPr>
          <w:sz w:val="24"/>
          <w:szCs w:val="24"/>
        </w:rPr>
        <w:t>）、《关于进一步加强建筑工程施工扬尘治理的若干规定》（冀建法〔</w:t>
      </w:r>
      <w:r>
        <w:rPr>
          <w:sz w:val="24"/>
          <w:szCs w:val="24"/>
        </w:rPr>
        <w:t>2013</w:t>
      </w:r>
      <w:r>
        <w:rPr>
          <w:sz w:val="24"/>
          <w:szCs w:val="24"/>
        </w:rPr>
        <w:t>〕</w:t>
      </w:r>
      <w:r>
        <w:rPr>
          <w:sz w:val="24"/>
          <w:szCs w:val="24"/>
        </w:rPr>
        <w:t>28</w:t>
      </w:r>
      <w:r>
        <w:rPr>
          <w:sz w:val="24"/>
          <w:szCs w:val="24"/>
        </w:rPr>
        <w:t>号，</w:t>
      </w:r>
      <w:r>
        <w:rPr>
          <w:sz w:val="24"/>
          <w:szCs w:val="24"/>
        </w:rPr>
        <w:t>2013.10.10</w:t>
      </w:r>
      <w:r>
        <w:rPr>
          <w:sz w:val="24"/>
          <w:szCs w:val="24"/>
        </w:rPr>
        <w:t>）、</w:t>
      </w:r>
      <w:r>
        <w:rPr>
          <w:sz w:val="24"/>
          <w:szCs w:val="24"/>
        </w:rPr>
        <w:t>《</w:t>
      </w:r>
      <w:r>
        <w:rPr>
          <w:rFonts w:hint="eastAsia"/>
          <w:sz w:val="24"/>
          <w:szCs w:val="24"/>
        </w:rPr>
        <w:t>河北省</w:t>
      </w:r>
      <w:r>
        <w:rPr>
          <w:rFonts w:hint="eastAsia"/>
          <w:sz w:val="24"/>
          <w:szCs w:val="24"/>
        </w:rPr>
        <w:t>2022</w:t>
      </w:r>
      <w:r>
        <w:rPr>
          <w:rFonts w:hint="eastAsia"/>
          <w:sz w:val="24"/>
          <w:szCs w:val="24"/>
        </w:rPr>
        <w:t>年建筑施工扬尘污染防治工作方案</w:t>
      </w:r>
      <w:r>
        <w:rPr>
          <w:sz w:val="24"/>
          <w:szCs w:val="24"/>
        </w:rPr>
        <w:t>》</w:t>
      </w:r>
      <w:r>
        <w:rPr>
          <w:sz w:val="24"/>
          <w:szCs w:val="24"/>
        </w:rPr>
        <w:t>(</w:t>
      </w:r>
      <w:r>
        <w:rPr>
          <w:rFonts w:hint="eastAsia"/>
          <w:sz w:val="24"/>
          <w:szCs w:val="24"/>
        </w:rPr>
        <w:t>冀建质安</w:t>
      </w:r>
      <w:r>
        <w:rPr>
          <w:sz w:val="24"/>
          <w:szCs w:val="24"/>
        </w:rPr>
        <w:t>函</w:t>
      </w:r>
      <w:r>
        <w:rPr>
          <w:sz w:val="24"/>
          <w:szCs w:val="24"/>
        </w:rPr>
        <w:t>[20</w:t>
      </w:r>
      <w:r>
        <w:rPr>
          <w:rFonts w:hint="eastAsia"/>
          <w:sz w:val="24"/>
          <w:szCs w:val="24"/>
        </w:rPr>
        <w:t>22</w:t>
      </w:r>
      <w:r>
        <w:rPr>
          <w:sz w:val="24"/>
          <w:szCs w:val="24"/>
        </w:rPr>
        <w:t>]</w:t>
      </w:r>
      <w:r>
        <w:rPr>
          <w:rFonts w:hint="eastAsia"/>
          <w:sz w:val="24"/>
          <w:szCs w:val="24"/>
        </w:rPr>
        <w:t>149</w:t>
      </w:r>
      <w:r>
        <w:rPr>
          <w:sz w:val="24"/>
          <w:szCs w:val="24"/>
        </w:rPr>
        <w:t>号</w:t>
      </w:r>
      <w:r>
        <w:rPr>
          <w:sz w:val="24"/>
          <w:szCs w:val="24"/>
        </w:rPr>
        <w:t>)</w:t>
      </w:r>
      <w:r>
        <w:rPr>
          <w:rFonts w:hint="eastAsia"/>
          <w:sz w:val="24"/>
          <w:szCs w:val="24"/>
        </w:rPr>
        <w:t>、</w:t>
      </w:r>
      <w:r>
        <w:rPr>
          <w:sz w:val="24"/>
          <w:szCs w:val="24"/>
        </w:rPr>
        <w:t>《建设工程施工现场扬尘防治标准》（</w:t>
      </w:r>
      <w:r>
        <w:rPr>
          <w:sz w:val="24"/>
          <w:szCs w:val="24"/>
        </w:rPr>
        <w:t>DB13(J)/T220-2016</w:t>
      </w:r>
      <w:r>
        <w:rPr>
          <w:sz w:val="24"/>
          <w:szCs w:val="24"/>
        </w:rPr>
        <w:t>）中的有关环境保护的规定。</w:t>
      </w:r>
    </w:p>
    <w:p w:rsidR="00DB7CC8" w:rsidRDefault="002B5250">
      <w:pPr>
        <w:autoSpaceDE w:val="0"/>
        <w:autoSpaceDN w:val="0"/>
        <w:ind w:firstLine="480"/>
        <w:textAlignment w:val="auto"/>
        <w:rPr>
          <w:sz w:val="24"/>
          <w:szCs w:val="24"/>
        </w:rPr>
      </w:pPr>
      <w:r>
        <w:rPr>
          <w:rFonts w:hint="eastAsia"/>
          <w:sz w:val="24"/>
          <w:szCs w:val="24"/>
        </w:rPr>
        <w:t>（</w:t>
      </w:r>
      <w:r>
        <w:rPr>
          <w:rFonts w:hint="eastAsia"/>
          <w:sz w:val="24"/>
          <w:szCs w:val="24"/>
        </w:rPr>
        <w:t>5</w:t>
      </w:r>
      <w:r>
        <w:rPr>
          <w:rFonts w:hint="eastAsia"/>
          <w:sz w:val="24"/>
          <w:szCs w:val="24"/>
        </w:rPr>
        <w:t>）</w:t>
      </w:r>
      <w:r>
        <w:rPr>
          <w:sz w:val="24"/>
          <w:szCs w:val="24"/>
        </w:rPr>
        <w:t>施工场</w:t>
      </w:r>
      <w:r>
        <w:rPr>
          <w:rFonts w:hint="eastAsia"/>
          <w:sz w:val="24"/>
          <w:szCs w:val="24"/>
        </w:rPr>
        <w:t>地</w:t>
      </w:r>
      <w:r>
        <w:rPr>
          <w:sz w:val="24"/>
          <w:szCs w:val="24"/>
        </w:rPr>
        <w:t>施工机械、机动车辆治理选用低能耗、低污染排放的施工机械、车辆，对于排放废气较多的车辆，安装尾气净化装置。另外，尽量</w:t>
      </w:r>
      <w:r>
        <w:rPr>
          <w:sz w:val="24"/>
          <w:szCs w:val="24"/>
        </w:rPr>
        <w:t>选用质量高、对大气环境影响小的燃料。加强机械、车辆的管理和维修，尽量减少因机械、车辆状况不佳造成的空气污染。</w:t>
      </w:r>
    </w:p>
    <w:p w:rsidR="00DB7CC8" w:rsidRDefault="002B5250">
      <w:pPr>
        <w:autoSpaceDE w:val="0"/>
        <w:autoSpaceDN w:val="0"/>
        <w:ind w:firstLine="480"/>
        <w:textAlignment w:val="auto"/>
        <w:rPr>
          <w:sz w:val="24"/>
          <w:szCs w:val="24"/>
        </w:rPr>
      </w:pPr>
      <w:r>
        <w:rPr>
          <w:sz w:val="24"/>
          <w:szCs w:val="24"/>
        </w:rPr>
        <w:t>（</w:t>
      </w:r>
      <w:r>
        <w:rPr>
          <w:rFonts w:hint="eastAsia"/>
          <w:sz w:val="24"/>
          <w:szCs w:val="24"/>
        </w:rPr>
        <w:t>6</w:t>
      </w:r>
      <w:r>
        <w:rPr>
          <w:sz w:val="24"/>
          <w:szCs w:val="24"/>
        </w:rPr>
        <w:t>）遇有</w:t>
      </w:r>
      <w:r>
        <w:rPr>
          <w:sz w:val="24"/>
          <w:szCs w:val="24"/>
        </w:rPr>
        <w:t>4</w:t>
      </w:r>
      <w:r>
        <w:rPr>
          <w:sz w:val="24"/>
          <w:szCs w:val="24"/>
        </w:rPr>
        <w:t>级以上大风天气停止土石方施工</w:t>
      </w:r>
      <w:r>
        <w:rPr>
          <w:rFonts w:hint="eastAsia"/>
          <w:sz w:val="24"/>
          <w:szCs w:val="24"/>
        </w:rPr>
        <w:t>。</w:t>
      </w:r>
    </w:p>
    <w:p w:rsidR="00DB7CC8" w:rsidRDefault="002B5250">
      <w:pPr>
        <w:pStyle w:val="3"/>
        <w:numPr>
          <w:ilvl w:val="2"/>
          <w:numId w:val="1"/>
        </w:numPr>
        <w:rPr>
          <w:szCs w:val="28"/>
        </w:rPr>
      </w:pPr>
      <w:bookmarkStart w:id="486" w:name="_Toc23759"/>
      <w:bookmarkStart w:id="487" w:name="_Toc521591806"/>
      <w:r>
        <w:rPr>
          <w:szCs w:val="28"/>
        </w:rPr>
        <w:t>施工期水污染控制措施</w:t>
      </w:r>
      <w:bookmarkEnd w:id="486"/>
      <w:bookmarkEnd w:id="487"/>
      <w:r>
        <w:rPr>
          <w:rFonts w:hint="eastAsia"/>
          <w:szCs w:val="28"/>
        </w:rPr>
        <w:t>可行性论证</w:t>
      </w:r>
    </w:p>
    <w:p w:rsidR="00DB7CC8" w:rsidRDefault="002B5250">
      <w:pPr>
        <w:autoSpaceDE w:val="0"/>
        <w:autoSpaceDN w:val="0"/>
        <w:ind w:firstLine="480"/>
        <w:textAlignment w:val="auto"/>
        <w:rPr>
          <w:sz w:val="24"/>
          <w:szCs w:val="24"/>
        </w:rPr>
      </w:pPr>
      <w:r>
        <w:rPr>
          <w:rFonts w:hint="eastAsia"/>
          <w:sz w:val="24"/>
          <w:szCs w:val="24"/>
        </w:rPr>
        <w:t>为避免施工废水对当地环境造成不利影响，建议采取以下防治措施：</w:t>
      </w:r>
    </w:p>
    <w:p w:rsidR="00DB7CC8" w:rsidRDefault="002B5250">
      <w:pPr>
        <w:autoSpaceDE w:val="0"/>
        <w:autoSpaceDN w:val="0"/>
        <w:ind w:firstLine="480"/>
        <w:textAlignment w:val="auto"/>
        <w:rPr>
          <w:sz w:val="24"/>
          <w:szCs w:val="24"/>
        </w:rPr>
      </w:pPr>
      <w:r>
        <w:rPr>
          <w:rFonts w:hint="eastAsia"/>
          <w:sz w:val="24"/>
          <w:szCs w:val="24"/>
        </w:rPr>
        <w:t>（</w:t>
      </w:r>
      <w:r>
        <w:rPr>
          <w:sz w:val="24"/>
          <w:szCs w:val="24"/>
        </w:rPr>
        <w:t>1</w:t>
      </w:r>
      <w:r>
        <w:rPr>
          <w:rFonts w:hint="eastAsia"/>
          <w:sz w:val="24"/>
          <w:szCs w:val="24"/>
        </w:rPr>
        <w:t>）</w:t>
      </w:r>
      <w:bookmarkStart w:id="488" w:name="OLE_LINK53"/>
      <w:bookmarkStart w:id="489" w:name="OLE_LINK52"/>
      <w:r>
        <w:rPr>
          <w:rFonts w:hint="eastAsia"/>
          <w:sz w:val="24"/>
          <w:szCs w:val="24"/>
        </w:rPr>
        <w:t>施工场地设置简易防渗沉淀池和隔油池，施工含油废水与混凝土养护废水经沉淀、隔油后，全部回用于施工现场降尘、车辆清洗等作业，不外排。</w:t>
      </w:r>
    </w:p>
    <w:bookmarkEnd w:id="488"/>
    <w:bookmarkEnd w:id="489"/>
    <w:p w:rsidR="00DB7CC8" w:rsidRDefault="002B5250">
      <w:pPr>
        <w:autoSpaceDE w:val="0"/>
        <w:autoSpaceDN w:val="0"/>
        <w:ind w:firstLine="480"/>
        <w:textAlignment w:val="auto"/>
        <w:rPr>
          <w:sz w:val="24"/>
          <w:szCs w:val="24"/>
        </w:rPr>
      </w:pPr>
      <w:r>
        <w:rPr>
          <w:rFonts w:hint="eastAsia"/>
          <w:sz w:val="24"/>
          <w:szCs w:val="24"/>
        </w:rPr>
        <w:t>（</w:t>
      </w:r>
      <w:r>
        <w:rPr>
          <w:sz w:val="24"/>
          <w:szCs w:val="24"/>
        </w:rPr>
        <w:t>2</w:t>
      </w:r>
      <w:r>
        <w:rPr>
          <w:rFonts w:hint="eastAsia"/>
          <w:sz w:val="24"/>
          <w:szCs w:val="24"/>
        </w:rPr>
        <w:t>）施工期工人盥洗废水用于场地洒水抑尘，不外排；施工期现场设旱厕，定期清掏，用作农肥，不排入地表水体。</w:t>
      </w:r>
    </w:p>
    <w:p w:rsidR="00DB7CC8" w:rsidRDefault="002B5250">
      <w:pPr>
        <w:autoSpaceDE w:val="0"/>
        <w:autoSpaceDN w:val="0"/>
        <w:ind w:firstLine="480"/>
        <w:textAlignment w:val="auto"/>
        <w:rPr>
          <w:sz w:val="24"/>
          <w:szCs w:val="24"/>
        </w:rPr>
      </w:pPr>
      <w:r>
        <w:rPr>
          <w:rFonts w:hint="eastAsia"/>
          <w:sz w:val="24"/>
          <w:szCs w:val="24"/>
        </w:rPr>
        <w:t>（</w:t>
      </w:r>
      <w:r>
        <w:rPr>
          <w:sz w:val="24"/>
          <w:szCs w:val="24"/>
        </w:rPr>
        <w:t>3</w:t>
      </w:r>
      <w:r>
        <w:rPr>
          <w:rFonts w:hint="eastAsia"/>
          <w:sz w:val="24"/>
          <w:szCs w:val="24"/>
        </w:rPr>
        <w:t>）项目施工过程中做</w:t>
      </w:r>
      <w:r>
        <w:rPr>
          <w:rFonts w:hint="eastAsia"/>
          <w:sz w:val="24"/>
          <w:szCs w:val="24"/>
        </w:rPr>
        <w:t>好用水与排水管线的防渗措施，管道铺设前做好地下水防渗措施；做好接驳管道的设计、施工工作，对于管道接驳过程中的污水溢流做好疏导引流工作，避免污水下渗对地下水的污染。</w:t>
      </w:r>
    </w:p>
    <w:p w:rsidR="00DB7CC8" w:rsidRDefault="002B5250">
      <w:pPr>
        <w:autoSpaceDE w:val="0"/>
        <w:autoSpaceDN w:val="0"/>
        <w:ind w:firstLine="480"/>
        <w:textAlignment w:val="auto"/>
        <w:rPr>
          <w:sz w:val="24"/>
          <w:szCs w:val="24"/>
        </w:rPr>
      </w:pPr>
      <w:r>
        <w:rPr>
          <w:rFonts w:hint="eastAsia"/>
          <w:sz w:val="24"/>
          <w:szCs w:val="24"/>
        </w:rPr>
        <w:lastRenderedPageBreak/>
        <w:t>（</w:t>
      </w:r>
      <w:r>
        <w:rPr>
          <w:rFonts w:hint="eastAsia"/>
          <w:sz w:val="24"/>
          <w:szCs w:val="24"/>
        </w:rPr>
        <w:t>4</w:t>
      </w:r>
      <w:r>
        <w:rPr>
          <w:rFonts w:hint="eastAsia"/>
          <w:sz w:val="24"/>
          <w:szCs w:val="24"/>
        </w:rPr>
        <w:t>）砂浆和石灰浆等废液及沉淀池的泥沙集中处理，干燥后与建筑固体废弃物一起处置。</w:t>
      </w:r>
    </w:p>
    <w:p w:rsidR="00DB7CC8" w:rsidRDefault="002B5250">
      <w:pPr>
        <w:autoSpaceDE w:val="0"/>
        <w:autoSpaceDN w:val="0"/>
        <w:ind w:firstLine="480"/>
        <w:textAlignment w:val="auto"/>
        <w:rPr>
          <w:sz w:val="24"/>
          <w:szCs w:val="24"/>
        </w:rPr>
      </w:pPr>
      <w:r>
        <w:rPr>
          <w:rFonts w:hint="eastAsia"/>
          <w:sz w:val="24"/>
          <w:szCs w:val="24"/>
        </w:rPr>
        <w:t>（</w:t>
      </w:r>
      <w:r>
        <w:rPr>
          <w:rFonts w:hint="eastAsia"/>
          <w:sz w:val="24"/>
          <w:szCs w:val="24"/>
        </w:rPr>
        <w:t>5</w:t>
      </w:r>
      <w:r>
        <w:rPr>
          <w:rFonts w:hint="eastAsia"/>
          <w:sz w:val="24"/>
          <w:szCs w:val="24"/>
        </w:rPr>
        <w:t>）水泥、黄沙、石灰类的建筑材料集中堆放，并采取一定的防雨淋措施，及时清扫施工运输过程中抛洒的建筑材料，以免这些物质随雨水冲刷，造成面源污染。</w:t>
      </w:r>
    </w:p>
    <w:p w:rsidR="00DB7CC8" w:rsidRDefault="002B5250">
      <w:pPr>
        <w:autoSpaceDE w:val="0"/>
        <w:autoSpaceDN w:val="0"/>
        <w:ind w:firstLine="480"/>
        <w:textAlignment w:val="auto"/>
        <w:rPr>
          <w:sz w:val="24"/>
          <w:szCs w:val="24"/>
        </w:rPr>
      </w:pPr>
      <w:r>
        <w:rPr>
          <w:rFonts w:hint="eastAsia"/>
          <w:sz w:val="24"/>
          <w:szCs w:val="24"/>
        </w:rPr>
        <w:t>（</w:t>
      </w:r>
      <w:r>
        <w:rPr>
          <w:rFonts w:hint="eastAsia"/>
          <w:sz w:val="24"/>
          <w:szCs w:val="24"/>
        </w:rPr>
        <w:t>6</w:t>
      </w:r>
      <w:r>
        <w:rPr>
          <w:rFonts w:hint="eastAsia"/>
          <w:sz w:val="24"/>
          <w:szCs w:val="24"/>
        </w:rPr>
        <w:t>）为保护该地区地下水，禁止利用生活垃圾和废弃物回填沟、坑等，对现场垃圾堆放做好防渗处理及收集管理工作，及时清运，避免</w:t>
      </w:r>
      <w:r>
        <w:rPr>
          <w:rFonts w:hint="eastAsia"/>
          <w:sz w:val="24"/>
          <w:szCs w:val="24"/>
        </w:rPr>
        <w:t>因雨淋或渗滤液渗漏引起地下水污染。</w:t>
      </w:r>
    </w:p>
    <w:p w:rsidR="00DB7CC8" w:rsidRDefault="002B5250">
      <w:pPr>
        <w:autoSpaceDE w:val="0"/>
        <w:autoSpaceDN w:val="0"/>
        <w:ind w:firstLine="480"/>
        <w:textAlignment w:val="auto"/>
        <w:rPr>
          <w:sz w:val="24"/>
          <w:szCs w:val="24"/>
        </w:rPr>
      </w:pPr>
      <w:r>
        <w:rPr>
          <w:rFonts w:hint="eastAsia"/>
          <w:sz w:val="24"/>
          <w:szCs w:val="24"/>
        </w:rPr>
        <w:t>（</w:t>
      </w:r>
      <w:r>
        <w:rPr>
          <w:rFonts w:hint="eastAsia"/>
          <w:sz w:val="24"/>
          <w:szCs w:val="24"/>
        </w:rPr>
        <w:t>7</w:t>
      </w:r>
      <w:r>
        <w:rPr>
          <w:rFonts w:hint="eastAsia"/>
          <w:sz w:val="24"/>
          <w:szCs w:val="24"/>
        </w:rPr>
        <w:t>）对于施工车辆和设备，严格管理，防止发生漏油等污染事故。</w:t>
      </w:r>
    </w:p>
    <w:p w:rsidR="00DB7CC8" w:rsidRDefault="002B5250">
      <w:pPr>
        <w:autoSpaceDE w:val="0"/>
        <w:autoSpaceDN w:val="0"/>
        <w:ind w:firstLine="480"/>
        <w:textAlignment w:val="auto"/>
        <w:rPr>
          <w:sz w:val="24"/>
          <w:szCs w:val="24"/>
        </w:rPr>
      </w:pPr>
      <w:r>
        <w:rPr>
          <w:rFonts w:hint="eastAsia"/>
          <w:sz w:val="24"/>
          <w:szCs w:val="24"/>
        </w:rPr>
        <w:t>（</w:t>
      </w:r>
      <w:r>
        <w:rPr>
          <w:rFonts w:hint="eastAsia"/>
          <w:sz w:val="24"/>
          <w:szCs w:val="24"/>
        </w:rPr>
        <w:t>8</w:t>
      </w:r>
      <w:r>
        <w:rPr>
          <w:rFonts w:hint="eastAsia"/>
          <w:sz w:val="24"/>
          <w:szCs w:val="24"/>
        </w:rPr>
        <w:t>）施工场地内不设置机械、车辆维修点，到专业的维修点维修，避免施工场地内产生含油污水。</w:t>
      </w:r>
    </w:p>
    <w:p w:rsidR="00DB7CC8" w:rsidRDefault="002B5250">
      <w:pPr>
        <w:autoSpaceDE w:val="0"/>
        <w:autoSpaceDN w:val="0"/>
        <w:ind w:firstLine="480"/>
        <w:textAlignment w:val="auto"/>
        <w:rPr>
          <w:sz w:val="24"/>
          <w:szCs w:val="24"/>
        </w:rPr>
      </w:pPr>
      <w:r>
        <w:rPr>
          <w:rFonts w:hint="eastAsia"/>
          <w:sz w:val="24"/>
          <w:szCs w:val="24"/>
        </w:rPr>
        <w:t>（</w:t>
      </w:r>
      <w:r>
        <w:rPr>
          <w:rFonts w:hint="eastAsia"/>
          <w:sz w:val="24"/>
          <w:szCs w:val="24"/>
        </w:rPr>
        <w:t>10</w:t>
      </w:r>
      <w:r>
        <w:rPr>
          <w:rFonts w:hint="eastAsia"/>
          <w:sz w:val="24"/>
          <w:szCs w:val="24"/>
        </w:rPr>
        <w:t>）合理安排施工时间，尽量避免在雨季施工，以防止施工过程中随着降雨淋滤作用，施工废水进入地下含水层，减少造成地下水污染的机率。</w:t>
      </w:r>
    </w:p>
    <w:p w:rsidR="00DB7CC8" w:rsidRDefault="002B5250">
      <w:pPr>
        <w:autoSpaceDE w:val="0"/>
        <w:autoSpaceDN w:val="0"/>
        <w:ind w:firstLine="480"/>
        <w:textAlignment w:val="auto"/>
        <w:rPr>
          <w:sz w:val="24"/>
          <w:szCs w:val="24"/>
        </w:rPr>
      </w:pPr>
      <w:r>
        <w:rPr>
          <w:rFonts w:hint="eastAsia"/>
          <w:sz w:val="24"/>
          <w:szCs w:val="24"/>
        </w:rPr>
        <w:t>项目施工期在采取以上防渗措施后，施工废水泄漏及污染地下水的可能性很小，不会对地下水产生影响。</w:t>
      </w:r>
    </w:p>
    <w:p w:rsidR="00DB7CC8" w:rsidRDefault="002B5250">
      <w:pPr>
        <w:pStyle w:val="3"/>
        <w:numPr>
          <w:ilvl w:val="2"/>
          <w:numId w:val="1"/>
        </w:numPr>
        <w:rPr>
          <w:szCs w:val="28"/>
        </w:rPr>
      </w:pPr>
      <w:bookmarkStart w:id="490" w:name="_Toc521591807"/>
      <w:bookmarkStart w:id="491" w:name="_Toc6632"/>
      <w:r>
        <w:rPr>
          <w:szCs w:val="28"/>
        </w:rPr>
        <w:t>施工期噪声污染控制措施</w:t>
      </w:r>
      <w:bookmarkEnd w:id="490"/>
      <w:bookmarkEnd w:id="491"/>
      <w:r>
        <w:rPr>
          <w:rFonts w:hint="eastAsia"/>
          <w:szCs w:val="28"/>
        </w:rPr>
        <w:t>可行性论证</w:t>
      </w:r>
    </w:p>
    <w:p w:rsidR="00DB7CC8" w:rsidRDefault="002B5250">
      <w:pPr>
        <w:autoSpaceDE w:val="0"/>
        <w:autoSpaceDN w:val="0"/>
        <w:ind w:firstLine="480"/>
        <w:textAlignment w:val="auto"/>
        <w:rPr>
          <w:sz w:val="24"/>
          <w:szCs w:val="24"/>
        </w:rPr>
      </w:pPr>
      <w:r>
        <w:rPr>
          <w:rFonts w:hint="eastAsia"/>
          <w:sz w:val="24"/>
          <w:szCs w:val="24"/>
        </w:rPr>
        <w:t>为减少施工噪声对周围居住人群的影响，建议施工及建设单位采取以下措施：</w:t>
      </w:r>
    </w:p>
    <w:p w:rsidR="00DB7CC8" w:rsidRDefault="002B5250">
      <w:pPr>
        <w:autoSpaceDE w:val="0"/>
        <w:autoSpaceDN w:val="0"/>
        <w:ind w:firstLine="480"/>
        <w:textAlignment w:val="auto"/>
        <w:rPr>
          <w:sz w:val="24"/>
          <w:szCs w:val="24"/>
        </w:rPr>
      </w:pPr>
      <w:bookmarkStart w:id="492" w:name="OLE_LINK66"/>
      <w:bookmarkStart w:id="493" w:name="OLE_LINK67"/>
      <w:r>
        <w:rPr>
          <w:rFonts w:hint="eastAsia"/>
          <w:sz w:val="24"/>
          <w:szCs w:val="24"/>
        </w:rPr>
        <w:t>（</w:t>
      </w:r>
      <w:r>
        <w:rPr>
          <w:rFonts w:hint="eastAsia"/>
          <w:sz w:val="24"/>
          <w:szCs w:val="24"/>
        </w:rPr>
        <w:t>1</w:t>
      </w:r>
      <w:r>
        <w:rPr>
          <w:rFonts w:hint="eastAsia"/>
          <w:sz w:val="24"/>
          <w:szCs w:val="24"/>
        </w:rPr>
        <w:t>）从声源上控制</w:t>
      </w:r>
    </w:p>
    <w:p w:rsidR="00DB7CC8" w:rsidRDefault="002B5250">
      <w:pPr>
        <w:autoSpaceDE w:val="0"/>
        <w:autoSpaceDN w:val="0"/>
        <w:ind w:firstLine="480"/>
        <w:textAlignment w:val="auto"/>
        <w:rPr>
          <w:sz w:val="24"/>
          <w:szCs w:val="24"/>
        </w:rPr>
      </w:pPr>
      <w:r>
        <w:rPr>
          <w:rFonts w:hint="eastAsia"/>
          <w:sz w:val="24"/>
          <w:szCs w:val="24"/>
        </w:rPr>
        <w:t>建设单位在与施工单位签订合同时，要求其使用的主要机械设备为低噪声机械设备，例如选用液压机械取代燃油机械。同时在施工过程中施工单位设专人对设备进行定期保养和维护，并负责对现场工作人员进行培训，严格按操作规范使用各类机械。</w:t>
      </w:r>
    </w:p>
    <w:p w:rsidR="00DB7CC8" w:rsidRDefault="002B5250">
      <w:pPr>
        <w:autoSpaceDE w:val="0"/>
        <w:autoSpaceDN w:val="0"/>
        <w:ind w:firstLine="480"/>
        <w:textAlignment w:val="auto"/>
        <w:rPr>
          <w:sz w:val="24"/>
          <w:szCs w:val="24"/>
        </w:rPr>
      </w:pPr>
      <w:r>
        <w:rPr>
          <w:rFonts w:hint="eastAsia"/>
          <w:sz w:val="24"/>
          <w:szCs w:val="24"/>
        </w:rPr>
        <w:t>合理布置施工现场，避免在同一地点安排大量动力机械设备同时使用，以避免局部声级过高。</w:t>
      </w:r>
    </w:p>
    <w:p w:rsidR="00DB7CC8" w:rsidRDefault="002B5250">
      <w:pPr>
        <w:autoSpaceDE w:val="0"/>
        <w:autoSpaceDN w:val="0"/>
        <w:ind w:firstLine="480"/>
        <w:textAlignment w:val="auto"/>
        <w:rPr>
          <w:sz w:val="24"/>
          <w:szCs w:val="24"/>
        </w:rPr>
      </w:pPr>
      <w:r>
        <w:rPr>
          <w:rFonts w:hint="eastAsia"/>
          <w:sz w:val="24"/>
          <w:szCs w:val="24"/>
        </w:rPr>
        <w:t>固定机械设备与挖掘、运土机械，如挖土机、推土机等，通过排气管消声器和隔离发动机震动部件的方法降低噪声。</w:t>
      </w:r>
    </w:p>
    <w:p w:rsidR="00DB7CC8" w:rsidRDefault="002B5250">
      <w:pPr>
        <w:autoSpaceDE w:val="0"/>
        <w:autoSpaceDN w:val="0"/>
        <w:ind w:firstLine="480"/>
        <w:textAlignment w:val="auto"/>
        <w:rPr>
          <w:sz w:val="24"/>
          <w:szCs w:val="24"/>
        </w:rPr>
      </w:pPr>
      <w:r>
        <w:rPr>
          <w:rFonts w:hint="eastAsia"/>
          <w:sz w:val="24"/>
          <w:szCs w:val="24"/>
        </w:rPr>
        <w:t>对动力机械设备进行定期的维修、保养。维修不良的机械设备常因松动部件的震动或消声器的损坏而增加其工作噪声。</w:t>
      </w:r>
    </w:p>
    <w:p w:rsidR="00DB7CC8" w:rsidRDefault="002B5250">
      <w:pPr>
        <w:autoSpaceDE w:val="0"/>
        <w:autoSpaceDN w:val="0"/>
        <w:ind w:firstLine="480"/>
        <w:textAlignment w:val="auto"/>
        <w:rPr>
          <w:sz w:val="24"/>
          <w:szCs w:val="24"/>
        </w:rPr>
      </w:pPr>
      <w:r>
        <w:rPr>
          <w:rFonts w:hint="eastAsia"/>
          <w:sz w:val="24"/>
          <w:szCs w:val="24"/>
        </w:rPr>
        <w:t>闲置不用的设备立即关闭，运输车辆通过噪声敏感点或进入施工现场时减速，并尽量减少鸣笛，禁用高音喇叭鸣笛。</w:t>
      </w:r>
    </w:p>
    <w:p w:rsidR="00DB7CC8" w:rsidRDefault="002B5250">
      <w:pPr>
        <w:autoSpaceDE w:val="0"/>
        <w:autoSpaceDN w:val="0"/>
        <w:ind w:firstLine="480"/>
        <w:textAlignment w:val="auto"/>
        <w:rPr>
          <w:sz w:val="24"/>
          <w:szCs w:val="24"/>
        </w:rPr>
      </w:pPr>
      <w:r>
        <w:rPr>
          <w:rFonts w:hint="eastAsia"/>
          <w:sz w:val="24"/>
          <w:szCs w:val="24"/>
        </w:rPr>
        <w:lastRenderedPageBreak/>
        <w:t>（</w:t>
      </w:r>
      <w:r>
        <w:rPr>
          <w:rFonts w:hint="eastAsia"/>
          <w:sz w:val="24"/>
          <w:szCs w:val="24"/>
        </w:rPr>
        <w:t>2</w:t>
      </w:r>
      <w:r>
        <w:rPr>
          <w:rFonts w:hint="eastAsia"/>
          <w:sz w:val="24"/>
          <w:szCs w:val="24"/>
        </w:rPr>
        <w:t>）合理安排施工时间</w:t>
      </w:r>
    </w:p>
    <w:p w:rsidR="00DB7CC8" w:rsidRDefault="002B5250">
      <w:pPr>
        <w:autoSpaceDE w:val="0"/>
        <w:autoSpaceDN w:val="0"/>
        <w:ind w:firstLine="480"/>
        <w:textAlignment w:val="auto"/>
        <w:rPr>
          <w:sz w:val="24"/>
          <w:szCs w:val="24"/>
        </w:rPr>
      </w:pPr>
      <w:r>
        <w:rPr>
          <w:rFonts w:hint="eastAsia"/>
          <w:sz w:val="24"/>
          <w:szCs w:val="24"/>
        </w:rPr>
        <w:t>本项目施工单位要严格遵守相关规定，合理安排施工时间，除工程必须，并取得环保部门和建设行政主管部门批准外，严禁在</w:t>
      </w:r>
      <w:r>
        <w:rPr>
          <w:rFonts w:hint="eastAsia"/>
          <w:sz w:val="24"/>
          <w:szCs w:val="24"/>
        </w:rPr>
        <w:t>22</w:t>
      </w:r>
      <w:r>
        <w:rPr>
          <w:rFonts w:hint="eastAsia"/>
          <w:sz w:val="24"/>
          <w:szCs w:val="24"/>
        </w:rPr>
        <w:t>：</w:t>
      </w:r>
      <w:r>
        <w:rPr>
          <w:rFonts w:hint="eastAsia"/>
          <w:sz w:val="24"/>
          <w:szCs w:val="24"/>
        </w:rPr>
        <w:t>00-6</w:t>
      </w:r>
      <w:r>
        <w:rPr>
          <w:rFonts w:hint="eastAsia"/>
          <w:sz w:val="24"/>
          <w:szCs w:val="24"/>
        </w:rPr>
        <w:t>：</w:t>
      </w:r>
      <w:r>
        <w:rPr>
          <w:rFonts w:hint="eastAsia"/>
          <w:sz w:val="24"/>
          <w:szCs w:val="24"/>
        </w:rPr>
        <w:t>00</w:t>
      </w:r>
      <w:r>
        <w:rPr>
          <w:rFonts w:hint="eastAsia"/>
          <w:sz w:val="24"/>
          <w:szCs w:val="24"/>
        </w:rPr>
        <w:t>期间施工。</w:t>
      </w:r>
    </w:p>
    <w:p w:rsidR="00DB7CC8" w:rsidRDefault="002B5250">
      <w:pPr>
        <w:autoSpaceDE w:val="0"/>
        <w:autoSpaceDN w:val="0"/>
        <w:ind w:firstLine="480"/>
        <w:textAlignment w:val="auto"/>
        <w:rPr>
          <w:sz w:val="24"/>
          <w:szCs w:val="24"/>
        </w:rPr>
      </w:pPr>
      <w:r>
        <w:rPr>
          <w:rFonts w:hint="eastAsia"/>
          <w:sz w:val="24"/>
          <w:szCs w:val="24"/>
        </w:rPr>
        <w:t>（</w:t>
      </w:r>
      <w:r>
        <w:rPr>
          <w:rFonts w:hint="eastAsia"/>
          <w:sz w:val="24"/>
          <w:szCs w:val="24"/>
        </w:rPr>
        <w:t>3</w:t>
      </w:r>
      <w:r>
        <w:rPr>
          <w:rFonts w:hint="eastAsia"/>
          <w:sz w:val="24"/>
          <w:szCs w:val="24"/>
        </w:rPr>
        <w:t>）使用商品混凝土，避免混凝土搅拌机等噪声的影响。</w:t>
      </w:r>
    </w:p>
    <w:p w:rsidR="00DB7CC8" w:rsidRDefault="002B5250">
      <w:pPr>
        <w:autoSpaceDE w:val="0"/>
        <w:autoSpaceDN w:val="0"/>
        <w:ind w:firstLine="480"/>
        <w:textAlignment w:val="auto"/>
        <w:rPr>
          <w:sz w:val="24"/>
          <w:szCs w:val="24"/>
        </w:rPr>
      </w:pPr>
      <w:r>
        <w:rPr>
          <w:rFonts w:hint="eastAsia"/>
          <w:sz w:val="24"/>
          <w:szCs w:val="24"/>
        </w:rPr>
        <w:t>（</w:t>
      </w:r>
      <w:r>
        <w:rPr>
          <w:rFonts w:hint="eastAsia"/>
          <w:sz w:val="24"/>
          <w:szCs w:val="24"/>
        </w:rPr>
        <w:t>4</w:t>
      </w:r>
      <w:r>
        <w:rPr>
          <w:rFonts w:hint="eastAsia"/>
          <w:sz w:val="24"/>
          <w:szCs w:val="24"/>
        </w:rPr>
        <w:t>）采用声屏障措施</w:t>
      </w:r>
    </w:p>
    <w:p w:rsidR="00DB7CC8" w:rsidRDefault="002B5250">
      <w:pPr>
        <w:autoSpaceDE w:val="0"/>
        <w:autoSpaceDN w:val="0"/>
        <w:ind w:firstLine="480"/>
        <w:textAlignment w:val="auto"/>
        <w:rPr>
          <w:sz w:val="24"/>
          <w:szCs w:val="24"/>
        </w:rPr>
      </w:pPr>
      <w:r>
        <w:rPr>
          <w:rFonts w:hint="eastAsia"/>
          <w:sz w:val="24"/>
          <w:szCs w:val="24"/>
        </w:rPr>
        <w:t>对位置相对固定的机械设备，能于棚内操作的尽量入棚操作，不能入</w:t>
      </w:r>
      <w:r>
        <w:rPr>
          <w:rFonts w:hint="eastAsia"/>
          <w:sz w:val="24"/>
          <w:szCs w:val="24"/>
        </w:rPr>
        <w:t>棚的可适当建立单面临时声屏障。</w:t>
      </w:r>
    </w:p>
    <w:p w:rsidR="00DB7CC8" w:rsidRDefault="002B5250">
      <w:pPr>
        <w:autoSpaceDE w:val="0"/>
        <w:autoSpaceDN w:val="0"/>
        <w:ind w:firstLine="480"/>
        <w:textAlignment w:val="auto"/>
        <w:rPr>
          <w:sz w:val="24"/>
          <w:szCs w:val="24"/>
        </w:rPr>
      </w:pPr>
      <w:r>
        <w:rPr>
          <w:rFonts w:hint="eastAsia"/>
          <w:sz w:val="24"/>
          <w:szCs w:val="24"/>
        </w:rPr>
        <w:t>在施工的结构阶段和装修阶段，对建筑物的外部也采用围挡，以减轻设备噪声对周围环境的影响。</w:t>
      </w:r>
    </w:p>
    <w:p w:rsidR="00DB7CC8" w:rsidRDefault="002B5250">
      <w:pPr>
        <w:autoSpaceDE w:val="0"/>
        <w:autoSpaceDN w:val="0"/>
        <w:ind w:firstLine="480"/>
        <w:textAlignment w:val="auto"/>
        <w:rPr>
          <w:sz w:val="24"/>
          <w:szCs w:val="24"/>
        </w:rPr>
      </w:pPr>
      <w:r>
        <w:rPr>
          <w:rFonts w:hint="eastAsia"/>
          <w:sz w:val="24"/>
          <w:szCs w:val="24"/>
        </w:rPr>
        <w:t>（</w:t>
      </w:r>
      <w:r>
        <w:rPr>
          <w:rFonts w:hint="eastAsia"/>
          <w:sz w:val="24"/>
          <w:szCs w:val="24"/>
        </w:rPr>
        <w:t>5</w:t>
      </w:r>
      <w:r>
        <w:rPr>
          <w:rFonts w:hint="eastAsia"/>
          <w:sz w:val="24"/>
          <w:szCs w:val="24"/>
        </w:rPr>
        <w:t>）施工场地的施工车辆出入地点远离敏感点，车辆出入现场低速、禁鸣。</w:t>
      </w:r>
    </w:p>
    <w:p w:rsidR="00DB7CC8" w:rsidRDefault="002B5250">
      <w:pPr>
        <w:autoSpaceDE w:val="0"/>
        <w:autoSpaceDN w:val="0"/>
        <w:ind w:firstLine="480"/>
        <w:textAlignment w:val="auto"/>
      </w:pPr>
      <w:r>
        <w:rPr>
          <w:rFonts w:hint="eastAsia"/>
          <w:sz w:val="24"/>
          <w:szCs w:val="24"/>
        </w:rPr>
        <w:t>（</w:t>
      </w:r>
      <w:r>
        <w:rPr>
          <w:rFonts w:hint="eastAsia"/>
          <w:sz w:val="24"/>
          <w:szCs w:val="24"/>
        </w:rPr>
        <w:t>6</w:t>
      </w:r>
      <w:r>
        <w:rPr>
          <w:rFonts w:hint="eastAsia"/>
          <w:sz w:val="24"/>
          <w:szCs w:val="24"/>
        </w:rPr>
        <w:t>）建设管理部门加强对施工场地的噪声管理，施工企业也要对施工噪声进行自律，文明施工，避免因施工噪声产生纠纷。</w:t>
      </w:r>
    </w:p>
    <w:p w:rsidR="00DB7CC8" w:rsidRDefault="002B5250">
      <w:pPr>
        <w:autoSpaceDE w:val="0"/>
        <w:autoSpaceDN w:val="0"/>
        <w:ind w:firstLine="480"/>
        <w:textAlignment w:val="auto"/>
        <w:rPr>
          <w:sz w:val="24"/>
          <w:szCs w:val="24"/>
        </w:rPr>
      </w:pPr>
      <w:r>
        <w:rPr>
          <w:rFonts w:hint="eastAsia"/>
          <w:sz w:val="24"/>
          <w:szCs w:val="24"/>
        </w:rPr>
        <w:t>（</w:t>
      </w:r>
      <w:r>
        <w:rPr>
          <w:rFonts w:hint="eastAsia"/>
          <w:sz w:val="24"/>
          <w:szCs w:val="24"/>
        </w:rPr>
        <w:t>7</w:t>
      </w:r>
      <w:r>
        <w:rPr>
          <w:rFonts w:hint="eastAsia"/>
          <w:sz w:val="24"/>
          <w:szCs w:val="24"/>
        </w:rPr>
        <w:t>）降低人为噪声</w:t>
      </w:r>
    </w:p>
    <w:p w:rsidR="00DB7CC8" w:rsidRDefault="002B5250">
      <w:pPr>
        <w:autoSpaceDE w:val="0"/>
        <w:autoSpaceDN w:val="0"/>
        <w:ind w:firstLine="480"/>
        <w:textAlignment w:val="auto"/>
        <w:rPr>
          <w:sz w:val="24"/>
          <w:szCs w:val="24"/>
        </w:rPr>
      </w:pPr>
      <w:r>
        <w:rPr>
          <w:rFonts w:hint="eastAsia"/>
          <w:sz w:val="24"/>
          <w:szCs w:val="24"/>
        </w:rPr>
        <w:t>按规定操作机械设备。模板、支架拆卸过程中，遵守作业规定，减少碰撞噪声。少用哨子、钟、笛等指挥作业，而代以现代化设备。</w:t>
      </w:r>
    </w:p>
    <w:p w:rsidR="00DB7CC8" w:rsidRDefault="002B5250">
      <w:pPr>
        <w:autoSpaceDE w:val="0"/>
        <w:autoSpaceDN w:val="0"/>
        <w:ind w:firstLine="480"/>
        <w:textAlignment w:val="auto"/>
        <w:rPr>
          <w:sz w:val="24"/>
          <w:szCs w:val="24"/>
        </w:rPr>
      </w:pPr>
      <w:r>
        <w:rPr>
          <w:rFonts w:hint="eastAsia"/>
          <w:sz w:val="24"/>
          <w:szCs w:val="24"/>
        </w:rPr>
        <w:t>（</w:t>
      </w:r>
      <w:r>
        <w:rPr>
          <w:rFonts w:hint="eastAsia"/>
          <w:sz w:val="24"/>
          <w:szCs w:val="24"/>
        </w:rPr>
        <w:t>8</w:t>
      </w:r>
      <w:r>
        <w:rPr>
          <w:rFonts w:hint="eastAsia"/>
          <w:sz w:val="24"/>
          <w:szCs w:val="24"/>
        </w:rPr>
        <w:t>）建设与施工单位还要与施工场地周围居民建立良好的关系，及时让他们了解</w:t>
      </w:r>
      <w:r>
        <w:rPr>
          <w:rFonts w:hint="eastAsia"/>
          <w:sz w:val="24"/>
          <w:szCs w:val="24"/>
        </w:rPr>
        <w:t>施工进度及采取的降噪措施，取得大家的共同理解，</w:t>
      </w:r>
      <w:bookmarkStart w:id="494" w:name="OLE_LINK64"/>
      <w:bookmarkStart w:id="495" w:name="OLE_LINK65"/>
      <w:r>
        <w:rPr>
          <w:rFonts w:hint="eastAsia"/>
          <w:sz w:val="24"/>
          <w:szCs w:val="24"/>
        </w:rPr>
        <w:t>接受施工噪声扰民投诉，对投诉意见及时、妥善的处理，</w:t>
      </w:r>
      <w:bookmarkEnd w:id="494"/>
      <w:bookmarkEnd w:id="495"/>
      <w:r>
        <w:rPr>
          <w:rFonts w:hint="eastAsia"/>
          <w:sz w:val="24"/>
          <w:szCs w:val="24"/>
        </w:rPr>
        <w:t>并对施工过程中造成的施工扰民进行适当经济补偿。若因工艺或特殊需要必须连续施工，施工单位要在施工前三日内报生态环境局批准，并向施工场地周围的居民等发布公告，以征得公众的理解和支持。</w:t>
      </w:r>
      <w:bookmarkEnd w:id="492"/>
      <w:bookmarkEnd w:id="493"/>
    </w:p>
    <w:p w:rsidR="00DB7CC8" w:rsidRDefault="002B5250">
      <w:pPr>
        <w:autoSpaceDE w:val="0"/>
        <w:autoSpaceDN w:val="0"/>
        <w:ind w:firstLine="480"/>
        <w:textAlignment w:val="auto"/>
        <w:rPr>
          <w:sz w:val="24"/>
          <w:szCs w:val="24"/>
        </w:rPr>
      </w:pPr>
      <w:r>
        <w:rPr>
          <w:rFonts w:hint="eastAsia"/>
          <w:sz w:val="24"/>
          <w:szCs w:val="24"/>
        </w:rPr>
        <w:t>采取以上措施后，该项目在施工期噪声环境影响将降到最小。</w:t>
      </w:r>
    </w:p>
    <w:p w:rsidR="00DB7CC8" w:rsidRDefault="002B5250">
      <w:pPr>
        <w:pStyle w:val="3"/>
        <w:numPr>
          <w:ilvl w:val="2"/>
          <w:numId w:val="1"/>
        </w:numPr>
        <w:rPr>
          <w:szCs w:val="28"/>
        </w:rPr>
      </w:pPr>
      <w:bookmarkStart w:id="496" w:name="_Toc521591808"/>
      <w:bookmarkStart w:id="497" w:name="_Toc3438"/>
      <w:r>
        <w:rPr>
          <w:szCs w:val="28"/>
        </w:rPr>
        <w:t>施工期固废污染防治措施分析</w:t>
      </w:r>
      <w:bookmarkEnd w:id="496"/>
      <w:bookmarkEnd w:id="497"/>
      <w:r>
        <w:rPr>
          <w:rFonts w:hint="eastAsia"/>
          <w:szCs w:val="28"/>
        </w:rPr>
        <w:t>可行性论证</w:t>
      </w:r>
    </w:p>
    <w:p w:rsidR="00DB7CC8" w:rsidRDefault="002B5250">
      <w:pPr>
        <w:autoSpaceDE w:val="0"/>
        <w:autoSpaceDN w:val="0"/>
        <w:ind w:firstLine="480"/>
        <w:textAlignment w:val="auto"/>
        <w:rPr>
          <w:sz w:val="24"/>
          <w:szCs w:val="24"/>
        </w:rPr>
      </w:pPr>
      <w:bookmarkStart w:id="498" w:name="_Hlk535600844"/>
      <w:r>
        <w:rPr>
          <w:rFonts w:hint="eastAsia"/>
          <w:sz w:val="24"/>
          <w:szCs w:val="24"/>
        </w:rPr>
        <w:t>（</w:t>
      </w:r>
      <w:r>
        <w:rPr>
          <w:rFonts w:hint="eastAsia"/>
          <w:sz w:val="24"/>
          <w:szCs w:val="24"/>
        </w:rPr>
        <w:t>1</w:t>
      </w:r>
      <w:r>
        <w:rPr>
          <w:rFonts w:hint="eastAsia"/>
          <w:sz w:val="24"/>
          <w:szCs w:val="24"/>
        </w:rPr>
        <w:t>）施工产生的建筑垃圾，在条件充分时首先考虑用于施工场地的回填，对能够再利用的砂石料、水泥、钢筋、钢板下脚料等材料进行回收，对无回收价值的建</w:t>
      </w:r>
      <w:r>
        <w:rPr>
          <w:rFonts w:hint="eastAsia"/>
          <w:sz w:val="24"/>
          <w:szCs w:val="24"/>
        </w:rPr>
        <w:t>筑垃圾（如混凝土废料、废砖等）统一收集，及时清运至遵化市垃圾渣土管理部门指定的渣土消纳场。</w:t>
      </w:r>
    </w:p>
    <w:p w:rsidR="00DB7CC8" w:rsidRDefault="002B5250">
      <w:pPr>
        <w:autoSpaceDE w:val="0"/>
        <w:autoSpaceDN w:val="0"/>
        <w:ind w:firstLine="480"/>
        <w:textAlignment w:val="auto"/>
        <w:rPr>
          <w:sz w:val="24"/>
          <w:szCs w:val="24"/>
        </w:rPr>
      </w:pPr>
      <w:r>
        <w:rPr>
          <w:rFonts w:hint="eastAsia"/>
          <w:sz w:val="24"/>
          <w:szCs w:val="24"/>
        </w:rPr>
        <w:t>（</w:t>
      </w:r>
      <w:r>
        <w:rPr>
          <w:rFonts w:hint="eastAsia"/>
          <w:sz w:val="24"/>
          <w:szCs w:val="24"/>
        </w:rPr>
        <w:t>2</w:t>
      </w:r>
      <w:r>
        <w:rPr>
          <w:rFonts w:hint="eastAsia"/>
          <w:sz w:val="24"/>
          <w:szCs w:val="24"/>
        </w:rPr>
        <w:t>）对施工人员产生的生活垃圾日产日清，委托环卫部门定期清运至当地垃圾处理场作进一步处置。</w:t>
      </w:r>
    </w:p>
    <w:p w:rsidR="00DB7CC8" w:rsidRDefault="002B5250">
      <w:pPr>
        <w:autoSpaceDE w:val="0"/>
        <w:autoSpaceDN w:val="0"/>
        <w:ind w:firstLine="480"/>
        <w:textAlignment w:val="auto"/>
        <w:rPr>
          <w:sz w:val="24"/>
          <w:szCs w:val="24"/>
        </w:rPr>
      </w:pPr>
      <w:r>
        <w:rPr>
          <w:rFonts w:hint="eastAsia"/>
          <w:sz w:val="24"/>
          <w:szCs w:val="24"/>
        </w:rPr>
        <w:t>（</w:t>
      </w:r>
      <w:r>
        <w:rPr>
          <w:rFonts w:hint="eastAsia"/>
          <w:sz w:val="24"/>
          <w:szCs w:val="24"/>
        </w:rPr>
        <w:t>3</w:t>
      </w:r>
      <w:r>
        <w:rPr>
          <w:rFonts w:hint="eastAsia"/>
          <w:sz w:val="24"/>
          <w:szCs w:val="24"/>
        </w:rPr>
        <w:t>）及时收集、清理和转运施工垃圾和生活垃圾到指定的消纳场所处理，采用措施后不会对当地的环境造成明显影响。</w:t>
      </w:r>
    </w:p>
    <w:p w:rsidR="00DB7CC8" w:rsidRDefault="002B5250">
      <w:pPr>
        <w:autoSpaceDE w:val="0"/>
        <w:autoSpaceDN w:val="0"/>
        <w:ind w:firstLine="480"/>
        <w:textAlignment w:val="auto"/>
        <w:rPr>
          <w:sz w:val="24"/>
          <w:szCs w:val="24"/>
        </w:rPr>
      </w:pPr>
      <w:r>
        <w:rPr>
          <w:rFonts w:hint="eastAsia"/>
          <w:sz w:val="24"/>
          <w:szCs w:val="24"/>
        </w:rPr>
        <w:lastRenderedPageBreak/>
        <w:t>总之，施工期的环境影响是短暂的，且与人的环境意识、管理水平关系密切。因此，应加强施工现场管理，采取有效的防护措施，最大限度的减少施工对周围环境造成的不良影响。</w:t>
      </w:r>
    </w:p>
    <w:p w:rsidR="00DB7CC8" w:rsidRDefault="002B5250">
      <w:pPr>
        <w:pStyle w:val="3"/>
        <w:numPr>
          <w:ilvl w:val="2"/>
          <w:numId w:val="1"/>
        </w:numPr>
        <w:rPr>
          <w:szCs w:val="28"/>
        </w:rPr>
      </w:pPr>
      <w:r>
        <w:rPr>
          <w:szCs w:val="28"/>
        </w:rPr>
        <w:t>施工期生态环境保护措施可行性论证</w:t>
      </w:r>
    </w:p>
    <w:p w:rsidR="00DB7CC8" w:rsidRDefault="002B5250">
      <w:pPr>
        <w:autoSpaceDE w:val="0"/>
        <w:autoSpaceDN w:val="0"/>
        <w:ind w:firstLine="480"/>
        <w:textAlignment w:val="auto"/>
        <w:rPr>
          <w:sz w:val="24"/>
          <w:szCs w:val="24"/>
        </w:rPr>
      </w:pPr>
      <w:r>
        <w:rPr>
          <w:rFonts w:hint="eastAsia"/>
          <w:sz w:val="24"/>
          <w:szCs w:val="24"/>
          <w:lang w:val="zh-CN"/>
        </w:rPr>
        <w:t>（</w:t>
      </w:r>
      <w:r>
        <w:rPr>
          <w:rFonts w:hint="eastAsia"/>
          <w:sz w:val="24"/>
          <w:szCs w:val="24"/>
        </w:rPr>
        <w:t>1</w:t>
      </w:r>
      <w:r>
        <w:rPr>
          <w:rFonts w:hint="eastAsia"/>
          <w:sz w:val="24"/>
          <w:szCs w:val="24"/>
        </w:rPr>
        <w:t>）施工设置杂货区、垃圾箱，明确卫生责任区，确定责任人，并定期打扫清除。</w:t>
      </w:r>
    </w:p>
    <w:p w:rsidR="00DB7CC8" w:rsidRDefault="002B5250">
      <w:pPr>
        <w:autoSpaceDE w:val="0"/>
        <w:autoSpaceDN w:val="0"/>
        <w:ind w:firstLine="480"/>
        <w:textAlignment w:val="auto"/>
        <w:rPr>
          <w:sz w:val="24"/>
          <w:szCs w:val="24"/>
        </w:rPr>
      </w:pPr>
      <w:r>
        <w:rPr>
          <w:rFonts w:hint="eastAsia"/>
          <w:sz w:val="24"/>
          <w:szCs w:val="24"/>
        </w:rPr>
        <w:t>（</w:t>
      </w:r>
      <w:r>
        <w:rPr>
          <w:rFonts w:hint="eastAsia"/>
          <w:sz w:val="24"/>
          <w:szCs w:val="24"/>
        </w:rPr>
        <w:t>2</w:t>
      </w:r>
      <w:r>
        <w:rPr>
          <w:rFonts w:hint="eastAsia"/>
          <w:sz w:val="24"/>
          <w:szCs w:val="24"/>
        </w:rPr>
        <w:t>）施工作业场内的临时建筑尽可能采用成品或简易拼装方式，尽量减轻对土壤及植被的破坏。尽量减少施工人员及施工机械对作业场外的植被破坏。施工便道尽量利用现有道路。</w:t>
      </w:r>
    </w:p>
    <w:p w:rsidR="00DB7CC8" w:rsidRDefault="002B5250">
      <w:pPr>
        <w:autoSpaceDE w:val="0"/>
        <w:autoSpaceDN w:val="0"/>
        <w:ind w:firstLine="480"/>
        <w:textAlignment w:val="auto"/>
        <w:rPr>
          <w:sz w:val="24"/>
          <w:szCs w:val="24"/>
          <w:lang w:val="zh-CN"/>
        </w:rPr>
      </w:pPr>
      <w:r>
        <w:rPr>
          <w:rFonts w:hint="eastAsia"/>
          <w:sz w:val="24"/>
          <w:szCs w:val="24"/>
        </w:rPr>
        <w:t>（</w:t>
      </w:r>
      <w:r>
        <w:rPr>
          <w:rFonts w:hint="eastAsia"/>
          <w:sz w:val="24"/>
          <w:szCs w:val="24"/>
        </w:rPr>
        <w:t>3</w:t>
      </w:r>
      <w:r>
        <w:rPr>
          <w:rFonts w:hint="eastAsia"/>
          <w:sz w:val="24"/>
          <w:szCs w:val="24"/>
        </w:rPr>
        <w:t>）施工建筑材料堆放场等临时用地尽量考虑在施工作业带内设置，如不可避免在施工作业带以外地段设置，在不增加工程总体投资的前提下，尽可能考虑利用附近现有堆放场地。</w:t>
      </w:r>
    </w:p>
    <w:p w:rsidR="00DB7CC8" w:rsidRDefault="002B5250">
      <w:pPr>
        <w:autoSpaceDE w:val="0"/>
        <w:autoSpaceDN w:val="0"/>
        <w:ind w:firstLine="480"/>
        <w:textAlignment w:val="auto"/>
        <w:rPr>
          <w:sz w:val="24"/>
          <w:szCs w:val="24"/>
        </w:rPr>
      </w:pPr>
      <w:r>
        <w:rPr>
          <w:rFonts w:hint="eastAsia"/>
          <w:sz w:val="24"/>
          <w:szCs w:val="24"/>
          <w:lang w:val="zh-CN"/>
        </w:rPr>
        <w:t>（</w:t>
      </w:r>
      <w:r>
        <w:rPr>
          <w:rFonts w:hint="eastAsia"/>
          <w:sz w:val="24"/>
          <w:szCs w:val="24"/>
          <w:lang w:val="zh-CN"/>
        </w:rPr>
        <w:t>4</w:t>
      </w:r>
      <w:r>
        <w:rPr>
          <w:rFonts w:hint="eastAsia"/>
          <w:sz w:val="24"/>
          <w:szCs w:val="24"/>
          <w:lang w:val="zh-CN"/>
        </w:rPr>
        <w:t>）施工前作业带场地清理，避免雨天施工，造成水土流失危害并污染周边环境；临时用地使用完后，立即恢复原貌。</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499" w:name="_Toc20634"/>
      <w:bookmarkEnd w:id="498"/>
      <w:r>
        <w:rPr>
          <w:rFonts w:ascii="Times New Roman" w:eastAsia="宋体" w:hAnsi="Times New Roman"/>
          <w:bCs w:val="0"/>
          <w:snapToGrid w:val="0"/>
          <w:kern w:val="0"/>
          <w:sz w:val="28"/>
          <w:szCs w:val="28"/>
        </w:rPr>
        <w:t>营运期</w:t>
      </w:r>
      <w:r>
        <w:rPr>
          <w:rFonts w:ascii="Times New Roman" w:eastAsia="宋体" w:hAnsi="Times New Roman"/>
          <w:bCs w:val="0"/>
          <w:snapToGrid w:val="0"/>
          <w:kern w:val="0"/>
          <w:sz w:val="28"/>
          <w:szCs w:val="28"/>
        </w:rPr>
        <w:t>环境保护措施</w:t>
      </w:r>
      <w:bookmarkEnd w:id="475"/>
      <w:bookmarkEnd w:id="476"/>
      <w:bookmarkEnd w:id="477"/>
      <w:bookmarkEnd w:id="478"/>
      <w:bookmarkEnd w:id="479"/>
      <w:bookmarkEnd w:id="480"/>
      <w:bookmarkEnd w:id="481"/>
      <w:r>
        <w:rPr>
          <w:rFonts w:ascii="Times New Roman" w:eastAsia="宋体" w:hAnsi="Times New Roman" w:hint="eastAsia"/>
          <w:bCs w:val="0"/>
          <w:snapToGrid w:val="0"/>
          <w:kern w:val="0"/>
          <w:sz w:val="28"/>
          <w:szCs w:val="28"/>
        </w:rPr>
        <w:t>可行性论证</w:t>
      </w:r>
      <w:bookmarkEnd w:id="499"/>
    </w:p>
    <w:p w:rsidR="00DB7CC8" w:rsidRDefault="002B5250">
      <w:pPr>
        <w:pStyle w:val="3"/>
        <w:numPr>
          <w:ilvl w:val="2"/>
          <w:numId w:val="1"/>
        </w:numPr>
        <w:rPr>
          <w:szCs w:val="28"/>
        </w:rPr>
      </w:pPr>
      <w:bookmarkStart w:id="500" w:name="_Toc521591811"/>
      <w:bookmarkStart w:id="501" w:name="_Toc28423"/>
      <w:r>
        <w:rPr>
          <w:szCs w:val="28"/>
        </w:rPr>
        <w:t>运营期大气污染防治措施</w:t>
      </w:r>
      <w:bookmarkEnd w:id="500"/>
      <w:bookmarkEnd w:id="501"/>
      <w:r>
        <w:rPr>
          <w:rFonts w:hint="eastAsia"/>
          <w:szCs w:val="28"/>
        </w:rPr>
        <w:t>可行性论证</w:t>
      </w:r>
    </w:p>
    <w:p w:rsidR="00DB7CC8" w:rsidRDefault="002B5250">
      <w:pPr>
        <w:pStyle w:val="4"/>
      </w:pPr>
      <w:r>
        <w:t>6.2.1.1</w:t>
      </w:r>
      <w:r>
        <w:t>废气污染防治措施</w:t>
      </w:r>
      <w:r>
        <w:rPr>
          <w:rFonts w:hint="eastAsia"/>
        </w:rPr>
        <w:t>可行性论证</w:t>
      </w:r>
    </w:p>
    <w:p w:rsidR="00DB7CC8" w:rsidRDefault="002B5250">
      <w:pPr>
        <w:ind w:firstLine="480"/>
        <w:jc w:val="both"/>
        <w:rPr>
          <w:bCs/>
          <w:sz w:val="24"/>
          <w:szCs w:val="24"/>
        </w:rPr>
      </w:pPr>
      <w:r>
        <w:rPr>
          <w:bCs/>
          <w:sz w:val="24"/>
          <w:szCs w:val="24"/>
        </w:rPr>
        <w:t>（</w:t>
      </w:r>
      <w:r>
        <w:rPr>
          <w:bCs/>
          <w:sz w:val="24"/>
          <w:szCs w:val="24"/>
        </w:rPr>
        <w:t>1</w:t>
      </w:r>
      <w:r>
        <w:rPr>
          <w:bCs/>
          <w:sz w:val="24"/>
          <w:szCs w:val="24"/>
        </w:rPr>
        <w:t>）破碎筛分粉尘控制措施</w:t>
      </w:r>
    </w:p>
    <w:p w:rsidR="00DB7CC8" w:rsidRDefault="002B5250">
      <w:pPr>
        <w:ind w:firstLine="480"/>
        <w:rPr>
          <w:bCs/>
          <w:sz w:val="24"/>
          <w:szCs w:val="24"/>
        </w:rPr>
      </w:pPr>
      <w:r>
        <w:rPr>
          <w:bCs/>
          <w:sz w:val="24"/>
          <w:szCs w:val="24"/>
        </w:rPr>
        <w:t>本项目破碎筛分工序均在封闭的车间内，在各破碎机、振动筛进料、出料口、入料口分别设置</w:t>
      </w:r>
      <w:r>
        <w:rPr>
          <w:bCs/>
          <w:sz w:val="24"/>
          <w:szCs w:val="24"/>
        </w:rPr>
        <w:t>1</w:t>
      </w:r>
      <w:r>
        <w:rPr>
          <w:bCs/>
          <w:sz w:val="24"/>
          <w:szCs w:val="24"/>
        </w:rPr>
        <w:t>个集气罩，粉尘经集气管收集进入脉冲布袋收尘器处理后，经</w:t>
      </w:r>
      <w:r>
        <w:rPr>
          <w:bCs/>
          <w:sz w:val="24"/>
          <w:szCs w:val="24"/>
        </w:rPr>
        <w:t>16m</w:t>
      </w:r>
      <w:r>
        <w:rPr>
          <w:bCs/>
          <w:sz w:val="24"/>
          <w:szCs w:val="24"/>
        </w:rPr>
        <w:t>高排气筒排放。</w:t>
      </w:r>
    </w:p>
    <w:p w:rsidR="00DB7CC8" w:rsidRDefault="002B5250">
      <w:pPr>
        <w:ind w:firstLine="480"/>
        <w:rPr>
          <w:bCs/>
          <w:sz w:val="24"/>
          <w:szCs w:val="24"/>
        </w:rPr>
      </w:pPr>
      <w:r>
        <w:rPr>
          <w:rFonts w:ascii="宋体" w:hAnsi="宋体" w:cs="宋体" w:hint="eastAsia"/>
          <w:bCs/>
          <w:sz w:val="24"/>
          <w:szCs w:val="24"/>
        </w:rPr>
        <w:t>①</w:t>
      </w:r>
      <w:r>
        <w:rPr>
          <w:bCs/>
          <w:sz w:val="24"/>
          <w:szCs w:val="24"/>
        </w:rPr>
        <w:t>粉尘收集</w:t>
      </w:r>
    </w:p>
    <w:p w:rsidR="00DB7CC8" w:rsidRDefault="002B5250">
      <w:pPr>
        <w:ind w:leftChars="50" w:left="140" w:firstLineChars="150" w:firstLine="360"/>
        <w:rPr>
          <w:bCs/>
          <w:sz w:val="24"/>
          <w:szCs w:val="24"/>
        </w:rPr>
      </w:pPr>
      <w:r>
        <w:rPr>
          <w:bCs/>
          <w:sz w:val="24"/>
          <w:szCs w:val="24"/>
        </w:rPr>
        <w:t>a.</w:t>
      </w:r>
      <w:r>
        <w:rPr>
          <w:bCs/>
          <w:sz w:val="24"/>
          <w:szCs w:val="24"/>
        </w:rPr>
        <w:t>颚式破碎机入料口设置皮质软帘封闭，出料口设置</w:t>
      </w:r>
      <w:r>
        <w:rPr>
          <w:bCs/>
          <w:sz w:val="24"/>
          <w:szCs w:val="24"/>
        </w:rPr>
        <w:t>1</w:t>
      </w:r>
      <w:r>
        <w:rPr>
          <w:bCs/>
          <w:sz w:val="24"/>
          <w:szCs w:val="24"/>
        </w:rPr>
        <w:t>个</w:t>
      </w:r>
      <w:r>
        <w:rPr>
          <w:rFonts w:hint="eastAsia"/>
          <w:bCs/>
          <w:sz w:val="24"/>
          <w:szCs w:val="24"/>
        </w:rPr>
        <w:t>皮带封</w:t>
      </w:r>
      <w:r>
        <w:rPr>
          <w:bCs/>
          <w:sz w:val="24"/>
          <w:szCs w:val="24"/>
        </w:rPr>
        <w:t>+</w:t>
      </w:r>
      <w:r>
        <w:rPr>
          <w:bCs/>
          <w:sz w:val="24"/>
          <w:szCs w:val="24"/>
        </w:rPr>
        <w:t>集尘管道；</w:t>
      </w:r>
    </w:p>
    <w:p w:rsidR="00DB7CC8" w:rsidRDefault="002B5250">
      <w:pPr>
        <w:ind w:leftChars="50" w:left="140" w:firstLineChars="150" w:firstLine="360"/>
        <w:rPr>
          <w:bCs/>
          <w:sz w:val="24"/>
          <w:szCs w:val="24"/>
        </w:rPr>
      </w:pPr>
      <w:r>
        <w:rPr>
          <w:bCs/>
          <w:sz w:val="24"/>
          <w:szCs w:val="24"/>
        </w:rPr>
        <w:t>b.</w:t>
      </w:r>
      <w:r>
        <w:rPr>
          <w:rFonts w:hint="eastAsia"/>
          <w:bCs/>
          <w:sz w:val="24"/>
          <w:szCs w:val="24"/>
        </w:rPr>
        <w:t>锤式</w:t>
      </w:r>
      <w:r>
        <w:rPr>
          <w:bCs/>
          <w:sz w:val="24"/>
          <w:szCs w:val="24"/>
        </w:rPr>
        <w:t>破碎机入料口设置</w:t>
      </w:r>
      <w:r>
        <w:rPr>
          <w:bCs/>
          <w:sz w:val="24"/>
          <w:szCs w:val="24"/>
        </w:rPr>
        <w:t>1</w:t>
      </w:r>
      <w:r>
        <w:rPr>
          <w:bCs/>
          <w:sz w:val="24"/>
          <w:szCs w:val="24"/>
        </w:rPr>
        <w:t>个集气罩</w:t>
      </w:r>
      <w:r>
        <w:rPr>
          <w:bCs/>
          <w:sz w:val="24"/>
          <w:szCs w:val="24"/>
        </w:rPr>
        <w:t>+</w:t>
      </w:r>
      <w:r>
        <w:rPr>
          <w:bCs/>
          <w:sz w:val="24"/>
          <w:szCs w:val="24"/>
        </w:rPr>
        <w:t>集尘管道，出料口设置</w:t>
      </w:r>
      <w:r>
        <w:rPr>
          <w:bCs/>
          <w:sz w:val="24"/>
          <w:szCs w:val="24"/>
        </w:rPr>
        <w:t>1</w:t>
      </w:r>
      <w:r>
        <w:rPr>
          <w:bCs/>
          <w:sz w:val="24"/>
          <w:szCs w:val="24"/>
        </w:rPr>
        <w:t>个</w:t>
      </w:r>
      <w:r>
        <w:rPr>
          <w:rFonts w:hint="eastAsia"/>
          <w:bCs/>
          <w:sz w:val="24"/>
          <w:szCs w:val="24"/>
        </w:rPr>
        <w:t>皮带封</w:t>
      </w:r>
      <w:r>
        <w:rPr>
          <w:bCs/>
          <w:sz w:val="24"/>
          <w:szCs w:val="24"/>
        </w:rPr>
        <w:t>+</w:t>
      </w:r>
      <w:r>
        <w:rPr>
          <w:bCs/>
          <w:sz w:val="24"/>
          <w:szCs w:val="24"/>
        </w:rPr>
        <w:t>集尘管道；</w:t>
      </w:r>
    </w:p>
    <w:p w:rsidR="00DB7CC8" w:rsidRDefault="002B5250">
      <w:pPr>
        <w:ind w:leftChars="50" w:left="140" w:firstLineChars="150" w:firstLine="360"/>
        <w:rPr>
          <w:bCs/>
          <w:sz w:val="24"/>
          <w:szCs w:val="24"/>
        </w:rPr>
      </w:pPr>
      <w:r>
        <w:rPr>
          <w:rFonts w:hint="eastAsia"/>
          <w:bCs/>
          <w:sz w:val="24"/>
          <w:szCs w:val="24"/>
        </w:rPr>
        <w:t>c</w:t>
      </w:r>
      <w:r>
        <w:rPr>
          <w:bCs/>
          <w:sz w:val="24"/>
          <w:szCs w:val="24"/>
        </w:rPr>
        <w:t>.</w:t>
      </w:r>
      <w:r>
        <w:rPr>
          <w:bCs/>
          <w:sz w:val="24"/>
          <w:szCs w:val="24"/>
        </w:rPr>
        <w:t>圆锥破碎机入料口设置</w:t>
      </w:r>
      <w:r>
        <w:rPr>
          <w:bCs/>
          <w:sz w:val="24"/>
          <w:szCs w:val="24"/>
        </w:rPr>
        <w:t>1</w:t>
      </w:r>
      <w:r>
        <w:rPr>
          <w:bCs/>
          <w:sz w:val="24"/>
          <w:szCs w:val="24"/>
        </w:rPr>
        <w:t>个集气罩</w:t>
      </w:r>
      <w:r>
        <w:rPr>
          <w:bCs/>
          <w:sz w:val="24"/>
          <w:szCs w:val="24"/>
        </w:rPr>
        <w:t>+</w:t>
      </w:r>
      <w:r>
        <w:rPr>
          <w:bCs/>
          <w:sz w:val="24"/>
          <w:szCs w:val="24"/>
        </w:rPr>
        <w:t>集尘管道，出料口设置</w:t>
      </w:r>
      <w:r>
        <w:rPr>
          <w:bCs/>
          <w:sz w:val="24"/>
          <w:szCs w:val="24"/>
        </w:rPr>
        <w:t>1</w:t>
      </w:r>
      <w:r>
        <w:rPr>
          <w:bCs/>
          <w:sz w:val="24"/>
          <w:szCs w:val="24"/>
        </w:rPr>
        <w:t>个</w:t>
      </w:r>
      <w:r>
        <w:rPr>
          <w:rFonts w:hint="eastAsia"/>
          <w:bCs/>
          <w:sz w:val="24"/>
          <w:szCs w:val="24"/>
        </w:rPr>
        <w:t>皮带封</w:t>
      </w:r>
      <w:r>
        <w:rPr>
          <w:bCs/>
          <w:sz w:val="24"/>
          <w:szCs w:val="24"/>
        </w:rPr>
        <w:t>+</w:t>
      </w:r>
      <w:r>
        <w:rPr>
          <w:bCs/>
          <w:sz w:val="24"/>
          <w:szCs w:val="24"/>
        </w:rPr>
        <w:t>集尘管道；</w:t>
      </w:r>
    </w:p>
    <w:p w:rsidR="00DB7CC8" w:rsidRDefault="002B5250">
      <w:pPr>
        <w:ind w:leftChars="50" w:left="140" w:firstLineChars="150" w:firstLine="360"/>
        <w:rPr>
          <w:bCs/>
          <w:sz w:val="24"/>
          <w:szCs w:val="24"/>
        </w:rPr>
      </w:pPr>
      <w:r>
        <w:rPr>
          <w:rFonts w:hint="eastAsia"/>
          <w:bCs/>
          <w:sz w:val="24"/>
          <w:szCs w:val="24"/>
        </w:rPr>
        <w:t>d</w:t>
      </w:r>
      <w:r>
        <w:rPr>
          <w:bCs/>
          <w:sz w:val="24"/>
          <w:szCs w:val="24"/>
        </w:rPr>
        <w:t>.</w:t>
      </w:r>
      <w:r>
        <w:rPr>
          <w:bCs/>
          <w:sz w:val="24"/>
          <w:szCs w:val="24"/>
        </w:rPr>
        <w:t>振动筛入料口设置</w:t>
      </w:r>
      <w:r>
        <w:rPr>
          <w:bCs/>
          <w:sz w:val="24"/>
          <w:szCs w:val="24"/>
        </w:rPr>
        <w:t>1</w:t>
      </w:r>
      <w:r>
        <w:rPr>
          <w:bCs/>
          <w:sz w:val="24"/>
          <w:szCs w:val="24"/>
        </w:rPr>
        <w:t>个集气罩</w:t>
      </w:r>
      <w:r>
        <w:rPr>
          <w:bCs/>
          <w:sz w:val="24"/>
          <w:szCs w:val="24"/>
        </w:rPr>
        <w:t>+</w:t>
      </w:r>
      <w:r>
        <w:rPr>
          <w:bCs/>
          <w:sz w:val="24"/>
          <w:szCs w:val="24"/>
        </w:rPr>
        <w:t>筛面封闭</w:t>
      </w:r>
      <w:r>
        <w:rPr>
          <w:bCs/>
          <w:sz w:val="24"/>
          <w:szCs w:val="24"/>
        </w:rPr>
        <w:t>+</w:t>
      </w:r>
      <w:r>
        <w:rPr>
          <w:bCs/>
          <w:sz w:val="24"/>
          <w:szCs w:val="24"/>
        </w:rPr>
        <w:t>集尘管道，振动筛出料口设置</w:t>
      </w:r>
      <w:r>
        <w:rPr>
          <w:bCs/>
          <w:sz w:val="24"/>
          <w:szCs w:val="24"/>
        </w:rPr>
        <w:t>1</w:t>
      </w:r>
      <w:r>
        <w:rPr>
          <w:bCs/>
          <w:sz w:val="24"/>
          <w:szCs w:val="24"/>
        </w:rPr>
        <w:t>个</w:t>
      </w:r>
      <w:r>
        <w:rPr>
          <w:rFonts w:hint="eastAsia"/>
          <w:bCs/>
          <w:sz w:val="24"/>
          <w:szCs w:val="24"/>
        </w:rPr>
        <w:t>皮带封</w:t>
      </w:r>
      <w:r>
        <w:rPr>
          <w:bCs/>
          <w:sz w:val="24"/>
          <w:szCs w:val="24"/>
        </w:rPr>
        <w:t>+</w:t>
      </w:r>
      <w:r>
        <w:rPr>
          <w:bCs/>
          <w:sz w:val="24"/>
          <w:szCs w:val="24"/>
        </w:rPr>
        <w:t>集尘管；</w:t>
      </w:r>
    </w:p>
    <w:p w:rsidR="00DB7CC8" w:rsidRDefault="002B5250">
      <w:pPr>
        <w:ind w:leftChars="50" w:left="140" w:firstLineChars="150" w:firstLine="360"/>
        <w:rPr>
          <w:bCs/>
          <w:sz w:val="24"/>
          <w:szCs w:val="24"/>
        </w:rPr>
      </w:pPr>
      <w:r>
        <w:rPr>
          <w:rFonts w:hint="eastAsia"/>
          <w:bCs/>
          <w:sz w:val="24"/>
          <w:szCs w:val="24"/>
        </w:rPr>
        <w:t>e</w:t>
      </w:r>
      <w:r>
        <w:rPr>
          <w:bCs/>
          <w:sz w:val="24"/>
          <w:szCs w:val="24"/>
        </w:rPr>
        <w:t>.</w:t>
      </w:r>
      <w:r>
        <w:rPr>
          <w:rFonts w:hint="eastAsia"/>
          <w:bCs/>
          <w:sz w:val="24"/>
          <w:szCs w:val="24"/>
        </w:rPr>
        <w:t>中转</w:t>
      </w:r>
      <w:r>
        <w:rPr>
          <w:bCs/>
          <w:sz w:val="24"/>
          <w:szCs w:val="24"/>
        </w:rPr>
        <w:t>料仓顶部封闭</w:t>
      </w:r>
      <w:r>
        <w:rPr>
          <w:bCs/>
          <w:sz w:val="24"/>
          <w:szCs w:val="24"/>
        </w:rPr>
        <w:t>+</w:t>
      </w:r>
      <w:r>
        <w:rPr>
          <w:bCs/>
          <w:sz w:val="24"/>
          <w:szCs w:val="24"/>
        </w:rPr>
        <w:t>集尘管道并留有皮带落料口，料仓出料口设置</w:t>
      </w:r>
      <w:r>
        <w:rPr>
          <w:bCs/>
          <w:sz w:val="24"/>
          <w:szCs w:val="24"/>
        </w:rPr>
        <w:t>1</w:t>
      </w:r>
      <w:r>
        <w:rPr>
          <w:bCs/>
          <w:sz w:val="24"/>
          <w:szCs w:val="24"/>
        </w:rPr>
        <w:t>个</w:t>
      </w:r>
      <w:r>
        <w:rPr>
          <w:rFonts w:hint="eastAsia"/>
          <w:bCs/>
          <w:sz w:val="24"/>
          <w:szCs w:val="24"/>
        </w:rPr>
        <w:t>皮</w:t>
      </w:r>
      <w:r>
        <w:rPr>
          <w:rFonts w:hint="eastAsia"/>
          <w:bCs/>
          <w:sz w:val="24"/>
          <w:szCs w:val="24"/>
        </w:rPr>
        <w:lastRenderedPageBreak/>
        <w:t>带封</w:t>
      </w:r>
      <w:r>
        <w:rPr>
          <w:bCs/>
          <w:sz w:val="24"/>
          <w:szCs w:val="24"/>
        </w:rPr>
        <w:t>+</w:t>
      </w:r>
      <w:r>
        <w:rPr>
          <w:bCs/>
          <w:sz w:val="24"/>
          <w:szCs w:val="24"/>
        </w:rPr>
        <w:t>集尘管道。</w:t>
      </w:r>
    </w:p>
    <w:p w:rsidR="00DB7CC8" w:rsidRDefault="002B5250">
      <w:pPr>
        <w:ind w:firstLine="480"/>
        <w:rPr>
          <w:bCs/>
          <w:sz w:val="24"/>
          <w:szCs w:val="24"/>
        </w:rPr>
      </w:pPr>
      <w:r>
        <w:rPr>
          <w:rFonts w:ascii="宋体" w:hAnsi="宋体" w:cs="宋体" w:hint="eastAsia"/>
          <w:bCs/>
          <w:sz w:val="24"/>
          <w:szCs w:val="24"/>
        </w:rPr>
        <w:t>②</w:t>
      </w:r>
      <w:r>
        <w:rPr>
          <w:bCs/>
          <w:sz w:val="24"/>
          <w:szCs w:val="24"/>
        </w:rPr>
        <w:t>脉冲布袋收尘器</w:t>
      </w:r>
    </w:p>
    <w:p w:rsidR="00DB7CC8" w:rsidRDefault="002B5250">
      <w:pPr>
        <w:ind w:leftChars="50" w:left="140" w:firstLineChars="150" w:firstLine="360"/>
        <w:rPr>
          <w:bCs/>
          <w:sz w:val="24"/>
          <w:szCs w:val="24"/>
        </w:rPr>
      </w:pPr>
      <w:r>
        <w:rPr>
          <w:rFonts w:hint="eastAsia"/>
          <w:bCs/>
          <w:sz w:val="24"/>
          <w:szCs w:val="24"/>
        </w:rPr>
        <w:t>脉冲布袋收尘器由灰门、中箱体、上箱体等部分组成，中箱体为分室或分组结构。工作时，含尘气体由尘气集合管进入灰门，粗尘粒直接落入灰门底部，细尘粒随气流转折向上进入中箱体，灰尘积附在滤袋外表面，过滤后的气体进入净气集合管经风机排至大气。</w:t>
      </w:r>
    </w:p>
    <w:p w:rsidR="00DB7CC8" w:rsidRDefault="002B5250">
      <w:pPr>
        <w:ind w:leftChars="50" w:left="140" w:firstLineChars="150" w:firstLine="360"/>
        <w:rPr>
          <w:bCs/>
          <w:sz w:val="24"/>
          <w:szCs w:val="24"/>
        </w:rPr>
      </w:pPr>
      <w:r>
        <w:rPr>
          <w:rFonts w:hint="eastAsia"/>
          <w:bCs/>
          <w:sz w:val="24"/>
          <w:szCs w:val="24"/>
        </w:rPr>
        <w:t>a.</w:t>
      </w:r>
      <w:r>
        <w:rPr>
          <w:rFonts w:hint="eastAsia"/>
          <w:bCs/>
          <w:sz w:val="24"/>
          <w:szCs w:val="24"/>
        </w:rPr>
        <w:t>袋式除尘器处理优点</w:t>
      </w:r>
    </w:p>
    <w:p w:rsidR="00DB7CC8" w:rsidRDefault="002B5250">
      <w:pPr>
        <w:ind w:leftChars="50" w:left="140" w:firstLineChars="150" w:firstLine="360"/>
        <w:rPr>
          <w:bCs/>
          <w:sz w:val="24"/>
          <w:szCs w:val="24"/>
        </w:rPr>
      </w:pPr>
      <w:r>
        <w:rPr>
          <w:rFonts w:hint="eastAsia"/>
          <w:bCs/>
          <w:sz w:val="24"/>
          <w:szCs w:val="24"/>
        </w:rPr>
        <w:t>脉冲袋式除尘器是通过滤袋滤除含尘气体中粉尘</w:t>
      </w:r>
      <w:r>
        <w:rPr>
          <w:rFonts w:hint="eastAsia"/>
          <w:bCs/>
          <w:sz w:val="24"/>
          <w:szCs w:val="24"/>
        </w:rPr>
        <w:t>粒子的分离净化装置，是一种干式高效过滤除尘器，脉冲袋式除尘器的工作原理是通过袋式缝隙的过滤作用而阻挡粉尘，当滤袋上的粉尘沉积到一定程度时，通过脉冲作用使滤袋抖动并变形，沉积的粉尘落入集灰斗，避免了喷吹清灰产生二次扬尘，同时运行平稳，除尘效率高。</w:t>
      </w:r>
    </w:p>
    <w:p w:rsidR="00DB7CC8" w:rsidRDefault="002B5250">
      <w:pPr>
        <w:ind w:leftChars="50" w:left="140" w:firstLineChars="150" w:firstLine="360"/>
        <w:rPr>
          <w:bCs/>
          <w:sz w:val="24"/>
          <w:szCs w:val="24"/>
        </w:rPr>
      </w:pPr>
      <w:r>
        <w:rPr>
          <w:rFonts w:hint="eastAsia"/>
          <w:bCs/>
          <w:sz w:val="24"/>
          <w:szCs w:val="24"/>
        </w:rPr>
        <w:t>脉冲布袋式除尘器主要特点如下：</w:t>
      </w:r>
    </w:p>
    <w:p w:rsidR="00DB7CC8" w:rsidRDefault="002B5250">
      <w:pPr>
        <w:ind w:leftChars="50" w:left="140" w:firstLineChars="150" w:firstLine="360"/>
        <w:rPr>
          <w:bCs/>
          <w:sz w:val="24"/>
          <w:szCs w:val="24"/>
        </w:rPr>
      </w:pPr>
      <w:r>
        <w:rPr>
          <w:rFonts w:hint="eastAsia"/>
          <w:bCs/>
          <w:sz w:val="24"/>
          <w:szCs w:val="24"/>
        </w:rPr>
        <w:t>1).</w:t>
      </w:r>
      <w:r>
        <w:rPr>
          <w:rFonts w:hint="eastAsia"/>
          <w:bCs/>
          <w:sz w:val="24"/>
          <w:szCs w:val="24"/>
        </w:rPr>
        <w:t>单位体积处理风量大，除尘效率高。</w:t>
      </w:r>
    </w:p>
    <w:p w:rsidR="00DB7CC8" w:rsidRDefault="002B5250">
      <w:pPr>
        <w:ind w:leftChars="50" w:left="140" w:firstLineChars="150" w:firstLine="360"/>
        <w:rPr>
          <w:bCs/>
          <w:sz w:val="24"/>
          <w:szCs w:val="24"/>
        </w:rPr>
      </w:pPr>
      <w:r>
        <w:rPr>
          <w:rFonts w:hint="eastAsia"/>
          <w:bCs/>
          <w:sz w:val="24"/>
          <w:szCs w:val="24"/>
        </w:rPr>
        <w:t>2).</w:t>
      </w:r>
      <w:r>
        <w:rPr>
          <w:rFonts w:hint="eastAsia"/>
          <w:bCs/>
          <w:sz w:val="24"/>
          <w:szCs w:val="24"/>
        </w:rPr>
        <w:t>可直接处理含尘浓度高的含尘气体，经处理后气体的排放浓度低。</w:t>
      </w:r>
    </w:p>
    <w:p w:rsidR="00DB7CC8" w:rsidRDefault="002B5250">
      <w:pPr>
        <w:ind w:leftChars="50" w:left="140" w:firstLineChars="150" w:firstLine="360"/>
        <w:rPr>
          <w:bCs/>
          <w:sz w:val="24"/>
          <w:szCs w:val="24"/>
        </w:rPr>
      </w:pPr>
      <w:r>
        <w:rPr>
          <w:rFonts w:hint="eastAsia"/>
          <w:bCs/>
          <w:sz w:val="24"/>
          <w:szCs w:val="24"/>
        </w:rPr>
        <w:t>3).</w:t>
      </w:r>
      <w:r>
        <w:rPr>
          <w:rFonts w:hint="eastAsia"/>
          <w:bCs/>
          <w:sz w:val="24"/>
          <w:szCs w:val="24"/>
        </w:rPr>
        <w:t>针对各种不同类型的烟气，可采用不同的滤料来加以处理，使之达到排放要求，适应性强。</w:t>
      </w:r>
    </w:p>
    <w:p w:rsidR="00DB7CC8" w:rsidRDefault="002B5250">
      <w:pPr>
        <w:ind w:leftChars="50" w:left="140" w:firstLineChars="150" w:firstLine="360"/>
        <w:rPr>
          <w:bCs/>
          <w:sz w:val="24"/>
          <w:szCs w:val="24"/>
        </w:rPr>
      </w:pPr>
      <w:r>
        <w:rPr>
          <w:rFonts w:hint="eastAsia"/>
          <w:bCs/>
          <w:sz w:val="24"/>
          <w:szCs w:val="24"/>
        </w:rPr>
        <w:t>4).</w:t>
      </w:r>
      <w:r>
        <w:rPr>
          <w:rFonts w:hint="eastAsia"/>
          <w:bCs/>
          <w:sz w:val="24"/>
          <w:szCs w:val="24"/>
        </w:rPr>
        <w:t>采用先进的脉冲阀，性能可靠。脉冲阀使用寿命</w:t>
      </w:r>
      <w:r>
        <w:rPr>
          <w:rFonts w:hint="eastAsia"/>
          <w:bCs/>
          <w:sz w:val="24"/>
          <w:szCs w:val="24"/>
        </w:rPr>
        <w:t>100</w:t>
      </w:r>
      <w:r>
        <w:rPr>
          <w:rFonts w:hint="eastAsia"/>
          <w:bCs/>
          <w:sz w:val="24"/>
          <w:szCs w:val="24"/>
        </w:rPr>
        <w:t>万次。</w:t>
      </w:r>
    </w:p>
    <w:p w:rsidR="00DB7CC8" w:rsidRDefault="002B5250">
      <w:pPr>
        <w:ind w:leftChars="50" w:left="140" w:firstLineChars="150" w:firstLine="360"/>
        <w:rPr>
          <w:bCs/>
          <w:sz w:val="24"/>
          <w:szCs w:val="24"/>
        </w:rPr>
      </w:pPr>
      <w:r>
        <w:rPr>
          <w:rFonts w:hint="eastAsia"/>
          <w:bCs/>
          <w:sz w:val="24"/>
          <w:szCs w:val="24"/>
        </w:rPr>
        <w:t>5).</w:t>
      </w:r>
      <w:r>
        <w:rPr>
          <w:rFonts w:hint="eastAsia"/>
          <w:bCs/>
          <w:sz w:val="24"/>
          <w:szCs w:val="24"/>
        </w:rPr>
        <w:t>采用先进的</w:t>
      </w:r>
      <w:r>
        <w:rPr>
          <w:rFonts w:hint="eastAsia"/>
          <w:bCs/>
          <w:sz w:val="24"/>
          <w:szCs w:val="24"/>
        </w:rPr>
        <w:t>PLC</w:t>
      </w:r>
      <w:r>
        <w:rPr>
          <w:rFonts w:hint="eastAsia"/>
          <w:bCs/>
          <w:sz w:val="24"/>
          <w:szCs w:val="24"/>
        </w:rPr>
        <w:t>可编程控制器，定时或定阻自动喷吹清灰，实行自动化运行，耗气量小，清灰彻底，性能稳定。</w:t>
      </w:r>
    </w:p>
    <w:p w:rsidR="00DB7CC8" w:rsidRDefault="002B5250">
      <w:pPr>
        <w:ind w:leftChars="50" w:left="140" w:firstLineChars="150" w:firstLine="360"/>
        <w:rPr>
          <w:bCs/>
          <w:sz w:val="24"/>
          <w:szCs w:val="24"/>
        </w:rPr>
      </w:pPr>
      <w:r>
        <w:rPr>
          <w:rFonts w:hint="eastAsia"/>
          <w:bCs/>
          <w:sz w:val="24"/>
          <w:szCs w:val="24"/>
        </w:rPr>
        <w:t>6).</w:t>
      </w:r>
      <w:r>
        <w:rPr>
          <w:rFonts w:hint="eastAsia"/>
          <w:bCs/>
          <w:sz w:val="24"/>
          <w:szCs w:val="24"/>
        </w:rPr>
        <w:t>可在线检修。分室换袋维修不影响主机的运行。袋式除尘器结构与工作原理，袋式除尘器由上部箱体、袋室、排灰装置及脉冲喷吹清灰控制系统等组成。式除尘器内部被花板划分为两部分。上面的部分称之为上部箱体或净气室。下面这一部分称之为袋室或滤室。</w:t>
      </w:r>
    </w:p>
    <w:p w:rsidR="00DB7CC8" w:rsidRDefault="002B5250">
      <w:pPr>
        <w:ind w:leftChars="50" w:left="140" w:firstLineChars="150" w:firstLine="420"/>
        <w:jc w:val="center"/>
      </w:pPr>
      <w:r>
        <w:rPr>
          <w:noProof/>
        </w:rPr>
        <w:lastRenderedPageBreak/>
        <w:drawing>
          <wp:inline distT="0" distB="0" distL="114300" distR="114300">
            <wp:extent cx="4048125" cy="4657725"/>
            <wp:effectExtent l="0" t="0" r="9525" b="9525"/>
            <wp:docPr id="13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42"/>
                    <pic:cNvPicPr>
                      <a:picLocks noChangeAspect="1"/>
                    </pic:cNvPicPr>
                  </pic:nvPicPr>
                  <pic:blipFill>
                    <a:blip r:embed="rId116" cstate="print"/>
                    <a:stretch>
                      <a:fillRect/>
                    </a:stretch>
                  </pic:blipFill>
                  <pic:spPr>
                    <a:xfrm>
                      <a:off x="0" y="0"/>
                      <a:ext cx="4048125" cy="4657725"/>
                    </a:xfrm>
                    <a:prstGeom prst="rect">
                      <a:avLst/>
                    </a:prstGeom>
                    <a:noFill/>
                    <a:ln>
                      <a:noFill/>
                    </a:ln>
                  </pic:spPr>
                </pic:pic>
              </a:graphicData>
            </a:graphic>
          </wp:inline>
        </w:drawing>
      </w:r>
    </w:p>
    <w:p w:rsidR="00DB7CC8" w:rsidRDefault="002B5250">
      <w:pPr>
        <w:pStyle w:val="a9"/>
        <w:rPr>
          <w:rFonts w:ascii="黑体" w:eastAsia="黑体" w:hAnsi="黑体" w:cs="Times New Roman"/>
          <w:b w:val="0"/>
          <w:snapToGrid/>
          <w:kern w:val="2"/>
          <w:sz w:val="21"/>
          <w:szCs w:val="21"/>
        </w:rPr>
      </w:pPr>
      <w:r>
        <w:rPr>
          <w:rFonts w:ascii="Times New Roman" w:eastAsia="黑体" w:hAnsi="Times New Roman" w:cs="Times New Roman"/>
          <w:b w:val="0"/>
          <w:snapToGrid/>
          <w:kern w:val="2"/>
          <w:sz w:val="21"/>
          <w:szCs w:val="21"/>
        </w:rPr>
        <w:t>图</w:t>
      </w:r>
      <w:r>
        <w:rPr>
          <w:rFonts w:ascii="Times New Roman" w:eastAsia="黑体" w:hAnsi="Times New Roman" w:cs="Times New Roman"/>
          <w:b w:val="0"/>
          <w:snapToGrid/>
          <w:kern w:val="2"/>
          <w:sz w:val="21"/>
          <w:szCs w:val="21"/>
        </w:rPr>
        <w:t xml:space="preserve">6.2-1 </w:t>
      </w:r>
      <w:r>
        <w:rPr>
          <w:rFonts w:ascii="黑体" w:eastAsia="黑体" w:hAnsi="黑体" w:cs="Times New Roman" w:hint="eastAsia"/>
          <w:b w:val="0"/>
          <w:snapToGrid/>
          <w:kern w:val="2"/>
          <w:sz w:val="21"/>
          <w:szCs w:val="21"/>
        </w:rPr>
        <w:t xml:space="preserve">   </w:t>
      </w:r>
      <w:r>
        <w:rPr>
          <w:rFonts w:ascii="黑体" w:eastAsia="黑体" w:hAnsi="黑体" w:cs="Times New Roman" w:hint="eastAsia"/>
          <w:b w:val="0"/>
          <w:snapToGrid/>
          <w:kern w:val="2"/>
          <w:sz w:val="21"/>
          <w:szCs w:val="21"/>
        </w:rPr>
        <w:t>脉冲式袋式除尘器工作原理</w:t>
      </w:r>
    </w:p>
    <w:p w:rsidR="00DB7CC8" w:rsidRDefault="002B5250">
      <w:pPr>
        <w:ind w:leftChars="50" w:left="140" w:firstLineChars="150" w:firstLine="360"/>
        <w:rPr>
          <w:bCs/>
          <w:sz w:val="24"/>
          <w:szCs w:val="24"/>
        </w:rPr>
      </w:pPr>
      <w:r>
        <w:rPr>
          <w:rFonts w:hint="eastAsia"/>
          <w:bCs/>
          <w:sz w:val="24"/>
          <w:szCs w:val="24"/>
        </w:rPr>
        <w:t>②项目采用过滤材料特点</w:t>
      </w:r>
    </w:p>
    <w:p w:rsidR="00DB7CC8" w:rsidRDefault="002B5250">
      <w:pPr>
        <w:ind w:leftChars="50" w:left="140" w:firstLineChars="150" w:firstLine="360"/>
        <w:jc w:val="both"/>
        <w:rPr>
          <w:bCs/>
          <w:sz w:val="24"/>
          <w:szCs w:val="24"/>
        </w:rPr>
      </w:pPr>
      <w:r>
        <w:rPr>
          <w:rFonts w:hint="eastAsia"/>
          <w:bCs/>
          <w:sz w:val="24"/>
          <w:szCs w:val="24"/>
        </w:rPr>
        <w:t>本项目破碎筛分生产线处理铁矿石规模为</w:t>
      </w:r>
      <w:r>
        <w:rPr>
          <w:rFonts w:hint="eastAsia"/>
          <w:bCs/>
          <w:sz w:val="24"/>
          <w:szCs w:val="24"/>
        </w:rPr>
        <w:t>70</w:t>
      </w:r>
      <w:r>
        <w:rPr>
          <w:rFonts w:hint="eastAsia"/>
          <w:bCs/>
          <w:sz w:val="24"/>
          <w:szCs w:val="24"/>
        </w:rPr>
        <w:t>万</w:t>
      </w:r>
      <w:r>
        <w:rPr>
          <w:rFonts w:hint="eastAsia"/>
          <w:bCs/>
          <w:sz w:val="24"/>
          <w:szCs w:val="24"/>
        </w:rPr>
        <w:t>t/a</w:t>
      </w:r>
      <w:r>
        <w:rPr>
          <w:rFonts w:hint="eastAsia"/>
          <w:bCs/>
          <w:sz w:val="24"/>
          <w:szCs w:val="24"/>
        </w:rPr>
        <w:t>，除尘器的设计风量参照《唐山市人民政府关于对采石场实施环节保护专项整治行动的通知》（唐政【</w:t>
      </w:r>
      <w:r>
        <w:rPr>
          <w:rFonts w:hint="eastAsia"/>
          <w:bCs/>
          <w:sz w:val="24"/>
          <w:szCs w:val="24"/>
        </w:rPr>
        <w:t>2013</w:t>
      </w:r>
      <w:r>
        <w:rPr>
          <w:rFonts w:hint="eastAsia"/>
          <w:bCs/>
          <w:sz w:val="24"/>
          <w:szCs w:val="24"/>
        </w:rPr>
        <w:t>】</w:t>
      </w:r>
      <w:r>
        <w:rPr>
          <w:rFonts w:hint="eastAsia"/>
          <w:bCs/>
          <w:sz w:val="24"/>
          <w:szCs w:val="24"/>
        </w:rPr>
        <w:t>128</w:t>
      </w:r>
      <w:r>
        <w:rPr>
          <w:rFonts w:hint="eastAsia"/>
          <w:bCs/>
          <w:sz w:val="24"/>
          <w:szCs w:val="24"/>
        </w:rPr>
        <w:t>号）中“采石场环境保护专项整治标准”第八条“单台破碎、筛分设备的除尘设计风量按大于</w:t>
      </w:r>
      <w:r>
        <w:rPr>
          <w:rFonts w:hint="eastAsia"/>
          <w:bCs/>
          <w:sz w:val="24"/>
          <w:szCs w:val="24"/>
        </w:rPr>
        <w:t>12000m</w:t>
      </w:r>
      <w:r>
        <w:rPr>
          <w:rFonts w:hint="eastAsia"/>
          <w:bCs/>
          <w:sz w:val="24"/>
          <w:szCs w:val="24"/>
          <w:vertAlign w:val="superscript"/>
        </w:rPr>
        <w:t>3</w:t>
      </w:r>
      <w:r>
        <w:rPr>
          <w:rFonts w:hint="eastAsia"/>
          <w:bCs/>
          <w:sz w:val="24"/>
          <w:szCs w:val="24"/>
        </w:rPr>
        <w:t>/h</w:t>
      </w:r>
      <w:r>
        <w:rPr>
          <w:rFonts w:hint="eastAsia"/>
          <w:bCs/>
          <w:sz w:val="24"/>
          <w:szCs w:val="24"/>
        </w:rPr>
        <w:t>计算”，</w:t>
      </w:r>
      <w:r>
        <w:rPr>
          <w:bCs/>
          <w:sz w:val="24"/>
          <w:szCs w:val="24"/>
        </w:rPr>
        <w:t>本项目</w:t>
      </w:r>
      <w:r>
        <w:rPr>
          <w:rFonts w:hint="eastAsia"/>
          <w:bCs/>
          <w:sz w:val="24"/>
          <w:szCs w:val="24"/>
        </w:rPr>
        <w:t>3</w:t>
      </w:r>
      <w:r>
        <w:rPr>
          <w:bCs/>
          <w:sz w:val="24"/>
          <w:szCs w:val="24"/>
        </w:rPr>
        <w:t>#</w:t>
      </w:r>
      <w:r>
        <w:rPr>
          <w:bCs/>
          <w:sz w:val="24"/>
          <w:szCs w:val="24"/>
        </w:rPr>
        <w:t>破碎</w:t>
      </w:r>
      <w:r>
        <w:rPr>
          <w:rFonts w:hint="eastAsia"/>
          <w:bCs/>
          <w:sz w:val="24"/>
          <w:szCs w:val="24"/>
        </w:rPr>
        <w:t>粗选</w:t>
      </w:r>
      <w:r>
        <w:rPr>
          <w:bCs/>
          <w:sz w:val="24"/>
          <w:szCs w:val="24"/>
        </w:rPr>
        <w:t>生产线设置一套脉冲布袋收尘器，风量为</w:t>
      </w:r>
      <w:r>
        <w:rPr>
          <w:rFonts w:hint="eastAsia"/>
          <w:bCs/>
          <w:sz w:val="24"/>
          <w:szCs w:val="24"/>
        </w:rPr>
        <w:t>50</w:t>
      </w:r>
      <w:r>
        <w:rPr>
          <w:bCs/>
          <w:sz w:val="24"/>
          <w:szCs w:val="24"/>
        </w:rPr>
        <w:t>000m</w:t>
      </w:r>
      <w:r>
        <w:rPr>
          <w:rFonts w:hint="eastAsia"/>
          <w:bCs/>
          <w:sz w:val="24"/>
          <w:szCs w:val="24"/>
          <w:vertAlign w:val="superscript"/>
        </w:rPr>
        <w:t>3</w:t>
      </w:r>
      <w:r>
        <w:rPr>
          <w:bCs/>
          <w:sz w:val="24"/>
          <w:szCs w:val="24"/>
        </w:rPr>
        <w:t>/h</w:t>
      </w:r>
      <w:r>
        <w:rPr>
          <w:bCs/>
          <w:sz w:val="24"/>
          <w:szCs w:val="24"/>
        </w:rPr>
        <w:t>，</w:t>
      </w:r>
      <w:r>
        <w:rPr>
          <w:rFonts w:hint="eastAsia"/>
          <w:bCs/>
          <w:sz w:val="24"/>
          <w:szCs w:val="24"/>
        </w:rPr>
        <w:t>根据计算和设计单位提供资料可知，覆膜滤料过滤面积</w:t>
      </w:r>
      <w:r>
        <w:rPr>
          <w:rFonts w:hint="eastAsia"/>
          <w:bCs/>
          <w:sz w:val="24"/>
          <w:szCs w:val="24"/>
        </w:rPr>
        <w:t>为</w:t>
      </w:r>
      <w:r>
        <w:rPr>
          <w:rFonts w:hint="eastAsia"/>
          <w:bCs/>
          <w:sz w:val="24"/>
          <w:szCs w:val="24"/>
        </w:rPr>
        <w:t>10</w:t>
      </w:r>
      <w:r>
        <w:rPr>
          <w:rFonts w:hint="eastAsia"/>
          <w:bCs/>
          <w:sz w:val="24"/>
          <w:szCs w:val="24"/>
        </w:rPr>
        <w:t>00</w:t>
      </w:r>
      <w:r>
        <w:rPr>
          <w:rFonts w:hint="eastAsia"/>
          <w:bCs/>
          <w:sz w:val="24"/>
          <w:szCs w:val="24"/>
        </w:rPr>
        <w:t>m</w:t>
      </w:r>
      <w:r>
        <w:rPr>
          <w:rFonts w:hint="eastAsia"/>
          <w:bCs/>
          <w:sz w:val="24"/>
          <w:szCs w:val="24"/>
          <w:vertAlign w:val="superscript"/>
        </w:rPr>
        <w:t>2</w:t>
      </w:r>
      <w:r>
        <w:rPr>
          <w:rFonts w:hint="eastAsia"/>
          <w:bCs/>
          <w:sz w:val="24"/>
          <w:szCs w:val="24"/>
        </w:rPr>
        <w:t>。</w:t>
      </w:r>
    </w:p>
    <w:p w:rsidR="00DB7CC8" w:rsidRDefault="002B5250">
      <w:pPr>
        <w:ind w:leftChars="50" w:left="140" w:firstLineChars="150" w:firstLine="360"/>
        <w:rPr>
          <w:highlight w:val="yellow"/>
        </w:rPr>
      </w:pPr>
      <w:r>
        <w:rPr>
          <w:rFonts w:hint="eastAsia"/>
          <w:bCs/>
          <w:sz w:val="24"/>
          <w:szCs w:val="24"/>
        </w:rPr>
        <w:t>随着科技的发展，脉冲袋式除尘器滤料已出现多种形式，从过滤效果可分为普通滤料和覆膜滤料。</w:t>
      </w:r>
    </w:p>
    <w:p w:rsidR="00DB7CC8" w:rsidRDefault="002B5250">
      <w:pPr>
        <w:ind w:leftChars="50" w:left="140" w:firstLineChars="150" w:firstLine="360"/>
        <w:rPr>
          <w:bCs/>
          <w:sz w:val="24"/>
          <w:szCs w:val="24"/>
        </w:rPr>
      </w:pPr>
      <w:r>
        <w:rPr>
          <w:rFonts w:hint="eastAsia"/>
          <w:bCs/>
          <w:sz w:val="24"/>
          <w:szCs w:val="24"/>
        </w:rPr>
        <w:t>覆膜滤料是在普通滤料表</w:t>
      </w:r>
      <w:r>
        <w:rPr>
          <w:rFonts w:hint="eastAsia"/>
          <w:bCs/>
          <w:sz w:val="24"/>
          <w:szCs w:val="24"/>
        </w:rPr>
        <w:t>面复合一层高效过滤薄膜而形成的一种新型滤料。这层薄膜相当于起到了“一次粉尘层”的作用，物料交换是在膜表面进行的，使用之初就能进行有效的过滤。薄膜特有的立体网状结构，使粉尘无法穿过，无孔隙堵塞之虞。</w:t>
      </w:r>
    </w:p>
    <w:p w:rsidR="00DB7CC8" w:rsidRDefault="002B5250">
      <w:pPr>
        <w:ind w:leftChars="50" w:left="140" w:firstLineChars="150" w:firstLine="360"/>
        <w:rPr>
          <w:bCs/>
          <w:sz w:val="24"/>
          <w:szCs w:val="24"/>
        </w:rPr>
      </w:pPr>
      <w:r>
        <w:rPr>
          <w:rFonts w:hint="eastAsia"/>
          <w:bCs/>
          <w:sz w:val="24"/>
          <w:szCs w:val="24"/>
        </w:rPr>
        <w:t>覆膜滤料过滤方式称为“表面过滤”，性能优异，与普通滤料相比，其优</w:t>
      </w:r>
      <w:r>
        <w:rPr>
          <w:rFonts w:hint="eastAsia"/>
          <w:bCs/>
          <w:sz w:val="24"/>
          <w:szCs w:val="24"/>
        </w:rPr>
        <w:lastRenderedPageBreak/>
        <w:t>点是：</w:t>
      </w:r>
    </w:p>
    <w:p w:rsidR="00DB7CC8" w:rsidRDefault="002B5250">
      <w:pPr>
        <w:ind w:leftChars="50" w:left="140" w:firstLineChars="150" w:firstLine="360"/>
        <w:rPr>
          <w:bCs/>
          <w:sz w:val="24"/>
          <w:szCs w:val="24"/>
        </w:rPr>
      </w:pPr>
      <w:r>
        <w:rPr>
          <w:rFonts w:hint="eastAsia"/>
          <w:bCs/>
          <w:sz w:val="24"/>
          <w:szCs w:val="24"/>
        </w:rPr>
        <w:t xml:space="preserve">a) </w:t>
      </w:r>
      <w:r>
        <w:rPr>
          <w:rFonts w:hint="eastAsia"/>
          <w:bCs/>
          <w:sz w:val="24"/>
          <w:szCs w:val="24"/>
        </w:rPr>
        <w:t>表面过滤效率高。通常工业用滤材是依赖在滤材表面先建立一次粉尘层进行有效过滤，建立有效过滤时间长</w:t>
      </w:r>
      <w:r>
        <w:rPr>
          <w:rFonts w:hint="eastAsia"/>
          <w:bCs/>
          <w:sz w:val="24"/>
          <w:szCs w:val="24"/>
        </w:rPr>
        <w:t>(</w:t>
      </w:r>
      <w:r>
        <w:rPr>
          <w:rFonts w:hint="eastAsia"/>
          <w:bCs/>
          <w:sz w:val="24"/>
          <w:szCs w:val="24"/>
        </w:rPr>
        <w:t>约需整个滤程的</w:t>
      </w:r>
      <w:r>
        <w:rPr>
          <w:rFonts w:hint="eastAsia"/>
          <w:bCs/>
          <w:sz w:val="24"/>
          <w:szCs w:val="24"/>
        </w:rPr>
        <w:t>10</w:t>
      </w:r>
      <w:r>
        <w:rPr>
          <w:rFonts w:hint="eastAsia"/>
          <w:bCs/>
          <w:sz w:val="24"/>
          <w:szCs w:val="24"/>
        </w:rPr>
        <w:t>％</w:t>
      </w:r>
      <w:r>
        <w:rPr>
          <w:rFonts w:hint="eastAsia"/>
          <w:bCs/>
          <w:sz w:val="24"/>
          <w:szCs w:val="24"/>
        </w:rPr>
        <w:t>)</w:t>
      </w:r>
      <w:r>
        <w:rPr>
          <w:rFonts w:hint="eastAsia"/>
          <w:bCs/>
          <w:sz w:val="24"/>
          <w:szCs w:val="24"/>
        </w:rPr>
        <w:t>，阻力大，效率低，截留不完全，损耗也大，过滤和反吹压力高，清灰频繁，能耗较高，使用寿命不长，设备占地面积大。使用覆膜滤</w:t>
      </w:r>
      <w:r>
        <w:rPr>
          <w:rFonts w:hint="eastAsia"/>
          <w:bCs/>
          <w:sz w:val="24"/>
          <w:szCs w:val="24"/>
        </w:rPr>
        <w:t>布，粉尘不能透入滤料，只是表面过滤，无论是粗、细粉尘，全部沉积在滤料表面，即靠膜本身孔径截留被滤物，无初滤期，开始就是有效过滤，近百分之百的时间处于有效过滤。</w:t>
      </w:r>
    </w:p>
    <w:p w:rsidR="00DB7CC8" w:rsidRDefault="002B5250">
      <w:pPr>
        <w:ind w:leftChars="50" w:left="140" w:firstLineChars="150" w:firstLine="360"/>
        <w:rPr>
          <w:bCs/>
          <w:sz w:val="24"/>
          <w:szCs w:val="24"/>
        </w:rPr>
      </w:pPr>
      <w:r>
        <w:rPr>
          <w:rFonts w:hint="eastAsia"/>
          <w:bCs/>
          <w:sz w:val="24"/>
          <w:szCs w:val="24"/>
        </w:rPr>
        <w:t xml:space="preserve">b) </w:t>
      </w:r>
      <w:r>
        <w:rPr>
          <w:rFonts w:hint="eastAsia"/>
          <w:bCs/>
          <w:sz w:val="24"/>
          <w:szCs w:val="24"/>
        </w:rPr>
        <w:t>低压、高通量连续工作。传统的深层过滤的滤料，一旦投入使用，粉尘穿透，建立一次粉尘层，透气性便迅速下降。过滤时，内部堆积的粉尘造成阻塞现象，从而增加了除尘设备的阻力。覆膜滤料以微细孔径及其不黏性，使粉尘穿透率近于零，投入使用后提供极佳的过滤效率，当沉积在覆膜滤料表面的粉尘达到一定厚度时，就会自动脱落，易清灰，使过滤压力始终保持在很低的水平，空气流</w:t>
      </w:r>
      <w:r>
        <w:rPr>
          <w:rFonts w:hint="eastAsia"/>
          <w:bCs/>
          <w:sz w:val="24"/>
          <w:szCs w:val="24"/>
        </w:rPr>
        <w:t>量始终保持在较高水平，可连续工作。而过滤压力的降低，使其可以选择长滤袋形式，以减少占地面积。</w:t>
      </w:r>
    </w:p>
    <w:p w:rsidR="00DB7CC8" w:rsidRDefault="002B5250">
      <w:pPr>
        <w:ind w:leftChars="50" w:left="140" w:firstLineChars="150" w:firstLine="360"/>
        <w:rPr>
          <w:bCs/>
          <w:sz w:val="24"/>
          <w:szCs w:val="24"/>
        </w:rPr>
      </w:pPr>
      <w:r>
        <w:rPr>
          <w:rFonts w:hint="eastAsia"/>
          <w:bCs/>
          <w:sz w:val="24"/>
          <w:szCs w:val="24"/>
        </w:rPr>
        <w:t xml:space="preserve">c) </w:t>
      </w:r>
      <w:r>
        <w:rPr>
          <w:rFonts w:hint="eastAsia"/>
          <w:bCs/>
          <w:sz w:val="24"/>
          <w:szCs w:val="24"/>
        </w:rPr>
        <w:t>容易清灰。任何一种滤料的操作压力损失直接取决于清灰后残留在滤料表面上、下的粉尘量。覆膜滤料清灰容易，具有非常优越的清灰特性，每次清灰都能彻底除去尘层，滤料内部不会产生堵塞，不会改变孔隙率和质密度，能经常维持于较低压力损失工作。</w:t>
      </w:r>
    </w:p>
    <w:p w:rsidR="00DB7CC8" w:rsidRDefault="002B5250">
      <w:pPr>
        <w:ind w:leftChars="50" w:left="140" w:firstLineChars="150" w:firstLine="360"/>
        <w:rPr>
          <w:bCs/>
          <w:sz w:val="24"/>
          <w:szCs w:val="24"/>
        </w:rPr>
      </w:pPr>
      <w:r>
        <w:rPr>
          <w:rFonts w:hint="eastAsia"/>
          <w:bCs/>
          <w:sz w:val="24"/>
          <w:szCs w:val="24"/>
        </w:rPr>
        <w:t xml:space="preserve">d) </w:t>
      </w:r>
      <w:r>
        <w:rPr>
          <w:rFonts w:hint="eastAsia"/>
          <w:bCs/>
          <w:sz w:val="24"/>
          <w:szCs w:val="24"/>
        </w:rPr>
        <w:t>寿命长。覆膜滤料无论采用什么清灰机制，都可以发挥其优越的特性，是一种将工业除尘器设计机能完全过滤作用的过滤材料，因而成本低廉。覆膜滤料是一种强韧而柔软的纤维结构，与坚强的基材复合</w:t>
      </w:r>
      <w:r>
        <w:rPr>
          <w:rFonts w:hint="eastAsia"/>
          <w:bCs/>
          <w:sz w:val="24"/>
          <w:szCs w:val="24"/>
        </w:rPr>
        <w:t>而成，所以有足够的机械强度，加之有卓越的脱灰性，降低了清灰强度，在低而稳的压力损失下，能长期使用，延长了滤袋寿命。</w:t>
      </w:r>
    </w:p>
    <w:p w:rsidR="00DB7CC8" w:rsidRDefault="002B5250">
      <w:pPr>
        <w:ind w:leftChars="50" w:left="140" w:firstLineChars="150" w:firstLine="360"/>
        <w:rPr>
          <w:bCs/>
          <w:sz w:val="24"/>
          <w:szCs w:val="24"/>
        </w:rPr>
      </w:pPr>
      <w:r>
        <w:rPr>
          <w:rFonts w:hint="eastAsia"/>
          <w:bCs/>
          <w:sz w:val="24"/>
          <w:szCs w:val="24"/>
        </w:rPr>
        <w:t>综合以上分析，覆膜滤料具有表面光滑、防水透气、容易清灰等特点，过滤效率高，运行阻力低，耗能少，使用寿命长，真正实现了“表面过滤”。</w:t>
      </w:r>
    </w:p>
    <w:p w:rsidR="00DB7CC8" w:rsidRDefault="002B5250">
      <w:pPr>
        <w:ind w:leftChars="50" w:left="140" w:firstLineChars="150" w:firstLine="360"/>
        <w:rPr>
          <w:bCs/>
          <w:sz w:val="24"/>
          <w:szCs w:val="24"/>
        </w:rPr>
      </w:pPr>
      <w:r>
        <w:rPr>
          <w:rFonts w:hint="eastAsia"/>
          <w:bCs/>
          <w:sz w:val="24"/>
          <w:szCs w:val="24"/>
        </w:rPr>
        <w:t>目前，脉冲袋式除尘器是各类企业常用的环保设备之一，几乎在各产尘生产工序都可以采用。参照《火电厂污染防治可行技术指南》</w:t>
      </w:r>
      <w:r>
        <w:rPr>
          <w:rFonts w:hint="eastAsia"/>
          <w:bCs/>
          <w:sz w:val="24"/>
          <w:szCs w:val="24"/>
        </w:rPr>
        <w:t>(HJ2301-2017)</w:t>
      </w:r>
      <w:r>
        <w:rPr>
          <w:rFonts w:hint="eastAsia"/>
          <w:bCs/>
          <w:sz w:val="24"/>
          <w:szCs w:val="24"/>
        </w:rPr>
        <w:t>，采用高精过滤滤料时，出口烟尘浓度可以实现</w:t>
      </w:r>
      <w:r>
        <w:rPr>
          <w:rFonts w:hint="eastAsia"/>
          <w:bCs/>
          <w:sz w:val="24"/>
          <w:szCs w:val="24"/>
        </w:rPr>
        <w:t>10mg/m</w:t>
      </w:r>
      <w:r>
        <w:rPr>
          <w:rFonts w:hint="eastAsia"/>
          <w:bCs/>
          <w:sz w:val="24"/>
          <w:szCs w:val="24"/>
          <w:vertAlign w:val="superscript"/>
        </w:rPr>
        <w:t>3</w:t>
      </w:r>
      <w:r>
        <w:rPr>
          <w:rFonts w:hint="eastAsia"/>
          <w:bCs/>
          <w:sz w:val="24"/>
          <w:szCs w:val="24"/>
        </w:rPr>
        <w:t>以下。调查可知，诸多钢铁、建材和化工企业的物料转运、筛分、干燥等工</w:t>
      </w:r>
      <w:r>
        <w:rPr>
          <w:rFonts w:hint="eastAsia"/>
          <w:bCs/>
          <w:sz w:val="24"/>
          <w:szCs w:val="24"/>
        </w:rPr>
        <w:t>序产生废气均采用脉冲袋式除尘器净化处理，实际监测结果表明，覆膜滤袋净化后外排废气中粉尘浓度净</w:t>
      </w:r>
      <w:r>
        <w:rPr>
          <w:rFonts w:hint="eastAsia"/>
          <w:bCs/>
          <w:sz w:val="24"/>
          <w:szCs w:val="24"/>
        </w:rPr>
        <w:lastRenderedPageBreak/>
        <w:t>化效率可达</w:t>
      </w:r>
      <w:r>
        <w:rPr>
          <w:rFonts w:hint="eastAsia"/>
          <w:bCs/>
          <w:sz w:val="24"/>
          <w:szCs w:val="24"/>
        </w:rPr>
        <w:t>99%</w:t>
      </w:r>
      <w:r>
        <w:rPr>
          <w:rFonts w:hint="eastAsia"/>
          <w:bCs/>
          <w:sz w:val="24"/>
          <w:szCs w:val="24"/>
        </w:rPr>
        <w:t>以上。</w:t>
      </w:r>
    </w:p>
    <w:p w:rsidR="00DB7CC8" w:rsidRDefault="002B5250">
      <w:pPr>
        <w:ind w:leftChars="50" w:left="140" w:firstLineChars="150" w:firstLine="360"/>
        <w:rPr>
          <w:sz w:val="24"/>
          <w:szCs w:val="24"/>
        </w:rPr>
      </w:pPr>
      <w:bookmarkStart w:id="502" w:name="_Hlk11727619"/>
      <w:r>
        <w:rPr>
          <w:sz w:val="24"/>
          <w:szCs w:val="24"/>
        </w:rPr>
        <w:t>本项目</w:t>
      </w:r>
      <w:r>
        <w:rPr>
          <w:rFonts w:hint="eastAsia"/>
          <w:bCs/>
          <w:sz w:val="24"/>
          <w:szCs w:val="24"/>
        </w:rPr>
        <w:t>3</w:t>
      </w:r>
      <w:r>
        <w:rPr>
          <w:rFonts w:hint="eastAsia"/>
          <w:bCs/>
          <w:sz w:val="24"/>
          <w:szCs w:val="24"/>
        </w:rPr>
        <w:t>#</w:t>
      </w:r>
      <w:r>
        <w:rPr>
          <w:bCs/>
          <w:sz w:val="24"/>
          <w:szCs w:val="24"/>
        </w:rPr>
        <w:t>破碎</w:t>
      </w:r>
      <w:r>
        <w:rPr>
          <w:rFonts w:hint="eastAsia"/>
          <w:bCs/>
          <w:sz w:val="24"/>
          <w:szCs w:val="24"/>
        </w:rPr>
        <w:t>粗选</w:t>
      </w:r>
      <w:r>
        <w:rPr>
          <w:bCs/>
          <w:sz w:val="24"/>
          <w:szCs w:val="24"/>
        </w:rPr>
        <w:t>生产线</w:t>
      </w:r>
      <w:r>
        <w:rPr>
          <w:sz w:val="24"/>
          <w:szCs w:val="24"/>
        </w:rPr>
        <w:t>使用的</w:t>
      </w:r>
      <w:r>
        <w:rPr>
          <w:bCs/>
          <w:sz w:val="24"/>
          <w:szCs w:val="24"/>
        </w:rPr>
        <w:t>脉冲</w:t>
      </w:r>
      <w:r>
        <w:rPr>
          <w:sz w:val="24"/>
          <w:szCs w:val="24"/>
        </w:rPr>
        <w:t>布袋除尘器设计参数</w:t>
      </w:r>
      <w:bookmarkEnd w:id="502"/>
      <w:r>
        <w:rPr>
          <w:sz w:val="24"/>
          <w:szCs w:val="24"/>
        </w:rPr>
        <w:t>见</w:t>
      </w:r>
      <w:r>
        <w:rPr>
          <w:rFonts w:hint="eastAsia"/>
          <w:sz w:val="24"/>
          <w:szCs w:val="24"/>
        </w:rPr>
        <w:t>表</w:t>
      </w:r>
      <w:r>
        <w:rPr>
          <w:rFonts w:hint="eastAsia"/>
          <w:sz w:val="24"/>
          <w:szCs w:val="24"/>
        </w:rPr>
        <w:t>6.2-1</w:t>
      </w:r>
      <w:r>
        <w:rPr>
          <w:rFonts w:eastAsiaTheme="minorEastAsia"/>
          <w:sz w:val="24"/>
          <w:szCs w:val="24"/>
        </w:rPr>
        <w:t>：</w:t>
      </w:r>
    </w:p>
    <w:p w:rsidR="00DB7CC8" w:rsidRDefault="002B5250">
      <w:pPr>
        <w:pStyle w:val="a9"/>
        <w:rPr>
          <w:rFonts w:ascii="黑体" w:eastAsia="黑体" w:hAnsi="黑体" w:cs="Times New Roman"/>
          <w:b w:val="0"/>
          <w:snapToGrid/>
          <w:kern w:val="2"/>
          <w:sz w:val="21"/>
          <w:szCs w:val="21"/>
        </w:rPr>
      </w:pPr>
      <w:bookmarkStart w:id="503" w:name="_Ref11715298"/>
      <w:r>
        <w:rPr>
          <w:rFonts w:ascii="Times New Roman" w:eastAsia="黑体" w:hAnsi="Times New Roman" w:cs="Times New Roman"/>
          <w:b w:val="0"/>
          <w:snapToGrid/>
          <w:kern w:val="2"/>
          <w:sz w:val="21"/>
          <w:szCs w:val="21"/>
        </w:rPr>
        <w:t>表</w:t>
      </w:r>
      <w:r>
        <w:rPr>
          <w:rFonts w:ascii="Times New Roman" w:eastAsia="黑体" w:hAnsi="Times New Roman" w:cs="Times New Roman"/>
          <w:b w:val="0"/>
          <w:snapToGrid/>
          <w:kern w:val="2"/>
          <w:sz w:val="21"/>
          <w:szCs w:val="21"/>
        </w:rPr>
        <w:t>6.2-1</w:t>
      </w:r>
      <w:bookmarkEnd w:id="503"/>
      <w:r>
        <w:rPr>
          <w:rFonts w:ascii="Times New Roman" w:eastAsia="黑体" w:hAnsi="Times New Roman" w:cs="Times New Roman"/>
          <w:b w:val="0"/>
          <w:snapToGrid/>
          <w:kern w:val="2"/>
          <w:sz w:val="21"/>
          <w:szCs w:val="21"/>
        </w:rPr>
        <w:t xml:space="preserve">  </w:t>
      </w:r>
      <w:r>
        <w:rPr>
          <w:rFonts w:ascii="黑体" w:eastAsia="黑体" w:hAnsi="黑体" w:cs="Times New Roman" w:hint="eastAsia"/>
          <w:b w:val="0"/>
          <w:snapToGrid/>
          <w:kern w:val="2"/>
          <w:sz w:val="21"/>
          <w:szCs w:val="21"/>
        </w:rPr>
        <w:t>除尘器设计参数一览表</w:t>
      </w:r>
    </w:p>
    <w:tbl>
      <w:tblPr>
        <w:tblW w:w="85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
        <w:gridCol w:w="1440"/>
        <w:gridCol w:w="2160"/>
        <w:gridCol w:w="720"/>
        <w:gridCol w:w="1440"/>
        <w:gridCol w:w="2102"/>
      </w:tblGrid>
      <w:tr w:rsidR="00DB7CC8">
        <w:trPr>
          <w:trHeight w:val="397"/>
        </w:trPr>
        <w:tc>
          <w:tcPr>
            <w:tcW w:w="648"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序号</w:t>
            </w:r>
          </w:p>
        </w:tc>
        <w:tc>
          <w:tcPr>
            <w:tcW w:w="144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项目</w:t>
            </w:r>
          </w:p>
        </w:tc>
        <w:tc>
          <w:tcPr>
            <w:tcW w:w="216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参数</w:t>
            </w:r>
          </w:p>
        </w:tc>
        <w:tc>
          <w:tcPr>
            <w:tcW w:w="72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序号</w:t>
            </w:r>
          </w:p>
        </w:tc>
        <w:tc>
          <w:tcPr>
            <w:tcW w:w="144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项目</w:t>
            </w:r>
          </w:p>
        </w:tc>
        <w:tc>
          <w:tcPr>
            <w:tcW w:w="2102"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参数</w:t>
            </w:r>
          </w:p>
        </w:tc>
      </w:tr>
      <w:tr w:rsidR="00DB7CC8">
        <w:trPr>
          <w:trHeight w:val="397"/>
        </w:trPr>
        <w:tc>
          <w:tcPr>
            <w:tcW w:w="648" w:type="dxa"/>
            <w:tcBorders>
              <w:tl2br w:val="nil"/>
              <w:tr2bl w:val="nil"/>
            </w:tcBorders>
            <w:vAlign w:val="center"/>
          </w:tcPr>
          <w:p w:rsidR="00DB7CC8" w:rsidRDefault="002B5250">
            <w:pPr>
              <w:pStyle w:val="afffffffc"/>
              <w:spacing w:line="240" w:lineRule="auto"/>
              <w:rPr>
                <w:lang w:val="zh-CN" w:bidi="zh-CN"/>
              </w:rPr>
            </w:pPr>
            <w:r>
              <w:rPr>
                <w:lang w:val="zh-CN" w:bidi="zh-CN"/>
              </w:rPr>
              <w:t>1</w:t>
            </w:r>
          </w:p>
        </w:tc>
        <w:tc>
          <w:tcPr>
            <w:tcW w:w="144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类型</w:t>
            </w:r>
          </w:p>
        </w:tc>
        <w:tc>
          <w:tcPr>
            <w:tcW w:w="216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脉冲布袋除尘器</w:t>
            </w:r>
          </w:p>
        </w:tc>
        <w:tc>
          <w:tcPr>
            <w:tcW w:w="720" w:type="dxa"/>
            <w:tcBorders>
              <w:tl2br w:val="nil"/>
              <w:tr2bl w:val="nil"/>
            </w:tcBorders>
            <w:vAlign w:val="center"/>
          </w:tcPr>
          <w:p w:rsidR="00DB7CC8" w:rsidRDefault="002B5250">
            <w:pPr>
              <w:pStyle w:val="afffffffc"/>
              <w:spacing w:line="240" w:lineRule="auto"/>
              <w:rPr>
                <w:lang w:val="zh-CN" w:bidi="zh-CN"/>
              </w:rPr>
            </w:pPr>
            <w:r>
              <w:rPr>
                <w:lang w:val="zh-CN" w:bidi="zh-CN"/>
              </w:rPr>
              <w:t>10</w:t>
            </w:r>
          </w:p>
        </w:tc>
        <w:tc>
          <w:tcPr>
            <w:tcW w:w="144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工作温度</w:t>
            </w:r>
          </w:p>
        </w:tc>
        <w:tc>
          <w:tcPr>
            <w:tcW w:w="2102" w:type="dxa"/>
            <w:tcBorders>
              <w:tl2br w:val="nil"/>
              <w:tr2bl w:val="nil"/>
            </w:tcBorders>
            <w:vAlign w:val="center"/>
          </w:tcPr>
          <w:p w:rsidR="00DB7CC8" w:rsidRDefault="002B5250">
            <w:pPr>
              <w:pStyle w:val="afffffffc"/>
              <w:spacing w:line="240" w:lineRule="auto"/>
              <w:rPr>
                <w:lang w:val="zh-CN" w:bidi="zh-CN"/>
              </w:rPr>
            </w:pPr>
            <w:r>
              <w:rPr>
                <w:lang w:val="zh-CN" w:bidi="zh-CN"/>
              </w:rPr>
              <w:t>≤130</w:t>
            </w:r>
            <w:r>
              <w:rPr>
                <w:rFonts w:hint="eastAsia"/>
                <w:lang w:val="zh-CN" w:bidi="zh-CN"/>
              </w:rPr>
              <w:t>℃</w:t>
            </w:r>
          </w:p>
        </w:tc>
      </w:tr>
      <w:tr w:rsidR="00DB7CC8">
        <w:trPr>
          <w:trHeight w:val="397"/>
        </w:trPr>
        <w:tc>
          <w:tcPr>
            <w:tcW w:w="648" w:type="dxa"/>
            <w:tcBorders>
              <w:tl2br w:val="nil"/>
              <w:tr2bl w:val="nil"/>
            </w:tcBorders>
            <w:vAlign w:val="center"/>
          </w:tcPr>
          <w:p w:rsidR="00DB7CC8" w:rsidRDefault="002B5250">
            <w:pPr>
              <w:pStyle w:val="afffffffc"/>
              <w:spacing w:line="240" w:lineRule="auto"/>
              <w:rPr>
                <w:lang w:val="zh-CN" w:bidi="zh-CN"/>
              </w:rPr>
            </w:pPr>
            <w:r>
              <w:rPr>
                <w:lang w:val="zh-CN" w:bidi="zh-CN"/>
              </w:rPr>
              <w:t>2</w:t>
            </w:r>
          </w:p>
        </w:tc>
        <w:tc>
          <w:tcPr>
            <w:tcW w:w="144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过滤面积</w:t>
            </w:r>
          </w:p>
        </w:tc>
        <w:tc>
          <w:tcPr>
            <w:tcW w:w="2160" w:type="dxa"/>
            <w:tcBorders>
              <w:tl2br w:val="nil"/>
              <w:tr2bl w:val="nil"/>
            </w:tcBorders>
            <w:vAlign w:val="center"/>
          </w:tcPr>
          <w:p w:rsidR="00DB7CC8" w:rsidRDefault="002B5250">
            <w:pPr>
              <w:pStyle w:val="afffffffc"/>
              <w:spacing w:line="240" w:lineRule="auto"/>
              <w:rPr>
                <w:lang w:bidi="zh-CN"/>
              </w:rPr>
            </w:pPr>
            <w:r>
              <w:rPr>
                <w:rFonts w:hint="eastAsia"/>
                <w:lang w:bidi="zh-CN"/>
              </w:rPr>
              <w:t>10</w:t>
            </w:r>
            <w:r>
              <w:rPr>
                <w:rFonts w:hint="eastAsia"/>
                <w:lang w:bidi="zh-CN"/>
              </w:rPr>
              <w:t>00</w:t>
            </w:r>
            <w:r>
              <w:rPr>
                <w:rFonts w:hint="eastAsia"/>
                <w:lang w:bidi="zh-CN"/>
              </w:rPr>
              <w:t>m</w:t>
            </w:r>
            <w:r>
              <w:rPr>
                <w:rFonts w:hint="eastAsia"/>
                <w:vertAlign w:val="superscript"/>
                <w:lang w:bidi="zh-CN"/>
              </w:rPr>
              <w:t>2</w:t>
            </w:r>
          </w:p>
        </w:tc>
        <w:tc>
          <w:tcPr>
            <w:tcW w:w="720" w:type="dxa"/>
            <w:tcBorders>
              <w:tl2br w:val="nil"/>
              <w:tr2bl w:val="nil"/>
            </w:tcBorders>
            <w:vAlign w:val="center"/>
          </w:tcPr>
          <w:p w:rsidR="00DB7CC8" w:rsidRDefault="002B5250">
            <w:pPr>
              <w:pStyle w:val="afffffffc"/>
              <w:spacing w:line="240" w:lineRule="auto"/>
              <w:rPr>
                <w:lang w:val="zh-CN" w:bidi="zh-CN"/>
              </w:rPr>
            </w:pPr>
            <w:r>
              <w:rPr>
                <w:lang w:val="zh-CN" w:bidi="zh-CN"/>
              </w:rPr>
              <w:t>11</w:t>
            </w:r>
          </w:p>
        </w:tc>
        <w:tc>
          <w:tcPr>
            <w:tcW w:w="144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瞬时温度</w:t>
            </w:r>
          </w:p>
        </w:tc>
        <w:tc>
          <w:tcPr>
            <w:tcW w:w="2102"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2</w:t>
            </w:r>
            <w:r>
              <w:rPr>
                <w:lang w:val="zh-CN" w:bidi="zh-CN"/>
              </w:rPr>
              <w:t>0</w:t>
            </w:r>
            <w:r>
              <w:rPr>
                <w:rFonts w:hint="eastAsia"/>
                <w:lang w:val="zh-CN" w:bidi="zh-CN"/>
              </w:rPr>
              <w:t>℃</w:t>
            </w:r>
          </w:p>
        </w:tc>
      </w:tr>
      <w:tr w:rsidR="00DB7CC8">
        <w:trPr>
          <w:trHeight w:val="397"/>
        </w:trPr>
        <w:tc>
          <w:tcPr>
            <w:tcW w:w="648" w:type="dxa"/>
            <w:tcBorders>
              <w:tl2br w:val="nil"/>
              <w:tr2bl w:val="nil"/>
            </w:tcBorders>
            <w:vAlign w:val="center"/>
          </w:tcPr>
          <w:p w:rsidR="00DB7CC8" w:rsidRDefault="002B5250">
            <w:pPr>
              <w:pStyle w:val="afffffffc"/>
              <w:spacing w:line="240" w:lineRule="auto"/>
              <w:rPr>
                <w:lang w:val="zh-CN" w:bidi="zh-CN"/>
              </w:rPr>
            </w:pPr>
            <w:r>
              <w:rPr>
                <w:lang w:val="zh-CN" w:bidi="zh-CN"/>
              </w:rPr>
              <w:t>3</w:t>
            </w:r>
          </w:p>
        </w:tc>
        <w:tc>
          <w:tcPr>
            <w:tcW w:w="144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过滤风速</w:t>
            </w:r>
          </w:p>
        </w:tc>
        <w:tc>
          <w:tcPr>
            <w:tcW w:w="2160" w:type="dxa"/>
            <w:tcBorders>
              <w:tl2br w:val="nil"/>
              <w:tr2bl w:val="nil"/>
            </w:tcBorders>
            <w:vAlign w:val="center"/>
          </w:tcPr>
          <w:p w:rsidR="00DB7CC8" w:rsidRDefault="002B5250">
            <w:pPr>
              <w:pStyle w:val="afffffffc"/>
              <w:spacing w:line="240" w:lineRule="auto"/>
              <w:rPr>
                <w:lang w:val="zh-CN" w:bidi="zh-CN"/>
              </w:rPr>
            </w:pPr>
            <w:r>
              <w:rPr>
                <w:rFonts w:hint="eastAsia"/>
                <w:lang w:bidi="zh-CN"/>
              </w:rPr>
              <w:t>0.8</w:t>
            </w:r>
            <w:r>
              <w:rPr>
                <w:lang w:val="zh-CN" w:bidi="zh-CN"/>
              </w:rPr>
              <w:t>m/min</w:t>
            </w:r>
          </w:p>
        </w:tc>
        <w:tc>
          <w:tcPr>
            <w:tcW w:w="720" w:type="dxa"/>
            <w:tcBorders>
              <w:tl2br w:val="nil"/>
              <w:tr2bl w:val="nil"/>
            </w:tcBorders>
            <w:vAlign w:val="center"/>
          </w:tcPr>
          <w:p w:rsidR="00DB7CC8" w:rsidRDefault="002B5250">
            <w:pPr>
              <w:pStyle w:val="afffffffc"/>
              <w:spacing w:line="240" w:lineRule="auto"/>
              <w:rPr>
                <w:lang w:val="zh-CN" w:bidi="zh-CN"/>
              </w:rPr>
            </w:pPr>
            <w:r>
              <w:rPr>
                <w:lang w:val="zh-CN" w:bidi="zh-CN"/>
              </w:rPr>
              <w:t>12</w:t>
            </w:r>
          </w:p>
        </w:tc>
        <w:tc>
          <w:tcPr>
            <w:tcW w:w="144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滤袋个数</w:t>
            </w:r>
          </w:p>
        </w:tc>
        <w:tc>
          <w:tcPr>
            <w:tcW w:w="2102" w:type="dxa"/>
            <w:tcBorders>
              <w:tl2br w:val="nil"/>
              <w:tr2bl w:val="nil"/>
            </w:tcBorders>
            <w:vAlign w:val="center"/>
          </w:tcPr>
          <w:p w:rsidR="00DB7CC8" w:rsidRDefault="002B5250">
            <w:pPr>
              <w:pStyle w:val="afffffffc"/>
              <w:spacing w:line="240" w:lineRule="auto"/>
              <w:rPr>
                <w:lang w:val="zh-CN" w:bidi="zh-CN"/>
              </w:rPr>
            </w:pPr>
            <w:r>
              <w:rPr>
                <w:rFonts w:hint="eastAsia"/>
                <w:lang w:bidi="zh-CN"/>
              </w:rPr>
              <w:t>50</w:t>
            </w:r>
            <w:r>
              <w:rPr>
                <w:rFonts w:hint="eastAsia"/>
                <w:lang w:val="zh-CN" w:bidi="zh-CN"/>
              </w:rPr>
              <w:t>条</w:t>
            </w:r>
          </w:p>
        </w:tc>
      </w:tr>
      <w:tr w:rsidR="00DB7CC8">
        <w:trPr>
          <w:trHeight w:val="397"/>
        </w:trPr>
        <w:tc>
          <w:tcPr>
            <w:tcW w:w="648" w:type="dxa"/>
            <w:tcBorders>
              <w:tl2br w:val="nil"/>
              <w:tr2bl w:val="nil"/>
            </w:tcBorders>
            <w:vAlign w:val="center"/>
          </w:tcPr>
          <w:p w:rsidR="00DB7CC8" w:rsidRDefault="002B5250">
            <w:pPr>
              <w:pStyle w:val="afffffffc"/>
              <w:spacing w:line="240" w:lineRule="auto"/>
              <w:rPr>
                <w:lang w:val="zh-CN" w:bidi="zh-CN"/>
              </w:rPr>
            </w:pPr>
            <w:r>
              <w:rPr>
                <w:lang w:val="zh-CN" w:bidi="zh-CN"/>
              </w:rPr>
              <w:t>6</w:t>
            </w:r>
          </w:p>
        </w:tc>
        <w:tc>
          <w:tcPr>
            <w:tcW w:w="144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脉冲阀规格</w:t>
            </w:r>
          </w:p>
        </w:tc>
        <w:tc>
          <w:tcPr>
            <w:tcW w:w="2160" w:type="dxa"/>
            <w:tcBorders>
              <w:tl2br w:val="nil"/>
              <w:tr2bl w:val="nil"/>
            </w:tcBorders>
            <w:vAlign w:val="center"/>
          </w:tcPr>
          <w:p w:rsidR="00DB7CC8" w:rsidRDefault="002B5250">
            <w:pPr>
              <w:pStyle w:val="afffffffc"/>
              <w:spacing w:line="240" w:lineRule="auto"/>
              <w:rPr>
                <w:lang w:val="zh-CN" w:bidi="zh-CN"/>
              </w:rPr>
            </w:pPr>
            <w:r>
              <w:rPr>
                <w:lang w:val="zh-CN" w:bidi="zh-CN"/>
              </w:rPr>
              <w:t>2.5</w:t>
            </w:r>
            <w:r>
              <w:rPr>
                <w:rFonts w:hint="eastAsia"/>
                <w:lang w:val="zh-CN" w:bidi="zh-CN"/>
              </w:rPr>
              <w:t>英寸</w:t>
            </w:r>
          </w:p>
        </w:tc>
        <w:tc>
          <w:tcPr>
            <w:tcW w:w="720" w:type="dxa"/>
            <w:tcBorders>
              <w:tl2br w:val="nil"/>
              <w:tr2bl w:val="nil"/>
            </w:tcBorders>
            <w:vAlign w:val="center"/>
          </w:tcPr>
          <w:p w:rsidR="00DB7CC8" w:rsidRDefault="002B5250">
            <w:pPr>
              <w:pStyle w:val="afffffffc"/>
              <w:spacing w:line="240" w:lineRule="auto"/>
              <w:rPr>
                <w:lang w:val="zh-CN" w:bidi="zh-CN"/>
              </w:rPr>
            </w:pPr>
            <w:r>
              <w:rPr>
                <w:lang w:val="zh-CN" w:bidi="zh-CN"/>
              </w:rPr>
              <w:t>13</w:t>
            </w:r>
          </w:p>
        </w:tc>
        <w:tc>
          <w:tcPr>
            <w:tcW w:w="144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清灰方式</w:t>
            </w:r>
          </w:p>
        </w:tc>
        <w:tc>
          <w:tcPr>
            <w:tcW w:w="2102"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脉冲清灰</w:t>
            </w:r>
          </w:p>
        </w:tc>
      </w:tr>
      <w:tr w:rsidR="00DB7CC8">
        <w:trPr>
          <w:trHeight w:val="397"/>
        </w:trPr>
        <w:tc>
          <w:tcPr>
            <w:tcW w:w="648" w:type="dxa"/>
            <w:tcBorders>
              <w:tl2br w:val="nil"/>
              <w:tr2bl w:val="nil"/>
            </w:tcBorders>
            <w:vAlign w:val="center"/>
          </w:tcPr>
          <w:p w:rsidR="00DB7CC8" w:rsidRDefault="002B5250">
            <w:pPr>
              <w:pStyle w:val="afffffffc"/>
              <w:spacing w:line="240" w:lineRule="auto"/>
              <w:rPr>
                <w:lang w:val="zh-CN" w:bidi="zh-CN"/>
              </w:rPr>
            </w:pPr>
            <w:r>
              <w:rPr>
                <w:lang w:val="zh-CN" w:bidi="zh-CN"/>
              </w:rPr>
              <w:t>7</w:t>
            </w:r>
          </w:p>
        </w:tc>
        <w:tc>
          <w:tcPr>
            <w:tcW w:w="144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过滤方式</w:t>
            </w:r>
          </w:p>
        </w:tc>
        <w:tc>
          <w:tcPr>
            <w:tcW w:w="216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负压外滤式</w:t>
            </w:r>
          </w:p>
        </w:tc>
        <w:tc>
          <w:tcPr>
            <w:tcW w:w="720" w:type="dxa"/>
            <w:tcBorders>
              <w:tl2br w:val="nil"/>
              <w:tr2bl w:val="nil"/>
            </w:tcBorders>
            <w:vAlign w:val="center"/>
          </w:tcPr>
          <w:p w:rsidR="00DB7CC8" w:rsidRDefault="002B5250">
            <w:pPr>
              <w:pStyle w:val="afffffffc"/>
              <w:spacing w:line="240" w:lineRule="auto"/>
              <w:rPr>
                <w:lang w:val="zh-CN" w:bidi="zh-CN"/>
              </w:rPr>
            </w:pPr>
            <w:r>
              <w:rPr>
                <w:lang w:val="zh-CN" w:bidi="zh-CN"/>
              </w:rPr>
              <w:t>14</w:t>
            </w:r>
          </w:p>
        </w:tc>
        <w:tc>
          <w:tcPr>
            <w:tcW w:w="144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效率</w:t>
            </w:r>
          </w:p>
        </w:tc>
        <w:tc>
          <w:tcPr>
            <w:tcW w:w="2102" w:type="dxa"/>
            <w:tcBorders>
              <w:tl2br w:val="nil"/>
              <w:tr2bl w:val="nil"/>
            </w:tcBorders>
            <w:vAlign w:val="center"/>
          </w:tcPr>
          <w:p w:rsidR="00DB7CC8" w:rsidRDefault="002B5250">
            <w:pPr>
              <w:pStyle w:val="afffffffc"/>
              <w:spacing w:line="240" w:lineRule="auto"/>
              <w:rPr>
                <w:lang w:val="zh-CN" w:bidi="zh-CN"/>
              </w:rPr>
            </w:pPr>
            <w:r>
              <w:rPr>
                <w:lang w:val="zh-CN" w:bidi="zh-CN"/>
              </w:rPr>
              <w:t>99</w:t>
            </w:r>
            <w:r>
              <w:rPr>
                <w:rFonts w:hint="eastAsia"/>
                <w:lang w:val="zh-CN" w:bidi="zh-CN"/>
              </w:rPr>
              <w:t>.</w:t>
            </w:r>
            <w:r>
              <w:rPr>
                <w:lang w:val="zh-CN" w:bidi="zh-CN"/>
              </w:rPr>
              <w:t>6%</w:t>
            </w:r>
          </w:p>
        </w:tc>
      </w:tr>
      <w:tr w:rsidR="00DB7CC8">
        <w:trPr>
          <w:trHeight w:val="397"/>
        </w:trPr>
        <w:tc>
          <w:tcPr>
            <w:tcW w:w="648" w:type="dxa"/>
            <w:tcBorders>
              <w:tl2br w:val="nil"/>
              <w:tr2bl w:val="nil"/>
            </w:tcBorders>
            <w:vAlign w:val="center"/>
          </w:tcPr>
          <w:p w:rsidR="00DB7CC8" w:rsidRDefault="002B5250">
            <w:pPr>
              <w:pStyle w:val="afffffffc"/>
              <w:spacing w:line="240" w:lineRule="auto"/>
              <w:rPr>
                <w:lang w:val="zh-CN" w:bidi="zh-CN"/>
              </w:rPr>
            </w:pPr>
            <w:r>
              <w:rPr>
                <w:lang w:val="zh-CN" w:bidi="zh-CN"/>
              </w:rPr>
              <w:t>8</w:t>
            </w:r>
          </w:p>
        </w:tc>
        <w:tc>
          <w:tcPr>
            <w:tcW w:w="144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处理风量</w:t>
            </w:r>
          </w:p>
        </w:tc>
        <w:tc>
          <w:tcPr>
            <w:tcW w:w="2160" w:type="dxa"/>
            <w:tcBorders>
              <w:tl2br w:val="nil"/>
              <w:tr2bl w:val="nil"/>
            </w:tcBorders>
            <w:vAlign w:val="center"/>
          </w:tcPr>
          <w:p w:rsidR="00DB7CC8" w:rsidRDefault="002B5250">
            <w:pPr>
              <w:pStyle w:val="afffffffc"/>
              <w:spacing w:line="240" w:lineRule="auto"/>
              <w:rPr>
                <w:lang w:val="zh-CN" w:bidi="zh-CN"/>
              </w:rPr>
            </w:pPr>
            <w:r>
              <w:rPr>
                <w:lang w:val="zh-CN" w:bidi="zh-CN"/>
              </w:rPr>
              <w:t>50000</w:t>
            </w:r>
            <w:r>
              <w:rPr>
                <w:rFonts w:hint="eastAsia"/>
                <w:lang w:val="zh-CN" w:bidi="zh-CN"/>
              </w:rPr>
              <w:t>m</w:t>
            </w:r>
            <w:r>
              <w:rPr>
                <w:rFonts w:hint="eastAsia"/>
                <w:lang w:val="zh-CN" w:bidi="zh-CN"/>
              </w:rPr>
              <w:t>³</w:t>
            </w:r>
            <w:r>
              <w:rPr>
                <w:lang w:val="zh-CN" w:bidi="zh-CN"/>
              </w:rPr>
              <w:t>/h</w:t>
            </w:r>
          </w:p>
        </w:tc>
        <w:tc>
          <w:tcPr>
            <w:tcW w:w="720" w:type="dxa"/>
            <w:tcBorders>
              <w:tl2br w:val="nil"/>
              <w:tr2bl w:val="nil"/>
            </w:tcBorders>
            <w:vAlign w:val="center"/>
          </w:tcPr>
          <w:p w:rsidR="00DB7CC8" w:rsidRDefault="00DB7CC8">
            <w:pPr>
              <w:pStyle w:val="afffffffc"/>
              <w:spacing w:line="240" w:lineRule="auto"/>
              <w:rPr>
                <w:lang w:val="zh-CN" w:bidi="zh-CN"/>
              </w:rPr>
            </w:pPr>
          </w:p>
        </w:tc>
        <w:tc>
          <w:tcPr>
            <w:tcW w:w="1440" w:type="dxa"/>
            <w:tcBorders>
              <w:tl2br w:val="nil"/>
              <w:tr2bl w:val="nil"/>
            </w:tcBorders>
            <w:vAlign w:val="center"/>
          </w:tcPr>
          <w:p w:rsidR="00DB7CC8" w:rsidRDefault="00DB7CC8">
            <w:pPr>
              <w:pStyle w:val="afffffffc"/>
              <w:spacing w:line="240" w:lineRule="auto"/>
              <w:rPr>
                <w:lang w:val="zh-CN" w:bidi="zh-CN"/>
              </w:rPr>
            </w:pPr>
          </w:p>
        </w:tc>
        <w:tc>
          <w:tcPr>
            <w:tcW w:w="2102" w:type="dxa"/>
            <w:tcBorders>
              <w:tl2br w:val="nil"/>
              <w:tr2bl w:val="nil"/>
            </w:tcBorders>
            <w:vAlign w:val="center"/>
          </w:tcPr>
          <w:p w:rsidR="00DB7CC8" w:rsidRDefault="00DB7CC8">
            <w:pPr>
              <w:pStyle w:val="afffffffc"/>
              <w:spacing w:line="240" w:lineRule="auto"/>
              <w:rPr>
                <w:lang w:val="zh-CN" w:bidi="zh-CN"/>
              </w:rPr>
            </w:pPr>
          </w:p>
        </w:tc>
      </w:tr>
      <w:tr w:rsidR="00DB7CC8">
        <w:trPr>
          <w:trHeight w:val="397"/>
        </w:trPr>
        <w:tc>
          <w:tcPr>
            <w:tcW w:w="648" w:type="dxa"/>
            <w:tcBorders>
              <w:tl2br w:val="nil"/>
              <w:tr2bl w:val="nil"/>
            </w:tcBorders>
            <w:vAlign w:val="center"/>
          </w:tcPr>
          <w:p w:rsidR="00DB7CC8" w:rsidRDefault="002B5250">
            <w:pPr>
              <w:pStyle w:val="afffffffc"/>
              <w:spacing w:line="240" w:lineRule="auto"/>
              <w:rPr>
                <w:lang w:val="zh-CN" w:bidi="zh-CN"/>
              </w:rPr>
            </w:pPr>
            <w:r>
              <w:rPr>
                <w:lang w:val="zh-CN" w:bidi="zh-CN"/>
              </w:rPr>
              <w:t>9</w:t>
            </w:r>
          </w:p>
        </w:tc>
        <w:tc>
          <w:tcPr>
            <w:tcW w:w="144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滤袋材质</w:t>
            </w:r>
          </w:p>
        </w:tc>
        <w:tc>
          <w:tcPr>
            <w:tcW w:w="2160" w:type="dxa"/>
            <w:tcBorders>
              <w:tl2br w:val="nil"/>
              <w:tr2bl w:val="nil"/>
            </w:tcBorders>
            <w:vAlign w:val="center"/>
          </w:tcPr>
          <w:p w:rsidR="00DB7CC8" w:rsidRDefault="002B5250">
            <w:pPr>
              <w:pStyle w:val="afffffffc"/>
              <w:spacing w:line="240" w:lineRule="auto"/>
              <w:rPr>
                <w:lang w:val="zh-CN" w:bidi="zh-CN"/>
              </w:rPr>
            </w:pPr>
            <w:r>
              <w:rPr>
                <w:rFonts w:hint="eastAsia"/>
                <w:lang w:val="zh-CN" w:bidi="zh-CN"/>
              </w:rPr>
              <w:t>覆膜滤料</w:t>
            </w:r>
          </w:p>
        </w:tc>
        <w:tc>
          <w:tcPr>
            <w:tcW w:w="720" w:type="dxa"/>
            <w:tcBorders>
              <w:tl2br w:val="nil"/>
              <w:tr2bl w:val="nil"/>
            </w:tcBorders>
            <w:vAlign w:val="center"/>
          </w:tcPr>
          <w:p w:rsidR="00DB7CC8" w:rsidRDefault="00DB7CC8">
            <w:pPr>
              <w:pStyle w:val="afffffffc"/>
              <w:spacing w:line="240" w:lineRule="auto"/>
              <w:rPr>
                <w:lang w:val="zh-CN" w:bidi="zh-CN"/>
              </w:rPr>
            </w:pPr>
          </w:p>
        </w:tc>
        <w:tc>
          <w:tcPr>
            <w:tcW w:w="1440" w:type="dxa"/>
            <w:tcBorders>
              <w:tl2br w:val="nil"/>
              <w:tr2bl w:val="nil"/>
            </w:tcBorders>
            <w:vAlign w:val="center"/>
          </w:tcPr>
          <w:p w:rsidR="00DB7CC8" w:rsidRDefault="00DB7CC8">
            <w:pPr>
              <w:pStyle w:val="afffffffc"/>
              <w:spacing w:line="240" w:lineRule="auto"/>
              <w:rPr>
                <w:lang w:val="zh-CN" w:bidi="zh-CN"/>
              </w:rPr>
            </w:pPr>
          </w:p>
        </w:tc>
        <w:tc>
          <w:tcPr>
            <w:tcW w:w="2102" w:type="dxa"/>
            <w:tcBorders>
              <w:tl2br w:val="nil"/>
              <w:tr2bl w:val="nil"/>
            </w:tcBorders>
            <w:vAlign w:val="center"/>
          </w:tcPr>
          <w:p w:rsidR="00DB7CC8" w:rsidRDefault="00DB7CC8">
            <w:pPr>
              <w:pStyle w:val="afffffffc"/>
              <w:spacing w:line="240" w:lineRule="auto"/>
              <w:rPr>
                <w:lang w:val="zh-CN" w:bidi="zh-CN"/>
              </w:rPr>
            </w:pPr>
          </w:p>
        </w:tc>
      </w:tr>
    </w:tbl>
    <w:p w:rsidR="00DB7CC8" w:rsidRDefault="002B5250">
      <w:pPr>
        <w:widowControl/>
        <w:ind w:firstLine="480"/>
        <w:jc w:val="both"/>
        <w:textAlignment w:val="auto"/>
        <w:rPr>
          <w:bCs/>
          <w:sz w:val="24"/>
          <w:szCs w:val="24"/>
        </w:rPr>
      </w:pPr>
      <w:r>
        <w:rPr>
          <w:bCs/>
          <w:sz w:val="24"/>
          <w:szCs w:val="24"/>
        </w:rPr>
        <w:t>本项目破碎</w:t>
      </w:r>
      <w:r>
        <w:rPr>
          <w:rFonts w:hint="eastAsia"/>
          <w:bCs/>
          <w:sz w:val="24"/>
          <w:szCs w:val="24"/>
        </w:rPr>
        <w:t>粗选</w:t>
      </w:r>
      <w:r>
        <w:rPr>
          <w:bCs/>
          <w:sz w:val="24"/>
          <w:szCs w:val="24"/>
        </w:rPr>
        <w:t>生产线设置一套脉冲布袋收尘器，风量为</w:t>
      </w:r>
      <w:r>
        <w:rPr>
          <w:rFonts w:hint="eastAsia"/>
          <w:bCs/>
          <w:sz w:val="24"/>
          <w:szCs w:val="24"/>
        </w:rPr>
        <w:t>50</w:t>
      </w:r>
      <w:r>
        <w:rPr>
          <w:bCs/>
          <w:sz w:val="24"/>
          <w:szCs w:val="24"/>
        </w:rPr>
        <w:t>000m³/h</w:t>
      </w:r>
      <w:r>
        <w:rPr>
          <w:bCs/>
          <w:sz w:val="24"/>
          <w:szCs w:val="24"/>
        </w:rPr>
        <w:t>，经计算，本项目</w:t>
      </w:r>
      <w:r>
        <w:rPr>
          <w:sz w:val="24"/>
          <w:szCs w:val="24"/>
        </w:rPr>
        <w:t>有组织</w:t>
      </w:r>
      <w:r>
        <w:rPr>
          <w:bCs/>
          <w:sz w:val="24"/>
          <w:szCs w:val="24"/>
        </w:rPr>
        <w:t>颗粒物排放浓度满足</w:t>
      </w:r>
      <w:r>
        <w:rPr>
          <w:sz w:val="24"/>
          <w:szCs w:val="24"/>
        </w:rPr>
        <w:t>《铁矿采选工业污染物排放标准》</w:t>
      </w:r>
      <w:r>
        <w:rPr>
          <w:sz w:val="24"/>
          <w:szCs w:val="24"/>
        </w:rPr>
        <w:t>(GB28661-2012)</w:t>
      </w:r>
      <w:r>
        <w:rPr>
          <w:sz w:val="24"/>
          <w:szCs w:val="24"/>
        </w:rPr>
        <w:t>表</w:t>
      </w:r>
      <w:r>
        <w:rPr>
          <w:sz w:val="24"/>
          <w:szCs w:val="24"/>
        </w:rPr>
        <w:t>6</w:t>
      </w:r>
      <w:r>
        <w:rPr>
          <w:sz w:val="24"/>
          <w:szCs w:val="24"/>
        </w:rPr>
        <w:t>大气污染物特别排放限值</w:t>
      </w:r>
      <w:r>
        <w:rPr>
          <w:sz w:val="24"/>
          <w:szCs w:val="24"/>
        </w:rPr>
        <w:t>10mg/m</w:t>
      </w:r>
      <w:r>
        <w:rPr>
          <w:rFonts w:hint="eastAsia"/>
          <w:sz w:val="24"/>
          <w:szCs w:val="24"/>
          <w:vertAlign w:val="superscript"/>
        </w:rPr>
        <w:t>3</w:t>
      </w:r>
      <w:r>
        <w:rPr>
          <w:sz w:val="24"/>
          <w:szCs w:val="24"/>
        </w:rPr>
        <w:t>的要求。</w:t>
      </w:r>
    </w:p>
    <w:p w:rsidR="00DB7CC8" w:rsidRDefault="002B5250">
      <w:pPr>
        <w:ind w:firstLine="480"/>
        <w:rPr>
          <w:rFonts w:ascii="宋体" w:hAnsi="宋体" w:cs="宋体"/>
          <w:bCs/>
          <w:sz w:val="24"/>
          <w:szCs w:val="24"/>
        </w:rPr>
      </w:pPr>
      <w:r>
        <w:rPr>
          <w:rFonts w:hint="eastAsia"/>
          <w:bCs/>
          <w:sz w:val="24"/>
          <w:szCs w:val="24"/>
          <w:lang w:val="zh-CN"/>
        </w:rPr>
        <w:t>综上所述，本项目破碎筛分过程产生的粉尘经高效脉冲布袋除尘器处理，可以达标排放，措施可行。</w:t>
      </w:r>
    </w:p>
    <w:p w:rsidR="00DB7CC8" w:rsidRDefault="002B5250">
      <w:pPr>
        <w:ind w:firstLine="480"/>
        <w:jc w:val="both"/>
        <w:rPr>
          <w:bCs/>
          <w:sz w:val="24"/>
          <w:szCs w:val="24"/>
        </w:rPr>
      </w:pPr>
      <w:r>
        <w:rPr>
          <w:bCs/>
          <w:sz w:val="24"/>
          <w:szCs w:val="24"/>
        </w:rPr>
        <w:t>（</w:t>
      </w:r>
      <w:r>
        <w:rPr>
          <w:bCs/>
          <w:sz w:val="24"/>
          <w:szCs w:val="24"/>
        </w:rPr>
        <w:t>2</w:t>
      </w:r>
      <w:r>
        <w:rPr>
          <w:bCs/>
          <w:sz w:val="24"/>
          <w:szCs w:val="24"/>
        </w:rPr>
        <w:t>）上料粉尘控制措施</w:t>
      </w:r>
    </w:p>
    <w:p w:rsidR="00DB7CC8" w:rsidRDefault="002B5250">
      <w:pPr>
        <w:autoSpaceDE w:val="0"/>
        <w:autoSpaceDN w:val="0"/>
        <w:ind w:firstLine="480"/>
        <w:jc w:val="both"/>
        <w:textAlignment w:val="auto"/>
        <w:rPr>
          <w:bCs/>
          <w:sz w:val="24"/>
          <w:szCs w:val="24"/>
        </w:rPr>
      </w:pPr>
      <w:r>
        <w:rPr>
          <w:bCs/>
          <w:sz w:val="24"/>
          <w:szCs w:val="24"/>
        </w:rPr>
        <w:t>本项目</w:t>
      </w:r>
      <w:r>
        <w:rPr>
          <w:rFonts w:hint="eastAsia"/>
          <w:bCs/>
          <w:sz w:val="24"/>
          <w:szCs w:val="24"/>
        </w:rPr>
        <w:t>原矿</w:t>
      </w:r>
      <w:r>
        <w:rPr>
          <w:bCs/>
          <w:sz w:val="24"/>
          <w:szCs w:val="24"/>
        </w:rPr>
        <w:t>上料仓</w:t>
      </w:r>
      <w:r>
        <w:rPr>
          <w:rFonts w:hint="eastAsia"/>
          <w:bCs/>
          <w:sz w:val="24"/>
          <w:szCs w:val="24"/>
        </w:rPr>
        <w:t>位于进深不小于</w:t>
      </w:r>
      <w:r>
        <w:rPr>
          <w:rFonts w:hint="eastAsia"/>
          <w:bCs/>
          <w:sz w:val="24"/>
          <w:szCs w:val="24"/>
        </w:rPr>
        <w:t>8</w:t>
      </w:r>
      <w:r>
        <w:rPr>
          <w:rFonts w:hint="eastAsia"/>
          <w:bCs/>
          <w:sz w:val="24"/>
          <w:szCs w:val="24"/>
        </w:rPr>
        <w:t>米的原料棚内</w:t>
      </w:r>
      <w:r>
        <w:rPr>
          <w:bCs/>
          <w:sz w:val="24"/>
          <w:szCs w:val="24"/>
        </w:rPr>
        <w:t>，并设置喷淋抑尘装置。喷雾口辐射面积为</w:t>
      </w:r>
      <w:r>
        <w:rPr>
          <w:bCs/>
          <w:sz w:val="24"/>
          <w:szCs w:val="24"/>
        </w:rPr>
        <w:t>5m×3.5m</w:t>
      </w:r>
      <w:r>
        <w:rPr>
          <w:bCs/>
          <w:sz w:val="24"/>
          <w:szCs w:val="24"/>
        </w:rPr>
        <w:t>，在投料过程中喷雾抑尘。</w:t>
      </w:r>
    </w:p>
    <w:p w:rsidR="00DB7CC8" w:rsidRDefault="002B5250">
      <w:pPr>
        <w:autoSpaceDE w:val="0"/>
        <w:autoSpaceDN w:val="0"/>
        <w:ind w:firstLine="480"/>
        <w:jc w:val="both"/>
        <w:textAlignment w:val="auto"/>
        <w:rPr>
          <w:sz w:val="24"/>
          <w:szCs w:val="24"/>
        </w:rPr>
      </w:pPr>
      <w:r>
        <w:rPr>
          <w:bCs/>
          <w:sz w:val="24"/>
          <w:szCs w:val="24"/>
        </w:rPr>
        <w:t>（</w:t>
      </w:r>
      <w:r>
        <w:rPr>
          <w:bCs/>
          <w:sz w:val="24"/>
          <w:szCs w:val="24"/>
        </w:rPr>
        <w:t>3</w:t>
      </w:r>
      <w:r>
        <w:rPr>
          <w:bCs/>
          <w:sz w:val="24"/>
          <w:szCs w:val="24"/>
        </w:rPr>
        <w:t>）成品库物料堆存粉尘控制措施</w:t>
      </w:r>
    </w:p>
    <w:p w:rsidR="00DB7CC8" w:rsidRDefault="002B5250">
      <w:pPr>
        <w:ind w:firstLine="480"/>
        <w:jc w:val="both"/>
        <w:rPr>
          <w:bCs/>
          <w:sz w:val="24"/>
          <w:szCs w:val="24"/>
        </w:rPr>
      </w:pPr>
      <w:r>
        <w:rPr>
          <w:bCs/>
          <w:sz w:val="24"/>
          <w:szCs w:val="24"/>
        </w:rPr>
        <w:t>本项目</w:t>
      </w:r>
      <w:r>
        <w:rPr>
          <w:rFonts w:hint="eastAsia"/>
          <w:bCs/>
          <w:sz w:val="24"/>
          <w:szCs w:val="24"/>
        </w:rPr>
        <w:t>新建</w:t>
      </w:r>
      <w:r>
        <w:rPr>
          <w:bCs/>
          <w:sz w:val="24"/>
          <w:szCs w:val="24"/>
        </w:rPr>
        <w:t>1</w:t>
      </w:r>
      <w:r>
        <w:rPr>
          <w:rFonts w:hint="eastAsia"/>
          <w:bCs/>
          <w:sz w:val="24"/>
          <w:szCs w:val="24"/>
        </w:rPr>
        <w:t>座</w:t>
      </w:r>
      <w:r>
        <w:rPr>
          <w:bCs/>
          <w:sz w:val="24"/>
          <w:szCs w:val="24"/>
        </w:rPr>
        <w:t>成品库</w:t>
      </w:r>
      <w:r>
        <w:rPr>
          <w:rFonts w:hint="eastAsia"/>
          <w:bCs/>
          <w:sz w:val="24"/>
          <w:szCs w:val="24"/>
        </w:rPr>
        <w:t>，</w:t>
      </w:r>
      <w:r>
        <w:rPr>
          <w:rFonts w:hint="eastAsia"/>
          <w:bCs/>
          <w:sz w:val="24"/>
          <w:szCs w:val="24"/>
        </w:rPr>
        <w:t>所有物料全部</w:t>
      </w:r>
      <w:r>
        <w:rPr>
          <w:bCs/>
          <w:sz w:val="24"/>
          <w:szCs w:val="24"/>
        </w:rPr>
        <w:t>堆存在封闭厂房内</w:t>
      </w:r>
      <w:r>
        <w:rPr>
          <w:rFonts w:hint="eastAsia"/>
          <w:bCs/>
          <w:sz w:val="24"/>
          <w:szCs w:val="24"/>
        </w:rPr>
        <w:t>、</w:t>
      </w:r>
      <w:r>
        <w:rPr>
          <w:rFonts w:hint="eastAsia"/>
          <w:bCs/>
          <w:sz w:val="24"/>
          <w:szCs w:val="24"/>
        </w:rPr>
        <w:t>不露天堆存</w:t>
      </w:r>
      <w:r>
        <w:rPr>
          <w:bCs/>
          <w:sz w:val="24"/>
          <w:szCs w:val="24"/>
        </w:rPr>
        <w:t>，同时设有喷淋装置</w:t>
      </w:r>
      <w:r>
        <w:rPr>
          <w:rFonts w:hint="eastAsia"/>
          <w:bCs/>
          <w:sz w:val="24"/>
          <w:szCs w:val="24"/>
        </w:rPr>
        <w:t>，</w:t>
      </w:r>
      <w:r>
        <w:rPr>
          <w:bCs/>
          <w:sz w:val="24"/>
          <w:szCs w:val="24"/>
        </w:rPr>
        <w:t>顶部设置喷雾抑尘装置（电伴热），喷淋管路使用保温棉包裹，每隔</w:t>
      </w:r>
      <w:r>
        <w:rPr>
          <w:bCs/>
          <w:sz w:val="24"/>
          <w:szCs w:val="24"/>
        </w:rPr>
        <w:t>5m</w:t>
      </w:r>
      <w:r>
        <w:rPr>
          <w:bCs/>
          <w:sz w:val="24"/>
          <w:szCs w:val="24"/>
        </w:rPr>
        <w:t>设置</w:t>
      </w:r>
      <w:r>
        <w:rPr>
          <w:bCs/>
          <w:sz w:val="24"/>
          <w:szCs w:val="24"/>
        </w:rPr>
        <w:t>1</w:t>
      </w:r>
      <w:r>
        <w:rPr>
          <w:bCs/>
          <w:sz w:val="24"/>
          <w:szCs w:val="24"/>
        </w:rPr>
        <w:t>个喷雾口，喷雾口辐射面积为</w:t>
      </w:r>
      <w:r>
        <w:rPr>
          <w:bCs/>
          <w:sz w:val="24"/>
          <w:szCs w:val="24"/>
        </w:rPr>
        <w:t>5m×3.5m</w:t>
      </w:r>
      <w:r>
        <w:rPr>
          <w:bCs/>
          <w:sz w:val="24"/>
          <w:szCs w:val="24"/>
        </w:rPr>
        <w:t>，定期向料堆喷水，并在原料卸车过程中增加喷淋次数。</w:t>
      </w:r>
    </w:p>
    <w:p w:rsidR="00DB7CC8" w:rsidRDefault="002B5250">
      <w:pPr>
        <w:ind w:firstLine="480"/>
        <w:jc w:val="both"/>
        <w:rPr>
          <w:bCs/>
          <w:sz w:val="24"/>
          <w:szCs w:val="24"/>
        </w:rPr>
      </w:pPr>
      <w:r>
        <w:rPr>
          <w:bCs/>
          <w:sz w:val="24"/>
          <w:szCs w:val="24"/>
        </w:rPr>
        <w:t>（</w:t>
      </w:r>
      <w:r>
        <w:rPr>
          <w:bCs/>
          <w:sz w:val="24"/>
          <w:szCs w:val="24"/>
        </w:rPr>
        <w:t>4</w:t>
      </w:r>
      <w:r>
        <w:rPr>
          <w:bCs/>
          <w:sz w:val="24"/>
          <w:szCs w:val="24"/>
        </w:rPr>
        <w:t>）运输道路扬尘治理措施</w:t>
      </w:r>
    </w:p>
    <w:p w:rsidR="00DB7CC8" w:rsidRDefault="002B5250">
      <w:pPr>
        <w:ind w:firstLine="480"/>
        <w:rPr>
          <w:sz w:val="24"/>
          <w:szCs w:val="24"/>
        </w:rPr>
      </w:pPr>
      <w:r>
        <w:rPr>
          <w:sz w:val="24"/>
          <w:szCs w:val="24"/>
        </w:rPr>
        <w:t>项目在成品库设置红外控制全自动洗车系统，洗车系统包括红外控制系统、清洗系统、导流系统和沉淀系统等，清洗系统包括车身冲洗系统和轮胎</w:t>
      </w:r>
      <w:r>
        <w:rPr>
          <w:sz w:val="24"/>
          <w:szCs w:val="24"/>
        </w:rPr>
        <w:t>冲洗系统，导流系统位于清洗车辆下方，避免洗车废水积存。当运输车辆进入洗车系统后红外控制系统自动启动发出开启指令控制清洗系统开启，车身清洗系统和轮胎冲洗系统喷头进行喷水作业，自动冲洗车身及轮胎等，洗车废水通过水篦子流入导流系统然后自流入沉淀系统，洗车废水经沉淀系统澄清后循环利用。车辆冲洗结束后，运输车辆驶离洗车系统，红外控制系统发出关闭指令控制清洗系统关闭。运</w:t>
      </w:r>
      <w:r>
        <w:rPr>
          <w:sz w:val="24"/>
          <w:szCs w:val="24"/>
        </w:rPr>
        <w:lastRenderedPageBreak/>
        <w:t>输车辆经苫布覆盖后离开厂区，厂区地面全部硬化，洒水降尘、保持清洁。</w:t>
      </w:r>
    </w:p>
    <w:p w:rsidR="00DB7CC8" w:rsidRDefault="002B5250">
      <w:pPr>
        <w:ind w:firstLine="480"/>
        <w:jc w:val="both"/>
        <w:rPr>
          <w:bCs/>
          <w:sz w:val="24"/>
          <w:szCs w:val="24"/>
        </w:rPr>
      </w:pPr>
      <w:r>
        <w:rPr>
          <w:bCs/>
          <w:sz w:val="24"/>
          <w:szCs w:val="24"/>
        </w:rPr>
        <w:t>本项目铁矿石、铁精粉、尾矿砂</w:t>
      </w:r>
      <w:r>
        <w:rPr>
          <w:rFonts w:hint="eastAsia"/>
          <w:bCs/>
          <w:sz w:val="24"/>
          <w:szCs w:val="24"/>
        </w:rPr>
        <w:t>转运</w:t>
      </w:r>
      <w:r>
        <w:rPr>
          <w:bCs/>
          <w:sz w:val="24"/>
          <w:szCs w:val="24"/>
        </w:rPr>
        <w:t>过程中，会产生道路扬尘。本次评价要求：</w:t>
      </w:r>
    </w:p>
    <w:p w:rsidR="00DB7CC8" w:rsidRDefault="002B5250">
      <w:pPr>
        <w:ind w:firstLine="480"/>
        <w:jc w:val="both"/>
        <w:rPr>
          <w:bCs/>
          <w:sz w:val="24"/>
          <w:szCs w:val="24"/>
        </w:rPr>
      </w:pPr>
      <w:r>
        <w:rPr>
          <w:rFonts w:ascii="宋体" w:hAnsi="宋体" w:cs="宋体" w:hint="eastAsia"/>
          <w:bCs/>
          <w:sz w:val="24"/>
          <w:szCs w:val="24"/>
        </w:rPr>
        <w:t>①</w:t>
      </w:r>
      <w:r>
        <w:rPr>
          <w:bCs/>
          <w:sz w:val="24"/>
          <w:szCs w:val="24"/>
        </w:rPr>
        <w:t>厂区道路路</w:t>
      </w:r>
      <w:r>
        <w:rPr>
          <w:bCs/>
          <w:sz w:val="24"/>
          <w:szCs w:val="24"/>
        </w:rPr>
        <w:t>面全部进行硬化处理；</w:t>
      </w:r>
    </w:p>
    <w:p w:rsidR="00DB7CC8" w:rsidRDefault="002B5250">
      <w:pPr>
        <w:ind w:firstLine="480"/>
        <w:jc w:val="both"/>
        <w:rPr>
          <w:bCs/>
          <w:sz w:val="24"/>
          <w:szCs w:val="24"/>
        </w:rPr>
      </w:pPr>
      <w:r>
        <w:rPr>
          <w:rFonts w:ascii="宋体" w:hAnsi="宋体" w:cs="宋体" w:hint="eastAsia"/>
          <w:bCs/>
          <w:sz w:val="24"/>
          <w:szCs w:val="24"/>
        </w:rPr>
        <w:t>②</w:t>
      </w:r>
      <w:r>
        <w:rPr>
          <w:bCs/>
          <w:sz w:val="24"/>
          <w:szCs w:val="24"/>
        </w:rPr>
        <w:t>企业在运输过程中要注意保持可控道路路面的清洁和相对湿度，当路面出现损坏及时修复，同时对运输道路要进行定时洒水，并应视路面状况调整洒水频次。</w:t>
      </w:r>
    </w:p>
    <w:p w:rsidR="00DB7CC8" w:rsidRDefault="002B5250">
      <w:pPr>
        <w:ind w:firstLine="480"/>
        <w:jc w:val="both"/>
        <w:rPr>
          <w:bCs/>
          <w:sz w:val="24"/>
          <w:szCs w:val="24"/>
        </w:rPr>
      </w:pPr>
      <w:r>
        <w:rPr>
          <w:rFonts w:ascii="宋体" w:hAnsi="宋体" w:cs="宋体" w:hint="eastAsia"/>
          <w:bCs/>
          <w:sz w:val="24"/>
          <w:szCs w:val="24"/>
        </w:rPr>
        <w:t>③</w:t>
      </w:r>
      <w:r>
        <w:rPr>
          <w:bCs/>
          <w:sz w:val="24"/>
          <w:szCs w:val="24"/>
        </w:rPr>
        <w:t>为了严格控制运输扬尘的污染，厂方与运输单位或个人签订包含以下内容的相关协议：按照国家核定的汽车装载能力，严格控制汽车装载量；运输过程中车顶要加盖篷布；限制车速，特别是经过村庄时，要低速行驶，最大限度减少车辆沿路抛洒。采取上述措施后，可减少运输扬尘量</w:t>
      </w:r>
      <w:r>
        <w:rPr>
          <w:bCs/>
          <w:sz w:val="24"/>
          <w:szCs w:val="24"/>
        </w:rPr>
        <w:t>80%</w:t>
      </w:r>
      <w:r>
        <w:rPr>
          <w:bCs/>
          <w:sz w:val="24"/>
          <w:szCs w:val="24"/>
        </w:rPr>
        <w:t>，减轻对沿途村庄环境的影响。</w:t>
      </w:r>
    </w:p>
    <w:p w:rsidR="00DB7CC8" w:rsidRDefault="002B5250">
      <w:pPr>
        <w:ind w:firstLineChars="183" w:firstLine="439"/>
        <w:jc w:val="both"/>
        <w:textAlignment w:val="auto"/>
        <w:rPr>
          <w:bCs/>
          <w:sz w:val="24"/>
          <w:szCs w:val="24"/>
        </w:rPr>
      </w:pPr>
      <w:r>
        <w:rPr>
          <w:bCs/>
          <w:sz w:val="24"/>
          <w:szCs w:val="24"/>
        </w:rPr>
        <w:t>（</w:t>
      </w:r>
      <w:r>
        <w:rPr>
          <w:bCs/>
          <w:sz w:val="24"/>
          <w:szCs w:val="24"/>
        </w:rPr>
        <w:t>5</w:t>
      </w:r>
      <w:r>
        <w:rPr>
          <w:bCs/>
          <w:sz w:val="24"/>
          <w:szCs w:val="24"/>
        </w:rPr>
        <w:t>）</w:t>
      </w:r>
      <w:r>
        <w:rPr>
          <w:snapToGrid w:val="0"/>
          <w:sz w:val="24"/>
          <w:szCs w:val="24"/>
        </w:rPr>
        <w:t>物料转运过程产生的颗粒物</w:t>
      </w:r>
    </w:p>
    <w:p w:rsidR="00DB7CC8" w:rsidRDefault="002B5250">
      <w:pPr>
        <w:widowControl/>
        <w:ind w:firstLine="480"/>
        <w:textAlignment w:val="auto"/>
        <w:rPr>
          <w:kern w:val="2"/>
          <w:sz w:val="24"/>
        </w:rPr>
      </w:pPr>
      <w:r>
        <w:rPr>
          <w:kern w:val="2"/>
          <w:sz w:val="24"/>
        </w:rPr>
        <w:t>物料不在厂区内进行露天转运，转</w:t>
      </w:r>
      <w:r>
        <w:rPr>
          <w:kern w:val="2"/>
          <w:sz w:val="24"/>
        </w:rPr>
        <w:t>运过程设置在封闭皮带内或封闭廊道转运，只有少量从封闭廊道的缝隙中逸散，</w:t>
      </w:r>
      <w:r>
        <w:rPr>
          <w:bCs/>
          <w:sz w:val="24"/>
          <w:szCs w:val="24"/>
        </w:rPr>
        <w:t>采取上述措施后基本不起尘，措施可行。</w:t>
      </w:r>
    </w:p>
    <w:p w:rsidR="00DB7CC8" w:rsidRDefault="002B5250">
      <w:pPr>
        <w:pStyle w:val="4"/>
      </w:pPr>
      <w:r>
        <w:t>6.2.1.2</w:t>
      </w:r>
      <w:r>
        <w:t>废气污染防治措施可行性分析</w:t>
      </w:r>
    </w:p>
    <w:p w:rsidR="00DB7CC8" w:rsidRDefault="002B5250">
      <w:pPr>
        <w:widowControl/>
        <w:ind w:firstLine="480"/>
        <w:textAlignment w:val="auto"/>
        <w:rPr>
          <w:bCs/>
          <w:sz w:val="24"/>
          <w:szCs w:val="24"/>
        </w:rPr>
      </w:pPr>
      <w:r>
        <w:rPr>
          <w:rFonts w:hint="eastAsia"/>
          <w:bCs/>
          <w:sz w:val="24"/>
          <w:szCs w:val="24"/>
        </w:rPr>
        <w:t>项目</w:t>
      </w:r>
      <w:r>
        <w:rPr>
          <w:bCs/>
          <w:sz w:val="24"/>
          <w:szCs w:val="24"/>
        </w:rPr>
        <w:t>对各颗粒物</w:t>
      </w:r>
      <w:r>
        <w:rPr>
          <w:rFonts w:hint="eastAsia"/>
          <w:bCs/>
          <w:sz w:val="24"/>
          <w:szCs w:val="24"/>
        </w:rPr>
        <w:t>有</w:t>
      </w:r>
      <w:r>
        <w:rPr>
          <w:bCs/>
          <w:sz w:val="24"/>
          <w:szCs w:val="24"/>
        </w:rPr>
        <w:t>组织排放源设置脉冲布袋收尘器</w:t>
      </w:r>
      <w:r>
        <w:rPr>
          <w:rFonts w:hint="eastAsia"/>
          <w:bCs/>
          <w:sz w:val="24"/>
          <w:szCs w:val="24"/>
        </w:rPr>
        <w:t>，</w:t>
      </w:r>
      <w:r>
        <w:rPr>
          <w:bCs/>
          <w:sz w:val="24"/>
          <w:szCs w:val="24"/>
        </w:rPr>
        <w:t>清灰方式为离线清灰，除尘效率</w:t>
      </w:r>
      <w:r>
        <w:rPr>
          <w:bCs/>
          <w:sz w:val="24"/>
          <w:szCs w:val="24"/>
        </w:rPr>
        <w:t>99.6%</w:t>
      </w:r>
      <w:r>
        <w:rPr>
          <w:bCs/>
          <w:sz w:val="24"/>
          <w:szCs w:val="24"/>
        </w:rPr>
        <w:t>。</w:t>
      </w:r>
      <w:r>
        <w:rPr>
          <w:sz w:val="24"/>
          <w:szCs w:val="24"/>
        </w:rPr>
        <w:t>有组织</w:t>
      </w:r>
      <w:r>
        <w:rPr>
          <w:bCs/>
          <w:sz w:val="24"/>
          <w:szCs w:val="24"/>
        </w:rPr>
        <w:t>颗粒物排放浓度及排放速率均能满足</w:t>
      </w:r>
      <w:r>
        <w:rPr>
          <w:sz w:val="24"/>
          <w:szCs w:val="24"/>
        </w:rPr>
        <w:t>《铁矿采选工业污染物排放标准》</w:t>
      </w:r>
      <w:r>
        <w:rPr>
          <w:sz w:val="24"/>
          <w:szCs w:val="24"/>
        </w:rPr>
        <w:t>(GB28661-2012)</w:t>
      </w:r>
      <w:r>
        <w:rPr>
          <w:sz w:val="24"/>
          <w:szCs w:val="24"/>
        </w:rPr>
        <w:t>表</w:t>
      </w:r>
      <w:r>
        <w:rPr>
          <w:sz w:val="24"/>
          <w:szCs w:val="24"/>
        </w:rPr>
        <w:t>6</w:t>
      </w:r>
      <w:r>
        <w:rPr>
          <w:sz w:val="24"/>
          <w:szCs w:val="24"/>
        </w:rPr>
        <w:t>大气污染物特别排放限值</w:t>
      </w:r>
      <w:r>
        <w:rPr>
          <w:sz w:val="24"/>
          <w:szCs w:val="24"/>
        </w:rPr>
        <w:t>10mg/m</w:t>
      </w:r>
      <w:r>
        <w:rPr>
          <w:sz w:val="24"/>
          <w:szCs w:val="24"/>
          <w:vertAlign w:val="superscript"/>
        </w:rPr>
        <w:t>3</w:t>
      </w:r>
      <w:r>
        <w:rPr>
          <w:sz w:val="24"/>
          <w:szCs w:val="24"/>
        </w:rPr>
        <w:t>的要求。</w:t>
      </w:r>
      <w:r>
        <w:rPr>
          <w:rFonts w:hint="eastAsia"/>
          <w:sz w:val="24"/>
          <w:szCs w:val="24"/>
        </w:rPr>
        <w:t>对</w:t>
      </w:r>
      <w:r>
        <w:rPr>
          <w:bCs/>
          <w:sz w:val="24"/>
          <w:szCs w:val="24"/>
        </w:rPr>
        <w:t>各颗粒物无组织排放源根据其特性分别采取了封闭、地面硬化、洒水抑尘等抑尘措施，上述措施在同类企业广泛使用，且效果显著。</w:t>
      </w:r>
    </w:p>
    <w:p w:rsidR="00DB7CC8" w:rsidRDefault="002B5250">
      <w:pPr>
        <w:widowControl/>
        <w:ind w:firstLineChars="183" w:firstLine="439"/>
        <w:textAlignment w:val="auto"/>
        <w:rPr>
          <w:bCs/>
          <w:sz w:val="24"/>
          <w:szCs w:val="24"/>
        </w:rPr>
      </w:pPr>
      <w:r>
        <w:rPr>
          <w:bCs/>
          <w:sz w:val="24"/>
          <w:szCs w:val="24"/>
        </w:rPr>
        <w:t>项目采取的封闭库房、封闭通廊及地面硬化、洒水抑尘等污染措施均为唐山市人民政府关于印发《唐山市露天铁矿环境保护专项整治技术要求》的通知（唐环呈〔</w:t>
      </w:r>
      <w:r>
        <w:rPr>
          <w:bCs/>
          <w:sz w:val="24"/>
          <w:szCs w:val="24"/>
        </w:rPr>
        <w:t>2016</w:t>
      </w:r>
      <w:r>
        <w:rPr>
          <w:bCs/>
          <w:sz w:val="24"/>
          <w:szCs w:val="24"/>
        </w:rPr>
        <w:t>〕</w:t>
      </w:r>
      <w:r>
        <w:rPr>
          <w:bCs/>
          <w:sz w:val="24"/>
          <w:szCs w:val="24"/>
        </w:rPr>
        <w:t>99</w:t>
      </w:r>
      <w:r>
        <w:rPr>
          <w:bCs/>
          <w:sz w:val="24"/>
          <w:szCs w:val="24"/>
        </w:rPr>
        <w:t>号）、《唐山市人民政府办公厅关于印发唐山市露天矿山污染整治专项行动方案的通知》（唐政办字</w:t>
      </w:r>
      <w:r>
        <w:rPr>
          <w:bCs/>
          <w:sz w:val="24"/>
          <w:szCs w:val="24"/>
        </w:rPr>
        <w:t>[2016]113</w:t>
      </w:r>
      <w:r>
        <w:rPr>
          <w:bCs/>
          <w:sz w:val="24"/>
          <w:szCs w:val="24"/>
        </w:rPr>
        <w:t>号）、《煤场、料场、渣场扬尘污染控制技术规范》（</w:t>
      </w:r>
      <w:r>
        <w:rPr>
          <w:bCs/>
          <w:sz w:val="24"/>
          <w:szCs w:val="24"/>
        </w:rPr>
        <w:t>DB13/T2352-2016</w:t>
      </w:r>
      <w:r>
        <w:rPr>
          <w:bCs/>
          <w:sz w:val="24"/>
          <w:szCs w:val="24"/>
        </w:rPr>
        <w:t>）文件中要求的污染防治措施，并在同行业中得到广泛应用，运行效果良好，因此项目废气污染防治措施可行。</w:t>
      </w:r>
    </w:p>
    <w:p w:rsidR="00DB7CC8" w:rsidRDefault="002B5250">
      <w:pPr>
        <w:pStyle w:val="3"/>
        <w:numPr>
          <w:ilvl w:val="2"/>
          <w:numId w:val="1"/>
        </w:numPr>
        <w:rPr>
          <w:szCs w:val="28"/>
        </w:rPr>
      </w:pPr>
      <w:bookmarkStart w:id="504" w:name="_Toc521591812"/>
      <w:bookmarkStart w:id="505" w:name="_Toc3605"/>
      <w:r>
        <w:rPr>
          <w:szCs w:val="28"/>
        </w:rPr>
        <w:t>运营期地表水污染防治措施</w:t>
      </w:r>
      <w:bookmarkEnd w:id="504"/>
      <w:bookmarkEnd w:id="505"/>
      <w:r>
        <w:rPr>
          <w:rFonts w:hint="eastAsia"/>
          <w:szCs w:val="28"/>
        </w:rPr>
        <w:t>可行性论证</w:t>
      </w:r>
    </w:p>
    <w:p w:rsidR="00DB7CC8" w:rsidRDefault="002B5250">
      <w:pPr>
        <w:pStyle w:val="4"/>
      </w:pPr>
      <w:r>
        <w:t>6.2.2.1</w:t>
      </w:r>
      <w:r>
        <w:t>废水处理措施</w:t>
      </w:r>
      <w:r>
        <w:rPr>
          <w:rFonts w:hint="eastAsia"/>
        </w:rPr>
        <w:t>可行性论证</w:t>
      </w:r>
    </w:p>
    <w:p w:rsidR="00DB7CC8" w:rsidRDefault="002B5250">
      <w:pPr>
        <w:widowControl/>
        <w:ind w:firstLineChars="183" w:firstLine="439"/>
        <w:textAlignment w:val="auto"/>
        <w:rPr>
          <w:bCs/>
          <w:sz w:val="24"/>
          <w:szCs w:val="24"/>
          <w:lang w:val="zh-CN"/>
        </w:rPr>
      </w:pPr>
      <w:r>
        <w:rPr>
          <w:rFonts w:hint="eastAsia"/>
          <w:bCs/>
          <w:sz w:val="24"/>
          <w:szCs w:val="24"/>
          <w:lang w:val="zh-CN"/>
        </w:rPr>
        <w:t>1</w:t>
      </w:r>
      <w:r>
        <w:rPr>
          <w:rFonts w:hint="eastAsia"/>
          <w:bCs/>
          <w:sz w:val="24"/>
          <w:szCs w:val="24"/>
          <w:lang w:val="zh-CN"/>
        </w:rPr>
        <w:t>、选矿废水回用可行性分析</w:t>
      </w:r>
    </w:p>
    <w:p w:rsidR="00DB7CC8" w:rsidRDefault="002B5250">
      <w:pPr>
        <w:widowControl/>
        <w:ind w:firstLineChars="183" w:firstLine="439"/>
        <w:textAlignment w:val="auto"/>
        <w:rPr>
          <w:bCs/>
          <w:sz w:val="24"/>
          <w:szCs w:val="24"/>
          <w:lang w:val="zh-CN"/>
        </w:rPr>
      </w:pPr>
      <w:r>
        <w:rPr>
          <w:rFonts w:hint="eastAsia"/>
          <w:bCs/>
          <w:sz w:val="24"/>
          <w:szCs w:val="24"/>
          <w:lang w:val="zh-CN"/>
        </w:rPr>
        <w:lastRenderedPageBreak/>
        <w:t>本项目磁选过程中，使用大量的水，磁选后的水随尾矿浆一同进入浓密池进行沉淀、脱水处理，浓密池中的上清液由泵抽排至清水池中回用于选矿过程。选矿水废水主要污染物为</w:t>
      </w:r>
      <w:r>
        <w:rPr>
          <w:rFonts w:hint="eastAsia"/>
          <w:bCs/>
          <w:sz w:val="24"/>
          <w:szCs w:val="24"/>
          <w:lang w:val="zh-CN"/>
        </w:rPr>
        <w:t>SS</w:t>
      </w:r>
      <w:r>
        <w:rPr>
          <w:rFonts w:hint="eastAsia"/>
          <w:bCs/>
          <w:sz w:val="24"/>
          <w:szCs w:val="24"/>
          <w:lang w:val="zh-CN"/>
        </w:rPr>
        <w:t>，经沉淀后可以满足选矿用水的要求。</w:t>
      </w:r>
    </w:p>
    <w:p w:rsidR="00DB7CC8" w:rsidRDefault="002B5250">
      <w:pPr>
        <w:widowControl/>
        <w:ind w:firstLineChars="183" w:firstLine="439"/>
        <w:textAlignment w:val="auto"/>
        <w:rPr>
          <w:bCs/>
          <w:sz w:val="24"/>
          <w:szCs w:val="24"/>
          <w:lang w:val="zh-CN"/>
        </w:rPr>
      </w:pPr>
      <w:r>
        <w:rPr>
          <w:rFonts w:hint="eastAsia"/>
          <w:bCs/>
          <w:sz w:val="24"/>
          <w:szCs w:val="24"/>
          <w:lang w:val="zh-CN"/>
        </w:rPr>
        <w:t>根据《铁矿石采选企业污水处理技术规范》（</w:t>
      </w:r>
      <w:r>
        <w:rPr>
          <w:rFonts w:hint="eastAsia"/>
          <w:bCs/>
          <w:sz w:val="24"/>
          <w:szCs w:val="24"/>
          <w:lang w:val="zh-CN"/>
        </w:rPr>
        <w:t>GB/T33815-2017</w:t>
      </w:r>
      <w:r>
        <w:rPr>
          <w:rFonts w:hint="eastAsia"/>
          <w:bCs/>
          <w:sz w:val="24"/>
          <w:szCs w:val="24"/>
          <w:lang w:val="zh-CN"/>
        </w:rPr>
        <w:t>），选矿废水通常伴随尾矿产出。根据企业选矿工艺特点，对选矿废水处理后回用至选矿生产，回用废水的水质不应影响精矿的主要技术指标。单一磁选工艺选矿废水水质通常主要污染物为悬浮物，通过对悬浮物的沉淀去除，废水回用于生产。</w:t>
      </w:r>
    </w:p>
    <w:p w:rsidR="00DB7CC8" w:rsidRDefault="002B5250">
      <w:pPr>
        <w:ind w:firstLine="480"/>
        <w:rPr>
          <w:highlight w:val="yellow"/>
          <w:lang w:val="zh-CN" w:bidi="zh-CN"/>
        </w:rPr>
      </w:pPr>
      <w:r>
        <w:rPr>
          <w:rFonts w:hint="eastAsia"/>
          <w:bCs/>
          <w:sz w:val="24"/>
          <w:szCs w:val="24"/>
          <w:lang w:val="zh-CN"/>
        </w:rPr>
        <w:t>本</w:t>
      </w:r>
      <w:r>
        <w:rPr>
          <w:rFonts w:hint="eastAsia"/>
          <w:bCs/>
          <w:sz w:val="24"/>
          <w:szCs w:val="24"/>
          <w:lang w:val="zh-CN"/>
        </w:rPr>
        <w:t>项目生产用水工序主要为球磨和磁选，主要用于输送矿浆，对水质无特殊要求。尾矿砂中污染物主要为</w:t>
      </w:r>
      <w:r>
        <w:rPr>
          <w:rFonts w:hint="eastAsia"/>
          <w:bCs/>
          <w:sz w:val="24"/>
          <w:szCs w:val="24"/>
          <w:lang w:val="zh-CN"/>
        </w:rPr>
        <w:t>SS</w:t>
      </w:r>
      <w:r>
        <w:rPr>
          <w:rFonts w:hint="eastAsia"/>
          <w:bCs/>
          <w:sz w:val="24"/>
          <w:szCs w:val="24"/>
          <w:lang w:val="zh-CN"/>
        </w:rPr>
        <w:t>，尾矿砂在沉淀池中可以得到充分的沉淀，其出水</w:t>
      </w:r>
      <w:r>
        <w:rPr>
          <w:rFonts w:hint="eastAsia"/>
          <w:bCs/>
          <w:sz w:val="24"/>
          <w:szCs w:val="24"/>
          <w:lang w:val="zh-CN"/>
        </w:rPr>
        <w:t>SS</w:t>
      </w:r>
      <w:r>
        <w:rPr>
          <w:rFonts w:hint="eastAsia"/>
          <w:bCs/>
          <w:sz w:val="24"/>
          <w:szCs w:val="24"/>
          <w:lang w:val="zh-CN"/>
        </w:rPr>
        <w:t>浓度可降到</w:t>
      </w:r>
      <w:r>
        <w:rPr>
          <w:rFonts w:hint="eastAsia"/>
          <w:bCs/>
          <w:sz w:val="24"/>
          <w:szCs w:val="24"/>
          <w:lang w:val="zh-CN"/>
        </w:rPr>
        <w:t>30mg/L</w:t>
      </w:r>
      <w:r>
        <w:rPr>
          <w:rFonts w:hint="eastAsia"/>
          <w:bCs/>
          <w:sz w:val="24"/>
          <w:szCs w:val="24"/>
          <w:lang w:val="zh-CN"/>
        </w:rPr>
        <w:t>以下，</w:t>
      </w:r>
      <w:r>
        <w:rPr>
          <w:rFonts w:hint="eastAsia"/>
          <w:bCs/>
          <w:sz w:val="24"/>
          <w:szCs w:val="24"/>
          <w:lang w:val="zh-CN"/>
        </w:rPr>
        <w:t>COD</w:t>
      </w:r>
      <w:r>
        <w:rPr>
          <w:rFonts w:hint="eastAsia"/>
          <w:bCs/>
          <w:sz w:val="24"/>
          <w:szCs w:val="24"/>
          <w:lang w:val="zh-CN"/>
        </w:rPr>
        <w:t>浓度可降到</w:t>
      </w:r>
      <w:r>
        <w:rPr>
          <w:rFonts w:hint="eastAsia"/>
          <w:bCs/>
          <w:sz w:val="24"/>
          <w:szCs w:val="24"/>
          <w:lang w:val="zh-CN"/>
        </w:rPr>
        <w:t>60mg/L</w:t>
      </w:r>
      <w:r>
        <w:rPr>
          <w:rFonts w:hint="eastAsia"/>
          <w:bCs/>
          <w:sz w:val="24"/>
          <w:szCs w:val="24"/>
          <w:lang w:val="zh-CN"/>
        </w:rPr>
        <w:t>以下，因此，由浓密池排入清水池的出水完全可以满足生产过程球磨和磁选工序对水质的要求。</w:t>
      </w:r>
    </w:p>
    <w:p w:rsidR="00DB7CC8" w:rsidRDefault="002B5250">
      <w:pPr>
        <w:ind w:firstLine="480"/>
        <w:rPr>
          <w:bCs/>
          <w:sz w:val="24"/>
          <w:szCs w:val="24"/>
          <w:lang w:val="zh-CN"/>
        </w:rPr>
      </w:pPr>
      <w:r>
        <w:rPr>
          <w:rFonts w:hint="eastAsia"/>
          <w:bCs/>
          <w:sz w:val="24"/>
          <w:szCs w:val="24"/>
          <w:lang w:val="zh-CN"/>
        </w:rPr>
        <w:t>2</w:t>
      </w:r>
      <w:r>
        <w:rPr>
          <w:rFonts w:hint="eastAsia"/>
          <w:bCs/>
          <w:sz w:val="24"/>
          <w:szCs w:val="24"/>
          <w:lang w:val="zh-CN"/>
        </w:rPr>
        <w:t>、选矿废水零排放可行性分析</w:t>
      </w:r>
    </w:p>
    <w:p w:rsidR="00DB7CC8" w:rsidRDefault="002B5250">
      <w:pPr>
        <w:ind w:firstLine="480"/>
        <w:rPr>
          <w:bCs/>
          <w:sz w:val="24"/>
          <w:szCs w:val="24"/>
          <w:lang w:val="zh-CN"/>
        </w:rPr>
      </w:pPr>
      <w:r>
        <w:rPr>
          <w:rFonts w:hint="eastAsia"/>
          <w:bCs/>
          <w:sz w:val="24"/>
          <w:szCs w:val="24"/>
          <w:lang w:val="zh-CN"/>
        </w:rPr>
        <w:t>项目正常生产情况下产生的废水包括选矿废水，其中选矿废水包括</w:t>
      </w:r>
      <w:bookmarkStart w:id="506" w:name="_Hlk9222467"/>
      <w:r>
        <w:rPr>
          <w:rFonts w:hint="eastAsia"/>
          <w:bCs/>
          <w:sz w:val="24"/>
          <w:szCs w:val="24"/>
          <w:lang w:val="zh-CN"/>
        </w:rPr>
        <w:t>铁精矿压滤水、尾矿砂压滤废水</w:t>
      </w:r>
      <w:bookmarkEnd w:id="506"/>
      <w:r>
        <w:rPr>
          <w:rFonts w:hint="eastAsia"/>
          <w:bCs/>
          <w:sz w:val="24"/>
          <w:szCs w:val="24"/>
          <w:lang w:val="zh-CN"/>
        </w:rPr>
        <w:t>。铁精粉压滤废水和尾矿中的废水。其中铁精粉压滤废水返回一段磁选循环使用；尾矿中的废水随尾矿砂一并经尾矿泵送至浓密池，经过沉淀澄清、压滤机压滤后返回清水池，选矿废水实现闭路循环，不外排。</w:t>
      </w:r>
    </w:p>
    <w:p w:rsidR="00DB7CC8" w:rsidRDefault="002B5250">
      <w:pPr>
        <w:ind w:firstLine="480"/>
        <w:rPr>
          <w:bCs/>
          <w:sz w:val="24"/>
          <w:szCs w:val="24"/>
          <w:lang w:val="zh-CN"/>
        </w:rPr>
      </w:pPr>
      <w:r>
        <w:rPr>
          <w:rFonts w:hint="eastAsia"/>
          <w:bCs/>
          <w:sz w:val="24"/>
          <w:szCs w:val="24"/>
          <w:lang w:val="zh-CN"/>
        </w:rPr>
        <w:t>类比调查其它金矿企业选矿废水循环利用的实际应用效果可知，通过设置选矿废水回收暂存及回输设施，并辅以严格的管理，可以实现生产废水闭路循环不外排，措施可行。</w:t>
      </w:r>
    </w:p>
    <w:p w:rsidR="00DB7CC8" w:rsidRDefault="002B5250">
      <w:pPr>
        <w:ind w:firstLine="480"/>
        <w:rPr>
          <w:bCs/>
          <w:sz w:val="24"/>
          <w:szCs w:val="24"/>
          <w:lang w:val="zh-CN"/>
        </w:rPr>
      </w:pPr>
      <w:r>
        <w:rPr>
          <w:rFonts w:hint="eastAsia"/>
          <w:bCs/>
          <w:sz w:val="24"/>
          <w:szCs w:val="24"/>
          <w:lang w:val="zh-CN"/>
        </w:rPr>
        <w:t>3</w:t>
      </w:r>
      <w:r>
        <w:rPr>
          <w:rFonts w:hint="eastAsia"/>
          <w:bCs/>
          <w:sz w:val="24"/>
          <w:szCs w:val="24"/>
          <w:lang w:val="zh-CN"/>
        </w:rPr>
        <w:t>、水循环利用可行性分析</w:t>
      </w:r>
    </w:p>
    <w:p w:rsidR="00DB7CC8" w:rsidRDefault="002B5250">
      <w:pPr>
        <w:ind w:firstLine="480"/>
        <w:rPr>
          <w:highlight w:val="yellow"/>
          <w:lang w:val="zh-CN" w:bidi="zh-CN"/>
        </w:rPr>
      </w:pPr>
      <w:r>
        <w:rPr>
          <w:rFonts w:hint="eastAsia"/>
          <w:bCs/>
          <w:sz w:val="24"/>
          <w:szCs w:val="24"/>
          <w:lang w:val="zh-CN"/>
        </w:rPr>
        <w:t>项目水循环工艺流程为：生产废水→沉淀池→浓密池→清水池→回用生产</w:t>
      </w:r>
      <w:r>
        <w:rPr>
          <w:bCs/>
          <w:sz w:val="24"/>
          <w:szCs w:val="24"/>
        </w:rPr>
        <w:t>，确保生产废水全部处理后回用，不会对周边水环境造成污染影响。</w:t>
      </w:r>
    </w:p>
    <w:p w:rsidR="00DB7CC8" w:rsidRDefault="002B5250">
      <w:pPr>
        <w:ind w:firstLine="480"/>
        <w:jc w:val="both"/>
        <w:rPr>
          <w:bCs/>
          <w:sz w:val="24"/>
          <w:szCs w:val="24"/>
          <w:lang w:val="zh-CN"/>
        </w:rPr>
      </w:pPr>
      <w:r>
        <w:rPr>
          <w:rFonts w:hint="eastAsia"/>
          <w:bCs/>
          <w:sz w:val="24"/>
          <w:szCs w:val="24"/>
          <w:lang w:val="zh-CN"/>
        </w:rPr>
        <w:t>因此，本项目选矿废水</w:t>
      </w:r>
      <w:r>
        <w:rPr>
          <w:rFonts w:hint="eastAsia"/>
          <w:bCs/>
          <w:sz w:val="24"/>
          <w:szCs w:val="24"/>
          <w:lang w:val="zh-CN"/>
        </w:rPr>
        <w:t>闭路循环，不外排，不会对周边水环境造成污染影响。</w:t>
      </w:r>
    </w:p>
    <w:p w:rsidR="00DB7CC8" w:rsidRDefault="002B5250">
      <w:pPr>
        <w:ind w:firstLine="480"/>
        <w:rPr>
          <w:bCs/>
          <w:sz w:val="24"/>
          <w:szCs w:val="24"/>
          <w:lang w:val="zh-CN"/>
        </w:rPr>
      </w:pPr>
      <w:r>
        <w:rPr>
          <w:rFonts w:hint="eastAsia"/>
          <w:bCs/>
          <w:sz w:val="24"/>
          <w:szCs w:val="24"/>
        </w:rPr>
        <w:t>4</w:t>
      </w:r>
      <w:r>
        <w:rPr>
          <w:rFonts w:hint="eastAsia"/>
          <w:bCs/>
          <w:sz w:val="24"/>
          <w:szCs w:val="24"/>
          <w:lang w:val="zh-CN"/>
        </w:rPr>
        <w:t>、车间地面冲洗废水处理可行性分析</w:t>
      </w:r>
    </w:p>
    <w:p w:rsidR="00DB7CC8" w:rsidRDefault="002B5250">
      <w:pPr>
        <w:ind w:firstLine="480"/>
        <w:rPr>
          <w:bCs/>
          <w:sz w:val="24"/>
          <w:szCs w:val="24"/>
          <w:lang w:val="zh-CN"/>
        </w:rPr>
      </w:pPr>
      <w:r>
        <w:rPr>
          <w:rFonts w:hint="eastAsia"/>
          <w:bCs/>
          <w:sz w:val="24"/>
          <w:szCs w:val="24"/>
          <w:lang w:val="zh-CN"/>
        </w:rPr>
        <w:t>本项目定期对车间地面进行冲洗，产生的废水经管道排入浓密池，回用于生产。</w:t>
      </w:r>
    </w:p>
    <w:p w:rsidR="00DB7CC8" w:rsidRDefault="002B5250">
      <w:pPr>
        <w:ind w:firstLine="480"/>
        <w:rPr>
          <w:bCs/>
          <w:sz w:val="24"/>
          <w:szCs w:val="24"/>
          <w:lang w:val="zh-CN"/>
        </w:rPr>
      </w:pPr>
      <w:r>
        <w:rPr>
          <w:rFonts w:hint="eastAsia"/>
          <w:bCs/>
          <w:sz w:val="24"/>
          <w:szCs w:val="24"/>
        </w:rPr>
        <w:t>5</w:t>
      </w:r>
      <w:r>
        <w:rPr>
          <w:rFonts w:hint="eastAsia"/>
          <w:bCs/>
          <w:sz w:val="24"/>
          <w:szCs w:val="24"/>
          <w:lang w:val="zh-CN"/>
        </w:rPr>
        <w:t>、洗车废水处理可行性分析</w:t>
      </w:r>
    </w:p>
    <w:p w:rsidR="00DB7CC8" w:rsidRDefault="002B5250">
      <w:pPr>
        <w:ind w:firstLine="480"/>
        <w:rPr>
          <w:bCs/>
          <w:sz w:val="24"/>
          <w:szCs w:val="24"/>
          <w:lang w:val="zh-CN"/>
        </w:rPr>
      </w:pPr>
      <w:r>
        <w:rPr>
          <w:rFonts w:hint="eastAsia"/>
          <w:bCs/>
          <w:sz w:val="24"/>
          <w:szCs w:val="24"/>
          <w:lang w:val="zh-CN"/>
        </w:rPr>
        <w:t>本项目为了减少车辆运输产生的粉尘，设置洗车平台，洗车废水经回用于洗车。</w:t>
      </w:r>
    </w:p>
    <w:p w:rsidR="00DB7CC8" w:rsidRDefault="002B5250">
      <w:pPr>
        <w:ind w:firstLine="480"/>
        <w:rPr>
          <w:bCs/>
          <w:sz w:val="24"/>
          <w:szCs w:val="24"/>
        </w:rPr>
      </w:pPr>
      <w:r>
        <w:rPr>
          <w:rFonts w:hint="eastAsia"/>
          <w:bCs/>
          <w:sz w:val="24"/>
          <w:szCs w:val="24"/>
          <w:lang w:val="zh-CN"/>
        </w:rPr>
        <w:t>综上所述，本项目选矿废水可实现闭路循环，不外排；车间地面冲洗废水、</w:t>
      </w:r>
      <w:r>
        <w:rPr>
          <w:rFonts w:hint="eastAsia"/>
          <w:bCs/>
          <w:sz w:val="24"/>
          <w:szCs w:val="24"/>
          <w:lang w:val="zh-CN"/>
        </w:rPr>
        <w:lastRenderedPageBreak/>
        <w:t>洗车废水处理经沉淀池沉淀后，可回用于生产，不外排。该项目采取的废水治理措施可行。</w:t>
      </w:r>
      <w:bookmarkStart w:id="507" w:name="_Toc174877426"/>
    </w:p>
    <w:p w:rsidR="00DB7CC8" w:rsidRDefault="002B5250">
      <w:pPr>
        <w:pStyle w:val="4"/>
      </w:pPr>
      <w:r>
        <w:t>6.2.2.</w:t>
      </w:r>
      <w:r>
        <w:rPr>
          <w:rFonts w:hint="eastAsia"/>
        </w:rPr>
        <w:t>2</w:t>
      </w:r>
      <w:r>
        <w:t>事故废水</w:t>
      </w:r>
    </w:p>
    <w:p w:rsidR="00DB7CC8" w:rsidRDefault="002B5250">
      <w:pPr>
        <w:ind w:firstLine="480"/>
        <w:jc w:val="both"/>
        <w:rPr>
          <w:bCs/>
          <w:sz w:val="24"/>
          <w:szCs w:val="24"/>
        </w:rPr>
      </w:pPr>
      <w:r>
        <w:rPr>
          <w:rFonts w:hint="eastAsia"/>
          <w:sz w:val="24"/>
          <w:szCs w:val="24"/>
        </w:rPr>
        <w:t>当球磨机、磁选机、高频筛等设备出现故障时，存在废矿浆非正常排放的可能性。</w:t>
      </w:r>
    </w:p>
    <w:p w:rsidR="00DB7CC8" w:rsidRDefault="002B5250">
      <w:pPr>
        <w:ind w:firstLine="480"/>
        <w:jc w:val="both"/>
        <w:rPr>
          <w:bCs/>
          <w:sz w:val="24"/>
          <w:szCs w:val="24"/>
          <w:highlight w:val="green"/>
        </w:rPr>
      </w:pPr>
      <w:r>
        <w:rPr>
          <w:rFonts w:hint="eastAsia"/>
          <w:bCs/>
          <w:sz w:val="24"/>
        </w:rPr>
        <w:t>本项目在</w:t>
      </w:r>
      <w:r>
        <w:rPr>
          <w:rFonts w:hint="eastAsia"/>
          <w:bCs/>
          <w:sz w:val="24"/>
        </w:rPr>
        <w:t>破碎粗选车间、精选</w:t>
      </w:r>
      <w:r>
        <w:rPr>
          <w:rFonts w:hint="eastAsia"/>
          <w:bCs/>
          <w:sz w:val="24"/>
        </w:rPr>
        <w:t>车间</w:t>
      </w:r>
      <w:r>
        <w:rPr>
          <w:rFonts w:hint="eastAsia"/>
          <w:bCs/>
          <w:sz w:val="24"/>
        </w:rPr>
        <w:t>各</w:t>
      </w:r>
      <w:r>
        <w:rPr>
          <w:rFonts w:hint="eastAsia"/>
          <w:bCs/>
          <w:sz w:val="24"/>
        </w:rPr>
        <w:t>配套建设一座事故池，其容积应满足车间内球磨机的最大泄漏量，本项目</w:t>
      </w:r>
      <w:r>
        <w:rPr>
          <w:rFonts w:hint="eastAsia"/>
          <w:bCs/>
          <w:sz w:val="24"/>
          <w:szCs w:val="24"/>
        </w:rPr>
        <w:t>单台球磨机排放量最高可达</w:t>
      </w:r>
      <w:r>
        <w:rPr>
          <w:rFonts w:hint="eastAsia"/>
          <w:bCs/>
          <w:sz w:val="24"/>
          <w:szCs w:val="24"/>
        </w:rPr>
        <w:t>15.58</w:t>
      </w:r>
      <w:r>
        <w:rPr>
          <w:sz w:val="24"/>
          <w:szCs w:val="24"/>
        </w:rPr>
        <w:t>m³/</w:t>
      </w:r>
      <w:r>
        <w:rPr>
          <w:sz w:val="24"/>
          <w:szCs w:val="24"/>
        </w:rPr>
        <w:t>次；</w:t>
      </w:r>
      <w:r>
        <w:rPr>
          <w:rFonts w:hint="eastAsia"/>
          <w:sz w:val="24"/>
          <w:szCs w:val="24"/>
        </w:rPr>
        <w:t>本项目事故池容积为</w:t>
      </w:r>
      <w:r>
        <w:rPr>
          <w:rFonts w:hint="eastAsia"/>
          <w:sz w:val="24"/>
          <w:szCs w:val="24"/>
        </w:rPr>
        <w:t>25</w:t>
      </w:r>
      <w:r>
        <w:rPr>
          <w:bCs/>
          <w:sz w:val="24"/>
          <w:szCs w:val="24"/>
        </w:rPr>
        <w:t>m³</w:t>
      </w:r>
      <w:r>
        <w:rPr>
          <w:bCs/>
          <w:sz w:val="24"/>
          <w:szCs w:val="24"/>
        </w:rPr>
        <w:t>，大于车间内</w:t>
      </w:r>
      <w:r>
        <w:rPr>
          <w:rFonts w:hint="eastAsia"/>
          <w:bCs/>
          <w:sz w:val="24"/>
          <w:szCs w:val="24"/>
        </w:rPr>
        <w:t>容积最大的</w:t>
      </w:r>
      <w:r>
        <w:rPr>
          <w:bCs/>
          <w:sz w:val="24"/>
          <w:szCs w:val="24"/>
        </w:rPr>
        <w:t>球磨机的有效容积，可满足事故状态下尾矿浆的存储量</w:t>
      </w:r>
      <w:r>
        <w:rPr>
          <w:rFonts w:hint="eastAsia"/>
          <w:bCs/>
          <w:sz w:val="24"/>
          <w:szCs w:val="24"/>
        </w:rPr>
        <w:t>，同时事故池应进行加盖设置，并设搅拌装置和泵，正常情况下保持空池运行</w:t>
      </w:r>
      <w:r>
        <w:rPr>
          <w:bCs/>
          <w:sz w:val="24"/>
          <w:szCs w:val="24"/>
        </w:rPr>
        <w:t>。</w:t>
      </w:r>
    </w:p>
    <w:p w:rsidR="00DB7CC8" w:rsidRDefault="002B5250">
      <w:pPr>
        <w:pStyle w:val="3"/>
        <w:numPr>
          <w:ilvl w:val="2"/>
          <w:numId w:val="1"/>
        </w:numPr>
        <w:rPr>
          <w:szCs w:val="28"/>
        </w:rPr>
      </w:pPr>
      <w:bookmarkStart w:id="508" w:name="_Toc31574"/>
      <w:bookmarkStart w:id="509" w:name="_Toc521591813"/>
      <w:bookmarkEnd w:id="507"/>
      <w:r>
        <w:rPr>
          <w:szCs w:val="28"/>
        </w:rPr>
        <w:t>运营期地下水污染防治措施</w:t>
      </w:r>
      <w:bookmarkEnd w:id="508"/>
      <w:bookmarkEnd w:id="509"/>
    </w:p>
    <w:p w:rsidR="00DB7CC8" w:rsidRDefault="002B5250">
      <w:pPr>
        <w:pStyle w:val="4"/>
      </w:pPr>
      <w:r>
        <w:rPr>
          <w:rFonts w:hint="eastAsia"/>
        </w:rPr>
        <w:t>6.2.3.1</w:t>
      </w:r>
      <w:r>
        <w:rPr>
          <w:rFonts w:hint="eastAsia"/>
        </w:rPr>
        <w:t>地下水污染控制原则</w:t>
      </w:r>
    </w:p>
    <w:p w:rsidR="00DB7CC8" w:rsidRDefault="002B5250">
      <w:pPr>
        <w:pStyle w:val="p0"/>
        <w:spacing w:line="360" w:lineRule="auto"/>
        <w:ind w:firstLineChars="200" w:firstLine="480"/>
        <w:rPr>
          <w:bCs/>
          <w:kern w:val="2"/>
          <w:szCs w:val="24"/>
        </w:rPr>
      </w:pPr>
      <w:r>
        <w:rPr>
          <w:bCs/>
          <w:kern w:val="2"/>
          <w:szCs w:val="24"/>
        </w:rPr>
        <w:t>针对项目可能发生的地下水污染，地下水污染防治措施按照</w:t>
      </w:r>
      <w:r>
        <w:rPr>
          <w:rFonts w:hint="eastAsia"/>
          <w:bCs/>
          <w:kern w:val="2"/>
          <w:szCs w:val="24"/>
        </w:rPr>
        <w:t>“</w:t>
      </w:r>
      <w:r>
        <w:rPr>
          <w:bCs/>
          <w:kern w:val="2"/>
          <w:szCs w:val="24"/>
        </w:rPr>
        <w:t>源头控制、末端防治、污染监控、应急响应</w:t>
      </w:r>
      <w:r>
        <w:rPr>
          <w:rFonts w:hint="eastAsia"/>
          <w:bCs/>
          <w:kern w:val="2"/>
          <w:szCs w:val="24"/>
        </w:rPr>
        <w:t>”</w:t>
      </w:r>
      <w:r>
        <w:rPr>
          <w:bCs/>
          <w:kern w:val="2"/>
          <w:szCs w:val="24"/>
        </w:rPr>
        <w:t>相结合的原则，从污染物的产生、入渗、扩散、应急响应全阶段进</w:t>
      </w:r>
      <w:r>
        <w:rPr>
          <w:bCs/>
          <w:kern w:val="2"/>
          <w:szCs w:val="24"/>
        </w:rPr>
        <w:t>行控制。</w:t>
      </w:r>
    </w:p>
    <w:p w:rsidR="00DB7CC8" w:rsidRDefault="002B5250">
      <w:pPr>
        <w:pStyle w:val="p0"/>
        <w:spacing w:line="360" w:lineRule="auto"/>
        <w:ind w:firstLineChars="200" w:firstLine="480"/>
        <w:rPr>
          <w:bCs/>
          <w:kern w:val="2"/>
          <w:szCs w:val="24"/>
        </w:rPr>
      </w:pPr>
      <w:r>
        <w:rPr>
          <w:bCs/>
          <w:kern w:val="2"/>
          <w:szCs w:val="24"/>
        </w:rPr>
        <w:t>（</w:t>
      </w:r>
      <w:r>
        <w:rPr>
          <w:bCs/>
          <w:kern w:val="2"/>
          <w:szCs w:val="24"/>
        </w:rPr>
        <w:t>1</w:t>
      </w:r>
      <w:r>
        <w:rPr>
          <w:bCs/>
          <w:kern w:val="2"/>
          <w:szCs w:val="24"/>
        </w:rPr>
        <w:t>）源头控制措施：主要包括在工艺、管道、设备、污水储存及处理构筑物采取相应措施，防止和降低污染物跑、冒、滴、漏，将污染物泄漏的环境风险事故降到最低程度；管线敷设尽量采用</w:t>
      </w:r>
      <w:r>
        <w:rPr>
          <w:rFonts w:hint="eastAsia"/>
          <w:bCs/>
          <w:kern w:val="2"/>
          <w:szCs w:val="24"/>
        </w:rPr>
        <w:t>“</w:t>
      </w:r>
      <w:r>
        <w:rPr>
          <w:bCs/>
          <w:kern w:val="2"/>
          <w:szCs w:val="24"/>
        </w:rPr>
        <w:t>可视化</w:t>
      </w:r>
      <w:r>
        <w:rPr>
          <w:rFonts w:hint="eastAsia"/>
          <w:bCs/>
          <w:kern w:val="2"/>
          <w:szCs w:val="24"/>
        </w:rPr>
        <w:t>”</w:t>
      </w:r>
      <w:r>
        <w:rPr>
          <w:bCs/>
          <w:kern w:val="2"/>
          <w:szCs w:val="24"/>
        </w:rPr>
        <w:t>原则，即管道尽可能地上敷设，做到污染物</w:t>
      </w:r>
      <w:r>
        <w:rPr>
          <w:rFonts w:hint="eastAsia"/>
          <w:bCs/>
          <w:kern w:val="2"/>
          <w:szCs w:val="24"/>
        </w:rPr>
        <w:t>“</w:t>
      </w:r>
      <w:r>
        <w:rPr>
          <w:bCs/>
          <w:kern w:val="2"/>
          <w:szCs w:val="24"/>
        </w:rPr>
        <w:t>早发现、早处理</w:t>
      </w:r>
      <w:r>
        <w:rPr>
          <w:rFonts w:hint="eastAsia"/>
          <w:bCs/>
          <w:kern w:val="2"/>
          <w:szCs w:val="24"/>
        </w:rPr>
        <w:t>”</w:t>
      </w:r>
      <w:r>
        <w:rPr>
          <w:bCs/>
          <w:kern w:val="2"/>
          <w:szCs w:val="24"/>
        </w:rPr>
        <w:t>，减少由于埋地管道泄漏而造成的地下水污染。</w:t>
      </w:r>
    </w:p>
    <w:p w:rsidR="00DB7CC8" w:rsidRDefault="002B5250">
      <w:pPr>
        <w:pStyle w:val="p0"/>
        <w:spacing w:line="360" w:lineRule="auto"/>
        <w:ind w:firstLineChars="200" w:firstLine="480"/>
        <w:rPr>
          <w:bCs/>
          <w:kern w:val="2"/>
          <w:szCs w:val="24"/>
        </w:rPr>
      </w:pPr>
      <w:r>
        <w:rPr>
          <w:bCs/>
          <w:kern w:val="2"/>
          <w:szCs w:val="24"/>
        </w:rPr>
        <w:t>（</w:t>
      </w:r>
      <w:r>
        <w:rPr>
          <w:bCs/>
          <w:kern w:val="2"/>
          <w:szCs w:val="24"/>
        </w:rPr>
        <w:t>2</w:t>
      </w:r>
      <w:r>
        <w:rPr>
          <w:bCs/>
          <w:kern w:val="2"/>
          <w:szCs w:val="24"/>
        </w:rPr>
        <w:t>）</w:t>
      </w:r>
      <w:r>
        <w:rPr>
          <w:rFonts w:hint="eastAsia"/>
          <w:bCs/>
          <w:kern w:val="2"/>
          <w:szCs w:val="24"/>
        </w:rPr>
        <w:t>分区防控</w:t>
      </w:r>
      <w:r>
        <w:rPr>
          <w:bCs/>
          <w:kern w:val="2"/>
          <w:szCs w:val="24"/>
        </w:rPr>
        <w:t>措施：主要包括厂内污染区地面的防渗措施和泄漏、渗漏污染物收集措施，即在污染区地面进行防渗处理，防止洒落地面的污染物渗入地下，并把滞留在地面的污染物收集起来，集中</w:t>
      </w:r>
      <w:r>
        <w:rPr>
          <w:rFonts w:hint="eastAsia"/>
          <w:bCs/>
          <w:kern w:val="2"/>
          <w:szCs w:val="24"/>
        </w:rPr>
        <w:t>外运</w:t>
      </w:r>
      <w:r>
        <w:rPr>
          <w:bCs/>
          <w:kern w:val="2"/>
          <w:szCs w:val="24"/>
        </w:rPr>
        <w:t>处理；末端控制采取分区防渗，重点污染防治区、</w:t>
      </w:r>
      <w:r>
        <w:rPr>
          <w:bCs/>
          <w:kern w:val="2"/>
          <w:szCs w:val="24"/>
        </w:rPr>
        <w:t>一般污染防治区和非污染区防渗措施有区别的防渗原则。</w:t>
      </w:r>
    </w:p>
    <w:p w:rsidR="00DB7CC8" w:rsidRDefault="002B5250">
      <w:pPr>
        <w:pStyle w:val="p0"/>
        <w:spacing w:line="360" w:lineRule="auto"/>
        <w:ind w:firstLineChars="200" w:firstLine="480"/>
        <w:rPr>
          <w:bCs/>
          <w:kern w:val="2"/>
          <w:szCs w:val="24"/>
        </w:rPr>
      </w:pPr>
      <w:r>
        <w:rPr>
          <w:bCs/>
          <w:kern w:val="2"/>
          <w:szCs w:val="24"/>
        </w:rPr>
        <w:t>（</w:t>
      </w:r>
      <w:r>
        <w:rPr>
          <w:bCs/>
          <w:kern w:val="2"/>
          <w:szCs w:val="24"/>
        </w:rPr>
        <w:t>3</w:t>
      </w:r>
      <w:r>
        <w:rPr>
          <w:bCs/>
          <w:kern w:val="2"/>
          <w:szCs w:val="24"/>
        </w:rPr>
        <w:t>）污染监控体系：实施覆盖生产区的地下水污染监控系统，包括建立完善的监测制度、配备先进的检测仪器和设备、科学、合理设置地下水污染监控井，及时发现污染、及时控制；</w:t>
      </w:r>
    </w:p>
    <w:p w:rsidR="00DB7CC8" w:rsidRDefault="002B5250">
      <w:pPr>
        <w:pStyle w:val="p0"/>
        <w:spacing w:line="360" w:lineRule="auto"/>
        <w:ind w:firstLineChars="200" w:firstLine="480"/>
        <w:rPr>
          <w:bCs/>
          <w:kern w:val="2"/>
          <w:szCs w:val="24"/>
        </w:rPr>
      </w:pPr>
      <w:r>
        <w:rPr>
          <w:bCs/>
          <w:kern w:val="2"/>
          <w:szCs w:val="24"/>
        </w:rPr>
        <w:t>（</w:t>
      </w:r>
      <w:r>
        <w:rPr>
          <w:bCs/>
          <w:kern w:val="2"/>
          <w:szCs w:val="24"/>
        </w:rPr>
        <w:t>4</w:t>
      </w:r>
      <w:r>
        <w:rPr>
          <w:bCs/>
          <w:kern w:val="2"/>
          <w:szCs w:val="24"/>
        </w:rPr>
        <w:t>）应急响应措施：包括一旦发现地下水污染事故，立即启动应急预案、采取应急措施控制地下水污染，并使污染得到治理。</w:t>
      </w:r>
    </w:p>
    <w:p w:rsidR="00DB7CC8" w:rsidRDefault="002B5250">
      <w:pPr>
        <w:pStyle w:val="4"/>
      </w:pPr>
      <w:r>
        <w:rPr>
          <w:rFonts w:hint="eastAsia"/>
        </w:rPr>
        <w:lastRenderedPageBreak/>
        <w:t xml:space="preserve">6.2.3.2 </w:t>
      </w:r>
      <w:r>
        <w:rPr>
          <w:rFonts w:hint="eastAsia"/>
        </w:rPr>
        <w:t>污染物源头控制</w:t>
      </w:r>
    </w:p>
    <w:p w:rsidR="00DB7CC8" w:rsidRDefault="002B5250">
      <w:pPr>
        <w:pStyle w:val="p0"/>
        <w:spacing w:line="360" w:lineRule="auto"/>
        <w:ind w:firstLineChars="200" w:firstLine="480"/>
        <w:rPr>
          <w:bCs/>
          <w:kern w:val="2"/>
          <w:szCs w:val="24"/>
        </w:rPr>
      </w:pPr>
      <w:r>
        <w:rPr>
          <w:bCs/>
          <w:kern w:val="2"/>
          <w:szCs w:val="24"/>
        </w:rPr>
        <w:t>（</w:t>
      </w:r>
      <w:r>
        <w:rPr>
          <w:bCs/>
          <w:kern w:val="2"/>
          <w:szCs w:val="24"/>
        </w:rPr>
        <w:t>1</w:t>
      </w:r>
      <w:r>
        <w:rPr>
          <w:bCs/>
          <w:kern w:val="2"/>
          <w:szCs w:val="24"/>
        </w:rPr>
        <w:t>）对工艺、管道、设备、污水储存及处理构筑物等严格检查，有质量问题的及时更换，阀门采用优质产品，防止和降低</w:t>
      </w:r>
      <w:r>
        <w:rPr>
          <w:rFonts w:hint="eastAsia"/>
          <w:bCs/>
          <w:kern w:val="2"/>
          <w:szCs w:val="24"/>
        </w:rPr>
        <w:t>“</w:t>
      </w:r>
      <w:r>
        <w:rPr>
          <w:bCs/>
          <w:kern w:val="2"/>
          <w:szCs w:val="24"/>
        </w:rPr>
        <w:t>跑、冒、滴、漏</w:t>
      </w:r>
      <w:r>
        <w:rPr>
          <w:rFonts w:hint="eastAsia"/>
          <w:bCs/>
          <w:kern w:val="2"/>
          <w:szCs w:val="24"/>
        </w:rPr>
        <w:t>”</w:t>
      </w:r>
      <w:r>
        <w:rPr>
          <w:bCs/>
          <w:kern w:val="2"/>
          <w:szCs w:val="24"/>
        </w:rPr>
        <w:t>。</w:t>
      </w:r>
    </w:p>
    <w:p w:rsidR="00DB7CC8" w:rsidRDefault="002B5250">
      <w:pPr>
        <w:pStyle w:val="p0"/>
        <w:spacing w:line="360" w:lineRule="auto"/>
        <w:ind w:firstLineChars="200" w:firstLine="480"/>
        <w:rPr>
          <w:bCs/>
          <w:kern w:val="2"/>
          <w:szCs w:val="24"/>
        </w:rPr>
      </w:pPr>
      <w:r>
        <w:rPr>
          <w:bCs/>
          <w:kern w:val="2"/>
          <w:szCs w:val="24"/>
        </w:rPr>
        <w:t>（</w:t>
      </w:r>
      <w:r>
        <w:rPr>
          <w:bCs/>
          <w:kern w:val="2"/>
          <w:szCs w:val="24"/>
        </w:rPr>
        <w:t>2</w:t>
      </w:r>
      <w:r>
        <w:rPr>
          <w:bCs/>
          <w:kern w:val="2"/>
          <w:szCs w:val="24"/>
        </w:rPr>
        <w:t>）所有生产中的储</w:t>
      </w:r>
      <w:r>
        <w:rPr>
          <w:bCs/>
          <w:kern w:val="2"/>
          <w:szCs w:val="24"/>
        </w:rPr>
        <w:t>槽、容器均做防腐处理。禁止在厂区内任意设置排污水口，全封闭，防止流入环境中。</w:t>
      </w:r>
    </w:p>
    <w:p w:rsidR="00DB7CC8" w:rsidRDefault="002B5250">
      <w:pPr>
        <w:widowControl/>
        <w:autoSpaceDN w:val="0"/>
        <w:ind w:firstLine="480"/>
        <w:rPr>
          <w:sz w:val="24"/>
          <w:szCs w:val="24"/>
        </w:rPr>
      </w:pPr>
      <w:r>
        <w:rPr>
          <w:sz w:val="24"/>
          <w:szCs w:val="24"/>
        </w:rPr>
        <w:t>（</w:t>
      </w:r>
      <w:r>
        <w:rPr>
          <w:sz w:val="24"/>
          <w:szCs w:val="24"/>
        </w:rPr>
        <w:t>3</w:t>
      </w:r>
      <w:r>
        <w:rPr>
          <w:sz w:val="24"/>
          <w:szCs w:val="24"/>
        </w:rPr>
        <w:t>）对工艺要求必须地下走管的管道、阀门设专用防渗管沟，管沟上设活动观察顶盖，以便出现渗漏问题及时观察、解决，管沟与污水集水井相连，并设计合理的排水坡度，便于废水排至集水井，然后统一排入污水收集池。</w:t>
      </w:r>
    </w:p>
    <w:p w:rsidR="00DB7CC8" w:rsidRDefault="002B5250">
      <w:pPr>
        <w:autoSpaceDN w:val="0"/>
        <w:ind w:firstLine="480"/>
        <w:rPr>
          <w:sz w:val="24"/>
          <w:szCs w:val="24"/>
        </w:rPr>
      </w:pPr>
      <w:r>
        <w:rPr>
          <w:sz w:val="24"/>
          <w:szCs w:val="24"/>
        </w:rPr>
        <w:t>（</w:t>
      </w:r>
      <w:r>
        <w:rPr>
          <w:sz w:val="24"/>
          <w:szCs w:val="24"/>
        </w:rPr>
        <w:t>4</w:t>
      </w:r>
      <w:r>
        <w:rPr>
          <w:sz w:val="24"/>
          <w:szCs w:val="24"/>
        </w:rPr>
        <w:t>）厂区内设置生活垃圾收集点和垃圾中转站，集中收集后的生活垃圾运至城市规划的生活垃圾填埋场。生活垃圾运输基本实现收集容器化、运输密封化。工业垃圾首先在企业内部进行无害化处理，再运至规划建设的固体废弃物填埋场作进一步处置。防止固废因淋溶对地下水造成的二次污染。</w:t>
      </w:r>
    </w:p>
    <w:p w:rsidR="00DB7CC8" w:rsidRDefault="002B5250">
      <w:pPr>
        <w:widowControl/>
        <w:autoSpaceDN w:val="0"/>
        <w:ind w:firstLine="480"/>
        <w:rPr>
          <w:sz w:val="24"/>
          <w:szCs w:val="24"/>
        </w:rPr>
      </w:pPr>
      <w:r>
        <w:rPr>
          <w:sz w:val="24"/>
          <w:szCs w:val="24"/>
        </w:rPr>
        <w:t>（</w:t>
      </w:r>
      <w:r>
        <w:rPr>
          <w:sz w:val="24"/>
          <w:szCs w:val="24"/>
        </w:rPr>
        <w:t>5</w:t>
      </w:r>
      <w:r>
        <w:rPr>
          <w:sz w:val="24"/>
          <w:szCs w:val="24"/>
        </w:rPr>
        <w:t>）为了防止突发事故，污染物外泄，造成对环境的污染，厂区应设置专门的事故水池及安全事故报警系统，一旦有事故发生，被污染的消防水、冲洗水等直接流入事故水池，等待处理，厂区排水口设在线监测系统，以防止超标污水外泄。</w:t>
      </w:r>
    </w:p>
    <w:p w:rsidR="00DB7CC8" w:rsidRDefault="002B5250">
      <w:pPr>
        <w:pStyle w:val="4"/>
      </w:pPr>
      <w:r>
        <w:rPr>
          <w:rFonts w:hint="eastAsia"/>
        </w:rPr>
        <w:t xml:space="preserve">6.2.3.3 </w:t>
      </w:r>
      <w:r>
        <w:rPr>
          <w:rFonts w:hint="eastAsia"/>
        </w:rPr>
        <w:t>地面防渗措施</w:t>
      </w:r>
    </w:p>
    <w:p w:rsidR="00DB7CC8" w:rsidRDefault="002B5250">
      <w:pPr>
        <w:pStyle w:val="p0"/>
        <w:snapToGrid/>
        <w:spacing w:line="360" w:lineRule="auto"/>
        <w:ind w:firstLineChars="200" w:firstLine="480"/>
        <w:rPr>
          <w:bCs/>
          <w:kern w:val="2"/>
          <w:szCs w:val="24"/>
        </w:rPr>
      </w:pPr>
      <w:r>
        <w:rPr>
          <w:rFonts w:hint="eastAsia"/>
          <w:bCs/>
          <w:kern w:val="2"/>
          <w:szCs w:val="24"/>
        </w:rPr>
        <w:t>（</w:t>
      </w:r>
      <w:r>
        <w:rPr>
          <w:rFonts w:hint="eastAsia"/>
          <w:bCs/>
          <w:kern w:val="2"/>
          <w:szCs w:val="24"/>
        </w:rPr>
        <w:t>1</w:t>
      </w:r>
      <w:r>
        <w:rPr>
          <w:rFonts w:hint="eastAsia"/>
          <w:bCs/>
          <w:kern w:val="2"/>
          <w:szCs w:val="24"/>
        </w:rPr>
        <w:t>）</w:t>
      </w:r>
      <w:r>
        <w:rPr>
          <w:rFonts w:hint="eastAsia"/>
          <w:bCs/>
          <w:kern w:val="2"/>
          <w:szCs w:val="24"/>
        </w:rPr>
        <w:t>防渗分区的确定</w:t>
      </w:r>
    </w:p>
    <w:p w:rsidR="00DB7CC8" w:rsidRDefault="002B5250">
      <w:pPr>
        <w:pStyle w:val="p0"/>
        <w:spacing w:line="360" w:lineRule="auto"/>
        <w:ind w:firstLineChars="200" w:firstLine="480"/>
        <w:jc w:val="left"/>
        <w:rPr>
          <w:rFonts w:ascii="黑体" w:eastAsia="黑体" w:hAnsi="黑体"/>
          <w:sz w:val="21"/>
        </w:rPr>
      </w:pPr>
      <w:r>
        <w:rPr>
          <w:bCs/>
          <w:kern w:val="2"/>
          <w:szCs w:val="24"/>
        </w:rPr>
        <w:t>根据野外现场调查</w:t>
      </w:r>
      <w:r>
        <w:rPr>
          <w:rFonts w:hint="eastAsia"/>
          <w:bCs/>
          <w:kern w:val="2"/>
          <w:szCs w:val="24"/>
        </w:rPr>
        <w:t>及试验</w:t>
      </w:r>
      <w:r>
        <w:rPr>
          <w:bCs/>
          <w:kern w:val="2"/>
          <w:szCs w:val="24"/>
        </w:rPr>
        <w:t>，可知项目场地包气带</w:t>
      </w:r>
      <w:r>
        <w:rPr>
          <w:rFonts w:hint="eastAsia"/>
          <w:bCs/>
          <w:kern w:val="2"/>
          <w:szCs w:val="24"/>
        </w:rPr>
        <w:t>平均厚度</w:t>
      </w:r>
      <w:r>
        <w:rPr>
          <w:rFonts w:hint="eastAsia"/>
          <w:bCs/>
          <w:kern w:val="2"/>
          <w:szCs w:val="24"/>
        </w:rPr>
        <w:t>14m</w:t>
      </w:r>
      <w:r>
        <w:rPr>
          <w:bCs/>
          <w:kern w:val="2"/>
          <w:szCs w:val="24"/>
        </w:rPr>
        <w:t>，</w:t>
      </w:r>
      <w:r>
        <w:rPr>
          <w:rFonts w:hint="eastAsia"/>
          <w:bCs/>
          <w:kern w:val="2"/>
          <w:szCs w:val="24"/>
        </w:rPr>
        <w:t>岩（土）</w:t>
      </w:r>
      <w:r>
        <w:rPr>
          <w:bCs/>
          <w:kern w:val="2"/>
          <w:szCs w:val="24"/>
        </w:rPr>
        <w:t>单层厚度</w:t>
      </w:r>
      <w:r>
        <w:rPr>
          <w:bCs/>
          <w:kern w:val="2"/>
          <w:szCs w:val="24"/>
        </w:rPr>
        <w:t>Mb</w:t>
      </w:r>
      <w:r>
        <w:rPr>
          <w:bCs/>
          <w:kern w:val="2"/>
          <w:szCs w:val="24"/>
        </w:rPr>
        <w:t>＞</w:t>
      </w:r>
      <w:r>
        <w:rPr>
          <w:bCs/>
          <w:kern w:val="2"/>
          <w:szCs w:val="24"/>
        </w:rPr>
        <w:t>1.0m</w:t>
      </w:r>
      <w:r>
        <w:rPr>
          <w:bCs/>
          <w:kern w:val="2"/>
          <w:szCs w:val="24"/>
        </w:rPr>
        <w:t>，且分布连续、稳定</w:t>
      </w:r>
      <w:r>
        <w:rPr>
          <w:rFonts w:hint="eastAsia"/>
          <w:bCs/>
          <w:kern w:val="2"/>
          <w:szCs w:val="24"/>
        </w:rPr>
        <w:t>，</w:t>
      </w:r>
      <w:r>
        <w:rPr>
          <w:bCs/>
          <w:kern w:val="2"/>
          <w:szCs w:val="24"/>
        </w:rPr>
        <w:t>渗透系数为</w:t>
      </w:r>
      <w:r>
        <w:rPr>
          <w:bCs/>
          <w:kern w:val="2"/>
          <w:szCs w:val="24"/>
        </w:rPr>
        <w:t>10</w:t>
      </w:r>
      <w:r>
        <w:rPr>
          <w:bCs/>
          <w:kern w:val="2"/>
          <w:szCs w:val="24"/>
          <w:vertAlign w:val="superscript"/>
        </w:rPr>
        <w:t>-</w:t>
      </w:r>
      <w:r>
        <w:rPr>
          <w:rFonts w:hint="eastAsia"/>
          <w:bCs/>
          <w:kern w:val="2"/>
          <w:szCs w:val="24"/>
          <w:vertAlign w:val="superscript"/>
        </w:rPr>
        <w:t>5</w:t>
      </w:r>
      <w:r>
        <w:rPr>
          <w:bCs/>
          <w:kern w:val="2"/>
          <w:szCs w:val="24"/>
        </w:rPr>
        <w:t>cm/s</w:t>
      </w:r>
      <w:r>
        <w:rPr>
          <w:bCs/>
          <w:kern w:val="2"/>
          <w:szCs w:val="24"/>
        </w:rPr>
        <w:t>数量级，故根据《环境影响评价导则</w:t>
      </w:r>
      <w:r>
        <w:rPr>
          <w:bCs/>
          <w:kern w:val="2"/>
          <w:szCs w:val="24"/>
        </w:rPr>
        <w:t>—</w:t>
      </w:r>
      <w:r>
        <w:rPr>
          <w:bCs/>
          <w:kern w:val="2"/>
          <w:szCs w:val="24"/>
        </w:rPr>
        <w:t>地下水环境》（</w:t>
      </w:r>
      <w:r>
        <w:rPr>
          <w:bCs/>
          <w:kern w:val="2"/>
          <w:szCs w:val="24"/>
        </w:rPr>
        <w:t>HJ610-2016</w:t>
      </w:r>
      <w:r>
        <w:rPr>
          <w:bCs/>
          <w:kern w:val="2"/>
          <w:szCs w:val="24"/>
        </w:rPr>
        <w:t>）表</w:t>
      </w:r>
      <w:r>
        <w:rPr>
          <w:rFonts w:hint="eastAsia"/>
          <w:bCs/>
          <w:kern w:val="2"/>
          <w:szCs w:val="24"/>
        </w:rPr>
        <w:t>6.2-2</w:t>
      </w:r>
      <w:r>
        <w:rPr>
          <w:rFonts w:hint="eastAsia"/>
          <w:bCs/>
          <w:kern w:val="2"/>
          <w:szCs w:val="24"/>
        </w:rPr>
        <w:t>《</w:t>
      </w:r>
      <w:r>
        <w:rPr>
          <w:bCs/>
          <w:kern w:val="2"/>
          <w:szCs w:val="24"/>
        </w:rPr>
        <w:t>天然包气带防污性能分级表</w:t>
      </w:r>
      <w:r>
        <w:rPr>
          <w:rFonts w:hint="eastAsia"/>
          <w:bCs/>
          <w:kern w:val="2"/>
          <w:szCs w:val="24"/>
        </w:rPr>
        <w:t>》，</w:t>
      </w:r>
      <w:r>
        <w:rPr>
          <w:bCs/>
          <w:kern w:val="2"/>
          <w:szCs w:val="24"/>
        </w:rPr>
        <w:t>包气带防污性能为</w:t>
      </w:r>
      <w:r>
        <w:rPr>
          <w:rFonts w:hint="eastAsia"/>
          <w:bCs/>
          <w:kern w:val="2"/>
          <w:szCs w:val="24"/>
        </w:rPr>
        <w:t>中</w:t>
      </w:r>
      <w:r>
        <w:rPr>
          <w:bCs/>
          <w:kern w:val="2"/>
          <w:szCs w:val="24"/>
        </w:rPr>
        <w:t>。</w:t>
      </w:r>
    </w:p>
    <w:p w:rsidR="00DB7CC8" w:rsidRDefault="002B5250">
      <w:pPr>
        <w:spacing w:line="240" w:lineRule="auto"/>
        <w:ind w:firstLineChars="0" w:firstLine="0"/>
        <w:jc w:val="center"/>
        <w:rPr>
          <w:rFonts w:ascii="黑体" w:eastAsia="黑体" w:hAnsi="黑体"/>
          <w:sz w:val="21"/>
          <w:szCs w:val="21"/>
        </w:rPr>
      </w:pPr>
      <w:r>
        <w:rPr>
          <w:rFonts w:eastAsia="黑体"/>
          <w:sz w:val="21"/>
          <w:szCs w:val="21"/>
        </w:rPr>
        <w:t>表</w:t>
      </w:r>
      <w:r>
        <w:rPr>
          <w:rFonts w:eastAsia="黑体"/>
          <w:sz w:val="21"/>
          <w:szCs w:val="21"/>
        </w:rPr>
        <w:t xml:space="preserve">6.2-2   </w:t>
      </w:r>
      <w:r>
        <w:rPr>
          <w:rFonts w:ascii="黑体" w:eastAsia="黑体" w:hAnsi="黑体" w:hint="eastAsia"/>
          <w:sz w:val="21"/>
          <w:szCs w:val="21"/>
        </w:rPr>
        <w:t xml:space="preserve"> </w:t>
      </w:r>
      <w:r>
        <w:rPr>
          <w:rFonts w:ascii="黑体" w:eastAsia="黑体" w:hAnsi="黑体" w:hint="eastAsia"/>
          <w:sz w:val="21"/>
          <w:szCs w:val="21"/>
        </w:rPr>
        <w:t>天然包气带防污性能分级表</w:t>
      </w:r>
    </w:p>
    <w:tbl>
      <w:tblPr>
        <w:tblW w:w="8528" w:type="dxa"/>
        <w:jc w:val="center"/>
        <w:tblBorders>
          <w:top w:val="single" w:sz="4" w:space="0" w:color="auto"/>
          <w:bottom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38"/>
        <w:gridCol w:w="7790"/>
      </w:tblGrid>
      <w:tr w:rsidR="00DB7CC8">
        <w:trPr>
          <w:trHeight w:val="283"/>
          <w:tblHeader/>
          <w:jc w:val="center"/>
        </w:trPr>
        <w:tc>
          <w:tcPr>
            <w:tcW w:w="738" w:type="dxa"/>
            <w:tcBorders>
              <w:left w:val="single" w:sz="4" w:space="0" w:color="auto"/>
            </w:tcBorders>
            <w:shd w:val="clear" w:color="auto" w:fill="FFFFFF"/>
            <w:vAlign w:val="center"/>
          </w:tcPr>
          <w:p w:rsidR="00DB7CC8" w:rsidRDefault="002B5250">
            <w:pPr>
              <w:snapToGrid w:val="0"/>
              <w:spacing w:line="240" w:lineRule="auto"/>
              <w:ind w:firstLineChars="0" w:firstLine="0"/>
              <w:jc w:val="center"/>
              <w:rPr>
                <w:sz w:val="21"/>
                <w:szCs w:val="21"/>
              </w:rPr>
            </w:pPr>
            <w:r>
              <w:rPr>
                <w:sz w:val="21"/>
                <w:szCs w:val="21"/>
              </w:rPr>
              <w:t>分级</w:t>
            </w:r>
          </w:p>
        </w:tc>
        <w:tc>
          <w:tcPr>
            <w:tcW w:w="7790" w:type="dxa"/>
            <w:tcBorders>
              <w:right w:val="single" w:sz="4" w:space="0" w:color="auto"/>
            </w:tcBorders>
            <w:shd w:val="clear" w:color="auto" w:fill="FFFFFF"/>
            <w:vAlign w:val="center"/>
          </w:tcPr>
          <w:p w:rsidR="00DB7CC8" w:rsidRDefault="002B5250">
            <w:pPr>
              <w:snapToGrid w:val="0"/>
              <w:spacing w:line="240" w:lineRule="auto"/>
              <w:ind w:firstLineChars="0" w:firstLine="0"/>
              <w:jc w:val="center"/>
              <w:rPr>
                <w:sz w:val="21"/>
                <w:szCs w:val="21"/>
              </w:rPr>
            </w:pPr>
            <w:r>
              <w:rPr>
                <w:sz w:val="21"/>
                <w:szCs w:val="21"/>
              </w:rPr>
              <w:t>主要特征</w:t>
            </w:r>
          </w:p>
        </w:tc>
      </w:tr>
      <w:tr w:rsidR="00DB7CC8">
        <w:trPr>
          <w:trHeight w:val="283"/>
          <w:jc w:val="center"/>
        </w:trPr>
        <w:tc>
          <w:tcPr>
            <w:tcW w:w="738" w:type="dxa"/>
            <w:tcBorders>
              <w:left w:val="single" w:sz="4" w:space="0" w:color="auto"/>
            </w:tcBorders>
            <w:shd w:val="clear" w:color="auto" w:fill="FFFFFF"/>
            <w:vAlign w:val="center"/>
          </w:tcPr>
          <w:p w:rsidR="00DB7CC8" w:rsidRDefault="002B5250">
            <w:pPr>
              <w:snapToGrid w:val="0"/>
              <w:spacing w:line="240" w:lineRule="auto"/>
              <w:ind w:firstLineChars="0" w:firstLine="0"/>
              <w:jc w:val="center"/>
              <w:rPr>
                <w:sz w:val="21"/>
                <w:szCs w:val="21"/>
              </w:rPr>
            </w:pPr>
            <w:r>
              <w:rPr>
                <w:sz w:val="21"/>
                <w:szCs w:val="21"/>
              </w:rPr>
              <w:t>强</w:t>
            </w:r>
          </w:p>
        </w:tc>
        <w:tc>
          <w:tcPr>
            <w:tcW w:w="7790" w:type="dxa"/>
            <w:tcBorders>
              <w:right w:val="single" w:sz="4" w:space="0" w:color="auto"/>
            </w:tcBorders>
            <w:shd w:val="clear" w:color="auto" w:fill="FFFFFF"/>
            <w:vAlign w:val="center"/>
          </w:tcPr>
          <w:p w:rsidR="00DB7CC8" w:rsidRDefault="002B5250">
            <w:pPr>
              <w:snapToGrid w:val="0"/>
              <w:spacing w:line="240" w:lineRule="auto"/>
              <w:ind w:firstLineChars="0" w:firstLine="0"/>
              <w:jc w:val="center"/>
              <w:rPr>
                <w:sz w:val="21"/>
                <w:szCs w:val="21"/>
              </w:rPr>
            </w:pPr>
            <w:r>
              <w:rPr>
                <w:sz w:val="21"/>
                <w:szCs w:val="21"/>
              </w:rPr>
              <w:t>岩（土）层单层厚度</w:t>
            </w:r>
            <w:r>
              <w:rPr>
                <w:sz w:val="21"/>
                <w:szCs w:val="21"/>
              </w:rPr>
              <w:t>Mb≥1.0m</w:t>
            </w:r>
            <w:r>
              <w:rPr>
                <w:sz w:val="21"/>
                <w:szCs w:val="21"/>
              </w:rPr>
              <w:t>，渗透系数</w:t>
            </w:r>
            <w:r>
              <w:rPr>
                <w:sz w:val="21"/>
                <w:szCs w:val="21"/>
              </w:rPr>
              <w:t>K≤1×10</w:t>
            </w:r>
            <w:r>
              <w:rPr>
                <w:sz w:val="21"/>
                <w:szCs w:val="21"/>
                <w:vertAlign w:val="superscript"/>
              </w:rPr>
              <w:t>-6</w:t>
            </w:r>
            <w:r>
              <w:rPr>
                <w:sz w:val="21"/>
                <w:szCs w:val="21"/>
              </w:rPr>
              <w:t>cm/s</w:t>
            </w:r>
            <w:r>
              <w:rPr>
                <w:sz w:val="21"/>
                <w:szCs w:val="21"/>
              </w:rPr>
              <w:t>，且分布连续、稳定。</w:t>
            </w:r>
          </w:p>
        </w:tc>
      </w:tr>
      <w:tr w:rsidR="00DB7CC8">
        <w:trPr>
          <w:trHeight w:val="283"/>
          <w:jc w:val="center"/>
        </w:trPr>
        <w:tc>
          <w:tcPr>
            <w:tcW w:w="738" w:type="dxa"/>
            <w:vMerge w:val="restart"/>
            <w:tcBorders>
              <w:left w:val="single" w:sz="4" w:space="0" w:color="auto"/>
            </w:tcBorders>
            <w:shd w:val="clear" w:color="auto" w:fill="FFFFFF"/>
            <w:vAlign w:val="center"/>
          </w:tcPr>
          <w:p w:rsidR="00DB7CC8" w:rsidRDefault="002B5250">
            <w:pPr>
              <w:snapToGrid w:val="0"/>
              <w:spacing w:line="240" w:lineRule="auto"/>
              <w:ind w:firstLineChars="0" w:firstLine="0"/>
              <w:jc w:val="center"/>
              <w:rPr>
                <w:sz w:val="21"/>
                <w:szCs w:val="21"/>
              </w:rPr>
            </w:pPr>
            <w:r>
              <w:rPr>
                <w:sz w:val="21"/>
                <w:szCs w:val="21"/>
              </w:rPr>
              <w:t>中</w:t>
            </w:r>
          </w:p>
        </w:tc>
        <w:tc>
          <w:tcPr>
            <w:tcW w:w="7790" w:type="dxa"/>
            <w:tcBorders>
              <w:right w:val="single" w:sz="4" w:space="0" w:color="auto"/>
            </w:tcBorders>
            <w:shd w:val="clear" w:color="auto" w:fill="FFFFFF"/>
            <w:vAlign w:val="center"/>
          </w:tcPr>
          <w:p w:rsidR="00DB7CC8" w:rsidRDefault="002B5250">
            <w:pPr>
              <w:snapToGrid w:val="0"/>
              <w:spacing w:line="240" w:lineRule="auto"/>
              <w:ind w:firstLineChars="0" w:firstLine="0"/>
              <w:jc w:val="center"/>
              <w:rPr>
                <w:sz w:val="21"/>
                <w:szCs w:val="21"/>
              </w:rPr>
            </w:pPr>
            <w:r>
              <w:rPr>
                <w:sz w:val="21"/>
                <w:szCs w:val="21"/>
              </w:rPr>
              <w:t>岩（土）层单层厚度</w:t>
            </w:r>
            <w:r>
              <w:rPr>
                <w:sz w:val="21"/>
                <w:szCs w:val="21"/>
              </w:rPr>
              <w:t>0.5m≤Mb&lt;1.0m</w:t>
            </w:r>
            <w:r>
              <w:rPr>
                <w:sz w:val="21"/>
                <w:szCs w:val="21"/>
              </w:rPr>
              <w:t>，渗透系数</w:t>
            </w:r>
            <w:r>
              <w:rPr>
                <w:sz w:val="21"/>
                <w:szCs w:val="21"/>
              </w:rPr>
              <w:t>K≤1×10</w:t>
            </w:r>
            <w:r>
              <w:rPr>
                <w:sz w:val="21"/>
                <w:szCs w:val="21"/>
                <w:vertAlign w:val="superscript"/>
              </w:rPr>
              <w:t>-6</w:t>
            </w:r>
            <w:r>
              <w:rPr>
                <w:sz w:val="21"/>
                <w:szCs w:val="21"/>
              </w:rPr>
              <w:t>cm/s</w:t>
            </w:r>
            <w:r>
              <w:rPr>
                <w:sz w:val="21"/>
                <w:szCs w:val="21"/>
              </w:rPr>
              <w:t>，且分布连续、稳定。</w:t>
            </w:r>
          </w:p>
        </w:tc>
      </w:tr>
      <w:tr w:rsidR="00DB7CC8">
        <w:trPr>
          <w:trHeight w:val="283"/>
          <w:jc w:val="center"/>
        </w:trPr>
        <w:tc>
          <w:tcPr>
            <w:tcW w:w="738" w:type="dxa"/>
            <w:vMerge/>
            <w:tcBorders>
              <w:left w:val="single" w:sz="4" w:space="0" w:color="auto"/>
            </w:tcBorders>
            <w:shd w:val="clear" w:color="auto" w:fill="FFFFFF"/>
            <w:vAlign w:val="center"/>
          </w:tcPr>
          <w:p w:rsidR="00DB7CC8" w:rsidRDefault="00DB7CC8">
            <w:pPr>
              <w:snapToGrid w:val="0"/>
              <w:spacing w:line="240" w:lineRule="auto"/>
              <w:ind w:firstLineChars="0" w:firstLine="0"/>
              <w:jc w:val="center"/>
              <w:rPr>
                <w:sz w:val="21"/>
                <w:szCs w:val="21"/>
              </w:rPr>
            </w:pPr>
          </w:p>
        </w:tc>
        <w:tc>
          <w:tcPr>
            <w:tcW w:w="7790" w:type="dxa"/>
            <w:tcBorders>
              <w:right w:val="single" w:sz="4" w:space="0" w:color="auto"/>
            </w:tcBorders>
            <w:shd w:val="clear" w:color="auto" w:fill="FFFFFF"/>
            <w:vAlign w:val="center"/>
          </w:tcPr>
          <w:p w:rsidR="00DB7CC8" w:rsidRDefault="002B5250">
            <w:pPr>
              <w:snapToGrid w:val="0"/>
              <w:spacing w:line="240" w:lineRule="auto"/>
              <w:ind w:firstLineChars="0" w:firstLine="0"/>
              <w:jc w:val="center"/>
              <w:rPr>
                <w:sz w:val="21"/>
                <w:szCs w:val="21"/>
              </w:rPr>
            </w:pPr>
            <w:r>
              <w:rPr>
                <w:sz w:val="21"/>
                <w:szCs w:val="21"/>
              </w:rPr>
              <w:t>岩（土）层单层厚度</w:t>
            </w:r>
            <w:r>
              <w:rPr>
                <w:sz w:val="21"/>
                <w:szCs w:val="21"/>
              </w:rPr>
              <w:t>Mb≥1.0m</w:t>
            </w:r>
            <w:r>
              <w:rPr>
                <w:sz w:val="21"/>
                <w:szCs w:val="21"/>
              </w:rPr>
              <w:t>，渗透系数</w:t>
            </w:r>
            <w:r>
              <w:rPr>
                <w:sz w:val="21"/>
                <w:szCs w:val="21"/>
              </w:rPr>
              <w:t>1×10</w:t>
            </w:r>
            <w:r>
              <w:rPr>
                <w:sz w:val="21"/>
                <w:szCs w:val="21"/>
                <w:vertAlign w:val="superscript"/>
              </w:rPr>
              <w:t>-6</w:t>
            </w:r>
            <w:r>
              <w:rPr>
                <w:sz w:val="21"/>
                <w:szCs w:val="21"/>
              </w:rPr>
              <w:t>cm/s&lt;K≤1×10</w:t>
            </w:r>
            <w:r>
              <w:rPr>
                <w:sz w:val="21"/>
                <w:szCs w:val="21"/>
                <w:vertAlign w:val="superscript"/>
              </w:rPr>
              <w:t>-4</w:t>
            </w:r>
            <w:r>
              <w:rPr>
                <w:sz w:val="21"/>
                <w:szCs w:val="21"/>
              </w:rPr>
              <w:t>cm/s</w:t>
            </w:r>
            <w:r>
              <w:rPr>
                <w:sz w:val="21"/>
                <w:szCs w:val="21"/>
              </w:rPr>
              <w:t>，且分布连续、稳定。</w:t>
            </w:r>
          </w:p>
        </w:tc>
      </w:tr>
      <w:tr w:rsidR="00DB7CC8">
        <w:trPr>
          <w:trHeight w:val="283"/>
          <w:jc w:val="center"/>
        </w:trPr>
        <w:tc>
          <w:tcPr>
            <w:tcW w:w="738" w:type="dxa"/>
            <w:tcBorders>
              <w:left w:val="single" w:sz="4" w:space="0" w:color="auto"/>
            </w:tcBorders>
            <w:shd w:val="clear" w:color="auto" w:fill="FFFFFF"/>
            <w:vAlign w:val="center"/>
          </w:tcPr>
          <w:p w:rsidR="00DB7CC8" w:rsidRDefault="002B5250">
            <w:pPr>
              <w:snapToGrid w:val="0"/>
              <w:spacing w:line="240" w:lineRule="auto"/>
              <w:ind w:firstLineChars="0" w:firstLine="0"/>
              <w:jc w:val="center"/>
              <w:rPr>
                <w:sz w:val="21"/>
                <w:szCs w:val="21"/>
              </w:rPr>
            </w:pPr>
            <w:r>
              <w:rPr>
                <w:sz w:val="21"/>
                <w:szCs w:val="21"/>
              </w:rPr>
              <w:t>弱</w:t>
            </w:r>
          </w:p>
        </w:tc>
        <w:tc>
          <w:tcPr>
            <w:tcW w:w="7790" w:type="dxa"/>
            <w:tcBorders>
              <w:right w:val="single" w:sz="4" w:space="0" w:color="auto"/>
            </w:tcBorders>
            <w:shd w:val="clear" w:color="auto" w:fill="FFFFFF"/>
            <w:vAlign w:val="center"/>
          </w:tcPr>
          <w:p w:rsidR="00DB7CC8" w:rsidRDefault="002B5250">
            <w:pPr>
              <w:snapToGrid w:val="0"/>
              <w:spacing w:line="240" w:lineRule="auto"/>
              <w:ind w:firstLineChars="0" w:firstLine="0"/>
              <w:jc w:val="center"/>
              <w:rPr>
                <w:sz w:val="21"/>
                <w:szCs w:val="21"/>
              </w:rPr>
            </w:pPr>
            <w:r>
              <w:rPr>
                <w:sz w:val="21"/>
                <w:szCs w:val="21"/>
              </w:rPr>
              <w:t>岩（土）层不满足上述</w:t>
            </w:r>
            <w:r>
              <w:rPr>
                <w:sz w:val="21"/>
                <w:szCs w:val="21"/>
              </w:rPr>
              <w:t>“</w:t>
            </w:r>
            <w:r>
              <w:rPr>
                <w:sz w:val="21"/>
                <w:szCs w:val="21"/>
              </w:rPr>
              <w:t>强</w:t>
            </w:r>
            <w:r>
              <w:rPr>
                <w:sz w:val="21"/>
                <w:szCs w:val="21"/>
              </w:rPr>
              <w:t>”</w:t>
            </w:r>
            <w:r>
              <w:rPr>
                <w:sz w:val="21"/>
                <w:szCs w:val="21"/>
              </w:rPr>
              <w:t>和</w:t>
            </w:r>
            <w:r>
              <w:rPr>
                <w:sz w:val="21"/>
                <w:szCs w:val="21"/>
              </w:rPr>
              <w:t>“</w:t>
            </w:r>
            <w:r>
              <w:rPr>
                <w:sz w:val="21"/>
                <w:szCs w:val="21"/>
              </w:rPr>
              <w:t>中</w:t>
            </w:r>
            <w:r>
              <w:rPr>
                <w:sz w:val="21"/>
                <w:szCs w:val="21"/>
              </w:rPr>
              <w:t>”</w:t>
            </w:r>
            <w:r>
              <w:rPr>
                <w:sz w:val="21"/>
                <w:szCs w:val="21"/>
              </w:rPr>
              <w:t>条件。</w:t>
            </w:r>
          </w:p>
        </w:tc>
      </w:tr>
    </w:tbl>
    <w:p w:rsidR="00DB7CC8" w:rsidRDefault="002B5250">
      <w:pPr>
        <w:ind w:firstLine="480"/>
        <w:textAlignment w:val="auto"/>
        <w:rPr>
          <w:sz w:val="24"/>
          <w:szCs w:val="24"/>
        </w:rPr>
      </w:pPr>
      <w:r>
        <w:rPr>
          <w:sz w:val="24"/>
          <w:szCs w:val="24"/>
        </w:rPr>
        <w:t>同时，根据《环境影响评价导则</w:t>
      </w:r>
      <w:r>
        <w:rPr>
          <w:sz w:val="24"/>
          <w:szCs w:val="24"/>
        </w:rPr>
        <w:t>—</w:t>
      </w:r>
      <w:r>
        <w:rPr>
          <w:sz w:val="24"/>
          <w:szCs w:val="24"/>
        </w:rPr>
        <w:t>地下水环境》（</w:t>
      </w:r>
      <w:r>
        <w:rPr>
          <w:sz w:val="24"/>
          <w:szCs w:val="24"/>
        </w:rPr>
        <w:t>HJ610-2016</w:t>
      </w:r>
      <w:r>
        <w:rPr>
          <w:sz w:val="24"/>
          <w:szCs w:val="24"/>
        </w:rPr>
        <w:t>）《表</w:t>
      </w:r>
      <w:r>
        <w:rPr>
          <w:sz w:val="24"/>
          <w:szCs w:val="24"/>
        </w:rPr>
        <w:t xml:space="preserve">5 </w:t>
      </w:r>
      <w:r>
        <w:rPr>
          <w:sz w:val="24"/>
          <w:szCs w:val="24"/>
        </w:rPr>
        <w:t>污染控制难易程度分级参照表》：将项目区</w:t>
      </w:r>
      <w:r>
        <w:rPr>
          <w:rFonts w:hint="eastAsia"/>
          <w:spacing w:val="-10"/>
          <w:sz w:val="24"/>
          <w:szCs w:val="24"/>
        </w:rPr>
        <w:t>危废间</w:t>
      </w:r>
      <w:r>
        <w:rPr>
          <w:spacing w:val="-10"/>
          <w:sz w:val="24"/>
          <w:szCs w:val="24"/>
        </w:rPr>
        <w:t>、</w:t>
      </w:r>
      <w:r>
        <w:rPr>
          <w:rFonts w:hint="eastAsia"/>
          <w:sz w:val="24"/>
          <w:szCs w:val="24"/>
        </w:rPr>
        <w:t>浓密池、清水池、事故池、成品库、破碎车间、砂石库、原料库的</w:t>
      </w:r>
      <w:r>
        <w:rPr>
          <w:spacing w:val="-10"/>
          <w:sz w:val="24"/>
          <w:szCs w:val="24"/>
        </w:rPr>
        <w:t>污染控制难易程度确定为</w:t>
      </w:r>
      <w:r>
        <w:rPr>
          <w:spacing w:val="-10"/>
          <w:sz w:val="24"/>
          <w:szCs w:val="24"/>
        </w:rPr>
        <w:t>“</w:t>
      </w:r>
      <w:r>
        <w:rPr>
          <w:spacing w:val="-10"/>
          <w:sz w:val="24"/>
          <w:szCs w:val="24"/>
        </w:rPr>
        <w:t>难</w:t>
      </w:r>
      <w:r>
        <w:rPr>
          <w:spacing w:val="-10"/>
          <w:sz w:val="24"/>
          <w:szCs w:val="24"/>
        </w:rPr>
        <w:t>”</w:t>
      </w:r>
      <w:r>
        <w:rPr>
          <w:spacing w:val="-10"/>
          <w:sz w:val="24"/>
          <w:szCs w:val="24"/>
        </w:rPr>
        <w:t>；</w:t>
      </w:r>
      <w:r>
        <w:rPr>
          <w:sz w:val="24"/>
          <w:szCs w:val="24"/>
        </w:rPr>
        <w:t>将项目区</w:t>
      </w:r>
      <w:r>
        <w:rPr>
          <w:rFonts w:hint="eastAsia"/>
          <w:sz w:val="24"/>
          <w:szCs w:val="24"/>
        </w:rPr>
        <w:t>洗车平台、磅房、办公区、配电室</w:t>
      </w:r>
      <w:r>
        <w:rPr>
          <w:spacing w:val="-10"/>
          <w:sz w:val="24"/>
          <w:szCs w:val="24"/>
        </w:rPr>
        <w:t>等</w:t>
      </w:r>
      <w:r>
        <w:rPr>
          <w:sz w:val="24"/>
          <w:szCs w:val="24"/>
        </w:rPr>
        <w:t>污染物泄漏后，可及时发现和处理的地面以上设</w:t>
      </w:r>
      <w:r>
        <w:rPr>
          <w:sz w:val="24"/>
          <w:szCs w:val="24"/>
        </w:rPr>
        <w:lastRenderedPageBreak/>
        <w:t>备或建筑物，</w:t>
      </w:r>
      <w:r>
        <w:rPr>
          <w:spacing w:val="-10"/>
          <w:sz w:val="24"/>
          <w:szCs w:val="24"/>
        </w:rPr>
        <w:t>污染控制难易程度确定为</w:t>
      </w:r>
      <w:r>
        <w:rPr>
          <w:spacing w:val="-10"/>
          <w:sz w:val="24"/>
          <w:szCs w:val="24"/>
        </w:rPr>
        <w:t>“</w:t>
      </w:r>
      <w:r>
        <w:rPr>
          <w:spacing w:val="-10"/>
          <w:sz w:val="24"/>
          <w:szCs w:val="24"/>
        </w:rPr>
        <w:t>易</w:t>
      </w:r>
      <w:r>
        <w:rPr>
          <w:spacing w:val="-10"/>
          <w:sz w:val="24"/>
          <w:szCs w:val="24"/>
        </w:rPr>
        <w:t>”</w:t>
      </w:r>
      <w:r>
        <w:rPr>
          <w:spacing w:val="-10"/>
          <w:sz w:val="24"/>
          <w:szCs w:val="24"/>
        </w:rPr>
        <w:t>。</w:t>
      </w:r>
    </w:p>
    <w:p w:rsidR="00DB7CC8" w:rsidRDefault="002B5250">
      <w:pPr>
        <w:spacing w:line="240" w:lineRule="auto"/>
        <w:ind w:firstLineChars="0" w:firstLine="0"/>
        <w:jc w:val="center"/>
        <w:rPr>
          <w:rFonts w:ascii="黑体" w:eastAsia="黑体" w:hAnsi="黑体"/>
          <w:sz w:val="21"/>
          <w:szCs w:val="21"/>
        </w:rPr>
      </w:pPr>
      <w:r>
        <w:rPr>
          <w:rFonts w:eastAsia="黑体"/>
          <w:sz w:val="21"/>
          <w:szCs w:val="21"/>
        </w:rPr>
        <w:t>表</w:t>
      </w:r>
      <w:r>
        <w:rPr>
          <w:rFonts w:eastAsia="黑体"/>
          <w:sz w:val="21"/>
          <w:szCs w:val="21"/>
        </w:rPr>
        <w:t>6.2-3</w:t>
      </w:r>
      <w:r>
        <w:rPr>
          <w:rFonts w:ascii="黑体" w:eastAsia="黑体" w:hAnsi="黑体" w:hint="eastAsia"/>
          <w:sz w:val="21"/>
          <w:szCs w:val="21"/>
        </w:rPr>
        <w:t xml:space="preserve">    </w:t>
      </w:r>
      <w:r>
        <w:rPr>
          <w:rFonts w:ascii="黑体" w:eastAsia="黑体" w:hAnsi="黑体" w:hint="eastAsia"/>
          <w:sz w:val="21"/>
          <w:szCs w:val="21"/>
        </w:rPr>
        <w:t>污染控制难易程度分级参照表</w:t>
      </w:r>
    </w:p>
    <w:tbl>
      <w:tblPr>
        <w:tblW w:w="8522"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6566"/>
      </w:tblGrid>
      <w:tr w:rsidR="00DB7CC8">
        <w:trPr>
          <w:jc w:val="center"/>
        </w:trPr>
        <w:tc>
          <w:tcPr>
            <w:tcW w:w="1956" w:type="dxa"/>
            <w:tcBorders>
              <w:left w:val="single" w:sz="4" w:space="0" w:color="auto"/>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污染控制难易程度</w:t>
            </w:r>
          </w:p>
        </w:tc>
        <w:tc>
          <w:tcPr>
            <w:tcW w:w="6566" w:type="dxa"/>
            <w:tcBorders>
              <w:right w:val="single" w:sz="4" w:space="0" w:color="auto"/>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主要特征</w:t>
            </w:r>
          </w:p>
        </w:tc>
      </w:tr>
      <w:tr w:rsidR="00DB7CC8">
        <w:trPr>
          <w:jc w:val="center"/>
        </w:trPr>
        <w:tc>
          <w:tcPr>
            <w:tcW w:w="1956" w:type="dxa"/>
            <w:tcBorders>
              <w:left w:val="single" w:sz="4" w:space="0" w:color="auto"/>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难</w:t>
            </w:r>
          </w:p>
        </w:tc>
        <w:tc>
          <w:tcPr>
            <w:tcW w:w="6566" w:type="dxa"/>
            <w:tcBorders>
              <w:right w:val="single" w:sz="4" w:space="0" w:color="auto"/>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对地下水环境有污染的物料或污染物泄漏后，不能及时发现和处理</w:t>
            </w:r>
          </w:p>
        </w:tc>
      </w:tr>
      <w:tr w:rsidR="00DB7CC8">
        <w:trPr>
          <w:jc w:val="center"/>
        </w:trPr>
        <w:tc>
          <w:tcPr>
            <w:tcW w:w="1956" w:type="dxa"/>
            <w:tcBorders>
              <w:left w:val="single" w:sz="4" w:space="0" w:color="auto"/>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易</w:t>
            </w:r>
          </w:p>
        </w:tc>
        <w:tc>
          <w:tcPr>
            <w:tcW w:w="6566" w:type="dxa"/>
            <w:tcBorders>
              <w:right w:val="single" w:sz="4" w:space="0" w:color="auto"/>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对地下水环境有污染的物料或污染物泄漏后，可及时发现和处理</w:t>
            </w:r>
          </w:p>
        </w:tc>
      </w:tr>
    </w:tbl>
    <w:p w:rsidR="00DB7CC8" w:rsidRDefault="002B5250">
      <w:pPr>
        <w:pStyle w:val="af4"/>
        <w:snapToGrid w:val="0"/>
        <w:spacing w:after="0" w:line="360" w:lineRule="auto"/>
        <w:ind w:leftChars="0" w:left="0" w:firstLineChars="200" w:firstLine="480"/>
        <w:rPr>
          <w:sz w:val="24"/>
        </w:rPr>
      </w:pPr>
      <w:r>
        <w:rPr>
          <w:rFonts w:hint="eastAsia"/>
          <w:sz w:val="24"/>
        </w:rPr>
        <w:t>最终参照《</w:t>
      </w:r>
      <w:r>
        <w:rPr>
          <w:sz w:val="24"/>
        </w:rPr>
        <w:t>表</w:t>
      </w:r>
      <w:r>
        <w:rPr>
          <w:rFonts w:hint="eastAsia"/>
          <w:sz w:val="24"/>
        </w:rPr>
        <w:t xml:space="preserve">6.2-4 </w:t>
      </w:r>
      <w:r>
        <w:rPr>
          <w:sz w:val="24"/>
        </w:rPr>
        <w:t>地下水污染防渗分区参照表</w:t>
      </w:r>
      <w:r>
        <w:rPr>
          <w:rFonts w:hint="eastAsia"/>
          <w:sz w:val="24"/>
        </w:rPr>
        <w:t>》</w:t>
      </w:r>
      <w:r>
        <w:rPr>
          <w:sz w:val="24"/>
        </w:rPr>
        <w:t>，将本项目厂区划分为重点防渗分区</w:t>
      </w:r>
      <w:r>
        <w:rPr>
          <w:rFonts w:hint="eastAsia"/>
          <w:sz w:val="24"/>
        </w:rPr>
        <w:t>、</w:t>
      </w:r>
      <w:r>
        <w:rPr>
          <w:sz w:val="24"/>
        </w:rPr>
        <w:t>一般防渗分区</w:t>
      </w:r>
      <w:r>
        <w:rPr>
          <w:rFonts w:hint="eastAsia"/>
          <w:sz w:val="24"/>
        </w:rPr>
        <w:t>和简单防渗区</w:t>
      </w:r>
      <w:r>
        <w:rPr>
          <w:sz w:val="24"/>
        </w:rPr>
        <w:t>，</w:t>
      </w:r>
      <w:r>
        <w:rPr>
          <w:rFonts w:hint="eastAsia"/>
          <w:sz w:val="24"/>
        </w:rPr>
        <w:t>划分结果详见</w:t>
      </w:r>
      <w:r>
        <w:rPr>
          <w:sz w:val="24"/>
        </w:rPr>
        <w:t>表</w:t>
      </w:r>
      <w:r>
        <w:rPr>
          <w:sz w:val="24"/>
        </w:rPr>
        <w:t>6</w:t>
      </w:r>
      <w:r>
        <w:rPr>
          <w:rFonts w:hint="eastAsia"/>
          <w:sz w:val="24"/>
        </w:rPr>
        <w:t>.2-4</w:t>
      </w:r>
      <w:r>
        <w:rPr>
          <w:rFonts w:hint="eastAsia"/>
          <w:sz w:val="24"/>
        </w:rPr>
        <w:t>和表</w:t>
      </w:r>
      <w:r>
        <w:rPr>
          <w:rFonts w:hint="eastAsia"/>
          <w:sz w:val="24"/>
        </w:rPr>
        <w:t>6.2-5</w:t>
      </w:r>
      <w:r>
        <w:rPr>
          <w:rFonts w:hint="eastAsia"/>
          <w:sz w:val="24"/>
        </w:rPr>
        <w:t>。</w:t>
      </w:r>
    </w:p>
    <w:p w:rsidR="00DB7CC8" w:rsidRDefault="002B5250">
      <w:pPr>
        <w:spacing w:line="240" w:lineRule="auto"/>
        <w:ind w:firstLineChars="0" w:firstLine="0"/>
        <w:jc w:val="center"/>
        <w:rPr>
          <w:rFonts w:eastAsia="黑体"/>
          <w:sz w:val="21"/>
          <w:szCs w:val="21"/>
        </w:rPr>
      </w:pPr>
      <w:r>
        <w:rPr>
          <w:rFonts w:eastAsia="黑体"/>
          <w:sz w:val="21"/>
          <w:szCs w:val="21"/>
        </w:rPr>
        <w:t>表</w:t>
      </w:r>
      <w:r>
        <w:rPr>
          <w:rFonts w:eastAsia="黑体"/>
          <w:sz w:val="21"/>
          <w:szCs w:val="21"/>
        </w:rPr>
        <w:t xml:space="preserve">6.2-4    </w:t>
      </w:r>
      <w:r>
        <w:rPr>
          <w:rFonts w:eastAsia="黑体"/>
          <w:sz w:val="21"/>
          <w:szCs w:val="21"/>
        </w:rPr>
        <w:t>地下水污染防渗分区参照表</w:t>
      </w:r>
    </w:p>
    <w:tbl>
      <w:tblPr>
        <w:tblW w:w="8522"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815"/>
        <w:gridCol w:w="1202"/>
        <w:gridCol w:w="1105"/>
        <w:gridCol w:w="1606"/>
        <w:gridCol w:w="3794"/>
      </w:tblGrid>
      <w:tr w:rsidR="00DB7CC8">
        <w:tc>
          <w:tcPr>
            <w:tcW w:w="815" w:type="dxa"/>
            <w:tcBorders>
              <w:left w:val="single" w:sz="4" w:space="0" w:color="auto"/>
            </w:tcBorders>
            <w:vAlign w:val="center"/>
          </w:tcPr>
          <w:p w:rsidR="00DB7CC8" w:rsidRDefault="002B5250">
            <w:pPr>
              <w:snapToGrid w:val="0"/>
              <w:spacing w:line="240" w:lineRule="auto"/>
              <w:ind w:firstLineChars="0" w:firstLine="0"/>
              <w:jc w:val="center"/>
              <w:rPr>
                <w:sz w:val="21"/>
                <w:szCs w:val="21"/>
              </w:rPr>
            </w:pPr>
            <w:r>
              <w:rPr>
                <w:sz w:val="21"/>
                <w:szCs w:val="21"/>
              </w:rPr>
              <w:t>防渗分区</w:t>
            </w:r>
          </w:p>
        </w:tc>
        <w:tc>
          <w:tcPr>
            <w:tcW w:w="1202" w:type="dxa"/>
            <w:vAlign w:val="center"/>
          </w:tcPr>
          <w:p w:rsidR="00DB7CC8" w:rsidRDefault="002B5250">
            <w:pPr>
              <w:snapToGrid w:val="0"/>
              <w:spacing w:line="240" w:lineRule="auto"/>
              <w:ind w:firstLineChars="0" w:firstLine="0"/>
              <w:jc w:val="center"/>
              <w:rPr>
                <w:sz w:val="21"/>
                <w:szCs w:val="21"/>
              </w:rPr>
            </w:pPr>
            <w:r>
              <w:rPr>
                <w:sz w:val="21"/>
                <w:szCs w:val="21"/>
              </w:rPr>
              <w:t>天然包气带防污性能</w:t>
            </w:r>
          </w:p>
        </w:tc>
        <w:tc>
          <w:tcPr>
            <w:tcW w:w="1105" w:type="dxa"/>
            <w:vAlign w:val="center"/>
          </w:tcPr>
          <w:p w:rsidR="00DB7CC8" w:rsidRDefault="002B5250">
            <w:pPr>
              <w:snapToGrid w:val="0"/>
              <w:spacing w:line="240" w:lineRule="auto"/>
              <w:ind w:firstLineChars="0" w:firstLine="0"/>
              <w:jc w:val="center"/>
              <w:rPr>
                <w:sz w:val="21"/>
                <w:szCs w:val="21"/>
              </w:rPr>
            </w:pPr>
            <w:r>
              <w:rPr>
                <w:sz w:val="21"/>
                <w:szCs w:val="21"/>
              </w:rPr>
              <w:t>污染控制难易程度</w:t>
            </w:r>
          </w:p>
        </w:tc>
        <w:tc>
          <w:tcPr>
            <w:tcW w:w="1606" w:type="dxa"/>
            <w:vAlign w:val="center"/>
          </w:tcPr>
          <w:p w:rsidR="00DB7CC8" w:rsidRDefault="002B5250">
            <w:pPr>
              <w:snapToGrid w:val="0"/>
              <w:spacing w:line="240" w:lineRule="auto"/>
              <w:ind w:firstLineChars="0" w:firstLine="0"/>
              <w:jc w:val="center"/>
              <w:rPr>
                <w:sz w:val="21"/>
                <w:szCs w:val="21"/>
              </w:rPr>
            </w:pPr>
            <w:r>
              <w:rPr>
                <w:sz w:val="21"/>
                <w:szCs w:val="21"/>
              </w:rPr>
              <w:t>污染物类型</w:t>
            </w:r>
          </w:p>
        </w:tc>
        <w:tc>
          <w:tcPr>
            <w:tcW w:w="3794" w:type="dxa"/>
            <w:tcBorders>
              <w:right w:val="single" w:sz="4" w:space="0" w:color="auto"/>
            </w:tcBorders>
            <w:vAlign w:val="center"/>
          </w:tcPr>
          <w:p w:rsidR="00DB7CC8" w:rsidRDefault="002B5250">
            <w:pPr>
              <w:snapToGrid w:val="0"/>
              <w:spacing w:line="240" w:lineRule="auto"/>
              <w:ind w:firstLineChars="0" w:firstLine="0"/>
              <w:jc w:val="center"/>
              <w:rPr>
                <w:sz w:val="21"/>
                <w:szCs w:val="21"/>
              </w:rPr>
            </w:pPr>
            <w:r>
              <w:rPr>
                <w:sz w:val="21"/>
                <w:szCs w:val="21"/>
              </w:rPr>
              <w:t>防渗技术要求</w:t>
            </w:r>
          </w:p>
        </w:tc>
      </w:tr>
      <w:tr w:rsidR="00DB7CC8">
        <w:tc>
          <w:tcPr>
            <w:tcW w:w="815" w:type="dxa"/>
            <w:vMerge w:val="restart"/>
            <w:tcBorders>
              <w:left w:val="single" w:sz="4" w:space="0" w:color="auto"/>
            </w:tcBorders>
            <w:vAlign w:val="center"/>
          </w:tcPr>
          <w:p w:rsidR="00DB7CC8" w:rsidRDefault="002B5250">
            <w:pPr>
              <w:snapToGrid w:val="0"/>
              <w:spacing w:line="240" w:lineRule="auto"/>
              <w:ind w:firstLineChars="0" w:firstLine="0"/>
              <w:jc w:val="center"/>
              <w:rPr>
                <w:sz w:val="21"/>
                <w:szCs w:val="21"/>
              </w:rPr>
            </w:pPr>
            <w:r>
              <w:rPr>
                <w:sz w:val="21"/>
                <w:szCs w:val="21"/>
              </w:rPr>
              <w:t>重点防渗区</w:t>
            </w:r>
          </w:p>
        </w:tc>
        <w:tc>
          <w:tcPr>
            <w:tcW w:w="1202" w:type="dxa"/>
            <w:vAlign w:val="center"/>
          </w:tcPr>
          <w:p w:rsidR="00DB7CC8" w:rsidRDefault="002B5250">
            <w:pPr>
              <w:snapToGrid w:val="0"/>
              <w:spacing w:line="240" w:lineRule="auto"/>
              <w:ind w:firstLineChars="0" w:firstLine="0"/>
              <w:jc w:val="center"/>
              <w:rPr>
                <w:sz w:val="21"/>
                <w:szCs w:val="21"/>
              </w:rPr>
            </w:pPr>
            <w:r>
              <w:rPr>
                <w:sz w:val="21"/>
                <w:szCs w:val="21"/>
              </w:rPr>
              <w:t>弱</w:t>
            </w:r>
          </w:p>
        </w:tc>
        <w:tc>
          <w:tcPr>
            <w:tcW w:w="1105" w:type="dxa"/>
            <w:vAlign w:val="center"/>
          </w:tcPr>
          <w:p w:rsidR="00DB7CC8" w:rsidRDefault="002B5250">
            <w:pPr>
              <w:snapToGrid w:val="0"/>
              <w:spacing w:line="240" w:lineRule="auto"/>
              <w:ind w:firstLineChars="0" w:firstLine="0"/>
              <w:jc w:val="center"/>
              <w:rPr>
                <w:sz w:val="21"/>
                <w:szCs w:val="21"/>
              </w:rPr>
            </w:pPr>
            <w:r>
              <w:rPr>
                <w:sz w:val="21"/>
                <w:szCs w:val="21"/>
              </w:rPr>
              <w:t>难</w:t>
            </w:r>
          </w:p>
        </w:tc>
        <w:tc>
          <w:tcPr>
            <w:tcW w:w="1606" w:type="dxa"/>
            <w:vMerge w:val="restart"/>
            <w:vAlign w:val="center"/>
          </w:tcPr>
          <w:p w:rsidR="00DB7CC8" w:rsidRDefault="002B5250">
            <w:pPr>
              <w:snapToGrid w:val="0"/>
              <w:spacing w:line="240" w:lineRule="auto"/>
              <w:ind w:firstLineChars="0" w:firstLine="0"/>
              <w:jc w:val="center"/>
              <w:rPr>
                <w:sz w:val="21"/>
                <w:szCs w:val="21"/>
              </w:rPr>
            </w:pPr>
            <w:r>
              <w:rPr>
                <w:sz w:val="21"/>
                <w:szCs w:val="21"/>
              </w:rPr>
              <w:t>重金属、持久性有机污染物</w:t>
            </w:r>
          </w:p>
        </w:tc>
        <w:tc>
          <w:tcPr>
            <w:tcW w:w="3794" w:type="dxa"/>
            <w:vMerge w:val="restart"/>
            <w:tcBorders>
              <w:right w:val="single" w:sz="4" w:space="0" w:color="auto"/>
            </w:tcBorders>
            <w:vAlign w:val="center"/>
          </w:tcPr>
          <w:p w:rsidR="00DB7CC8" w:rsidRDefault="002B5250">
            <w:pPr>
              <w:snapToGrid w:val="0"/>
              <w:spacing w:line="240" w:lineRule="auto"/>
              <w:ind w:firstLineChars="0" w:firstLine="0"/>
              <w:rPr>
                <w:sz w:val="21"/>
                <w:szCs w:val="21"/>
              </w:rPr>
            </w:pPr>
            <w:r>
              <w:rPr>
                <w:sz w:val="21"/>
                <w:szCs w:val="21"/>
              </w:rPr>
              <w:t>等效黏土防渗层</w:t>
            </w:r>
            <w:r>
              <w:rPr>
                <w:sz w:val="21"/>
                <w:szCs w:val="21"/>
              </w:rPr>
              <w:t>Mb≥6.0m</w:t>
            </w:r>
            <w:r>
              <w:rPr>
                <w:sz w:val="21"/>
                <w:szCs w:val="21"/>
              </w:rPr>
              <w:t>，</w:t>
            </w:r>
            <w:r>
              <w:rPr>
                <w:sz w:val="21"/>
                <w:szCs w:val="21"/>
              </w:rPr>
              <w:t>K≤1×10</w:t>
            </w:r>
            <w:r>
              <w:rPr>
                <w:sz w:val="21"/>
                <w:szCs w:val="21"/>
                <w:vertAlign w:val="superscript"/>
              </w:rPr>
              <w:t>-7</w:t>
            </w:r>
            <w:r>
              <w:rPr>
                <w:sz w:val="21"/>
                <w:szCs w:val="21"/>
              </w:rPr>
              <w:t>cm/s</w:t>
            </w:r>
            <w:r>
              <w:rPr>
                <w:sz w:val="21"/>
                <w:szCs w:val="21"/>
              </w:rPr>
              <w:t>；或参照</w:t>
            </w:r>
            <w:r>
              <w:rPr>
                <w:sz w:val="21"/>
                <w:szCs w:val="21"/>
              </w:rPr>
              <w:t>GB18598</w:t>
            </w:r>
            <w:r>
              <w:rPr>
                <w:sz w:val="21"/>
                <w:szCs w:val="21"/>
              </w:rPr>
              <w:t>执行</w:t>
            </w:r>
          </w:p>
        </w:tc>
      </w:tr>
      <w:tr w:rsidR="00DB7CC8">
        <w:tc>
          <w:tcPr>
            <w:tcW w:w="815" w:type="dxa"/>
            <w:vMerge/>
            <w:tcBorders>
              <w:left w:val="single" w:sz="4" w:space="0" w:color="auto"/>
            </w:tcBorders>
            <w:vAlign w:val="center"/>
          </w:tcPr>
          <w:p w:rsidR="00DB7CC8" w:rsidRDefault="00DB7CC8">
            <w:pPr>
              <w:snapToGrid w:val="0"/>
              <w:spacing w:line="240" w:lineRule="auto"/>
              <w:ind w:firstLineChars="0" w:firstLine="0"/>
              <w:jc w:val="center"/>
              <w:rPr>
                <w:sz w:val="21"/>
                <w:szCs w:val="21"/>
              </w:rPr>
            </w:pPr>
          </w:p>
        </w:tc>
        <w:tc>
          <w:tcPr>
            <w:tcW w:w="1202" w:type="dxa"/>
            <w:vAlign w:val="center"/>
          </w:tcPr>
          <w:p w:rsidR="00DB7CC8" w:rsidRDefault="002B5250">
            <w:pPr>
              <w:snapToGrid w:val="0"/>
              <w:spacing w:line="240" w:lineRule="auto"/>
              <w:ind w:firstLineChars="0" w:firstLine="0"/>
              <w:jc w:val="center"/>
              <w:rPr>
                <w:sz w:val="21"/>
                <w:szCs w:val="21"/>
              </w:rPr>
            </w:pPr>
            <w:r>
              <w:rPr>
                <w:sz w:val="21"/>
                <w:szCs w:val="21"/>
              </w:rPr>
              <w:t>中</w:t>
            </w:r>
            <w:r>
              <w:rPr>
                <w:sz w:val="21"/>
                <w:szCs w:val="21"/>
              </w:rPr>
              <w:t>-</w:t>
            </w:r>
            <w:r>
              <w:rPr>
                <w:sz w:val="21"/>
                <w:szCs w:val="21"/>
              </w:rPr>
              <w:t>强</w:t>
            </w:r>
          </w:p>
        </w:tc>
        <w:tc>
          <w:tcPr>
            <w:tcW w:w="1105" w:type="dxa"/>
            <w:vAlign w:val="center"/>
          </w:tcPr>
          <w:p w:rsidR="00DB7CC8" w:rsidRDefault="002B5250">
            <w:pPr>
              <w:snapToGrid w:val="0"/>
              <w:spacing w:line="240" w:lineRule="auto"/>
              <w:ind w:firstLineChars="0" w:firstLine="0"/>
              <w:jc w:val="center"/>
              <w:rPr>
                <w:sz w:val="21"/>
                <w:szCs w:val="21"/>
              </w:rPr>
            </w:pPr>
            <w:r>
              <w:rPr>
                <w:sz w:val="21"/>
                <w:szCs w:val="21"/>
              </w:rPr>
              <w:t>难</w:t>
            </w:r>
          </w:p>
        </w:tc>
        <w:tc>
          <w:tcPr>
            <w:tcW w:w="1606" w:type="dxa"/>
            <w:vMerge/>
            <w:vAlign w:val="center"/>
          </w:tcPr>
          <w:p w:rsidR="00DB7CC8" w:rsidRDefault="00DB7CC8">
            <w:pPr>
              <w:snapToGrid w:val="0"/>
              <w:spacing w:line="240" w:lineRule="auto"/>
              <w:ind w:firstLineChars="0" w:firstLine="0"/>
              <w:jc w:val="center"/>
              <w:rPr>
                <w:sz w:val="21"/>
                <w:szCs w:val="21"/>
              </w:rPr>
            </w:pPr>
          </w:p>
        </w:tc>
        <w:tc>
          <w:tcPr>
            <w:tcW w:w="3794" w:type="dxa"/>
            <w:vMerge/>
            <w:tcBorders>
              <w:right w:val="single" w:sz="4" w:space="0" w:color="auto"/>
            </w:tcBorders>
            <w:vAlign w:val="center"/>
          </w:tcPr>
          <w:p w:rsidR="00DB7CC8" w:rsidRDefault="00DB7CC8">
            <w:pPr>
              <w:snapToGrid w:val="0"/>
              <w:spacing w:line="240" w:lineRule="auto"/>
              <w:ind w:firstLineChars="0" w:firstLine="0"/>
              <w:jc w:val="center"/>
              <w:rPr>
                <w:sz w:val="21"/>
                <w:szCs w:val="21"/>
              </w:rPr>
            </w:pPr>
          </w:p>
        </w:tc>
      </w:tr>
      <w:tr w:rsidR="00DB7CC8">
        <w:tc>
          <w:tcPr>
            <w:tcW w:w="815" w:type="dxa"/>
            <w:vMerge/>
            <w:tcBorders>
              <w:left w:val="single" w:sz="4" w:space="0" w:color="auto"/>
            </w:tcBorders>
            <w:vAlign w:val="center"/>
          </w:tcPr>
          <w:p w:rsidR="00DB7CC8" w:rsidRDefault="00DB7CC8">
            <w:pPr>
              <w:snapToGrid w:val="0"/>
              <w:spacing w:line="240" w:lineRule="auto"/>
              <w:ind w:firstLineChars="0" w:firstLine="0"/>
              <w:jc w:val="center"/>
              <w:rPr>
                <w:sz w:val="21"/>
                <w:szCs w:val="21"/>
              </w:rPr>
            </w:pPr>
          </w:p>
        </w:tc>
        <w:tc>
          <w:tcPr>
            <w:tcW w:w="1202" w:type="dxa"/>
            <w:vAlign w:val="center"/>
          </w:tcPr>
          <w:p w:rsidR="00DB7CC8" w:rsidRDefault="002B5250">
            <w:pPr>
              <w:snapToGrid w:val="0"/>
              <w:spacing w:line="240" w:lineRule="auto"/>
              <w:ind w:firstLineChars="0" w:firstLine="0"/>
              <w:jc w:val="center"/>
              <w:rPr>
                <w:sz w:val="21"/>
                <w:szCs w:val="21"/>
              </w:rPr>
            </w:pPr>
            <w:r>
              <w:rPr>
                <w:sz w:val="21"/>
                <w:szCs w:val="21"/>
              </w:rPr>
              <w:t>弱</w:t>
            </w:r>
          </w:p>
        </w:tc>
        <w:tc>
          <w:tcPr>
            <w:tcW w:w="1105" w:type="dxa"/>
            <w:vAlign w:val="center"/>
          </w:tcPr>
          <w:p w:rsidR="00DB7CC8" w:rsidRDefault="002B5250">
            <w:pPr>
              <w:snapToGrid w:val="0"/>
              <w:spacing w:line="240" w:lineRule="auto"/>
              <w:ind w:firstLineChars="0" w:firstLine="0"/>
              <w:jc w:val="center"/>
              <w:rPr>
                <w:sz w:val="21"/>
                <w:szCs w:val="21"/>
              </w:rPr>
            </w:pPr>
            <w:r>
              <w:rPr>
                <w:sz w:val="21"/>
                <w:szCs w:val="21"/>
              </w:rPr>
              <w:t>易</w:t>
            </w:r>
          </w:p>
        </w:tc>
        <w:tc>
          <w:tcPr>
            <w:tcW w:w="1606" w:type="dxa"/>
            <w:vMerge/>
            <w:vAlign w:val="center"/>
          </w:tcPr>
          <w:p w:rsidR="00DB7CC8" w:rsidRDefault="00DB7CC8">
            <w:pPr>
              <w:snapToGrid w:val="0"/>
              <w:spacing w:line="240" w:lineRule="auto"/>
              <w:ind w:firstLineChars="0" w:firstLine="0"/>
              <w:jc w:val="center"/>
              <w:rPr>
                <w:sz w:val="21"/>
                <w:szCs w:val="21"/>
              </w:rPr>
            </w:pPr>
          </w:p>
        </w:tc>
        <w:tc>
          <w:tcPr>
            <w:tcW w:w="3794" w:type="dxa"/>
            <w:vMerge/>
            <w:tcBorders>
              <w:right w:val="single" w:sz="4" w:space="0" w:color="auto"/>
            </w:tcBorders>
            <w:vAlign w:val="center"/>
          </w:tcPr>
          <w:p w:rsidR="00DB7CC8" w:rsidRDefault="00DB7CC8">
            <w:pPr>
              <w:snapToGrid w:val="0"/>
              <w:spacing w:line="240" w:lineRule="auto"/>
              <w:ind w:firstLineChars="0" w:firstLine="0"/>
              <w:jc w:val="center"/>
              <w:rPr>
                <w:sz w:val="21"/>
                <w:szCs w:val="21"/>
              </w:rPr>
            </w:pPr>
          </w:p>
        </w:tc>
      </w:tr>
      <w:tr w:rsidR="00DB7CC8">
        <w:tc>
          <w:tcPr>
            <w:tcW w:w="815" w:type="dxa"/>
            <w:vMerge w:val="restart"/>
            <w:tcBorders>
              <w:left w:val="single" w:sz="4" w:space="0" w:color="auto"/>
            </w:tcBorders>
            <w:vAlign w:val="center"/>
          </w:tcPr>
          <w:p w:rsidR="00DB7CC8" w:rsidRDefault="002B5250">
            <w:pPr>
              <w:snapToGrid w:val="0"/>
              <w:spacing w:line="240" w:lineRule="auto"/>
              <w:ind w:firstLineChars="0" w:firstLine="0"/>
              <w:jc w:val="center"/>
              <w:rPr>
                <w:sz w:val="21"/>
                <w:szCs w:val="21"/>
              </w:rPr>
            </w:pPr>
            <w:r>
              <w:rPr>
                <w:sz w:val="21"/>
                <w:szCs w:val="21"/>
              </w:rPr>
              <w:t>一般防渗区</w:t>
            </w:r>
          </w:p>
        </w:tc>
        <w:tc>
          <w:tcPr>
            <w:tcW w:w="1202" w:type="dxa"/>
            <w:vAlign w:val="center"/>
          </w:tcPr>
          <w:p w:rsidR="00DB7CC8" w:rsidRDefault="002B5250">
            <w:pPr>
              <w:snapToGrid w:val="0"/>
              <w:spacing w:line="240" w:lineRule="auto"/>
              <w:ind w:firstLineChars="0" w:firstLine="0"/>
              <w:jc w:val="center"/>
              <w:rPr>
                <w:sz w:val="21"/>
                <w:szCs w:val="21"/>
              </w:rPr>
            </w:pPr>
            <w:r>
              <w:rPr>
                <w:sz w:val="21"/>
                <w:szCs w:val="21"/>
              </w:rPr>
              <w:t>弱</w:t>
            </w:r>
          </w:p>
        </w:tc>
        <w:tc>
          <w:tcPr>
            <w:tcW w:w="1105" w:type="dxa"/>
            <w:vAlign w:val="center"/>
          </w:tcPr>
          <w:p w:rsidR="00DB7CC8" w:rsidRDefault="002B5250">
            <w:pPr>
              <w:snapToGrid w:val="0"/>
              <w:spacing w:line="240" w:lineRule="auto"/>
              <w:ind w:firstLineChars="0" w:firstLine="0"/>
              <w:jc w:val="center"/>
              <w:rPr>
                <w:sz w:val="21"/>
                <w:szCs w:val="21"/>
              </w:rPr>
            </w:pPr>
            <w:r>
              <w:rPr>
                <w:sz w:val="21"/>
                <w:szCs w:val="21"/>
              </w:rPr>
              <w:t>易</w:t>
            </w:r>
            <w:r>
              <w:rPr>
                <w:sz w:val="21"/>
                <w:szCs w:val="21"/>
              </w:rPr>
              <w:t>-</w:t>
            </w:r>
            <w:r>
              <w:rPr>
                <w:sz w:val="21"/>
                <w:szCs w:val="21"/>
              </w:rPr>
              <w:t>难</w:t>
            </w:r>
          </w:p>
        </w:tc>
        <w:tc>
          <w:tcPr>
            <w:tcW w:w="1606" w:type="dxa"/>
            <w:vMerge w:val="restart"/>
            <w:vAlign w:val="center"/>
          </w:tcPr>
          <w:p w:rsidR="00DB7CC8" w:rsidRDefault="002B5250">
            <w:pPr>
              <w:snapToGrid w:val="0"/>
              <w:spacing w:line="240" w:lineRule="auto"/>
              <w:ind w:firstLineChars="0" w:firstLine="0"/>
              <w:jc w:val="center"/>
              <w:rPr>
                <w:sz w:val="21"/>
                <w:szCs w:val="21"/>
              </w:rPr>
            </w:pPr>
            <w:r>
              <w:rPr>
                <w:sz w:val="21"/>
                <w:szCs w:val="21"/>
              </w:rPr>
              <w:t>其他类型</w:t>
            </w:r>
          </w:p>
        </w:tc>
        <w:tc>
          <w:tcPr>
            <w:tcW w:w="3794" w:type="dxa"/>
            <w:vMerge w:val="restart"/>
            <w:tcBorders>
              <w:right w:val="single" w:sz="4" w:space="0" w:color="auto"/>
            </w:tcBorders>
            <w:vAlign w:val="center"/>
          </w:tcPr>
          <w:p w:rsidR="00DB7CC8" w:rsidRDefault="002B5250">
            <w:pPr>
              <w:snapToGrid w:val="0"/>
              <w:spacing w:line="240" w:lineRule="auto"/>
              <w:ind w:firstLineChars="0" w:firstLine="0"/>
              <w:jc w:val="center"/>
              <w:rPr>
                <w:sz w:val="21"/>
                <w:szCs w:val="21"/>
              </w:rPr>
            </w:pPr>
            <w:r>
              <w:rPr>
                <w:sz w:val="21"/>
                <w:szCs w:val="21"/>
              </w:rPr>
              <w:t>等效黏土防渗层</w:t>
            </w:r>
            <w:r>
              <w:rPr>
                <w:sz w:val="21"/>
                <w:szCs w:val="21"/>
              </w:rPr>
              <w:t>Mb≥</w:t>
            </w:r>
            <w:r>
              <w:rPr>
                <w:rFonts w:hint="eastAsia"/>
                <w:sz w:val="21"/>
                <w:szCs w:val="21"/>
              </w:rPr>
              <w:t>1.5</w:t>
            </w:r>
            <w:r>
              <w:rPr>
                <w:sz w:val="21"/>
                <w:szCs w:val="21"/>
              </w:rPr>
              <w:t>m</w:t>
            </w:r>
            <w:r>
              <w:rPr>
                <w:sz w:val="21"/>
                <w:szCs w:val="21"/>
              </w:rPr>
              <w:t>，</w:t>
            </w:r>
            <w:r>
              <w:rPr>
                <w:sz w:val="21"/>
                <w:szCs w:val="21"/>
              </w:rPr>
              <w:t>K≤1×10</w:t>
            </w:r>
            <w:r>
              <w:rPr>
                <w:sz w:val="21"/>
                <w:szCs w:val="21"/>
                <w:vertAlign w:val="superscript"/>
              </w:rPr>
              <w:t>-7</w:t>
            </w:r>
            <w:r>
              <w:rPr>
                <w:sz w:val="21"/>
                <w:szCs w:val="21"/>
              </w:rPr>
              <w:t>cm/s</w:t>
            </w:r>
            <w:r>
              <w:rPr>
                <w:sz w:val="21"/>
                <w:szCs w:val="21"/>
              </w:rPr>
              <w:t>；或参照</w:t>
            </w:r>
            <w:r>
              <w:rPr>
                <w:sz w:val="21"/>
                <w:szCs w:val="21"/>
              </w:rPr>
              <w:t>GB1</w:t>
            </w:r>
            <w:r>
              <w:rPr>
                <w:rFonts w:hint="eastAsia"/>
                <w:sz w:val="21"/>
                <w:szCs w:val="21"/>
              </w:rPr>
              <w:t>6889</w:t>
            </w:r>
            <w:r>
              <w:rPr>
                <w:sz w:val="21"/>
                <w:szCs w:val="21"/>
              </w:rPr>
              <w:t>执行</w:t>
            </w:r>
          </w:p>
        </w:tc>
      </w:tr>
      <w:tr w:rsidR="00DB7CC8">
        <w:tc>
          <w:tcPr>
            <w:tcW w:w="815" w:type="dxa"/>
            <w:vMerge/>
            <w:tcBorders>
              <w:left w:val="single" w:sz="4" w:space="0" w:color="auto"/>
            </w:tcBorders>
            <w:vAlign w:val="center"/>
          </w:tcPr>
          <w:p w:rsidR="00DB7CC8" w:rsidRDefault="00DB7CC8">
            <w:pPr>
              <w:snapToGrid w:val="0"/>
              <w:spacing w:line="240" w:lineRule="auto"/>
              <w:ind w:firstLineChars="0" w:firstLine="0"/>
              <w:jc w:val="center"/>
              <w:rPr>
                <w:sz w:val="21"/>
                <w:szCs w:val="21"/>
              </w:rPr>
            </w:pPr>
          </w:p>
        </w:tc>
        <w:tc>
          <w:tcPr>
            <w:tcW w:w="1202" w:type="dxa"/>
            <w:vAlign w:val="center"/>
          </w:tcPr>
          <w:p w:rsidR="00DB7CC8" w:rsidRDefault="002B5250">
            <w:pPr>
              <w:snapToGrid w:val="0"/>
              <w:spacing w:line="240" w:lineRule="auto"/>
              <w:ind w:firstLineChars="0" w:firstLine="0"/>
              <w:jc w:val="center"/>
              <w:rPr>
                <w:sz w:val="21"/>
                <w:szCs w:val="21"/>
              </w:rPr>
            </w:pPr>
            <w:r>
              <w:rPr>
                <w:sz w:val="21"/>
                <w:szCs w:val="21"/>
              </w:rPr>
              <w:t>中</w:t>
            </w:r>
            <w:r>
              <w:rPr>
                <w:sz w:val="21"/>
                <w:szCs w:val="21"/>
              </w:rPr>
              <w:t>-</w:t>
            </w:r>
            <w:r>
              <w:rPr>
                <w:sz w:val="21"/>
                <w:szCs w:val="21"/>
              </w:rPr>
              <w:t>强</w:t>
            </w:r>
          </w:p>
        </w:tc>
        <w:tc>
          <w:tcPr>
            <w:tcW w:w="1105" w:type="dxa"/>
            <w:vAlign w:val="center"/>
          </w:tcPr>
          <w:p w:rsidR="00DB7CC8" w:rsidRDefault="002B5250">
            <w:pPr>
              <w:snapToGrid w:val="0"/>
              <w:spacing w:line="240" w:lineRule="auto"/>
              <w:ind w:firstLineChars="0" w:firstLine="0"/>
              <w:jc w:val="center"/>
              <w:rPr>
                <w:sz w:val="21"/>
                <w:szCs w:val="21"/>
              </w:rPr>
            </w:pPr>
            <w:r>
              <w:rPr>
                <w:sz w:val="21"/>
                <w:szCs w:val="21"/>
              </w:rPr>
              <w:t>难</w:t>
            </w:r>
          </w:p>
        </w:tc>
        <w:tc>
          <w:tcPr>
            <w:tcW w:w="1606" w:type="dxa"/>
            <w:vMerge/>
            <w:vAlign w:val="center"/>
          </w:tcPr>
          <w:p w:rsidR="00DB7CC8" w:rsidRDefault="00DB7CC8">
            <w:pPr>
              <w:snapToGrid w:val="0"/>
              <w:spacing w:line="240" w:lineRule="auto"/>
              <w:ind w:firstLineChars="0" w:firstLine="0"/>
              <w:jc w:val="center"/>
              <w:rPr>
                <w:sz w:val="21"/>
                <w:szCs w:val="21"/>
              </w:rPr>
            </w:pPr>
          </w:p>
        </w:tc>
        <w:tc>
          <w:tcPr>
            <w:tcW w:w="3794" w:type="dxa"/>
            <w:vMerge/>
            <w:tcBorders>
              <w:right w:val="single" w:sz="4" w:space="0" w:color="auto"/>
            </w:tcBorders>
            <w:vAlign w:val="center"/>
          </w:tcPr>
          <w:p w:rsidR="00DB7CC8" w:rsidRDefault="00DB7CC8">
            <w:pPr>
              <w:snapToGrid w:val="0"/>
              <w:spacing w:line="240" w:lineRule="auto"/>
              <w:ind w:firstLineChars="0" w:firstLine="0"/>
              <w:jc w:val="center"/>
              <w:rPr>
                <w:sz w:val="21"/>
                <w:szCs w:val="21"/>
              </w:rPr>
            </w:pPr>
          </w:p>
        </w:tc>
      </w:tr>
      <w:tr w:rsidR="00DB7CC8">
        <w:tc>
          <w:tcPr>
            <w:tcW w:w="815" w:type="dxa"/>
            <w:vMerge/>
            <w:tcBorders>
              <w:left w:val="single" w:sz="4" w:space="0" w:color="auto"/>
            </w:tcBorders>
            <w:vAlign w:val="center"/>
          </w:tcPr>
          <w:p w:rsidR="00DB7CC8" w:rsidRDefault="00DB7CC8">
            <w:pPr>
              <w:snapToGrid w:val="0"/>
              <w:spacing w:line="240" w:lineRule="auto"/>
              <w:ind w:firstLineChars="0" w:firstLine="0"/>
              <w:jc w:val="center"/>
              <w:rPr>
                <w:sz w:val="21"/>
                <w:szCs w:val="21"/>
              </w:rPr>
            </w:pPr>
          </w:p>
        </w:tc>
        <w:tc>
          <w:tcPr>
            <w:tcW w:w="1202" w:type="dxa"/>
            <w:vAlign w:val="center"/>
          </w:tcPr>
          <w:p w:rsidR="00DB7CC8" w:rsidRDefault="002B5250">
            <w:pPr>
              <w:snapToGrid w:val="0"/>
              <w:spacing w:line="240" w:lineRule="auto"/>
              <w:ind w:firstLineChars="0" w:firstLine="0"/>
              <w:jc w:val="center"/>
              <w:rPr>
                <w:sz w:val="21"/>
                <w:szCs w:val="21"/>
              </w:rPr>
            </w:pPr>
            <w:r>
              <w:rPr>
                <w:sz w:val="21"/>
                <w:szCs w:val="21"/>
              </w:rPr>
              <w:t>中</w:t>
            </w:r>
          </w:p>
        </w:tc>
        <w:tc>
          <w:tcPr>
            <w:tcW w:w="1105" w:type="dxa"/>
            <w:vAlign w:val="center"/>
          </w:tcPr>
          <w:p w:rsidR="00DB7CC8" w:rsidRDefault="002B5250">
            <w:pPr>
              <w:snapToGrid w:val="0"/>
              <w:spacing w:line="240" w:lineRule="auto"/>
              <w:ind w:firstLineChars="0" w:firstLine="0"/>
              <w:jc w:val="center"/>
              <w:rPr>
                <w:sz w:val="21"/>
                <w:szCs w:val="21"/>
              </w:rPr>
            </w:pPr>
            <w:r>
              <w:rPr>
                <w:sz w:val="21"/>
                <w:szCs w:val="21"/>
              </w:rPr>
              <w:t>易</w:t>
            </w:r>
          </w:p>
        </w:tc>
        <w:tc>
          <w:tcPr>
            <w:tcW w:w="1606" w:type="dxa"/>
            <w:vMerge w:val="restart"/>
            <w:vAlign w:val="center"/>
          </w:tcPr>
          <w:p w:rsidR="00DB7CC8" w:rsidRDefault="002B5250">
            <w:pPr>
              <w:snapToGrid w:val="0"/>
              <w:spacing w:line="240" w:lineRule="auto"/>
              <w:ind w:firstLineChars="0" w:firstLine="0"/>
              <w:jc w:val="center"/>
              <w:rPr>
                <w:sz w:val="21"/>
                <w:szCs w:val="21"/>
              </w:rPr>
            </w:pPr>
            <w:r>
              <w:rPr>
                <w:sz w:val="21"/>
                <w:szCs w:val="21"/>
              </w:rPr>
              <w:t>重金属、持久性有机污染物</w:t>
            </w:r>
          </w:p>
        </w:tc>
        <w:tc>
          <w:tcPr>
            <w:tcW w:w="3794" w:type="dxa"/>
            <w:vMerge/>
            <w:tcBorders>
              <w:right w:val="single" w:sz="4" w:space="0" w:color="auto"/>
            </w:tcBorders>
            <w:vAlign w:val="center"/>
          </w:tcPr>
          <w:p w:rsidR="00DB7CC8" w:rsidRDefault="00DB7CC8">
            <w:pPr>
              <w:snapToGrid w:val="0"/>
              <w:spacing w:line="240" w:lineRule="auto"/>
              <w:ind w:firstLineChars="0" w:firstLine="0"/>
              <w:jc w:val="center"/>
              <w:rPr>
                <w:sz w:val="21"/>
                <w:szCs w:val="21"/>
              </w:rPr>
            </w:pPr>
          </w:p>
        </w:tc>
      </w:tr>
      <w:tr w:rsidR="00DB7CC8">
        <w:tc>
          <w:tcPr>
            <w:tcW w:w="815" w:type="dxa"/>
            <w:vMerge/>
            <w:tcBorders>
              <w:left w:val="single" w:sz="4" w:space="0" w:color="auto"/>
            </w:tcBorders>
            <w:vAlign w:val="center"/>
          </w:tcPr>
          <w:p w:rsidR="00DB7CC8" w:rsidRDefault="00DB7CC8">
            <w:pPr>
              <w:snapToGrid w:val="0"/>
              <w:spacing w:line="240" w:lineRule="auto"/>
              <w:ind w:firstLineChars="0" w:firstLine="0"/>
              <w:jc w:val="center"/>
              <w:rPr>
                <w:sz w:val="21"/>
                <w:szCs w:val="21"/>
              </w:rPr>
            </w:pPr>
          </w:p>
        </w:tc>
        <w:tc>
          <w:tcPr>
            <w:tcW w:w="1202" w:type="dxa"/>
            <w:vAlign w:val="center"/>
          </w:tcPr>
          <w:p w:rsidR="00DB7CC8" w:rsidRDefault="002B5250">
            <w:pPr>
              <w:snapToGrid w:val="0"/>
              <w:spacing w:line="240" w:lineRule="auto"/>
              <w:ind w:firstLineChars="0" w:firstLine="0"/>
              <w:jc w:val="center"/>
              <w:rPr>
                <w:sz w:val="21"/>
                <w:szCs w:val="21"/>
              </w:rPr>
            </w:pPr>
            <w:r>
              <w:rPr>
                <w:sz w:val="21"/>
                <w:szCs w:val="21"/>
              </w:rPr>
              <w:t>强</w:t>
            </w:r>
          </w:p>
        </w:tc>
        <w:tc>
          <w:tcPr>
            <w:tcW w:w="1105" w:type="dxa"/>
            <w:vAlign w:val="center"/>
          </w:tcPr>
          <w:p w:rsidR="00DB7CC8" w:rsidRDefault="002B5250">
            <w:pPr>
              <w:snapToGrid w:val="0"/>
              <w:spacing w:line="240" w:lineRule="auto"/>
              <w:ind w:firstLineChars="0" w:firstLine="0"/>
              <w:jc w:val="center"/>
              <w:rPr>
                <w:sz w:val="21"/>
                <w:szCs w:val="21"/>
              </w:rPr>
            </w:pPr>
            <w:r>
              <w:rPr>
                <w:sz w:val="21"/>
                <w:szCs w:val="21"/>
              </w:rPr>
              <w:t>易</w:t>
            </w:r>
          </w:p>
        </w:tc>
        <w:tc>
          <w:tcPr>
            <w:tcW w:w="1606" w:type="dxa"/>
            <w:vMerge/>
            <w:vAlign w:val="center"/>
          </w:tcPr>
          <w:p w:rsidR="00DB7CC8" w:rsidRDefault="00DB7CC8">
            <w:pPr>
              <w:snapToGrid w:val="0"/>
              <w:spacing w:line="240" w:lineRule="auto"/>
              <w:ind w:firstLineChars="0" w:firstLine="0"/>
              <w:jc w:val="center"/>
              <w:rPr>
                <w:sz w:val="21"/>
                <w:szCs w:val="21"/>
              </w:rPr>
            </w:pPr>
          </w:p>
        </w:tc>
        <w:tc>
          <w:tcPr>
            <w:tcW w:w="3794" w:type="dxa"/>
            <w:vMerge/>
            <w:tcBorders>
              <w:right w:val="single" w:sz="4" w:space="0" w:color="auto"/>
            </w:tcBorders>
            <w:vAlign w:val="center"/>
          </w:tcPr>
          <w:p w:rsidR="00DB7CC8" w:rsidRDefault="00DB7CC8">
            <w:pPr>
              <w:snapToGrid w:val="0"/>
              <w:spacing w:line="240" w:lineRule="auto"/>
              <w:ind w:firstLineChars="0" w:firstLine="0"/>
              <w:jc w:val="center"/>
              <w:rPr>
                <w:sz w:val="21"/>
                <w:szCs w:val="21"/>
              </w:rPr>
            </w:pPr>
          </w:p>
        </w:tc>
      </w:tr>
      <w:tr w:rsidR="00DB7CC8">
        <w:tc>
          <w:tcPr>
            <w:tcW w:w="815" w:type="dxa"/>
            <w:tcBorders>
              <w:left w:val="single" w:sz="4" w:space="0" w:color="auto"/>
            </w:tcBorders>
            <w:vAlign w:val="center"/>
          </w:tcPr>
          <w:p w:rsidR="00DB7CC8" w:rsidRDefault="002B5250">
            <w:pPr>
              <w:snapToGrid w:val="0"/>
              <w:spacing w:line="240" w:lineRule="auto"/>
              <w:ind w:firstLineChars="0" w:firstLine="0"/>
              <w:jc w:val="center"/>
              <w:rPr>
                <w:sz w:val="21"/>
                <w:szCs w:val="21"/>
              </w:rPr>
            </w:pPr>
            <w:r>
              <w:rPr>
                <w:sz w:val="21"/>
                <w:szCs w:val="21"/>
              </w:rPr>
              <w:t>简单防渗区</w:t>
            </w:r>
          </w:p>
        </w:tc>
        <w:tc>
          <w:tcPr>
            <w:tcW w:w="1202" w:type="dxa"/>
            <w:vAlign w:val="center"/>
          </w:tcPr>
          <w:p w:rsidR="00DB7CC8" w:rsidRDefault="002B5250">
            <w:pPr>
              <w:snapToGrid w:val="0"/>
              <w:spacing w:line="240" w:lineRule="auto"/>
              <w:ind w:firstLineChars="0" w:firstLine="0"/>
              <w:jc w:val="center"/>
              <w:rPr>
                <w:sz w:val="21"/>
                <w:szCs w:val="21"/>
              </w:rPr>
            </w:pPr>
            <w:r>
              <w:rPr>
                <w:sz w:val="21"/>
                <w:szCs w:val="21"/>
              </w:rPr>
              <w:t>中</w:t>
            </w:r>
            <w:r>
              <w:rPr>
                <w:sz w:val="21"/>
                <w:szCs w:val="21"/>
              </w:rPr>
              <w:t>-</w:t>
            </w:r>
            <w:r>
              <w:rPr>
                <w:sz w:val="21"/>
                <w:szCs w:val="21"/>
              </w:rPr>
              <w:t>强</w:t>
            </w:r>
          </w:p>
        </w:tc>
        <w:tc>
          <w:tcPr>
            <w:tcW w:w="1105" w:type="dxa"/>
            <w:vAlign w:val="center"/>
          </w:tcPr>
          <w:p w:rsidR="00DB7CC8" w:rsidRDefault="002B5250">
            <w:pPr>
              <w:snapToGrid w:val="0"/>
              <w:spacing w:line="240" w:lineRule="auto"/>
              <w:ind w:firstLineChars="0" w:firstLine="0"/>
              <w:jc w:val="center"/>
              <w:rPr>
                <w:sz w:val="21"/>
                <w:szCs w:val="21"/>
              </w:rPr>
            </w:pPr>
            <w:r>
              <w:rPr>
                <w:sz w:val="21"/>
                <w:szCs w:val="21"/>
              </w:rPr>
              <w:t>易</w:t>
            </w:r>
          </w:p>
        </w:tc>
        <w:tc>
          <w:tcPr>
            <w:tcW w:w="1606" w:type="dxa"/>
            <w:vAlign w:val="center"/>
          </w:tcPr>
          <w:p w:rsidR="00DB7CC8" w:rsidRDefault="002B5250">
            <w:pPr>
              <w:snapToGrid w:val="0"/>
              <w:spacing w:line="240" w:lineRule="auto"/>
              <w:ind w:firstLineChars="0" w:firstLine="0"/>
              <w:jc w:val="center"/>
              <w:rPr>
                <w:sz w:val="21"/>
                <w:szCs w:val="21"/>
              </w:rPr>
            </w:pPr>
            <w:r>
              <w:rPr>
                <w:sz w:val="21"/>
                <w:szCs w:val="21"/>
              </w:rPr>
              <w:t>其他类型</w:t>
            </w:r>
          </w:p>
        </w:tc>
        <w:tc>
          <w:tcPr>
            <w:tcW w:w="3794" w:type="dxa"/>
            <w:tcBorders>
              <w:right w:val="single" w:sz="4" w:space="0" w:color="auto"/>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一般地面硬化</w:t>
            </w:r>
          </w:p>
        </w:tc>
      </w:tr>
    </w:tbl>
    <w:p w:rsidR="00DB7CC8" w:rsidRDefault="002B5250">
      <w:pPr>
        <w:spacing w:line="240" w:lineRule="auto"/>
        <w:ind w:firstLineChars="0" w:firstLine="0"/>
        <w:jc w:val="center"/>
        <w:rPr>
          <w:rFonts w:ascii="黑体" w:eastAsia="黑体" w:hAnsi="黑体"/>
          <w:sz w:val="21"/>
          <w:szCs w:val="21"/>
        </w:rPr>
      </w:pPr>
      <w:r>
        <w:rPr>
          <w:rFonts w:eastAsia="黑体"/>
          <w:sz w:val="21"/>
          <w:szCs w:val="21"/>
        </w:rPr>
        <w:t>表</w:t>
      </w:r>
      <w:r>
        <w:rPr>
          <w:rFonts w:eastAsia="黑体"/>
          <w:sz w:val="21"/>
          <w:szCs w:val="21"/>
        </w:rPr>
        <w:t xml:space="preserve">6.2-5    </w:t>
      </w:r>
      <w:r>
        <w:rPr>
          <w:rFonts w:eastAsia="黑体"/>
          <w:sz w:val="21"/>
          <w:szCs w:val="21"/>
        </w:rPr>
        <w:t>防渗</w:t>
      </w:r>
      <w:r>
        <w:rPr>
          <w:rFonts w:ascii="黑体" w:eastAsia="黑体" w:hAnsi="黑体" w:hint="eastAsia"/>
          <w:sz w:val="21"/>
          <w:szCs w:val="21"/>
        </w:rPr>
        <w:t>分区一览表</w:t>
      </w:r>
    </w:p>
    <w:tbl>
      <w:tblPr>
        <w:tblW w:w="836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2438"/>
        <w:gridCol w:w="1134"/>
        <w:gridCol w:w="1034"/>
        <w:gridCol w:w="2087"/>
        <w:gridCol w:w="1669"/>
      </w:tblGrid>
      <w:tr w:rsidR="00DB7CC8">
        <w:trPr>
          <w:tblHeader/>
        </w:trPr>
        <w:tc>
          <w:tcPr>
            <w:tcW w:w="2438" w:type="dxa"/>
            <w:tcBorders>
              <w:left w:val="single" w:sz="6" w:space="0" w:color="auto"/>
              <w:bottom w:val="single" w:sz="6" w:space="0" w:color="auto"/>
            </w:tcBorders>
            <w:vAlign w:val="center"/>
          </w:tcPr>
          <w:p w:rsidR="00DB7CC8" w:rsidRDefault="002B5250">
            <w:pPr>
              <w:snapToGrid w:val="0"/>
              <w:spacing w:line="240" w:lineRule="auto"/>
              <w:ind w:firstLineChars="0" w:firstLine="0"/>
              <w:jc w:val="center"/>
              <w:rPr>
                <w:sz w:val="21"/>
                <w:szCs w:val="21"/>
              </w:rPr>
            </w:pPr>
            <w:r>
              <w:rPr>
                <w:sz w:val="21"/>
                <w:szCs w:val="21"/>
              </w:rPr>
              <w:t>防渗区域</w:t>
            </w:r>
          </w:p>
        </w:tc>
        <w:tc>
          <w:tcPr>
            <w:tcW w:w="1134" w:type="dxa"/>
            <w:tcBorders>
              <w:bottom w:val="single" w:sz="6" w:space="0" w:color="auto"/>
            </w:tcBorders>
            <w:vAlign w:val="center"/>
          </w:tcPr>
          <w:p w:rsidR="00DB7CC8" w:rsidRDefault="002B5250">
            <w:pPr>
              <w:snapToGrid w:val="0"/>
              <w:spacing w:line="240" w:lineRule="auto"/>
              <w:ind w:firstLineChars="0" w:firstLine="0"/>
              <w:jc w:val="center"/>
              <w:rPr>
                <w:sz w:val="21"/>
                <w:szCs w:val="21"/>
              </w:rPr>
            </w:pPr>
            <w:r>
              <w:rPr>
                <w:sz w:val="21"/>
                <w:szCs w:val="21"/>
              </w:rPr>
              <w:t>天然包气带防污性能</w:t>
            </w:r>
          </w:p>
        </w:tc>
        <w:tc>
          <w:tcPr>
            <w:tcW w:w="1034" w:type="dxa"/>
            <w:tcBorders>
              <w:bottom w:val="single" w:sz="6" w:space="0" w:color="auto"/>
            </w:tcBorders>
            <w:vAlign w:val="center"/>
          </w:tcPr>
          <w:p w:rsidR="00DB7CC8" w:rsidRDefault="002B5250">
            <w:pPr>
              <w:snapToGrid w:val="0"/>
              <w:spacing w:line="240" w:lineRule="auto"/>
              <w:ind w:firstLineChars="0" w:firstLine="0"/>
              <w:jc w:val="center"/>
              <w:rPr>
                <w:sz w:val="21"/>
                <w:szCs w:val="21"/>
              </w:rPr>
            </w:pPr>
            <w:r>
              <w:rPr>
                <w:sz w:val="21"/>
                <w:szCs w:val="21"/>
              </w:rPr>
              <w:t>污染控制难易程度</w:t>
            </w:r>
          </w:p>
        </w:tc>
        <w:tc>
          <w:tcPr>
            <w:tcW w:w="2087" w:type="dxa"/>
            <w:tcBorders>
              <w:bottom w:val="single" w:sz="6" w:space="0" w:color="auto"/>
            </w:tcBorders>
            <w:vAlign w:val="center"/>
          </w:tcPr>
          <w:p w:rsidR="00DB7CC8" w:rsidRDefault="002B5250">
            <w:pPr>
              <w:snapToGrid w:val="0"/>
              <w:spacing w:line="240" w:lineRule="auto"/>
              <w:ind w:firstLineChars="0" w:firstLine="0"/>
              <w:jc w:val="center"/>
              <w:rPr>
                <w:sz w:val="21"/>
                <w:szCs w:val="21"/>
              </w:rPr>
            </w:pPr>
            <w:r>
              <w:rPr>
                <w:sz w:val="21"/>
                <w:szCs w:val="21"/>
              </w:rPr>
              <w:t>污染物类型</w:t>
            </w:r>
          </w:p>
        </w:tc>
        <w:tc>
          <w:tcPr>
            <w:tcW w:w="1669" w:type="dxa"/>
            <w:tcBorders>
              <w:bottom w:val="single" w:sz="6" w:space="0" w:color="auto"/>
              <w:right w:val="single" w:sz="6" w:space="0" w:color="auto"/>
            </w:tcBorders>
            <w:vAlign w:val="center"/>
          </w:tcPr>
          <w:p w:rsidR="00DB7CC8" w:rsidRDefault="002B5250">
            <w:pPr>
              <w:snapToGrid w:val="0"/>
              <w:spacing w:line="240" w:lineRule="auto"/>
              <w:ind w:firstLineChars="0" w:firstLine="0"/>
              <w:jc w:val="center"/>
              <w:rPr>
                <w:sz w:val="21"/>
                <w:szCs w:val="21"/>
              </w:rPr>
            </w:pPr>
            <w:r>
              <w:rPr>
                <w:sz w:val="21"/>
                <w:szCs w:val="21"/>
              </w:rPr>
              <w:t>防渗分区</w:t>
            </w:r>
          </w:p>
        </w:tc>
      </w:tr>
      <w:tr w:rsidR="00DB7CC8">
        <w:tc>
          <w:tcPr>
            <w:tcW w:w="2438" w:type="dxa"/>
            <w:tcBorders>
              <w:top w:val="single" w:sz="6" w:space="0" w:color="auto"/>
              <w:left w:val="single" w:sz="6" w:space="0" w:color="auto"/>
              <w:bottom w:val="single" w:sz="6" w:space="0" w:color="auto"/>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危废间</w:t>
            </w:r>
          </w:p>
        </w:tc>
        <w:tc>
          <w:tcPr>
            <w:tcW w:w="1134" w:type="dxa"/>
            <w:vMerge w:val="restart"/>
            <w:tcBorders>
              <w:top w:val="single" w:sz="6" w:space="0" w:color="auto"/>
              <w:bottom w:val="single" w:sz="6" w:space="0" w:color="auto"/>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中</w:t>
            </w:r>
          </w:p>
        </w:tc>
        <w:tc>
          <w:tcPr>
            <w:tcW w:w="1034" w:type="dxa"/>
            <w:vMerge w:val="restart"/>
            <w:tcBorders>
              <w:top w:val="single" w:sz="6" w:space="0" w:color="auto"/>
              <w:bottom w:val="single" w:sz="6" w:space="0" w:color="auto"/>
            </w:tcBorders>
            <w:vAlign w:val="center"/>
          </w:tcPr>
          <w:p w:rsidR="00DB7CC8" w:rsidRDefault="002B5250">
            <w:pPr>
              <w:snapToGrid w:val="0"/>
              <w:spacing w:line="240" w:lineRule="auto"/>
              <w:ind w:firstLineChars="0" w:firstLine="0"/>
              <w:jc w:val="center"/>
              <w:rPr>
                <w:sz w:val="21"/>
                <w:szCs w:val="21"/>
              </w:rPr>
            </w:pPr>
            <w:r>
              <w:rPr>
                <w:sz w:val="21"/>
                <w:szCs w:val="21"/>
              </w:rPr>
              <w:t>难</w:t>
            </w:r>
          </w:p>
        </w:tc>
        <w:tc>
          <w:tcPr>
            <w:tcW w:w="2087" w:type="dxa"/>
            <w:tcBorders>
              <w:top w:val="single" w:sz="6" w:space="0" w:color="auto"/>
              <w:bottom w:val="single" w:sz="6" w:space="0" w:color="auto"/>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持久性污染物</w:t>
            </w:r>
          </w:p>
        </w:tc>
        <w:tc>
          <w:tcPr>
            <w:tcW w:w="1669" w:type="dxa"/>
            <w:tcBorders>
              <w:top w:val="single" w:sz="6" w:space="0" w:color="auto"/>
              <w:bottom w:val="single" w:sz="6" w:space="0" w:color="auto"/>
              <w:right w:val="single" w:sz="6" w:space="0" w:color="auto"/>
            </w:tcBorders>
            <w:vAlign w:val="center"/>
          </w:tcPr>
          <w:p w:rsidR="00DB7CC8" w:rsidRDefault="002B5250">
            <w:pPr>
              <w:snapToGrid w:val="0"/>
              <w:spacing w:line="240" w:lineRule="auto"/>
              <w:ind w:firstLineChars="0" w:firstLine="0"/>
              <w:jc w:val="center"/>
              <w:rPr>
                <w:sz w:val="21"/>
                <w:szCs w:val="21"/>
              </w:rPr>
            </w:pPr>
            <w:r>
              <w:rPr>
                <w:sz w:val="21"/>
                <w:szCs w:val="21"/>
              </w:rPr>
              <w:t>重点防渗区</w:t>
            </w:r>
          </w:p>
        </w:tc>
      </w:tr>
      <w:tr w:rsidR="00DB7CC8">
        <w:trPr>
          <w:trHeight w:val="645"/>
        </w:trPr>
        <w:tc>
          <w:tcPr>
            <w:tcW w:w="2438" w:type="dxa"/>
            <w:tcBorders>
              <w:top w:val="single" w:sz="6" w:space="0" w:color="auto"/>
              <w:left w:val="single" w:sz="6" w:space="0" w:color="auto"/>
              <w:bottom w:val="single" w:sz="6" w:space="0" w:color="auto"/>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浓密池、清水池、压滤机、事故池、破碎车间、球磨车间、砂石库、原料库、成品库、洗车平台</w:t>
            </w:r>
          </w:p>
        </w:tc>
        <w:tc>
          <w:tcPr>
            <w:tcW w:w="1134" w:type="dxa"/>
            <w:vMerge/>
            <w:tcBorders>
              <w:top w:val="single" w:sz="6" w:space="0" w:color="auto"/>
              <w:bottom w:val="single" w:sz="6" w:space="0" w:color="auto"/>
            </w:tcBorders>
            <w:vAlign w:val="center"/>
          </w:tcPr>
          <w:p w:rsidR="00DB7CC8" w:rsidRDefault="00DB7CC8">
            <w:pPr>
              <w:snapToGrid w:val="0"/>
              <w:spacing w:line="240" w:lineRule="auto"/>
              <w:ind w:firstLineChars="0" w:firstLine="0"/>
              <w:jc w:val="center"/>
              <w:rPr>
                <w:sz w:val="21"/>
                <w:szCs w:val="21"/>
              </w:rPr>
            </w:pPr>
          </w:p>
        </w:tc>
        <w:tc>
          <w:tcPr>
            <w:tcW w:w="1034" w:type="dxa"/>
            <w:vMerge/>
            <w:tcBorders>
              <w:top w:val="single" w:sz="6" w:space="0" w:color="auto"/>
              <w:bottom w:val="single" w:sz="6" w:space="0" w:color="auto"/>
            </w:tcBorders>
            <w:vAlign w:val="center"/>
          </w:tcPr>
          <w:p w:rsidR="00DB7CC8" w:rsidRDefault="00DB7CC8">
            <w:pPr>
              <w:snapToGrid w:val="0"/>
              <w:spacing w:line="240" w:lineRule="auto"/>
              <w:ind w:firstLineChars="0" w:firstLine="0"/>
              <w:jc w:val="center"/>
              <w:rPr>
                <w:sz w:val="21"/>
                <w:szCs w:val="21"/>
              </w:rPr>
            </w:pPr>
          </w:p>
        </w:tc>
        <w:tc>
          <w:tcPr>
            <w:tcW w:w="2087" w:type="dxa"/>
            <w:vMerge w:val="restart"/>
            <w:tcBorders>
              <w:top w:val="single" w:sz="6" w:space="0" w:color="auto"/>
              <w:bottom w:val="single" w:sz="6" w:space="0" w:color="auto"/>
            </w:tcBorders>
            <w:vAlign w:val="center"/>
          </w:tcPr>
          <w:p w:rsidR="00DB7CC8" w:rsidRDefault="002B5250">
            <w:pPr>
              <w:snapToGrid w:val="0"/>
              <w:spacing w:line="240" w:lineRule="auto"/>
              <w:ind w:firstLineChars="0" w:firstLine="0"/>
              <w:jc w:val="center"/>
              <w:rPr>
                <w:sz w:val="21"/>
                <w:szCs w:val="21"/>
              </w:rPr>
            </w:pPr>
            <w:r>
              <w:rPr>
                <w:sz w:val="21"/>
                <w:szCs w:val="21"/>
              </w:rPr>
              <w:t>其他类型</w:t>
            </w:r>
          </w:p>
        </w:tc>
        <w:tc>
          <w:tcPr>
            <w:tcW w:w="1669" w:type="dxa"/>
            <w:tcBorders>
              <w:top w:val="single" w:sz="6" w:space="0" w:color="auto"/>
              <w:bottom w:val="single" w:sz="6" w:space="0" w:color="auto"/>
              <w:right w:val="single" w:sz="6" w:space="0" w:color="auto"/>
            </w:tcBorders>
            <w:vAlign w:val="center"/>
          </w:tcPr>
          <w:p w:rsidR="00DB7CC8" w:rsidRDefault="002B5250">
            <w:pPr>
              <w:snapToGrid w:val="0"/>
              <w:spacing w:line="240" w:lineRule="auto"/>
              <w:ind w:firstLineChars="0" w:firstLine="0"/>
              <w:jc w:val="center"/>
              <w:rPr>
                <w:sz w:val="21"/>
                <w:szCs w:val="21"/>
              </w:rPr>
            </w:pPr>
            <w:r>
              <w:rPr>
                <w:sz w:val="21"/>
                <w:szCs w:val="21"/>
              </w:rPr>
              <w:t>一般防渗区</w:t>
            </w:r>
          </w:p>
        </w:tc>
      </w:tr>
      <w:tr w:rsidR="00DB7CC8">
        <w:trPr>
          <w:trHeight w:val="915"/>
        </w:trPr>
        <w:tc>
          <w:tcPr>
            <w:tcW w:w="2438" w:type="dxa"/>
            <w:tcBorders>
              <w:top w:val="single" w:sz="6" w:space="0" w:color="auto"/>
              <w:left w:val="single" w:sz="6" w:space="0" w:color="auto"/>
              <w:bottom w:val="single" w:sz="6" w:space="0" w:color="auto"/>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磅房、办公区、配电室</w:t>
            </w:r>
          </w:p>
        </w:tc>
        <w:tc>
          <w:tcPr>
            <w:tcW w:w="1134" w:type="dxa"/>
            <w:tcBorders>
              <w:top w:val="single" w:sz="6" w:space="0" w:color="auto"/>
              <w:bottom w:val="single" w:sz="6" w:space="0" w:color="auto"/>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中</w:t>
            </w:r>
          </w:p>
        </w:tc>
        <w:tc>
          <w:tcPr>
            <w:tcW w:w="1034" w:type="dxa"/>
            <w:tcBorders>
              <w:top w:val="single" w:sz="6" w:space="0" w:color="auto"/>
              <w:bottom w:val="single" w:sz="6" w:space="0" w:color="auto"/>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易</w:t>
            </w:r>
          </w:p>
        </w:tc>
        <w:tc>
          <w:tcPr>
            <w:tcW w:w="2087" w:type="dxa"/>
            <w:vMerge/>
            <w:tcBorders>
              <w:top w:val="single" w:sz="6" w:space="0" w:color="auto"/>
              <w:bottom w:val="single" w:sz="6" w:space="0" w:color="auto"/>
            </w:tcBorders>
            <w:vAlign w:val="center"/>
          </w:tcPr>
          <w:p w:rsidR="00DB7CC8" w:rsidRDefault="00DB7CC8">
            <w:pPr>
              <w:snapToGrid w:val="0"/>
              <w:spacing w:line="240" w:lineRule="auto"/>
              <w:ind w:firstLineChars="0" w:firstLine="0"/>
              <w:jc w:val="center"/>
              <w:rPr>
                <w:sz w:val="21"/>
                <w:szCs w:val="21"/>
              </w:rPr>
            </w:pPr>
          </w:p>
        </w:tc>
        <w:tc>
          <w:tcPr>
            <w:tcW w:w="1669" w:type="dxa"/>
            <w:tcBorders>
              <w:top w:val="single" w:sz="6" w:space="0" w:color="auto"/>
              <w:bottom w:val="single" w:sz="6" w:space="0" w:color="auto"/>
              <w:right w:val="single" w:sz="6" w:space="0" w:color="auto"/>
            </w:tcBorders>
            <w:vAlign w:val="center"/>
          </w:tcPr>
          <w:p w:rsidR="00DB7CC8" w:rsidRDefault="002B5250">
            <w:pPr>
              <w:snapToGrid w:val="0"/>
              <w:spacing w:line="240" w:lineRule="auto"/>
              <w:ind w:firstLineChars="0" w:firstLine="0"/>
              <w:jc w:val="center"/>
              <w:rPr>
                <w:sz w:val="21"/>
                <w:szCs w:val="21"/>
              </w:rPr>
            </w:pPr>
            <w:r>
              <w:rPr>
                <w:rFonts w:hint="eastAsia"/>
                <w:sz w:val="21"/>
                <w:szCs w:val="21"/>
              </w:rPr>
              <w:t>一般地面硬化</w:t>
            </w:r>
          </w:p>
        </w:tc>
      </w:tr>
    </w:tbl>
    <w:p w:rsidR="00DB7CC8" w:rsidRDefault="002B5250">
      <w:pPr>
        <w:widowControl/>
        <w:ind w:firstLine="480"/>
        <w:jc w:val="both"/>
        <w:rPr>
          <w:sz w:val="24"/>
          <w:szCs w:val="24"/>
        </w:rPr>
      </w:pPr>
      <w:r>
        <w:rPr>
          <w:rFonts w:hint="eastAsia"/>
          <w:sz w:val="24"/>
          <w:szCs w:val="24"/>
        </w:rPr>
        <w:t>（</w:t>
      </w:r>
      <w:r>
        <w:rPr>
          <w:rFonts w:hint="eastAsia"/>
          <w:sz w:val="24"/>
          <w:szCs w:val="24"/>
        </w:rPr>
        <w:t>2</w:t>
      </w:r>
      <w:r>
        <w:rPr>
          <w:rFonts w:hint="eastAsia"/>
          <w:sz w:val="24"/>
          <w:szCs w:val="24"/>
        </w:rPr>
        <w:t>）具体防渗措施</w:t>
      </w:r>
    </w:p>
    <w:p w:rsidR="00DB7CC8" w:rsidRDefault="002B5250">
      <w:pPr>
        <w:widowControl/>
        <w:ind w:firstLine="480"/>
        <w:jc w:val="both"/>
        <w:rPr>
          <w:sz w:val="24"/>
          <w:szCs w:val="24"/>
        </w:rPr>
      </w:pPr>
      <w:r>
        <w:rPr>
          <w:sz w:val="24"/>
          <w:szCs w:val="24"/>
        </w:rPr>
        <w:t>根据地下水污染防渗分区表</w:t>
      </w:r>
      <w:r>
        <w:rPr>
          <w:sz w:val="24"/>
          <w:szCs w:val="24"/>
        </w:rPr>
        <w:t>6.2</w:t>
      </w:r>
      <w:r>
        <w:rPr>
          <w:rFonts w:hint="eastAsia"/>
          <w:sz w:val="24"/>
          <w:szCs w:val="24"/>
        </w:rPr>
        <w:t>-5</w:t>
      </w:r>
      <w:r>
        <w:rPr>
          <w:sz w:val="24"/>
          <w:szCs w:val="24"/>
        </w:rPr>
        <w:t>，本项目按重点防渗区</w:t>
      </w:r>
      <w:r>
        <w:rPr>
          <w:rFonts w:hint="eastAsia"/>
          <w:sz w:val="24"/>
          <w:szCs w:val="24"/>
        </w:rPr>
        <w:t>、</w:t>
      </w:r>
      <w:r>
        <w:rPr>
          <w:sz w:val="24"/>
          <w:szCs w:val="24"/>
        </w:rPr>
        <w:t>一般防渗区</w:t>
      </w:r>
      <w:r>
        <w:rPr>
          <w:rFonts w:hint="eastAsia"/>
          <w:sz w:val="24"/>
          <w:szCs w:val="24"/>
        </w:rPr>
        <w:t>和简单防渗区</w:t>
      </w:r>
      <w:r>
        <w:rPr>
          <w:sz w:val="24"/>
          <w:szCs w:val="24"/>
        </w:rPr>
        <w:t>分区域进行防渗处理。</w:t>
      </w:r>
    </w:p>
    <w:p w:rsidR="00DB7CC8" w:rsidRDefault="002B5250">
      <w:pPr>
        <w:widowControl/>
        <w:autoSpaceDN w:val="0"/>
        <w:ind w:firstLine="480"/>
        <w:textAlignment w:val="auto"/>
        <w:rPr>
          <w:sz w:val="24"/>
          <w:szCs w:val="24"/>
        </w:rPr>
      </w:pPr>
      <w:r>
        <w:rPr>
          <w:sz w:val="24"/>
          <w:szCs w:val="24"/>
        </w:rPr>
        <w:t>重点防渗区包括：</w:t>
      </w:r>
      <w:r>
        <w:rPr>
          <w:rFonts w:hint="eastAsia"/>
          <w:sz w:val="24"/>
          <w:szCs w:val="24"/>
        </w:rPr>
        <w:t>危废间；一般防渗区包括：浓密池、清水池、压滤机、事故池、破碎车间、球磨车间、砂石库、原料库、成品库、洗车平台；简单防渗区包括洗车平台、磅房、办公区、配电室</w:t>
      </w:r>
      <w:r>
        <w:rPr>
          <w:sz w:val="24"/>
          <w:szCs w:val="24"/>
        </w:rPr>
        <w:t>（</w:t>
      </w:r>
      <w:r>
        <w:rPr>
          <w:rFonts w:hint="eastAsia"/>
          <w:sz w:val="24"/>
          <w:szCs w:val="24"/>
        </w:rPr>
        <w:t>详</w:t>
      </w:r>
      <w:r>
        <w:rPr>
          <w:sz w:val="24"/>
          <w:szCs w:val="24"/>
        </w:rPr>
        <w:t>见图</w:t>
      </w:r>
      <w:r>
        <w:rPr>
          <w:rFonts w:hint="eastAsia"/>
          <w:sz w:val="24"/>
          <w:szCs w:val="24"/>
        </w:rPr>
        <w:t>6.2-1</w:t>
      </w:r>
      <w:r>
        <w:rPr>
          <w:sz w:val="24"/>
          <w:szCs w:val="24"/>
        </w:rPr>
        <w:t>）。按照《环境影响评价导则</w:t>
      </w:r>
      <w:r>
        <w:rPr>
          <w:sz w:val="24"/>
          <w:szCs w:val="24"/>
        </w:rPr>
        <w:t>—</w:t>
      </w:r>
      <w:r>
        <w:rPr>
          <w:sz w:val="24"/>
          <w:szCs w:val="24"/>
        </w:rPr>
        <w:t>地下水环境》（</w:t>
      </w:r>
      <w:r>
        <w:rPr>
          <w:sz w:val="24"/>
          <w:szCs w:val="24"/>
        </w:rPr>
        <w:t>HJ610-2016</w:t>
      </w:r>
      <w:r>
        <w:rPr>
          <w:sz w:val="24"/>
          <w:szCs w:val="24"/>
        </w:rPr>
        <w:t>）分区防渗措施要求以及相关规范，并结合厂区实际情况，拟建工程防渗工程设计标准及维护需满足下列要求：</w:t>
      </w:r>
    </w:p>
    <w:p w:rsidR="00DB7CC8" w:rsidRDefault="002B5250">
      <w:pPr>
        <w:ind w:firstLine="480"/>
        <w:textAlignment w:val="auto"/>
        <w:rPr>
          <w:sz w:val="24"/>
        </w:rPr>
      </w:pPr>
      <w:r>
        <w:rPr>
          <w:sz w:val="24"/>
        </w:rPr>
        <w:t>①</w:t>
      </w:r>
      <w:r>
        <w:rPr>
          <w:sz w:val="24"/>
        </w:rPr>
        <w:t>重点污染防渗区：危废间按《危险废物贮存污染控制标准》（</w:t>
      </w:r>
      <w:r>
        <w:rPr>
          <w:sz w:val="24"/>
        </w:rPr>
        <w:t>GB18597-20</w:t>
      </w:r>
      <w:r>
        <w:rPr>
          <w:rFonts w:hint="eastAsia"/>
          <w:sz w:val="24"/>
        </w:rPr>
        <w:t>23</w:t>
      </w:r>
      <w:r>
        <w:rPr>
          <w:sz w:val="24"/>
        </w:rPr>
        <w:t>）关于防渗要求处理：地面与裙脚采用土工膜（</w:t>
      </w:r>
      <w:r>
        <w:rPr>
          <w:sz w:val="24"/>
        </w:rPr>
        <w:t>2mm</w:t>
      </w:r>
      <w:r>
        <w:rPr>
          <w:sz w:val="24"/>
        </w:rPr>
        <w:t>）防渗，地面及裙角均采取抗</w:t>
      </w:r>
      <w:r>
        <w:rPr>
          <w:sz w:val="24"/>
        </w:rPr>
        <w:lastRenderedPageBreak/>
        <w:t>渗水泥防渗，地面水泥厚度为</w:t>
      </w:r>
      <w:r>
        <w:rPr>
          <w:sz w:val="24"/>
        </w:rPr>
        <w:t>20cm</w:t>
      </w:r>
      <w:r>
        <w:rPr>
          <w:sz w:val="24"/>
        </w:rPr>
        <w:t>；裙角高度</w:t>
      </w:r>
      <w:r>
        <w:rPr>
          <w:sz w:val="24"/>
        </w:rPr>
        <w:t>1.5m</w:t>
      </w:r>
      <w:r>
        <w:rPr>
          <w:sz w:val="24"/>
        </w:rPr>
        <w:t>，厚度</w:t>
      </w:r>
      <w:r>
        <w:rPr>
          <w:sz w:val="24"/>
        </w:rPr>
        <w:t>20cm</w:t>
      </w:r>
      <w:r>
        <w:rPr>
          <w:sz w:val="24"/>
        </w:rPr>
        <w:t>，地面及四周裙脚均应耐腐蚀，耐热且表面无裂隙，同时设置泄漏液体的收集装置。防渗层渗透系数小于</w:t>
      </w:r>
      <w:r>
        <w:rPr>
          <w:sz w:val="24"/>
        </w:rPr>
        <w:t>10</w:t>
      </w:r>
      <w:r>
        <w:rPr>
          <w:sz w:val="24"/>
          <w:vertAlign w:val="superscript"/>
        </w:rPr>
        <w:t>-10</w:t>
      </w:r>
      <w:r>
        <w:rPr>
          <w:sz w:val="24"/>
        </w:rPr>
        <w:t>cm/s</w:t>
      </w:r>
      <w:r>
        <w:rPr>
          <w:sz w:val="24"/>
        </w:rPr>
        <w:t>。</w:t>
      </w:r>
    </w:p>
    <w:p w:rsidR="00DB7CC8" w:rsidRDefault="002B5250">
      <w:pPr>
        <w:ind w:firstLine="480"/>
        <w:textAlignment w:val="auto"/>
        <w:rPr>
          <w:sz w:val="24"/>
        </w:rPr>
      </w:pPr>
      <w:r>
        <w:rPr>
          <w:sz w:val="24"/>
        </w:rPr>
        <w:t>②</w:t>
      </w:r>
      <w:r>
        <w:rPr>
          <w:sz w:val="24"/>
        </w:rPr>
        <w:t>一般污染防治区：</w:t>
      </w:r>
      <w:r>
        <w:rPr>
          <w:rFonts w:hint="eastAsia"/>
          <w:sz w:val="24"/>
          <w:szCs w:val="24"/>
        </w:rPr>
        <w:t>浓密池、清水池、压滤机、事故池、破碎车间、球磨车间、砂石库、原料库、成品库、洗车平台</w:t>
      </w:r>
      <w:r>
        <w:rPr>
          <w:rFonts w:hint="eastAsia"/>
          <w:sz w:val="24"/>
        </w:rPr>
        <w:t>，一般防渗</w:t>
      </w:r>
      <w:r>
        <w:rPr>
          <w:sz w:val="24"/>
        </w:rPr>
        <w:t>地面采用防渗混凝土结构，厚度为</w:t>
      </w:r>
      <w:r>
        <w:rPr>
          <w:sz w:val="24"/>
        </w:rPr>
        <w:t>20cm</w:t>
      </w:r>
      <w:r>
        <w:rPr>
          <w:sz w:val="24"/>
        </w:rPr>
        <w:t>，防渗系数</w:t>
      </w:r>
      <w:r>
        <w:rPr>
          <w:sz w:val="24"/>
        </w:rPr>
        <w:t>≤10</w:t>
      </w:r>
      <w:r>
        <w:rPr>
          <w:sz w:val="24"/>
          <w:vertAlign w:val="superscript"/>
        </w:rPr>
        <w:t>-7</w:t>
      </w:r>
      <w:r>
        <w:rPr>
          <w:sz w:val="24"/>
        </w:rPr>
        <w:t>cm/s</w:t>
      </w:r>
      <w:r>
        <w:rPr>
          <w:sz w:val="24"/>
        </w:rPr>
        <w:t>。</w:t>
      </w:r>
      <w:r>
        <w:rPr>
          <w:rFonts w:hint="eastAsia"/>
          <w:sz w:val="24"/>
        </w:rPr>
        <w:t>事故池、浓密池、清水池等</w:t>
      </w:r>
      <w:r>
        <w:rPr>
          <w:sz w:val="24"/>
        </w:rPr>
        <w:t>底部及四壁均采用混凝土浇筑防渗，厚度为</w:t>
      </w:r>
      <w:r>
        <w:rPr>
          <w:sz w:val="24"/>
        </w:rPr>
        <w:t>20cm</w:t>
      </w:r>
      <w:r>
        <w:rPr>
          <w:sz w:val="24"/>
        </w:rPr>
        <w:t>，防渗系数小于</w:t>
      </w:r>
      <w:r>
        <w:rPr>
          <w:sz w:val="24"/>
        </w:rPr>
        <w:t>1×10</w:t>
      </w:r>
      <w:r>
        <w:rPr>
          <w:sz w:val="24"/>
          <w:vertAlign w:val="superscript"/>
        </w:rPr>
        <w:t>-7</w:t>
      </w:r>
      <w:r>
        <w:rPr>
          <w:sz w:val="24"/>
        </w:rPr>
        <w:t>cm/s</w:t>
      </w:r>
      <w:r>
        <w:rPr>
          <w:sz w:val="24"/>
        </w:rPr>
        <w:t>。</w:t>
      </w:r>
    </w:p>
    <w:p w:rsidR="00DB7CC8" w:rsidRDefault="002B5250">
      <w:pPr>
        <w:widowControl/>
        <w:autoSpaceDN w:val="0"/>
        <w:ind w:firstLine="480"/>
        <w:textAlignment w:val="auto"/>
        <w:rPr>
          <w:sz w:val="24"/>
          <w:szCs w:val="24"/>
        </w:rPr>
      </w:pPr>
      <w:r>
        <w:rPr>
          <w:rFonts w:hint="eastAsia"/>
          <w:sz w:val="24"/>
        </w:rPr>
        <w:t>③简单防渗区：简单防渗区包括洗车平台、磅房、办公区、配电室等，一般地面硬化即可。</w:t>
      </w:r>
    </w:p>
    <w:p w:rsidR="00DB7CC8" w:rsidRDefault="002B5250">
      <w:pPr>
        <w:spacing w:line="240" w:lineRule="auto"/>
        <w:ind w:firstLineChars="0" w:firstLine="0"/>
        <w:jc w:val="center"/>
        <w:rPr>
          <w:rFonts w:ascii="黑体" w:eastAsia="黑体" w:hAnsi="黑体"/>
          <w:sz w:val="21"/>
          <w:szCs w:val="21"/>
        </w:rPr>
      </w:pPr>
      <w:r>
        <w:rPr>
          <w:rFonts w:ascii="黑体" w:eastAsia="黑体" w:hAnsi="黑体"/>
          <w:sz w:val="21"/>
          <w:szCs w:val="21"/>
        </w:rPr>
        <w:object w:dxaOrig="6708" w:dyaOrig="6780">
          <v:shape id="_x0000_i1041" type="#_x0000_t75" style="width:335.4pt;height:339pt" o:ole="">
            <v:imagedata r:id="rId117" o:title=""/>
            <o:lock v:ext="edit" aspectratio="f"/>
          </v:shape>
          <o:OLEObject Type="Embed" ProgID="Visio.Drawing.11" ShapeID="_x0000_i1041" DrawAspect="Content" ObjectID="_1772523738" r:id="rId118"/>
        </w:object>
      </w:r>
    </w:p>
    <w:p w:rsidR="00DB7CC8" w:rsidRDefault="002B5250">
      <w:pPr>
        <w:spacing w:line="240" w:lineRule="auto"/>
        <w:ind w:firstLineChars="0" w:firstLine="0"/>
        <w:jc w:val="center"/>
        <w:rPr>
          <w:rFonts w:ascii="黑体" w:eastAsia="黑体" w:hAnsi="黑体"/>
          <w:sz w:val="21"/>
          <w:szCs w:val="21"/>
        </w:rPr>
      </w:pPr>
      <w:r>
        <w:rPr>
          <w:rFonts w:eastAsia="黑体"/>
          <w:sz w:val="21"/>
          <w:szCs w:val="21"/>
        </w:rPr>
        <w:t>图</w:t>
      </w:r>
      <w:r>
        <w:rPr>
          <w:rFonts w:eastAsia="黑体"/>
          <w:sz w:val="21"/>
          <w:szCs w:val="21"/>
        </w:rPr>
        <w:t xml:space="preserve">6.2-1   </w:t>
      </w:r>
      <w:r>
        <w:rPr>
          <w:rFonts w:ascii="黑体" w:eastAsia="黑体" w:hAnsi="黑体" w:hint="eastAsia"/>
          <w:sz w:val="21"/>
          <w:szCs w:val="21"/>
        </w:rPr>
        <w:t xml:space="preserve"> </w:t>
      </w:r>
      <w:r>
        <w:rPr>
          <w:rFonts w:ascii="黑体" w:eastAsia="黑体" w:hAnsi="黑体" w:hint="eastAsia"/>
          <w:sz w:val="21"/>
          <w:szCs w:val="21"/>
        </w:rPr>
        <w:t>厂区防渗分区图</w:t>
      </w:r>
    </w:p>
    <w:p w:rsidR="00DB7CC8" w:rsidRDefault="002B5250">
      <w:pPr>
        <w:pStyle w:val="4"/>
      </w:pPr>
      <w:r>
        <w:rPr>
          <w:rFonts w:hint="eastAsia"/>
        </w:rPr>
        <w:t>6.2.3.4</w:t>
      </w:r>
      <w:r>
        <w:rPr>
          <w:rFonts w:hint="eastAsia"/>
        </w:rPr>
        <w:t>地下水环境质量监测、管理</w:t>
      </w:r>
    </w:p>
    <w:p w:rsidR="00DB7CC8" w:rsidRDefault="002B5250">
      <w:pPr>
        <w:widowControl/>
        <w:autoSpaceDN w:val="0"/>
        <w:ind w:firstLine="480"/>
        <w:textAlignment w:val="auto"/>
        <w:rPr>
          <w:sz w:val="24"/>
          <w:szCs w:val="24"/>
        </w:rPr>
      </w:pPr>
      <w:r>
        <w:rPr>
          <w:sz w:val="24"/>
          <w:szCs w:val="24"/>
        </w:rPr>
        <w:t>为了及时准确地掌握厂区所在地周围地下水环境质量状况和地下水体中污染物的动态变化情况，应对该厂区所在区域地下水环境质量进行定期的监测，防止或最大限度的减轻厂区对地下水的污染。</w:t>
      </w:r>
    </w:p>
    <w:p w:rsidR="00DB7CC8" w:rsidRDefault="002B5250">
      <w:pPr>
        <w:widowControl/>
        <w:autoSpaceDN w:val="0"/>
        <w:ind w:firstLine="482"/>
        <w:textAlignment w:val="auto"/>
        <w:rPr>
          <w:b/>
          <w:sz w:val="24"/>
          <w:szCs w:val="24"/>
        </w:rPr>
      </w:pPr>
      <w:r>
        <w:rPr>
          <w:rFonts w:hint="eastAsia"/>
          <w:b/>
          <w:sz w:val="24"/>
          <w:szCs w:val="24"/>
        </w:rPr>
        <w:t>（</w:t>
      </w:r>
      <w:r>
        <w:rPr>
          <w:rFonts w:hint="eastAsia"/>
          <w:b/>
          <w:sz w:val="24"/>
          <w:szCs w:val="24"/>
        </w:rPr>
        <w:t>1</w:t>
      </w:r>
      <w:r>
        <w:rPr>
          <w:rFonts w:hint="eastAsia"/>
          <w:b/>
          <w:sz w:val="24"/>
          <w:szCs w:val="24"/>
        </w:rPr>
        <w:t>）</w:t>
      </w:r>
      <w:r>
        <w:rPr>
          <w:b/>
          <w:sz w:val="24"/>
          <w:szCs w:val="24"/>
        </w:rPr>
        <w:t>厂区及其上下游地下水监测井布设原则</w:t>
      </w:r>
    </w:p>
    <w:p w:rsidR="00DB7CC8" w:rsidRDefault="002B5250">
      <w:pPr>
        <w:widowControl/>
        <w:autoSpaceDN w:val="0"/>
        <w:ind w:firstLine="480"/>
        <w:textAlignment w:val="auto"/>
        <w:rPr>
          <w:sz w:val="24"/>
          <w:szCs w:val="24"/>
        </w:rPr>
      </w:pPr>
      <w:r>
        <w:rPr>
          <w:sz w:val="24"/>
          <w:szCs w:val="24"/>
        </w:rPr>
        <w:lastRenderedPageBreak/>
        <w:t>重点污染区加密监测原则；主要监测浅层水；以地下水下游区为主，地下水上游区设置背景点。</w:t>
      </w:r>
    </w:p>
    <w:p w:rsidR="00DB7CC8" w:rsidRDefault="002B5250">
      <w:pPr>
        <w:widowControl/>
        <w:autoSpaceDN w:val="0"/>
        <w:ind w:firstLine="482"/>
        <w:textAlignment w:val="auto"/>
        <w:rPr>
          <w:b/>
          <w:sz w:val="24"/>
          <w:szCs w:val="24"/>
        </w:rPr>
      </w:pPr>
      <w:r>
        <w:rPr>
          <w:rFonts w:hint="eastAsia"/>
          <w:b/>
          <w:sz w:val="24"/>
          <w:szCs w:val="24"/>
        </w:rPr>
        <w:t>（</w:t>
      </w:r>
      <w:r>
        <w:rPr>
          <w:rFonts w:hint="eastAsia"/>
          <w:b/>
          <w:sz w:val="24"/>
          <w:szCs w:val="24"/>
        </w:rPr>
        <w:t>2</w:t>
      </w:r>
      <w:r>
        <w:rPr>
          <w:rFonts w:hint="eastAsia"/>
          <w:b/>
          <w:sz w:val="24"/>
          <w:szCs w:val="24"/>
        </w:rPr>
        <w:t>）</w:t>
      </w:r>
      <w:r>
        <w:rPr>
          <w:b/>
          <w:sz w:val="24"/>
          <w:szCs w:val="24"/>
        </w:rPr>
        <w:t>监测点布设方案</w:t>
      </w:r>
    </w:p>
    <w:p w:rsidR="00DB7CC8" w:rsidRDefault="002B5250">
      <w:pPr>
        <w:widowControl/>
        <w:autoSpaceDN w:val="0"/>
        <w:ind w:firstLine="480"/>
        <w:textAlignment w:val="auto"/>
        <w:rPr>
          <w:sz w:val="24"/>
          <w:szCs w:val="24"/>
        </w:rPr>
      </w:pPr>
      <w:r>
        <w:rPr>
          <w:rFonts w:hint="eastAsia"/>
          <w:sz w:val="24"/>
          <w:szCs w:val="24"/>
        </w:rPr>
        <w:t>①</w:t>
      </w:r>
      <w:r>
        <w:rPr>
          <w:sz w:val="24"/>
          <w:szCs w:val="24"/>
        </w:rPr>
        <w:t>监测井数：</w:t>
      </w:r>
    </w:p>
    <w:p w:rsidR="00DB7CC8" w:rsidRDefault="002B5250">
      <w:pPr>
        <w:autoSpaceDN w:val="0"/>
        <w:ind w:firstLine="480"/>
        <w:textAlignment w:val="auto"/>
        <w:rPr>
          <w:sz w:val="24"/>
          <w:szCs w:val="24"/>
        </w:rPr>
      </w:pPr>
      <w:r>
        <w:rPr>
          <w:sz w:val="24"/>
          <w:szCs w:val="24"/>
        </w:rPr>
        <w:t>为了掌握本工程周围地下水环境质量状况和地下水体中污染物的动态变化，应对项目所在地周围的地下水水质进行监测，以便及时准确地反馈地下水水质状况，为防止对地下水的污染采取相应的措施提供重要依据。</w:t>
      </w:r>
    </w:p>
    <w:p w:rsidR="00DB7CC8" w:rsidRDefault="002B5250">
      <w:pPr>
        <w:widowControl/>
        <w:autoSpaceDN w:val="0"/>
        <w:ind w:firstLine="480"/>
        <w:textAlignment w:val="auto"/>
        <w:rPr>
          <w:sz w:val="24"/>
          <w:szCs w:val="24"/>
        </w:rPr>
      </w:pPr>
      <w:r>
        <w:rPr>
          <w:sz w:val="24"/>
          <w:szCs w:val="24"/>
        </w:rPr>
        <w:t>因为厂区附近相对较易污染的是浅层地下水，因此，此次以浅层地下水为监测对象，根据《地下水环境监测技术规范》</w:t>
      </w:r>
      <w:r>
        <w:rPr>
          <w:sz w:val="24"/>
          <w:szCs w:val="24"/>
        </w:rPr>
        <w:t>HJ/T164-2004</w:t>
      </w:r>
      <w:r>
        <w:rPr>
          <w:sz w:val="24"/>
          <w:szCs w:val="24"/>
        </w:rPr>
        <w:t>的要求，共布设地下水水质监测井</w:t>
      </w:r>
      <w:r>
        <w:rPr>
          <w:sz w:val="24"/>
          <w:szCs w:val="24"/>
        </w:rPr>
        <w:t>3</w:t>
      </w:r>
      <w:r>
        <w:rPr>
          <w:sz w:val="24"/>
          <w:szCs w:val="24"/>
        </w:rPr>
        <w:t>眼，见</w:t>
      </w:r>
      <w:r>
        <w:rPr>
          <w:rFonts w:hint="eastAsia"/>
          <w:sz w:val="24"/>
          <w:szCs w:val="24"/>
        </w:rPr>
        <w:t>表</w:t>
      </w:r>
      <w:r>
        <w:rPr>
          <w:rFonts w:hint="eastAsia"/>
          <w:sz w:val="24"/>
          <w:szCs w:val="24"/>
        </w:rPr>
        <w:t>6.2-6</w:t>
      </w:r>
      <w:r>
        <w:rPr>
          <w:sz w:val="24"/>
          <w:szCs w:val="24"/>
        </w:rPr>
        <w:t>。随时掌握地下水水质变化趋势。</w:t>
      </w:r>
    </w:p>
    <w:p w:rsidR="00DB7CC8" w:rsidRDefault="002B5250">
      <w:pPr>
        <w:widowControl/>
        <w:autoSpaceDN w:val="0"/>
        <w:ind w:firstLine="480"/>
        <w:textAlignment w:val="auto"/>
        <w:rPr>
          <w:sz w:val="24"/>
          <w:szCs w:val="24"/>
        </w:rPr>
      </w:pPr>
      <w:r>
        <w:rPr>
          <w:sz w:val="24"/>
          <w:szCs w:val="24"/>
        </w:rPr>
        <w:t>厂区区域上游布设</w:t>
      </w:r>
      <w:r>
        <w:rPr>
          <w:sz w:val="24"/>
          <w:szCs w:val="24"/>
        </w:rPr>
        <w:t>1</w:t>
      </w:r>
      <w:r>
        <w:rPr>
          <w:sz w:val="24"/>
          <w:szCs w:val="24"/>
        </w:rPr>
        <w:t>眼监测井，用于检测地下水上游背景值，厂区内重点污染风险源下游布设</w:t>
      </w:r>
      <w:r>
        <w:rPr>
          <w:sz w:val="24"/>
          <w:szCs w:val="24"/>
        </w:rPr>
        <w:t>1</w:t>
      </w:r>
      <w:r>
        <w:rPr>
          <w:sz w:val="24"/>
          <w:szCs w:val="24"/>
        </w:rPr>
        <w:t>眼监测井，用于污染扩散监测。</w:t>
      </w:r>
      <w:r>
        <w:rPr>
          <w:sz w:val="24"/>
          <w:szCs w:val="24"/>
        </w:rPr>
        <w:t>地下水主径流方向下游布设</w:t>
      </w:r>
      <w:r>
        <w:rPr>
          <w:sz w:val="24"/>
          <w:szCs w:val="24"/>
        </w:rPr>
        <w:t>1</w:t>
      </w:r>
      <w:r>
        <w:rPr>
          <w:sz w:val="24"/>
          <w:szCs w:val="24"/>
        </w:rPr>
        <w:t>眼浅层监测井，用于检测下游地下水状况，并作为事故应急处置井（在突发事故造成泄露时可利用事故应急处置井抽排受污染的地下水）。</w:t>
      </w:r>
    </w:p>
    <w:p w:rsidR="00DB7CC8" w:rsidRDefault="002B5250">
      <w:pPr>
        <w:spacing w:line="240" w:lineRule="auto"/>
        <w:ind w:firstLineChars="0" w:firstLine="0"/>
        <w:jc w:val="center"/>
        <w:rPr>
          <w:rFonts w:ascii="黑体" w:eastAsia="黑体" w:hAnsi="黑体"/>
          <w:sz w:val="21"/>
          <w:szCs w:val="21"/>
        </w:rPr>
      </w:pPr>
      <w:r>
        <w:rPr>
          <w:rFonts w:eastAsia="黑体"/>
          <w:sz w:val="21"/>
          <w:szCs w:val="21"/>
        </w:rPr>
        <w:t>表</w:t>
      </w:r>
      <w:r>
        <w:rPr>
          <w:rFonts w:eastAsia="黑体"/>
          <w:sz w:val="21"/>
          <w:szCs w:val="21"/>
        </w:rPr>
        <w:t xml:space="preserve">6.2-6   </w:t>
      </w:r>
      <w:r>
        <w:rPr>
          <w:rFonts w:eastAsia="黑体"/>
          <w:sz w:val="21"/>
          <w:szCs w:val="21"/>
        </w:rPr>
        <w:t>水质监测点一</w:t>
      </w:r>
      <w:r>
        <w:rPr>
          <w:rFonts w:ascii="黑体" w:eastAsia="黑体" w:hAnsi="黑体" w:hint="eastAsia"/>
          <w:sz w:val="21"/>
          <w:szCs w:val="21"/>
        </w:rPr>
        <w:t>览表</w:t>
      </w:r>
    </w:p>
    <w:tbl>
      <w:tblPr>
        <w:tblW w:w="8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3"/>
        <w:gridCol w:w="1709"/>
        <w:gridCol w:w="1093"/>
        <w:gridCol w:w="1945"/>
        <w:gridCol w:w="1443"/>
        <w:gridCol w:w="1437"/>
      </w:tblGrid>
      <w:tr w:rsidR="00DB7CC8">
        <w:trPr>
          <w:trHeight w:val="342"/>
          <w:jc w:val="center"/>
        </w:trPr>
        <w:tc>
          <w:tcPr>
            <w:tcW w:w="893" w:type="dxa"/>
            <w:vMerge w:val="restart"/>
            <w:vAlign w:val="center"/>
          </w:tcPr>
          <w:p w:rsidR="00DB7CC8" w:rsidRDefault="002B5250">
            <w:pPr>
              <w:ind w:firstLineChars="0" w:firstLine="0"/>
              <w:jc w:val="center"/>
              <w:rPr>
                <w:sz w:val="21"/>
                <w:szCs w:val="21"/>
              </w:rPr>
            </w:pPr>
            <w:r>
              <w:rPr>
                <w:sz w:val="21"/>
                <w:szCs w:val="21"/>
              </w:rPr>
              <w:t>井编号</w:t>
            </w:r>
          </w:p>
        </w:tc>
        <w:tc>
          <w:tcPr>
            <w:tcW w:w="1709" w:type="dxa"/>
            <w:vMerge w:val="restart"/>
            <w:vAlign w:val="center"/>
          </w:tcPr>
          <w:p w:rsidR="00DB7CC8" w:rsidRDefault="002B5250">
            <w:pPr>
              <w:ind w:firstLineChars="0" w:firstLine="0"/>
              <w:jc w:val="center"/>
              <w:rPr>
                <w:sz w:val="21"/>
                <w:szCs w:val="21"/>
              </w:rPr>
            </w:pPr>
            <w:r>
              <w:rPr>
                <w:sz w:val="21"/>
                <w:szCs w:val="21"/>
              </w:rPr>
              <w:t>和厂区关系</w:t>
            </w:r>
          </w:p>
        </w:tc>
        <w:tc>
          <w:tcPr>
            <w:tcW w:w="1093" w:type="dxa"/>
            <w:vMerge w:val="restart"/>
            <w:vAlign w:val="center"/>
          </w:tcPr>
          <w:p w:rsidR="00DB7CC8" w:rsidRDefault="002B5250">
            <w:pPr>
              <w:ind w:firstLineChars="0" w:firstLine="0"/>
              <w:jc w:val="center"/>
              <w:rPr>
                <w:sz w:val="21"/>
                <w:szCs w:val="21"/>
              </w:rPr>
            </w:pPr>
            <w:r>
              <w:rPr>
                <w:rFonts w:hint="eastAsia"/>
                <w:sz w:val="21"/>
                <w:szCs w:val="21"/>
              </w:rPr>
              <w:t>井深（</w:t>
            </w:r>
            <w:r>
              <w:rPr>
                <w:rFonts w:hint="eastAsia"/>
                <w:sz w:val="21"/>
                <w:szCs w:val="21"/>
              </w:rPr>
              <w:t>m</w:t>
            </w:r>
            <w:r>
              <w:rPr>
                <w:rFonts w:hint="eastAsia"/>
                <w:sz w:val="21"/>
                <w:szCs w:val="21"/>
              </w:rPr>
              <w:t>）</w:t>
            </w:r>
          </w:p>
        </w:tc>
        <w:tc>
          <w:tcPr>
            <w:tcW w:w="1945" w:type="dxa"/>
            <w:vMerge w:val="restart"/>
            <w:vAlign w:val="center"/>
          </w:tcPr>
          <w:p w:rsidR="00DB7CC8" w:rsidRDefault="002B5250">
            <w:pPr>
              <w:ind w:firstLineChars="0" w:firstLine="0"/>
              <w:jc w:val="center"/>
              <w:rPr>
                <w:sz w:val="21"/>
                <w:szCs w:val="21"/>
              </w:rPr>
            </w:pPr>
            <w:r>
              <w:rPr>
                <w:sz w:val="21"/>
                <w:szCs w:val="21"/>
              </w:rPr>
              <w:t>监测井功能</w:t>
            </w:r>
          </w:p>
        </w:tc>
        <w:tc>
          <w:tcPr>
            <w:tcW w:w="2880" w:type="dxa"/>
            <w:gridSpan w:val="2"/>
            <w:vAlign w:val="center"/>
          </w:tcPr>
          <w:p w:rsidR="00DB7CC8" w:rsidRDefault="002B5250">
            <w:pPr>
              <w:ind w:firstLineChars="0" w:firstLine="0"/>
              <w:jc w:val="center"/>
              <w:rPr>
                <w:sz w:val="21"/>
                <w:szCs w:val="21"/>
              </w:rPr>
            </w:pPr>
            <w:r>
              <w:rPr>
                <w:sz w:val="21"/>
                <w:szCs w:val="21"/>
              </w:rPr>
              <w:t>绝对位置</w:t>
            </w:r>
          </w:p>
        </w:tc>
      </w:tr>
      <w:tr w:rsidR="00DB7CC8">
        <w:trPr>
          <w:trHeight w:val="342"/>
          <w:jc w:val="center"/>
        </w:trPr>
        <w:tc>
          <w:tcPr>
            <w:tcW w:w="893" w:type="dxa"/>
            <w:vMerge/>
            <w:vAlign w:val="center"/>
          </w:tcPr>
          <w:p w:rsidR="00DB7CC8" w:rsidRDefault="00DB7CC8">
            <w:pPr>
              <w:ind w:firstLineChars="0" w:firstLine="0"/>
              <w:jc w:val="center"/>
              <w:rPr>
                <w:sz w:val="21"/>
                <w:szCs w:val="21"/>
              </w:rPr>
            </w:pPr>
          </w:p>
        </w:tc>
        <w:tc>
          <w:tcPr>
            <w:tcW w:w="1709" w:type="dxa"/>
            <w:vMerge/>
            <w:vAlign w:val="center"/>
          </w:tcPr>
          <w:p w:rsidR="00DB7CC8" w:rsidRDefault="00DB7CC8">
            <w:pPr>
              <w:ind w:firstLineChars="0" w:firstLine="0"/>
              <w:jc w:val="center"/>
              <w:rPr>
                <w:sz w:val="21"/>
                <w:szCs w:val="21"/>
              </w:rPr>
            </w:pPr>
          </w:p>
        </w:tc>
        <w:tc>
          <w:tcPr>
            <w:tcW w:w="1093" w:type="dxa"/>
            <w:vMerge/>
            <w:vAlign w:val="center"/>
          </w:tcPr>
          <w:p w:rsidR="00DB7CC8" w:rsidRDefault="00DB7CC8">
            <w:pPr>
              <w:ind w:firstLineChars="0" w:firstLine="0"/>
              <w:jc w:val="center"/>
              <w:rPr>
                <w:sz w:val="21"/>
                <w:szCs w:val="21"/>
              </w:rPr>
            </w:pPr>
          </w:p>
        </w:tc>
        <w:tc>
          <w:tcPr>
            <w:tcW w:w="1945" w:type="dxa"/>
            <w:vMerge/>
            <w:vAlign w:val="center"/>
          </w:tcPr>
          <w:p w:rsidR="00DB7CC8" w:rsidRDefault="00DB7CC8">
            <w:pPr>
              <w:ind w:firstLineChars="0" w:firstLine="0"/>
              <w:jc w:val="center"/>
              <w:rPr>
                <w:sz w:val="21"/>
                <w:szCs w:val="21"/>
              </w:rPr>
            </w:pPr>
          </w:p>
        </w:tc>
        <w:tc>
          <w:tcPr>
            <w:tcW w:w="1443" w:type="dxa"/>
            <w:vAlign w:val="center"/>
          </w:tcPr>
          <w:p w:rsidR="00DB7CC8" w:rsidRDefault="002B5250">
            <w:pPr>
              <w:ind w:firstLineChars="0" w:firstLine="0"/>
              <w:jc w:val="center"/>
              <w:rPr>
                <w:sz w:val="21"/>
                <w:szCs w:val="21"/>
              </w:rPr>
            </w:pPr>
            <w:r>
              <w:rPr>
                <w:sz w:val="21"/>
                <w:szCs w:val="21"/>
              </w:rPr>
              <w:t>X</w:t>
            </w:r>
          </w:p>
        </w:tc>
        <w:tc>
          <w:tcPr>
            <w:tcW w:w="1437" w:type="dxa"/>
            <w:vAlign w:val="center"/>
          </w:tcPr>
          <w:p w:rsidR="00DB7CC8" w:rsidRDefault="002B5250">
            <w:pPr>
              <w:ind w:firstLineChars="0" w:firstLine="0"/>
              <w:jc w:val="center"/>
              <w:rPr>
                <w:sz w:val="21"/>
                <w:szCs w:val="21"/>
              </w:rPr>
            </w:pPr>
            <w:r>
              <w:rPr>
                <w:sz w:val="21"/>
                <w:szCs w:val="21"/>
              </w:rPr>
              <w:t>Y</w:t>
            </w:r>
          </w:p>
        </w:tc>
      </w:tr>
      <w:tr w:rsidR="00DB7CC8">
        <w:trPr>
          <w:trHeight w:val="601"/>
          <w:jc w:val="center"/>
        </w:trPr>
        <w:tc>
          <w:tcPr>
            <w:tcW w:w="893" w:type="dxa"/>
            <w:vAlign w:val="center"/>
          </w:tcPr>
          <w:p w:rsidR="00DB7CC8" w:rsidRDefault="002B5250">
            <w:pPr>
              <w:ind w:firstLineChars="0" w:firstLine="0"/>
              <w:jc w:val="center"/>
              <w:rPr>
                <w:sz w:val="21"/>
                <w:szCs w:val="21"/>
              </w:rPr>
            </w:pPr>
            <w:r>
              <w:rPr>
                <w:sz w:val="21"/>
                <w:szCs w:val="21"/>
              </w:rPr>
              <w:t>J</w:t>
            </w:r>
            <w:r>
              <w:rPr>
                <w:rFonts w:hint="eastAsia"/>
                <w:sz w:val="21"/>
                <w:szCs w:val="21"/>
              </w:rPr>
              <w:t>C</w:t>
            </w:r>
            <w:r>
              <w:rPr>
                <w:sz w:val="21"/>
                <w:szCs w:val="21"/>
              </w:rPr>
              <w:t>1</w:t>
            </w:r>
          </w:p>
        </w:tc>
        <w:tc>
          <w:tcPr>
            <w:tcW w:w="1709" w:type="dxa"/>
            <w:vAlign w:val="center"/>
          </w:tcPr>
          <w:p w:rsidR="00DB7CC8" w:rsidRDefault="002B5250">
            <w:pPr>
              <w:ind w:firstLineChars="0" w:firstLine="0"/>
              <w:jc w:val="center"/>
              <w:rPr>
                <w:sz w:val="21"/>
                <w:szCs w:val="21"/>
              </w:rPr>
            </w:pPr>
            <w:r>
              <w:rPr>
                <w:sz w:val="21"/>
                <w:szCs w:val="21"/>
              </w:rPr>
              <w:t>厂区上游</w:t>
            </w:r>
          </w:p>
        </w:tc>
        <w:tc>
          <w:tcPr>
            <w:tcW w:w="1093" w:type="dxa"/>
            <w:vAlign w:val="center"/>
          </w:tcPr>
          <w:p w:rsidR="00DB7CC8" w:rsidRDefault="002B5250">
            <w:pPr>
              <w:ind w:firstLineChars="0" w:firstLine="0"/>
              <w:jc w:val="center"/>
              <w:rPr>
                <w:sz w:val="21"/>
                <w:szCs w:val="21"/>
              </w:rPr>
            </w:pPr>
            <w:r>
              <w:rPr>
                <w:rFonts w:hint="eastAsia"/>
                <w:sz w:val="21"/>
                <w:szCs w:val="21"/>
              </w:rPr>
              <w:t>35</w:t>
            </w:r>
          </w:p>
        </w:tc>
        <w:tc>
          <w:tcPr>
            <w:tcW w:w="1945" w:type="dxa"/>
            <w:vAlign w:val="center"/>
          </w:tcPr>
          <w:p w:rsidR="00DB7CC8" w:rsidRDefault="002B5250">
            <w:pPr>
              <w:ind w:firstLineChars="0" w:firstLine="0"/>
              <w:jc w:val="center"/>
              <w:rPr>
                <w:sz w:val="21"/>
                <w:szCs w:val="21"/>
              </w:rPr>
            </w:pPr>
            <w:r>
              <w:rPr>
                <w:sz w:val="21"/>
                <w:szCs w:val="21"/>
              </w:rPr>
              <w:t>地下水上游背景值</w:t>
            </w:r>
          </w:p>
        </w:tc>
        <w:tc>
          <w:tcPr>
            <w:tcW w:w="1443" w:type="dxa"/>
            <w:vAlign w:val="center"/>
          </w:tcPr>
          <w:p w:rsidR="00DB7CC8" w:rsidRDefault="002B5250">
            <w:pPr>
              <w:widowControl/>
              <w:ind w:firstLineChars="0" w:firstLine="0"/>
              <w:jc w:val="center"/>
              <w:rPr>
                <w:sz w:val="21"/>
                <w:szCs w:val="21"/>
              </w:rPr>
            </w:pPr>
            <w:r>
              <w:rPr>
                <w:rFonts w:hint="eastAsia"/>
                <w:sz w:val="21"/>
                <w:szCs w:val="21"/>
              </w:rPr>
              <w:t>20596499</w:t>
            </w:r>
          </w:p>
        </w:tc>
        <w:tc>
          <w:tcPr>
            <w:tcW w:w="1437" w:type="dxa"/>
            <w:vAlign w:val="center"/>
          </w:tcPr>
          <w:p w:rsidR="00DB7CC8" w:rsidRDefault="002B5250">
            <w:pPr>
              <w:widowControl/>
              <w:ind w:firstLineChars="0" w:firstLine="0"/>
              <w:jc w:val="center"/>
              <w:rPr>
                <w:sz w:val="21"/>
                <w:szCs w:val="21"/>
              </w:rPr>
            </w:pPr>
            <w:r>
              <w:rPr>
                <w:rFonts w:hint="eastAsia"/>
                <w:sz w:val="21"/>
                <w:szCs w:val="21"/>
              </w:rPr>
              <w:t>4451647</w:t>
            </w:r>
          </w:p>
        </w:tc>
      </w:tr>
      <w:tr w:rsidR="00DB7CC8">
        <w:trPr>
          <w:trHeight w:val="342"/>
          <w:jc w:val="center"/>
        </w:trPr>
        <w:tc>
          <w:tcPr>
            <w:tcW w:w="893" w:type="dxa"/>
            <w:vAlign w:val="center"/>
          </w:tcPr>
          <w:p w:rsidR="00DB7CC8" w:rsidRDefault="002B5250">
            <w:pPr>
              <w:ind w:firstLineChars="0" w:firstLine="0"/>
              <w:jc w:val="center"/>
              <w:rPr>
                <w:sz w:val="21"/>
                <w:szCs w:val="21"/>
              </w:rPr>
            </w:pPr>
            <w:r>
              <w:rPr>
                <w:sz w:val="21"/>
                <w:szCs w:val="21"/>
              </w:rPr>
              <w:t>J</w:t>
            </w:r>
            <w:r>
              <w:rPr>
                <w:rFonts w:hint="eastAsia"/>
                <w:sz w:val="21"/>
                <w:szCs w:val="21"/>
              </w:rPr>
              <w:t>C2</w:t>
            </w:r>
          </w:p>
        </w:tc>
        <w:tc>
          <w:tcPr>
            <w:tcW w:w="1709" w:type="dxa"/>
            <w:vAlign w:val="center"/>
          </w:tcPr>
          <w:p w:rsidR="00DB7CC8" w:rsidRDefault="002B5250">
            <w:pPr>
              <w:ind w:firstLineChars="0" w:firstLine="0"/>
              <w:jc w:val="center"/>
              <w:rPr>
                <w:sz w:val="21"/>
                <w:szCs w:val="21"/>
              </w:rPr>
            </w:pPr>
            <w:r>
              <w:rPr>
                <w:sz w:val="21"/>
                <w:szCs w:val="21"/>
              </w:rPr>
              <w:t>厂区</w:t>
            </w:r>
            <w:r>
              <w:rPr>
                <w:rFonts w:hint="eastAsia"/>
                <w:sz w:val="21"/>
                <w:szCs w:val="21"/>
              </w:rPr>
              <w:t>下游</w:t>
            </w:r>
          </w:p>
        </w:tc>
        <w:tc>
          <w:tcPr>
            <w:tcW w:w="1093" w:type="dxa"/>
            <w:vAlign w:val="center"/>
          </w:tcPr>
          <w:p w:rsidR="00DB7CC8" w:rsidRDefault="002B5250">
            <w:pPr>
              <w:ind w:firstLineChars="0" w:firstLine="0"/>
              <w:jc w:val="center"/>
              <w:rPr>
                <w:sz w:val="21"/>
                <w:szCs w:val="21"/>
              </w:rPr>
            </w:pPr>
            <w:r>
              <w:rPr>
                <w:rFonts w:hint="eastAsia"/>
                <w:sz w:val="21"/>
                <w:szCs w:val="21"/>
              </w:rPr>
              <w:t>35</w:t>
            </w:r>
          </w:p>
        </w:tc>
        <w:tc>
          <w:tcPr>
            <w:tcW w:w="1945" w:type="dxa"/>
            <w:vMerge w:val="restart"/>
            <w:vAlign w:val="center"/>
          </w:tcPr>
          <w:p w:rsidR="00DB7CC8" w:rsidRDefault="002B5250">
            <w:pPr>
              <w:ind w:firstLineChars="0" w:firstLine="0"/>
              <w:jc w:val="center"/>
              <w:rPr>
                <w:sz w:val="21"/>
                <w:szCs w:val="21"/>
              </w:rPr>
            </w:pPr>
            <w:r>
              <w:rPr>
                <w:sz w:val="21"/>
                <w:szCs w:val="21"/>
              </w:rPr>
              <w:t>污染扩散监测点</w:t>
            </w:r>
          </w:p>
        </w:tc>
        <w:tc>
          <w:tcPr>
            <w:tcW w:w="1443" w:type="dxa"/>
            <w:vAlign w:val="center"/>
          </w:tcPr>
          <w:p w:rsidR="00DB7CC8" w:rsidRDefault="002B5250">
            <w:pPr>
              <w:autoSpaceDN w:val="0"/>
              <w:ind w:firstLineChars="0" w:firstLine="0"/>
              <w:jc w:val="center"/>
              <w:textAlignment w:val="center"/>
              <w:rPr>
                <w:sz w:val="21"/>
                <w:szCs w:val="21"/>
              </w:rPr>
            </w:pPr>
            <w:r>
              <w:rPr>
                <w:rFonts w:hint="eastAsia"/>
                <w:sz w:val="21"/>
                <w:szCs w:val="21"/>
              </w:rPr>
              <w:t>20595497</w:t>
            </w:r>
          </w:p>
        </w:tc>
        <w:tc>
          <w:tcPr>
            <w:tcW w:w="1437" w:type="dxa"/>
            <w:vAlign w:val="center"/>
          </w:tcPr>
          <w:p w:rsidR="00DB7CC8" w:rsidRDefault="002B5250">
            <w:pPr>
              <w:autoSpaceDN w:val="0"/>
              <w:ind w:firstLineChars="0" w:firstLine="0"/>
              <w:jc w:val="center"/>
              <w:textAlignment w:val="center"/>
              <w:rPr>
                <w:sz w:val="21"/>
                <w:szCs w:val="21"/>
              </w:rPr>
            </w:pPr>
            <w:r>
              <w:rPr>
                <w:rFonts w:hint="eastAsia"/>
                <w:sz w:val="21"/>
                <w:szCs w:val="21"/>
              </w:rPr>
              <w:t>4450862</w:t>
            </w:r>
          </w:p>
        </w:tc>
      </w:tr>
      <w:tr w:rsidR="00DB7CC8">
        <w:trPr>
          <w:trHeight w:val="342"/>
          <w:jc w:val="center"/>
        </w:trPr>
        <w:tc>
          <w:tcPr>
            <w:tcW w:w="893" w:type="dxa"/>
            <w:vAlign w:val="center"/>
          </w:tcPr>
          <w:p w:rsidR="00DB7CC8" w:rsidRDefault="002B5250">
            <w:pPr>
              <w:widowControl/>
              <w:autoSpaceDN w:val="0"/>
              <w:ind w:firstLineChars="0" w:firstLine="0"/>
              <w:jc w:val="center"/>
              <w:rPr>
                <w:sz w:val="21"/>
                <w:szCs w:val="21"/>
              </w:rPr>
            </w:pPr>
            <w:r>
              <w:rPr>
                <w:sz w:val="21"/>
                <w:szCs w:val="21"/>
              </w:rPr>
              <w:t>J</w:t>
            </w:r>
            <w:r>
              <w:rPr>
                <w:rFonts w:hint="eastAsia"/>
                <w:sz w:val="21"/>
                <w:szCs w:val="21"/>
              </w:rPr>
              <w:t>C3</w:t>
            </w:r>
          </w:p>
        </w:tc>
        <w:tc>
          <w:tcPr>
            <w:tcW w:w="1709" w:type="dxa"/>
            <w:vAlign w:val="center"/>
          </w:tcPr>
          <w:p w:rsidR="00DB7CC8" w:rsidRDefault="002B5250">
            <w:pPr>
              <w:widowControl/>
              <w:autoSpaceDN w:val="0"/>
              <w:ind w:firstLineChars="0" w:firstLine="0"/>
              <w:jc w:val="center"/>
              <w:rPr>
                <w:sz w:val="21"/>
                <w:szCs w:val="21"/>
              </w:rPr>
            </w:pPr>
            <w:r>
              <w:rPr>
                <w:sz w:val="21"/>
                <w:szCs w:val="21"/>
              </w:rPr>
              <w:t>厂区</w:t>
            </w:r>
            <w:r>
              <w:rPr>
                <w:rFonts w:hint="eastAsia"/>
                <w:sz w:val="21"/>
                <w:szCs w:val="21"/>
              </w:rPr>
              <w:t>内</w:t>
            </w:r>
          </w:p>
        </w:tc>
        <w:tc>
          <w:tcPr>
            <w:tcW w:w="1093" w:type="dxa"/>
            <w:vAlign w:val="center"/>
          </w:tcPr>
          <w:p w:rsidR="00DB7CC8" w:rsidRDefault="002B5250">
            <w:pPr>
              <w:widowControl/>
              <w:autoSpaceDN w:val="0"/>
              <w:ind w:firstLineChars="0" w:firstLine="0"/>
              <w:jc w:val="center"/>
              <w:rPr>
                <w:sz w:val="21"/>
                <w:szCs w:val="21"/>
              </w:rPr>
            </w:pPr>
            <w:r>
              <w:rPr>
                <w:rFonts w:hint="eastAsia"/>
                <w:sz w:val="21"/>
                <w:szCs w:val="21"/>
              </w:rPr>
              <w:t>35</w:t>
            </w:r>
          </w:p>
        </w:tc>
        <w:tc>
          <w:tcPr>
            <w:tcW w:w="1945" w:type="dxa"/>
            <w:vMerge/>
            <w:vAlign w:val="center"/>
          </w:tcPr>
          <w:p w:rsidR="00DB7CC8" w:rsidRDefault="00DB7CC8">
            <w:pPr>
              <w:widowControl/>
              <w:autoSpaceDN w:val="0"/>
              <w:ind w:firstLineChars="0" w:firstLine="0"/>
              <w:jc w:val="center"/>
              <w:rPr>
                <w:sz w:val="21"/>
                <w:szCs w:val="21"/>
              </w:rPr>
            </w:pPr>
          </w:p>
        </w:tc>
        <w:tc>
          <w:tcPr>
            <w:tcW w:w="1443" w:type="dxa"/>
            <w:vAlign w:val="center"/>
          </w:tcPr>
          <w:p w:rsidR="00DB7CC8" w:rsidRDefault="002B5250">
            <w:pPr>
              <w:widowControl/>
              <w:autoSpaceDN w:val="0"/>
              <w:ind w:firstLineChars="0" w:firstLine="0"/>
              <w:jc w:val="center"/>
              <w:rPr>
                <w:sz w:val="21"/>
                <w:szCs w:val="21"/>
              </w:rPr>
            </w:pPr>
            <w:r>
              <w:rPr>
                <w:rFonts w:hint="eastAsia"/>
                <w:sz w:val="21"/>
                <w:szCs w:val="21"/>
              </w:rPr>
              <w:t>20593921</w:t>
            </w:r>
          </w:p>
        </w:tc>
        <w:tc>
          <w:tcPr>
            <w:tcW w:w="1437" w:type="dxa"/>
            <w:vAlign w:val="center"/>
          </w:tcPr>
          <w:p w:rsidR="00DB7CC8" w:rsidRDefault="002B5250">
            <w:pPr>
              <w:widowControl/>
              <w:autoSpaceDN w:val="0"/>
              <w:ind w:firstLineChars="0" w:firstLine="0"/>
              <w:jc w:val="center"/>
              <w:rPr>
                <w:sz w:val="21"/>
                <w:szCs w:val="21"/>
              </w:rPr>
            </w:pPr>
            <w:r>
              <w:rPr>
                <w:rFonts w:hint="eastAsia"/>
                <w:sz w:val="21"/>
                <w:szCs w:val="21"/>
              </w:rPr>
              <w:t>4450251</w:t>
            </w:r>
          </w:p>
        </w:tc>
      </w:tr>
    </w:tbl>
    <w:p w:rsidR="00DB7CC8" w:rsidRDefault="00DB7CC8">
      <w:pPr>
        <w:widowControl/>
        <w:autoSpaceDN w:val="0"/>
        <w:snapToGrid w:val="0"/>
        <w:ind w:firstLine="480"/>
        <w:rPr>
          <w:sz w:val="24"/>
          <w:szCs w:val="24"/>
        </w:rPr>
      </w:pPr>
    </w:p>
    <w:p w:rsidR="00DB7CC8" w:rsidRDefault="002B5250">
      <w:pPr>
        <w:spacing w:line="240" w:lineRule="auto"/>
        <w:ind w:firstLineChars="0" w:firstLine="0"/>
        <w:jc w:val="center"/>
        <w:rPr>
          <w:rFonts w:ascii="黑体" w:eastAsia="黑体" w:hAnsi="黑体"/>
          <w:sz w:val="21"/>
          <w:szCs w:val="21"/>
        </w:rPr>
      </w:pPr>
      <w:r>
        <w:rPr>
          <w:rFonts w:ascii="黑体" w:eastAsia="黑体" w:hAnsi="黑体"/>
          <w:noProof/>
          <w:sz w:val="21"/>
          <w:szCs w:val="21"/>
        </w:rPr>
        <w:lastRenderedPageBreak/>
        <w:drawing>
          <wp:inline distT="0" distB="0" distL="0" distR="0">
            <wp:extent cx="5238750" cy="336232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5238750" cy="3362325"/>
                    </a:xfrm>
                    <a:prstGeom prst="rect">
                      <a:avLst/>
                    </a:prstGeom>
                    <a:noFill/>
                    <a:ln>
                      <a:noFill/>
                    </a:ln>
                  </pic:spPr>
                </pic:pic>
              </a:graphicData>
            </a:graphic>
          </wp:inline>
        </w:drawing>
      </w:r>
    </w:p>
    <w:p w:rsidR="00DB7CC8" w:rsidRDefault="002B5250">
      <w:pPr>
        <w:spacing w:line="240" w:lineRule="auto"/>
        <w:ind w:firstLineChars="0" w:firstLine="0"/>
        <w:jc w:val="center"/>
        <w:rPr>
          <w:rFonts w:eastAsia="黑体"/>
          <w:sz w:val="21"/>
          <w:szCs w:val="21"/>
        </w:rPr>
      </w:pPr>
      <w:r>
        <w:rPr>
          <w:rFonts w:eastAsia="黑体"/>
          <w:sz w:val="21"/>
          <w:szCs w:val="21"/>
        </w:rPr>
        <w:t>图</w:t>
      </w:r>
      <w:r>
        <w:rPr>
          <w:rFonts w:eastAsia="黑体"/>
          <w:sz w:val="21"/>
          <w:szCs w:val="21"/>
        </w:rPr>
        <w:t xml:space="preserve">6.2-2    </w:t>
      </w:r>
      <w:r>
        <w:rPr>
          <w:rFonts w:eastAsia="黑体"/>
          <w:sz w:val="21"/>
          <w:szCs w:val="21"/>
        </w:rPr>
        <w:t>地下水监测点布置图</w:t>
      </w:r>
    </w:p>
    <w:p w:rsidR="00DB7CC8" w:rsidRDefault="002B5250">
      <w:pPr>
        <w:widowControl/>
        <w:autoSpaceDN w:val="0"/>
        <w:ind w:firstLine="480"/>
        <w:textAlignment w:val="auto"/>
        <w:rPr>
          <w:sz w:val="24"/>
          <w:szCs w:val="24"/>
        </w:rPr>
      </w:pPr>
      <w:r>
        <w:rPr>
          <w:rFonts w:hint="eastAsia"/>
          <w:sz w:val="24"/>
          <w:szCs w:val="24"/>
        </w:rPr>
        <w:t>②</w:t>
      </w:r>
      <w:r>
        <w:rPr>
          <w:sz w:val="24"/>
          <w:szCs w:val="24"/>
        </w:rPr>
        <w:t>监测频率及项目：</w:t>
      </w:r>
    </w:p>
    <w:p w:rsidR="00DB7CC8" w:rsidRDefault="002B5250">
      <w:pPr>
        <w:widowControl/>
        <w:autoSpaceDN w:val="0"/>
        <w:ind w:firstLine="480"/>
        <w:textAlignment w:val="auto"/>
        <w:rPr>
          <w:sz w:val="24"/>
          <w:szCs w:val="24"/>
        </w:rPr>
      </w:pPr>
      <w:r>
        <w:rPr>
          <w:sz w:val="24"/>
          <w:szCs w:val="24"/>
        </w:rPr>
        <w:t>监测频率：监测井每年枯水期采样一次。</w:t>
      </w:r>
    </w:p>
    <w:p w:rsidR="00DB7CC8" w:rsidRDefault="002B5250">
      <w:pPr>
        <w:widowControl/>
        <w:autoSpaceDN w:val="0"/>
        <w:ind w:firstLine="480"/>
        <w:textAlignment w:val="auto"/>
        <w:rPr>
          <w:sz w:val="24"/>
          <w:szCs w:val="24"/>
        </w:rPr>
      </w:pPr>
      <w:r>
        <w:rPr>
          <w:sz w:val="24"/>
          <w:szCs w:val="24"/>
        </w:rPr>
        <w:t>监测项目为：</w:t>
      </w:r>
      <w:r>
        <w:rPr>
          <w:sz w:val="24"/>
          <w:szCs w:val="24"/>
        </w:rPr>
        <w:t>pH</w:t>
      </w:r>
      <w:r>
        <w:rPr>
          <w:sz w:val="24"/>
          <w:szCs w:val="24"/>
        </w:rPr>
        <w:t>、</w:t>
      </w:r>
      <w:r>
        <w:rPr>
          <w:rFonts w:hint="eastAsia"/>
          <w:sz w:val="24"/>
          <w:szCs w:val="24"/>
        </w:rPr>
        <w:t>耗氧量</w:t>
      </w:r>
      <w:r>
        <w:rPr>
          <w:sz w:val="24"/>
          <w:szCs w:val="24"/>
        </w:rPr>
        <w:t>、</w:t>
      </w:r>
      <w:r>
        <w:rPr>
          <w:rFonts w:hint="eastAsia"/>
          <w:sz w:val="24"/>
          <w:szCs w:val="24"/>
        </w:rPr>
        <w:t>铁</w:t>
      </w:r>
      <w:r>
        <w:rPr>
          <w:sz w:val="24"/>
          <w:szCs w:val="24"/>
        </w:rPr>
        <w:t>。</w:t>
      </w:r>
    </w:p>
    <w:p w:rsidR="00DB7CC8" w:rsidRDefault="002B5250">
      <w:pPr>
        <w:pStyle w:val="4"/>
      </w:pPr>
      <w:r>
        <w:rPr>
          <w:rFonts w:hint="eastAsia"/>
        </w:rPr>
        <w:t>6.2.5</w:t>
      </w:r>
      <w:r>
        <w:rPr>
          <w:rFonts w:hint="eastAsia"/>
        </w:rPr>
        <w:t>监测数据管理及公开</w:t>
      </w:r>
    </w:p>
    <w:p w:rsidR="00DB7CC8" w:rsidRDefault="002B5250">
      <w:pPr>
        <w:widowControl/>
        <w:autoSpaceDN w:val="0"/>
        <w:ind w:firstLine="480"/>
        <w:textAlignment w:val="auto"/>
        <w:rPr>
          <w:sz w:val="24"/>
          <w:szCs w:val="24"/>
        </w:rPr>
      </w:pPr>
      <w:r>
        <w:rPr>
          <w:sz w:val="24"/>
          <w:szCs w:val="24"/>
        </w:rPr>
        <w:t>上述监测结果应按厂区有关规定及时建立档案，并抄送环境保护行政主管部门，对于常规检测数据应该进行公开，特别是对厂区附近区域的居民公开，满足法律中关于知情权的要求。发现污染和水质恶化时，要及时进行处理，开展系统调查，并上报有关部门。</w:t>
      </w:r>
    </w:p>
    <w:p w:rsidR="00DB7CC8" w:rsidRDefault="002B5250">
      <w:pPr>
        <w:pStyle w:val="4"/>
      </w:pPr>
      <w:r>
        <w:rPr>
          <w:rFonts w:hint="eastAsia"/>
        </w:rPr>
        <w:t>6.2.3.6</w:t>
      </w:r>
      <w:r>
        <w:rPr>
          <w:rFonts w:hint="eastAsia"/>
        </w:rPr>
        <w:t>地下水污染治理措施</w:t>
      </w:r>
    </w:p>
    <w:p w:rsidR="00DB7CC8" w:rsidRDefault="002B5250">
      <w:pPr>
        <w:widowControl/>
        <w:autoSpaceDN w:val="0"/>
        <w:ind w:firstLine="480"/>
        <w:textAlignment w:val="auto"/>
        <w:rPr>
          <w:sz w:val="24"/>
          <w:szCs w:val="24"/>
        </w:rPr>
      </w:pPr>
      <w:r>
        <w:rPr>
          <w:rFonts w:hint="eastAsia"/>
          <w:sz w:val="24"/>
          <w:szCs w:val="24"/>
        </w:rPr>
        <w:t>（</w:t>
      </w:r>
      <w:r>
        <w:rPr>
          <w:rFonts w:hint="eastAsia"/>
          <w:sz w:val="24"/>
          <w:szCs w:val="24"/>
        </w:rPr>
        <w:t>1</w:t>
      </w:r>
      <w:r>
        <w:rPr>
          <w:rFonts w:hint="eastAsia"/>
          <w:sz w:val="24"/>
          <w:szCs w:val="24"/>
        </w:rPr>
        <w:t>）</w:t>
      </w:r>
      <w:r>
        <w:rPr>
          <w:sz w:val="24"/>
          <w:szCs w:val="24"/>
        </w:rPr>
        <w:t>规范支撑体系</w:t>
      </w:r>
    </w:p>
    <w:p w:rsidR="00DB7CC8" w:rsidRDefault="002B5250">
      <w:pPr>
        <w:widowControl/>
        <w:autoSpaceDN w:val="0"/>
        <w:ind w:firstLine="480"/>
        <w:textAlignment w:val="auto"/>
        <w:rPr>
          <w:sz w:val="24"/>
          <w:szCs w:val="24"/>
        </w:rPr>
      </w:pPr>
      <w:r>
        <w:rPr>
          <w:sz w:val="24"/>
          <w:szCs w:val="24"/>
        </w:rPr>
        <w:t>为进一步完善环保技术法规和标准体系，科学确定环境基准，目前正在开展的场地环境保护标准修订</w:t>
      </w:r>
      <w:r>
        <w:rPr>
          <w:sz w:val="24"/>
          <w:szCs w:val="24"/>
        </w:rPr>
        <w:t>项目包括《场地环境调查技术规范》、《污染场地环境监测技术导则》、《污染场地风险评估技术导则》和《污染场地土壤修复技术导则》，上述标准构成了场地环境保护标准体系的总体框架；其中的环境调查、环境监测、风险评估和土壤修复技术导则规定了相关工作的原则、方法、程序和技术要求，是目前地下水污染应急唯一可参照执行的技术导则。</w:t>
      </w:r>
    </w:p>
    <w:p w:rsidR="00DB7CC8" w:rsidRDefault="002B5250">
      <w:pPr>
        <w:widowControl/>
        <w:autoSpaceDN w:val="0"/>
        <w:ind w:firstLine="480"/>
        <w:textAlignment w:val="auto"/>
        <w:rPr>
          <w:sz w:val="24"/>
          <w:szCs w:val="24"/>
        </w:rPr>
      </w:pPr>
      <w:r>
        <w:rPr>
          <w:rFonts w:hint="eastAsia"/>
          <w:sz w:val="24"/>
          <w:szCs w:val="24"/>
        </w:rPr>
        <w:t>（</w:t>
      </w:r>
      <w:r>
        <w:rPr>
          <w:rFonts w:hint="eastAsia"/>
          <w:sz w:val="24"/>
          <w:szCs w:val="24"/>
        </w:rPr>
        <w:t>2</w:t>
      </w:r>
      <w:r>
        <w:rPr>
          <w:rFonts w:hint="eastAsia"/>
          <w:sz w:val="24"/>
          <w:szCs w:val="24"/>
        </w:rPr>
        <w:t>）</w:t>
      </w:r>
      <w:r>
        <w:rPr>
          <w:sz w:val="24"/>
          <w:szCs w:val="24"/>
        </w:rPr>
        <w:t>应急治理体系</w:t>
      </w:r>
    </w:p>
    <w:p w:rsidR="00DB7CC8" w:rsidRDefault="002B5250">
      <w:pPr>
        <w:widowControl/>
        <w:autoSpaceDN w:val="0"/>
        <w:ind w:firstLine="480"/>
        <w:textAlignment w:val="auto"/>
        <w:rPr>
          <w:sz w:val="24"/>
          <w:szCs w:val="24"/>
        </w:rPr>
      </w:pPr>
      <w:r>
        <w:rPr>
          <w:sz w:val="24"/>
          <w:szCs w:val="24"/>
        </w:rPr>
        <w:lastRenderedPageBreak/>
        <w:t>在场地环境保护标准体系中，场地的污染防治一般要经过场地污染的确认，风险评估和修复等过程。</w:t>
      </w:r>
    </w:p>
    <w:p w:rsidR="00DB7CC8" w:rsidRDefault="002B5250">
      <w:pPr>
        <w:widowControl/>
        <w:autoSpaceDN w:val="0"/>
        <w:ind w:firstLine="480"/>
        <w:textAlignment w:val="auto"/>
        <w:rPr>
          <w:sz w:val="24"/>
          <w:szCs w:val="24"/>
        </w:rPr>
      </w:pPr>
      <w:r>
        <w:rPr>
          <w:sz w:val="24"/>
          <w:szCs w:val="24"/>
        </w:rPr>
        <w:t>《场地环境调查技术规范》主要用于污染场地的调查和污染确认，并为场地风险评估和污染场地修复的调查提供基础数据和信息。</w:t>
      </w:r>
    </w:p>
    <w:p w:rsidR="00DB7CC8" w:rsidRDefault="002B5250">
      <w:pPr>
        <w:widowControl/>
        <w:autoSpaceDN w:val="0"/>
        <w:ind w:firstLine="480"/>
        <w:textAlignment w:val="auto"/>
        <w:rPr>
          <w:sz w:val="24"/>
          <w:szCs w:val="24"/>
        </w:rPr>
      </w:pPr>
      <w:r>
        <w:rPr>
          <w:sz w:val="24"/>
          <w:szCs w:val="24"/>
        </w:rPr>
        <w:t>《场地污染风险评估技术导则》在场地污染调查的基础上采用健康风险评估的方法确定场地的风险，提出场地的风险管理目标。</w:t>
      </w:r>
    </w:p>
    <w:p w:rsidR="00DB7CC8" w:rsidRDefault="002B5250">
      <w:pPr>
        <w:widowControl/>
        <w:autoSpaceDN w:val="0"/>
        <w:ind w:firstLine="480"/>
        <w:textAlignment w:val="auto"/>
        <w:rPr>
          <w:sz w:val="24"/>
          <w:szCs w:val="24"/>
        </w:rPr>
      </w:pPr>
      <w:r>
        <w:rPr>
          <w:sz w:val="24"/>
          <w:szCs w:val="24"/>
        </w:rPr>
        <w:t>《污染场地土壤修复技术导则》规定了实现场地风险管理目标的技术筛选等方法。</w:t>
      </w:r>
    </w:p>
    <w:p w:rsidR="00DB7CC8" w:rsidRDefault="002B5250">
      <w:pPr>
        <w:widowControl/>
        <w:autoSpaceDN w:val="0"/>
        <w:ind w:firstLine="480"/>
        <w:textAlignment w:val="auto"/>
        <w:rPr>
          <w:sz w:val="24"/>
          <w:szCs w:val="24"/>
        </w:rPr>
      </w:pPr>
      <w:r>
        <w:rPr>
          <w:sz w:val="24"/>
          <w:szCs w:val="24"/>
        </w:rPr>
        <w:t>《场地环境监测技术导则》作为工具性标准为场地的调查、风险评估和修复提供技术支撑。</w:t>
      </w:r>
    </w:p>
    <w:p w:rsidR="00DB7CC8" w:rsidRDefault="002B5250">
      <w:pPr>
        <w:widowControl/>
        <w:autoSpaceDN w:val="0"/>
        <w:ind w:firstLine="480"/>
        <w:textAlignment w:val="auto"/>
        <w:rPr>
          <w:sz w:val="24"/>
          <w:szCs w:val="24"/>
        </w:rPr>
      </w:pPr>
      <w:r>
        <w:rPr>
          <w:rFonts w:hint="eastAsia"/>
          <w:sz w:val="24"/>
          <w:szCs w:val="24"/>
        </w:rPr>
        <w:t>（</w:t>
      </w:r>
      <w:r>
        <w:rPr>
          <w:rFonts w:hint="eastAsia"/>
          <w:sz w:val="24"/>
          <w:szCs w:val="24"/>
        </w:rPr>
        <w:t>3</w:t>
      </w:r>
      <w:r>
        <w:rPr>
          <w:rFonts w:hint="eastAsia"/>
          <w:sz w:val="24"/>
          <w:szCs w:val="24"/>
        </w:rPr>
        <w:t>）</w:t>
      </w:r>
      <w:r>
        <w:rPr>
          <w:sz w:val="24"/>
          <w:szCs w:val="24"/>
        </w:rPr>
        <w:t>地下水污染治理技术</w:t>
      </w:r>
    </w:p>
    <w:p w:rsidR="00DB7CC8" w:rsidRDefault="002B5250">
      <w:pPr>
        <w:widowControl/>
        <w:autoSpaceDN w:val="0"/>
        <w:ind w:firstLine="480"/>
        <w:textAlignment w:val="auto"/>
        <w:rPr>
          <w:sz w:val="24"/>
          <w:szCs w:val="24"/>
        </w:rPr>
      </w:pPr>
      <w:r>
        <w:rPr>
          <w:sz w:val="24"/>
          <w:szCs w:val="24"/>
        </w:rPr>
        <w:t>地下水污染治理技术归纳起来主要有：物理处理法、水动力控制法、抽出处理法和原位处理法等。</w:t>
      </w:r>
    </w:p>
    <w:p w:rsidR="00DB7CC8" w:rsidRDefault="002B5250">
      <w:pPr>
        <w:widowControl/>
        <w:autoSpaceDN w:val="0"/>
        <w:ind w:firstLine="480"/>
        <w:textAlignment w:val="auto"/>
        <w:rPr>
          <w:sz w:val="24"/>
          <w:szCs w:val="24"/>
        </w:rPr>
      </w:pPr>
      <w:r>
        <w:rPr>
          <w:rFonts w:hint="eastAsia"/>
          <w:sz w:val="24"/>
          <w:szCs w:val="24"/>
        </w:rPr>
        <w:t>①</w:t>
      </w:r>
      <w:r>
        <w:rPr>
          <w:sz w:val="24"/>
          <w:szCs w:val="24"/>
        </w:rPr>
        <w:t>物理法</w:t>
      </w:r>
    </w:p>
    <w:p w:rsidR="00DB7CC8" w:rsidRDefault="002B5250">
      <w:pPr>
        <w:widowControl/>
        <w:autoSpaceDN w:val="0"/>
        <w:ind w:firstLine="480"/>
        <w:textAlignment w:val="auto"/>
        <w:rPr>
          <w:sz w:val="24"/>
          <w:szCs w:val="24"/>
        </w:rPr>
      </w:pPr>
      <w:r>
        <w:rPr>
          <w:sz w:val="24"/>
          <w:szCs w:val="24"/>
        </w:rPr>
        <w:t>物</w:t>
      </w:r>
      <w:r>
        <w:rPr>
          <w:sz w:val="24"/>
          <w:szCs w:val="24"/>
        </w:rPr>
        <w:t>理法是用物理的手段对受污染的地下水进行治理的一种方法，概括起来又可分为：屏蔽法</w:t>
      </w:r>
      <w:r>
        <w:rPr>
          <w:sz w:val="24"/>
          <w:szCs w:val="24"/>
        </w:rPr>
        <w:t>——</w:t>
      </w:r>
      <w:r>
        <w:rPr>
          <w:sz w:val="24"/>
          <w:szCs w:val="24"/>
        </w:rPr>
        <w:t>在地下建立各种物理屏障，将受污染水体圈闭起来，以防止污染物进一步扩散蔓延。被动收集法</w:t>
      </w:r>
      <w:r>
        <w:rPr>
          <w:sz w:val="24"/>
          <w:szCs w:val="24"/>
        </w:rPr>
        <w:t>——</w:t>
      </w:r>
      <w:r>
        <w:rPr>
          <w:sz w:val="24"/>
          <w:szCs w:val="24"/>
        </w:rPr>
        <w:t>在地下水流的下游挖一条足够深的沟道，在沟内布置收集系统，将水面漂浮的污染物质如油类污染物等收集起来或将所有受污染地下水收集起来以便处理的一种方法。被动收集法在处理轻质污染物</w:t>
      </w:r>
      <w:r>
        <w:rPr>
          <w:sz w:val="24"/>
          <w:szCs w:val="24"/>
        </w:rPr>
        <w:t>(</w:t>
      </w:r>
      <w:r>
        <w:rPr>
          <w:sz w:val="24"/>
          <w:szCs w:val="24"/>
        </w:rPr>
        <w:t>如油类等</w:t>
      </w:r>
      <w:r>
        <w:rPr>
          <w:sz w:val="24"/>
          <w:szCs w:val="24"/>
        </w:rPr>
        <w:t>)</w:t>
      </w:r>
      <w:r>
        <w:rPr>
          <w:sz w:val="24"/>
          <w:szCs w:val="24"/>
        </w:rPr>
        <w:t>时得到过广泛的应用。</w:t>
      </w:r>
    </w:p>
    <w:p w:rsidR="00DB7CC8" w:rsidRDefault="002B5250">
      <w:pPr>
        <w:widowControl/>
        <w:autoSpaceDN w:val="0"/>
        <w:ind w:firstLine="480"/>
        <w:textAlignment w:val="auto"/>
        <w:rPr>
          <w:sz w:val="24"/>
          <w:szCs w:val="24"/>
        </w:rPr>
      </w:pPr>
      <w:r>
        <w:rPr>
          <w:rFonts w:hint="eastAsia"/>
          <w:sz w:val="24"/>
          <w:szCs w:val="24"/>
        </w:rPr>
        <w:t>②</w:t>
      </w:r>
      <w:r>
        <w:rPr>
          <w:sz w:val="24"/>
          <w:szCs w:val="24"/>
        </w:rPr>
        <w:t>水动力控制法</w:t>
      </w:r>
    </w:p>
    <w:p w:rsidR="00DB7CC8" w:rsidRDefault="002B5250">
      <w:pPr>
        <w:widowControl/>
        <w:autoSpaceDN w:val="0"/>
        <w:ind w:firstLine="480"/>
        <w:textAlignment w:val="auto"/>
        <w:rPr>
          <w:sz w:val="24"/>
          <w:szCs w:val="24"/>
        </w:rPr>
      </w:pPr>
      <w:r>
        <w:rPr>
          <w:sz w:val="24"/>
          <w:szCs w:val="24"/>
        </w:rPr>
        <w:t>水动力控制法是利用井群系统，通过抽水或向含水层注水，人为地改变地下水的水力梯度，从而将受污染水体与清洁水体分隔开来。根据</w:t>
      </w:r>
      <w:r>
        <w:rPr>
          <w:sz w:val="24"/>
          <w:szCs w:val="24"/>
        </w:rPr>
        <w:t>井群系统布置方式的不同，水力控制法又可分为上游分水岭法和下游分水岭法。</w:t>
      </w:r>
    </w:p>
    <w:p w:rsidR="00DB7CC8" w:rsidRDefault="002B5250">
      <w:pPr>
        <w:widowControl/>
        <w:autoSpaceDN w:val="0"/>
        <w:ind w:firstLine="480"/>
        <w:textAlignment w:val="auto"/>
        <w:rPr>
          <w:sz w:val="24"/>
          <w:szCs w:val="24"/>
        </w:rPr>
      </w:pPr>
      <w:r>
        <w:rPr>
          <w:rFonts w:hint="eastAsia"/>
          <w:sz w:val="24"/>
          <w:szCs w:val="24"/>
        </w:rPr>
        <w:t>③</w:t>
      </w:r>
      <w:r>
        <w:rPr>
          <w:sz w:val="24"/>
          <w:szCs w:val="24"/>
        </w:rPr>
        <w:t>抽出处理法</w:t>
      </w:r>
    </w:p>
    <w:p w:rsidR="00DB7CC8" w:rsidRDefault="002B5250">
      <w:pPr>
        <w:widowControl/>
        <w:autoSpaceDN w:val="0"/>
        <w:ind w:firstLine="480"/>
        <w:textAlignment w:val="auto"/>
        <w:rPr>
          <w:sz w:val="24"/>
          <w:szCs w:val="24"/>
        </w:rPr>
      </w:pPr>
      <w:r>
        <w:rPr>
          <w:sz w:val="24"/>
          <w:szCs w:val="24"/>
        </w:rPr>
        <w:t>抽出处理法是当前应用很普遍的一种方法，可根据污染物类型和处理费用来选用，大致可分为三类：</w:t>
      </w:r>
    </w:p>
    <w:p w:rsidR="00DB7CC8" w:rsidRDefault="002B5250">
      <w:pPr>
        <w:widowControl/>
        <w:autoSpaceDN w:val="0"/>
        <w:ind w:firstLine="480"/>
        <w:textAlignment w:val="auto"/>
        <w:rPr>
          <w:sz w:val="24"/>
          <w:szCs w:val="24"/>
        </w:rPr>
      </w:pPr>
      <w:r>
        <w:rPr>
          <w:sz w:val="24"/>
          <w:szCs w:val="24"/>
        </w:rPr>
        <w:t>物理法。包括：吸附法、重力分离法、过滤法、反渗透法、气吹法和焚烧法等；</w:t>
      </w:r>
    </w:p>
    <w:p w:rsidR="00DB7CC8" w:rsidRDefault="002B5250">
      <w:pPr>
        <w:widowControl/>
        <w:autoSpaceDN w:val="0"/>
        <w:ind w:firstLine="480"/>
        <w:textAlignment w:val="auto"/>
        <w:rPr>
          <w:sz w:val="24"/>
          <w:szCs w:val="24"/>
        </w:rPr>
      </w:pPr>
      <w:r>
        <w:rPr>
          <w:sz w:val="24"/>
          <w:szCs w:val="24"/>
        </w:rPr>
        <w:t>化学法。包括：混凝沉淀法、氧化还原法、离子交换法和中和法等；</w:t>
      </w:r>
    </w:p>
    <w:p w:rsidR="00DB7CC8" w:rsidRDefault="002B5250">
      <w:pPr>
        <w:widowControl/>
        <w:autoSpaceDN w:val="0"/>
        <w:ind w:firstLine="480"/>
        <w:textAlignment w:val="auto"/>
        <w:rPr>
          <w:sz w:val="24"/>
          <w:szCs w:val="24"/>
        </w:rPr>
      </w:pPr>
      <w:r>
        <w:rPr>
          <w:sz w:val="24"/>
          <w:szCs w:val="24"/>
        </w:rPr>
        <w:lastRenderedPageBreak/>
        <w:t>生物法。包括：活性污泥法、生物膜法、厌氧消化法和土壤处置法等。</w:t>
      </w:r>
    </w:p>
    <w:p w:rsidR="00DB7CC8" w:rsidRDefault="002B5250">
      <w:pPr>
        <w:widowControl/>
        <w:autoSpaceDN w:val="0"/>
        <w:ind w:firstLine="480"/>
        <w:textAlignment w:val="auto"/>
        <w:rPr>
          <w:sz w:val="24"/>
          <w:szCs w:val="24"/>
        </w:rPr>
      </w:pPr>
      <w:r>
        <w:rPr>
          <w:sz w:val="24"/>
          <w:szCs w:val="24"/>
        </w:rPr>
        <w:t>受污染地下水抽出后的处理方法与地表水的处理相同，需要指出的是，在受污染地下水的抽出处理中，井群系统的建立是关键，井群系统要能控制整个受污染</w:t>
      </w:r>
      <w:r>
        <w:rPr>
          <w:sz w:val="24"/>
          <w:szCs w:val="24"/>
        </w:rPr>
        <w:t>水体的流动。</w:t>
      </w:r>
    </w:p>
    <w:p w:rsidR="00DB7CC8" w:rsidRDefault="002B5250">
      <w:pPr>
        <w:widowControl/>
        <w:autoSpaceDN w:val="0"/>
        <w:ind w:firstLine="480"/>
        <w:textAlignment w:val="auto"/>
        <w:rPr>
          <w:sz w:val="24"/>
          <w:szCs w:val="24"/>
        </w:rPr>
      </w:pPr>
      <w:r>
        <w:rPr>
          <w:rFonts w:hint="eastAsia"/>
          <w:sz w:val="24"/>
          <w:szCs w:val="24"/>
        </w:rPr>
        <w:t>④</w:t>
      </w:r>
      <w:r>
        <w:rPr>
          <w:sz w:val="24"/>
          <w:szCs w:val="24"/>
        </w:rPr>
        <w:t>原位处理法</w:t>
      </w:r>
    </w:p>
    <w:p w:rsidR="00DB7CC8" w:rsidRDefault="002B5250">
      <w:pPr>
        <w:widowControl/>
        <w:autoSpaceDN w:val="0"/>
        <w:ind w:firstLine="480"/>
        <w:textAlignment w:val="auto"/>
        <w:rPr>
          <w:sz w:val="24"/>
          <w:szCs w:val="24"/>
        </w:rPr>
      </w:pPr>
      <w:r>
        <w:rPr>
          <w:sz w:val="24"/>
          <w:szCs w:val="24"/>
        </w:rPr>
        <w:t>原位处理法是地下水污染治理技术研究的热点，不但处理费用相对节省，而且还可减少地表处理设施，最大程度地减少污染物的暴露，减少对环境的扰动，是一种很有前景的地下水污染治理技术，大致可分为两类：</w:t>
      </w:r>
    </w:p>
    <w:p w:rsidR="00DB7CC8" w:rsidRDefault="002B5250">
      <w:pPr>
        <w:widowControl/>
        <w:autoSpaceDN w:val="0"/>
        <w:ind w:firstLine="480"/>
        <w:textAlignment w:val="auto"/>
        <w:rPr>
          <w:sz w:val="24"/>
          <w:szCs w:val="24"/>
        </w:rPr>
      </w:pPr>
      <w:r>
        <w:rPr>
          <w:sz w:val="24"/>
          <w:szCs w:val="24"/>
        </w:rPr>
        <w:t>物理化学处理法。包括：加药法、渗透性处理床、土壤改性法、冲洗法和射频放电加热法等；</w:t>
      </w:r>
    </w:p>
    <w:p w:rsidR="00DB7CC8" w:rsidRDefault="002B5250">
      <w:pPr>
        <w:widowControl/>
        <w:autoSpaceDN w:val="0"/>
        <w:ind w:firstLine="480"/>
        <w:textAlignment w:val="auto"/>
        <w:rPr>
          <w:sz w:val="24"/>
          <w:szCs w:val="24"/>
        </w:rPr>
      </w:pPr>
      <w:r>
        <w:rPr>
          <w:sz w:val="24"/>
          <w:szCs w:val="24"/>
        </w:rPr>
        <w:t>生物处理法。包括：生物气冲技术、溶气水供氧技术和过氧化氢供氧技术等。</w:t>
      </w:r>
    </w:p>
    <w:p w:rsidR="00DB7CC8" w:rsidRDefault="002B5250">
      <w:pPr>
        <w:pStyle w:val="4"/>
      </w:pPr>
      <w:r>
        <w:rPr>
          <w:rFonts w:hint="eastAsia"/>
        </w:rPr>
        <w:t>6.2.3.7</w:t>
      </w:r>
      <w:r>
        <w:rPr>
          <w:rFonts w:hint="eastAsia"/>
        </w:rPr>
        <w:t>建议措施</w:t>
      </w:r>
    </w:p>
    <w:p w:rsidR="00DB7CC8" w:rsidRDefault="002B5250">
      <w:pPr>
        <w:widowControl/>
        <w:autoSpaceDN w:val="0"/>
        <w:snapToGrid w:val="0"/>
        <w:ind w:firstLine="480"/>
        <w:textAlignment w:val="auto"/>
        <w:rPr>
          <w:sz w:val="24"/>
          <w:szCs w:val="24"/>
        </w:rPr>
      </w:pPr>
      <w:r>
        <w:rPr>
          <w:sz w:val="24"/>
          <w:szCs w:val="24"/>
        </w:rPr>
        <w:t>当发生污染事故时，建议采取如下污染治理措施：</w:t>
      </w:r>
    </w:p>
    <w:p w:rsidR="00DB7CC8" w:rsidRDefault="002B5250">
      <w:pPr>
        <w:widowControl/>
        <w:autoSpaceDN w:val="0"/>
        <w:snapToGrid w:val="0"/>
        <w:ind w:firstLine="480"/>
        <w:textAlignment w:val="auto"/>
        <w:rPr>
          <w:sz w:val="24"/>
          <w:szCs w:val="24"/>
        </w:rPr>
      </w:pPr>
      <w:r>
        <w:rPr>
          <w:sz w:val="24"/>
          <w:szCs w:val="24"/>
        </w:rPr>
        <w:t>（</w:t>
      </w:r>
      <w:r>
        <w:rPr>
          <w:sz w:val="24"/>
          <w:szCs w:val="24"/>
        </w:rPr>
        <w:t>1</w:t>
      </w:r>
      <w:r>
        <w:rPr>
          <w:sz w:val="24"/>
          <w:szCs w:val="24"/>
        </w:rPr>
        <w:t>）一旦发生地下水污染事故，应立即启动应急预案；</w:t>
      </w:r>
    </w:p>
    <w:p w:rsidR="00DB7CC8" w:rsidRDefault="002B5250">
      <w:pPr>
        <w:widowControl/>
        <w:autoSpaceDN w:val="0"/>
        <w:snapToGrid w:val="0"/>
        <w:ind w:firstLine="480"/>
        <w:textAlignment w:val="auto"/>
        <w:rPr>
          <w:sz w:val="24"/>
          <w:szCs w:val="24"/>
        </w:rPr>
      </w:pPr>
      <w:r>
        <w:rPr>
          <w:sz w:val="24"/>
          <w:szCs w:val="24"/>
        </w:rPr>
        <w:t>（</w:t>
      </w:r>
      <w:r>
        <w:rPr>
          <w:sz w:val="24"/>
          <w:szCs w:val="24"/>
        </w:rPr>
        <w:t>2</w:t>
      </w:r>
      <w:r>
        <w:rPr>
          <w:sz w:val="24"/>
          <w:szCs w:val="24"/>
        </w:rPr>
        <w:t>）查明并切断污染源；</w:t>
      </w:r>
    </w:p>
    <w:p w:rsidR="00DB7CC8" w:rsidRDefault="002B5250">
      <w:pPr>
        <w:widowControl/>
        <w:autoSpaceDN w:val="0"/>
        <w:snapToGrid w:val="0"/>
        <w:ind w:firstLine="480"/>
        <w:textAlignment w:val="auto"/>
        <w:rPr>
          <w:sz w:val="24"/>
          <w:szCs w:val="24"/>
        </w:rPr>
      </w:pPr>
      <w:r>
        <w:rPr>
          <w:sz w:val="24"/>
          <w:szCs w:val="24"/>
        </w:rPr>
        <w:t>（</w:t>
      </w:r>
      <w:r>
        <w:rPr>
          <w:sz w:val="24"/>
          <w:szCs w:val="24"/>
        </w:rPr>
        <w:t>3</w:t>
      </w:r>
      <w:r>
        <w:rPr>
          <w:sz w:val="24"/>
          <w:szCs w:val="24"/>
        </w:rPr>
        <w:t>）探明地下水污染深度、范围和污染程度；</w:t>
      </w:r>
    </w:p>
    <w:p w:rsidR="00DB7CC8" w:rsidRDefault="002B5250">
      <w:pPr>
        <w:widowControl/>
        <w:autoSpaceDN w:val="0"/>
        <w:snapToGrid w:val="0"/>
        <w:ind w:firstLine="480"/>
        <w:textAlignment w:val="auto"/>
        <w:rPr>
          <w:sz w:val="24"/>
          <w:szCs w:val="24"/>
        </w:rPr>
      </w:pPr>
      <w:r>
        <w:rPr>
          <w:sz w:val="24"/>
          <w:szCs w:val="24"/>
        </w:rPr>
        <w:t>（</w:t>
      </w:r>
      <w:r>
        <w:rPr>
          <w:sz w:val="24"/>
          <w:szCs w:val="24"/>
        </w:rPr>
        <w:t>4</w:t>
      </w:r>
      <w:r>
        <w:rPr>
          <w:sz w:val="24"/>
          <w:szCs w:val="24"/>
        </w:rPr>
        <w:t>）依据探明的地下水污染情况和污染场地的岩性特征，合理布置轻型井点的深度及间距，并进行轻型井点试抽工作；</w:t>
      </w:r>
    </w:p>
    <w:p w:rsidR="00DB7CC8" w:rsidRDefault="002B5250">
      <w:pPr>
        <w:widowControl/>
        <w:autoSpaceDN w:val="0"/>
        <w:snapToGrid w:val="0"/>
        <w:ind w:firstLine="480"/>
        <w:textAlignment w:val="auto"/>
        <w:rPr>
          <w:sz w:val="24"/>
          <w:szCs w:val="24"/>
        </w:rPr>
      </w:pPr>
      <w:r>
        <w:rPr>
          <w:sz w:val="24"/>
          <w:szCs w:val="24"/>
        </w:rPr>
        <w:t>（</w:t>
      </w:r>
      <w:r>
        <w:rPr>
          <w:sz w:val="24"/>
          <w:szCs w:val="24"/>
        </w:rPr>
        <w:t>5</w:t>
      </w:r>
      <w:r>
        <w:rPr>
          <w:sz w:val="24"/>
          <w:szCs w:val="24"/>
        </w:rPr>
        <w:t>）依据轻型井点抽水设计方案进行施工，抽取被污染的地下水体，并依据各井点出水情况进行调整；</w:t>
      </w:r>
    </w:p>
    <w:p w:rsidR="00DB7CC8" w:rsidRDefault="002B5250">
      <w:pPr>
        <w:widowControl/>
        <w:autoSpaceDN w:val="0"/>
        <w:snapToGrid w:val="0"/>
        <w:ind w:firstLine="480"/>
        <w:textAlignment w:val="auto"/>
        <w:rPr>
          <w:sz w:val="24"/>
          <w:szCs w:val="24"/>
        </w:rPr>
      </w:pPr>
      <w:r>
        <w:rPr>
          <w:sz w:val="24"/>
          <w:szCs w:val="24"/>
        </w:rPr>
        <w:t>（</w:t>
      </w:r>
      <w:r>
        <w:rPr>
          <w:sz w:val="24"/>
          <w:szCs w:val="24"/>
        </w:rPr>
        <w:t>6</w:t>
      </w:r>
      <w:r>
        <w:rPr>
          <w:sz w:val="24"/>
          <w:szCs w:val="24"/>
        </w:rPr>
        <w:t>）将抽取的地下水进行集中收集处理，并送实验室进行化验分析；</w:t>
      </w:r>
    </w:p>
    <w:p w:rsidR="00DB7CC8" w:rsidRDefault="002B5250">
      <w:pPr>
        <w:widowControl/>
        <w:autoSpaceDN w:val="0"/>
        <w:snapToGrid w:val="0"/>
        <w:ind w:firstLine="480"/>
        <w:textAlignment w:val="auto"/>
        <w:rPr>
          <w:sz w:val="24"/>
          <w:szCs w:val="24"/>
        </w:rPr>
      </w:pPr>
      <w:r>
        <w:rPr>
          <w:sz w:val="24"/>
          <w:szCs w:val="24"/>
        </w:rPr>
        <w:t>（</w:t>
      </w:r>
      <w:r>
        <w:rPr>
          <w:sz w:val="24"/>
          <w:szCs w:val="24"/>
        </w:rPr>
        <w:t>7</w:t>
      </w:r>
      <w:r>
        <w:rPr>
          <w:sz w:val="24"/>
          <w:szCs w:val="24"/>
        </w:rPr>
        <w:t>）当地下水中的特征污染物浓度满足地下水功能区划的标准后，逐步停止井点抽水，并进行土壤修复治理工作。</w:t>
      </w:r>
    </w:p>
    <w:p w:rsidR="00DB7CC8" w:rsidRDefault="002B5250">
      <w:pPr>
        <w:pStyle w:val="4"/>
      </w:pPr>
      <w:r>
        <w:rPr>
          <w:rFonts w:hint="eastAsia"/>
        </w:rPr>
        <w:t>6.2.8</w:t>
      </w:r>
      <w:r>
        <w:rPr>
          <w:rFonts w:hint="eastAsia"/>
        </w:rPr>
        <w:t>地下水风险污染事故应急预案</w:t>
      </w:r>
    </w:p>
    <w:p w:rsidR="00DB7CC8" w:rsidRDefault="002B5250">
      <w:pPr>
        <w:widowControl/>
        <w:autoSpaceDN w:val="0"/>
        <w:ind w:firstLine="480"/>
        <w:textAlignment w:val="auto"/>
        <w:rPr>
          <w:sz w:val="24"/>
          <w:szCs w:val="24"/>
        </w:rPr>
      </w:pPr>
      <w:r>
        <w:rPr>
          <w:rFonts w:hint="eastAsia"/>
          <w:sz w:val="24"/>
          <w:szCs w:val="24"/>
        </w:rPr>
        <w:t>①</w:t>
      </w:r>
      <w:r>
        <w:rPr>
          <w:sz w:val="24"/>
          <w:szCs w:val="24"/>
        </w:rPr>
        <w:t>应急预案</w:t>
      </w:r>
    </w:p>
    <w:p w:rsidR="00DB7CC8" w:rsidRDefault="002B5250">
      <w:pPr>
        <w:widowControl/>
        <w:autoSpaceDN w:val="0"/>
        <w:ind w:firstLine="480"/>
        <w:textAlignment w:val="auto"/>
        <w:rPr>
          <w:sz w:val="24"/>
          <w:szCs w:val="24"/>
        </w:rPr>
      </w:pPr>
      <w:r>
        <w:rPr>
          <w:rFonts w:hint="eastAsia"/>
          <w:sz w:val="24"/>
          <w:szCs w:val="24"/>
        </w:rPr>
        <w:t>a.</w:t>
      </w:r>
      <w:r>
        <w:rPr>
          <w:sz w:val="24"/>
          <w:szCs w:val="24"/>
        </w:rPr>
        <w:t>在制定厂区安全管理体制的基础上，制订专门的地下水污染事故的应急措施，并应与其它应急预案相协调。</w:t>
      </w:r>
    </w:p>
    <w:p w:rsidR="00DB7CC8" w:rsidRDefault="002B5250">
      <w:pPr>
        <w:widowControl/>
        <w:autoSpaceDN w:val="0"/>
        <w:ind w:firstLine="480"/>
        <w:textAlignment w:val="auto"/>
        <w:rPr>
          <w:sz w:val="24"/>
          <w:szCs w:val="24"/>
        </w:rPr>
      </w:pPr>
      <w:r>
        <w:rPr>
          <w:rFonts w:hint="eastAsia"/>
          <w:sz w:val="24"/>
          <w:szCs w:val="24"/>
        </w:rPr>
        <w:t>b.</w:t>
      </w:r>
      <w:r>
        <w:rPr>
          <w:sz w:val="24"/>
          <w:szCs w:val="24"/>
        </w:rPr>
        <w:t>地下水应急预案应包括以下内容：</w:t>
      </w:r>
    </w:p>
    <w:p w:rsidR="00DB7CC8" w:rsidRDefault="002B5250">
      <w:pPr>
        <w:widowControl/>
        <w:autoSpaceDN w:val="0"/>
        <w:ind w:firstLine="480"/>
        <w:textAlignment w:val="auto"/>
        <w:rPr>
          <w:sz w:val="24"/>
          <w:szCs w:val="24"/>
        </w:rPr>
      </w:pPr>
      <w:r>
        <w:rPr>
          <w:sz w:val="24"/>
          <w:szCs w:val="24"/>
        </w:rPr>
        <w:t>应急预案的日常协调和指挥机构；</w:t>
      </w:r>
    </w:p>
    <w:p w:rsidR="00DB7CC8" w:rsidRDefault="002B5250">
      <w:pPr>
        <w:widowControl/>
        <w:autoSpaceDN w:val="0"/>
        <w:ind w:firstLine="480"/>
        <w:textAlignment w:val="auto"/>
        <w:rPr>
          <w:sz w:val="24"/>
          <w:szCs w:val="24"/>
        </w:rPr>
      </w:pPr>
      <w:r>
        <w:rPr>
          <w:sz w:val="24"/>
          <w:szCs w:val="24"/>
        </w:rPr>
        <w:t>相关部门在应急预案中的职责和分工；</w:t>
      </w:r>
    </w:p>
    <w:p w:rsidR="00DB7CC8" w:rsidRDefault="002B5250">
      <w:pPr>
        <w:widowControl/>
        <w:autoSpaceDN w:val="0"/>
        <w:ind w:firstLine="480"/>
        <w:textAlignment w:val="auto"/>
        <w:rPr>
          <w:sz w:val="24"/>
          <w:szCs w:val="24"/>
        </w:rPr>
      </w:pPr>
      <w:r>
        <w:rPr>
          <w:sz w:val="24"/>
          <w:szCs w:val="24"/>
        </w:rPr>
        <w:lastRenderedPageBreak/>
        <w:t>地下水环境保护目标的确定</w:t>
      </w:r>
      <w:r>
        <w:rPr>
          <w:sz w:val="24"/>
          <w:szCs w:val="24"/>
        </w:rPr>
        <w:t>,</w:t>
      </w:r>
      <w:r>
        <w:rPr>
          <w:sz w:val="24"/>
          <w:szCs w:val="24"/>
        </w:rPr>
        <w:t>采取的紧急处置措施和潜在污染可能性评估；</w:t>
      </w:r>
    </w:p>
    <w:p w:rsidR="00DB7CC8" w:rsidRDefault="002B5250">
      <w:pPr>
        <w:widowControl/>
        <w:autoSpaceDN w:val="0"/>
        <w:ind w:firstLine="480"/>
        <w:textAlignment w:val="auto"/>
        <w:rPr>
          <w:sz w:val="24"/>
          <w:szCs w:val="24"/>
        </w:rPr>
      </w:pPr>
      <w:r>
        <w:rPr>
          <w:sz w:val="24"/>
          <w:szCs w:val="24"/>
        </w:rPr>
        <w:t>特大事故应急救援组织状况和人员、装备情况，平常的训练和演习；</w:t>
      </w:r>
    </w:p>
    <w:p w:rsidR="00DB7CC8" w:rsidRDefault="002B5250">
      <w:pPr>
        <w:widowControl/>
        <w:autoSpaceDN w:val="0"/>
        <w:ind w:firstLine="480"/>
        <w:textAlignment w:val="auto"/>
        <w:rPr>
          <w:sz w:val="24"/>
          <w:szCs w:val="24"/>
        </w:rPr>
      </w:pPr>
      <w:r>
        <w:rPr>
          <w:sz w:val="24"/>
          <w:szCs w:val="24"/>
        </w:rPr>
        <w:t>特大事故的社会支持和援助</w:t>
      </w:r>
      <w:r>
        <w:rPr>
          <w:sz w:val="24"/>
          <w:szCs w:val="24"/>
        </w:rPr>
        <w:t>,</w:t>
      </w:r>
      <w:r>
        <w:rPr>
          <w:sz w:val="24"/>
          <w:szCs w:val="24"/>
        </w:rPr>
        <w:t>应急救援的经费保障。</w:t>
      </w:r>
    </w:p>
    <w:p w:rsidR="00DB7CC8" w:rsidRDefault="002B5250">
      <w:pPr>
        <w:widowControl/>
        <w:autoSpaceDN w:val="0"/>
        <w:ind w:firstLine="480"/>
        <w:textAlignment w:val="auto"/>
        <w:rPr>
          <w:sz w:val="24"/>
          <w:szCs w:val="24"/>
        </w:rPr>
      </w:pPr>
      <w:r>
        <w:rPr>
          <w:rFonts w:hint="eastAsia"/>
          <w:sz w:val="24"/>
          <w:szCs w:val="24"/>
        </w:rPr>
        <w:t>②</w:t>
      </w:r>
      <w:r>
        <w:rPr>
          <w:sz w:val="24"/>
          <w:szCs w:val="24"/>
        </w:rPr>
        <w:t>应急处置</w:t>
      </w:r>
    </w:p>
    <w:p w:rsidR="00DB7CC8" w:rsidRDefault="002B5250">
      <w:pPr>
        <w:widowControl/>
        <w:autoSpaceDN w:val="0"/>
        <w:ind w:firstLine="480"/>
        <w:textAlignment w:val="auto"/>
        <w:rPr>
          <w:sz w:val="24"/>
          <w:szCs w:val="24"/>
        </w:rPr>
      </w:pPr>
      <w:r>
        <w:rPr>
          <w:sz w:val="24"/>
          <w:szCs w:val="24"/>
        </w:rPr>
        <w:t>一旦发现地下水水质发生异常情况，必须按照应急预案马上采取紧急措施：</w:t>
      </w:r>
    </w:p>
    <w:p w:rsidR="00DB7CC8" w:rsidRDefault="002B5250">
      <w:pPr>
        <w:widowControl/>
        <w:autoSpaceDN w:val="0"/>
        <w:ind w:firstLine="480"/>
        <w:textAlignment w:val="auto"/>
        <w:rPr>
          <w:sz w:val="24"/>
          <w:szCs w:val="24"/>
        </w:rPr>
      </w:pPr>
      <w:r>
        <w:rPr>
          <w:rFonts w:hint="eastAsia"/>
          <w:sz w:val="24"/>
          <w:szCs w:val="24"/>
        </w:rPr>
        <w:t>a.</w:t>
      </w:r>
      <w:r>
        <w:rPr>
          <w:sz w:val="24"/>
          <w:szCs w:val="24"/>
        </w:rPr>
        <w:t>当确定发生地下水异常情况时，按照制订的地下水应急预</w:t>
      </w:r>
      <w:r>
        <w:rPr>
          <w:sz w:val="24"/>
          <w:szCs w:val="24"/>
        </w:rPr>
        <w:t>案，在第一时间内尽快上报主管领导，通知当地</w:t>
      </w:r>
      <w:r>
        <w:rPr>
          <w:rFonts w:hint="eastAsia"/>
          <w:sz w:val="24"/>
          <w:szCs w:val="24"/>
        </w:rPr>
        <w:t>生态环境局</w:t>
      </w:r>
      <w:r>
        <w:rPr>
          <w:sz w:val="24"/>
          <w:szCs w:val="24"/>
        </w:rPr>
        <w:t>，密切关注地下水水质变化情况。</w:t>
      </w:r>
    </w:p>
    <w:p w:rsidR="00DB7CC8" w:rsidRDefault="002B5250">
      <w:pPr>
        <w:widowControl/>
        <w:autoSpaceDN w:val="0"/>
        <w:ind w:firstLine="480"/>
        <w:textAlignment w:val="auto"/>
        <w:rPr>
          <w:sz w:val="24"/>
          <w:szCs w:val="24"/>
        </w:rPr>
      </w:pPr>
      <w:r>
        <w:rPr>
          <w:rFonts w:hint="eastAsia"/>
          <w:sz w:val="24"/>
          <w:szCs w:val="24"/>
        </w:rPr>
        <w:t>b.</w:t>
      </w:r>
      <w:r>
        <w:rPr>
          <w:sz w:val="24"/>
          <w:szCs w:val="24"/>
        </w:rPr>
        <w:t>组织专业队伍对事故现场进行调查、监测，尽量将紧急事件局部化，防止事故的扩散、蔓延及连锁反应，尽量缩小地下水污染事故的影响范围和程度。</w:t>
      </w:r>
    </w:p>
    <w:p w:rsidR="00DB7CC8" w:rsidRDefault="002B5250">
      <w:pPr>
        <w:widowControl/>
        <w:autoSpaceDN w:val="0"/>
        <w:ind w:firstLine="480"/>
        <w:textAlignment w:val="auto"/>
        <w:rPr>
          <w:sz w:val="24"/>
          <w:szCs w:val="24"/>
        </w:rPr>
      </w:pPr>
      <w:r>
        <w:rPr>
          <w:rFonts w:hint="eastAsia"/>
          <w:sz w:val="24"/>
          <w:szCs w:val="24"/>
        </w:rPr>
        <w:t>c.</w:t>
      </w:r>
      <w:r>
        <w:rPr>
          <w:sz w:val="24"/>
          <w:szCs w:val="24"/>
        </w:rPr>
        <w:t>当通过监测发现水质监测井周围地下水造成污染时，根据监测井的反馈信息，立即启动应急预案，采取措施，抑制污染物向下游扩散量，控制污染范围，使地下水质量得到尽快恢复。</w:t>
      </w:r>
    </w:p>
    <w:p w:rsidR="00DB7CC8" w:rsidRDefault="002B5250">
      <w:pPr>
        <w:widowControl/>
        <w:autoSpaceDN w:val="0"/>
        <w:ind w:firstLine="480"/>
        <w:textAlignment w:val="auto"/>
        <w:rPr>
          <w:sz w:val="24"/>
          <w:szCs w:val="24"/>
        </w:rPr>
      </w:pPr>
      <w:r>
        <w:rPr>
          <w:rFonts w:hint="eastAsia"/>
          <w:sz w:val="24"/>
          <w:szCs w:val="24"/>
        </w:rPr>
        <w:t>d.</w:t>
      </w:r>
      <w:r>
        <w:rPr>
          <w:sz w:val="24"/>
          <w:szCs w:val="24"/>
        </w:rPr>
        <w:t>对事故后果进行评估，并制定防止类似事件发生的措施。</w:t>
      </w:r>
    </w:p>
    <w:p w:rsidR="00DB7CC8" w:rsidRDefault="002B5250">
      <w:pPr>
        <w:pStyle w:val="p0"/>
        <w:snapToGrid/>
        <w:spacing w:line="360" w:lineRule="auto"/>
        <w:ind w:firstLineChars="200" w:firstLine="480"/>
        <w:rPr>
          <w:szCs w:val="24"/>
        </w:rPr>
      </w:pPr>
      <w:r>
        <w:rPr>
          <w:rFonts w:hint="eastAsia"/>
          <w:szCs w:val="24"/>
        </w:rPr>
        <w:t>e.</w:t>
      </w:r>
      <w:r>
        <w:rPr>
          <w:szCs w:val="24"/>
        </w:rPr>
        <w:t>如果自身力量无法应对污染事故，应立即请求社会应急力量协助处理。</w:t>
      </w:r>
    </w:p>
    <w:p w:rsidR="00DB7CC8" w:rsidRDefault="002B5250">
      <w:pPr>
        <w:pStyle w:val="3"/>
        <w:numPr>
          <w:ilvl w:val="2"/>
          <w:numId w:val="1"/>
        </w:numPr>
        <w:rPr>
          <w:szCs w:val="28"/>
        </w:rPr>
      </w:pPr>
      <w:bookmarkStart w:id="510" w:name="_Toc22411"/>
      <w:bookmarkStart w:id="511" w:name="_Toc521591814"/>
      <w:r>
        <w:rPr>
          <w:szCs w:val="28"/>
        </w:rPr>
        <w:t>运营期噪声污染防治措施</w:t>
      </w:r>
      <w:bookmarkEnd w:id="510"/>
      <w:bookmarkEnd w:id="511"/>
      <w:r>
        <w:rPr>
          <w:rFonts w:hint="eastAsia"/>
          <w:szCs w:val="28"/>
        </w:rPr>
        <w:t>可行性分析</w:t>
      </w:r>
    </w:p>
    <w:p w:rsidR="00DB7CC8" w:rsidRDefault="002B5250">
      <w:pPr>
        <w:autoSpaceDE w:val="0"/>
        <w:autoSpaceDN w:val="0"/>
        <w:ind w:firstLine="480"/>
        <w:jc w:val="both"/>
        <w:textAlignment w:val="auto"/>
        <w:rPr>
          <w:sz w:val="24"/>
          <w:szCs w:val="24"/>
        </w:rPr>
      </w:pPr>
      <w:r>
        <w:rPr>
          <w:kern w:val="2"/>
          <w:sz w:val="24"/>
          <w:szCs w:val="24"/>
        </w:rPr>
        <w:t>本项目主要噪声来源于破碎机、球磨机、</w:t>
      </w:r>
      <w:r>
        <w:rPr>
          <w:rFonts w:hint="eastAsia"/>
          <w:kern w:val="2"/>
          <w:sz w:val="24"/>
          <w:szCs w:val="24"/>
        </w:rPr>
        <w:t>磁滑轮、</w:t>
      </w:r>
      <w:r>
        <w:rPr>
          <w:kern w:val="2"/>
          <w:sz w:val="24"/>
          <w:szCs w:val="24"/>
        </w:rPr>
        <w:t>磁选机、水泵等设备运行过程中产生的噪声，噪声的声压级一般在</w:t>
      </w:r>
      <w:r>
        <w:rPr>
          <w:kern w:val="2"/>
          <w:sz w:val="24"/>
          <w:szCs w:val="24"/>
        </w:rPr>
        <w:t>70-100dB</w:t>
      </w:r>
      <w:r>
        <w:rPr>
          <w:kern w:val="2"/>
          <w:sz w:val="24"/>
          <w:szCs w:val="24"/>
        </w:rPr>
        <w:t>（</w:t>
      </w:r>
      <w:r>
        <w:rPr>
          <w:kern w:val="2"/>
          <w:sz w:val="24"/>
          <w:szCs w:val="24"/>
        </w:rPr>
        <w:t>A</w:t>
      </w:r>
      <w:r>
        <w:rPr>
          <w:kern w:val="2"/>
          <w:sz w:val="24"/>
          <w:szCs w:val="24"/>
        </w:rPr>
        <w:t>）左右</w:t>
      </w:r>
      <w:r>
        <w:rPr>
          <w:sz w:val="24"/>
          <w:szCs w:val="24"/>
        </w:rPr>
        <w:t>。</w:t>
      </w:r>
    </w:p>
    <w:p w:rsidR="00DB7CC8" w:rsidRDefault="002B5250">
      <w:pPr>
        <w:pStyle w:val="4"/>
        <w:spacing w:before="48" w:after="48"/>
        <w:rPr>
          <w:szCs w:val="24"/>
        </w:rPr>
      </w:pPr>
      <w:r>
        <w:rPr>
          <w:rFonts w:hint="eastAsia"/>
          <w:lang w:bidi="zh-CN"/>
        </w:rPr>
        <w:t>6.2.4.1</w:t>
      </w:r>
      <w:r>
        <w:rPr>
          <w:rFonts w:hint="eastAsia"/>
          <w:lang w:val="zh-CN" w:bidi="zh-CN"/>
        </w:rPr>
        <w:t>噪声污染防治措施</w:t>
      </w:r>
    </w:p>
    <w:p w:rsidR="00DB7CC8" w:rsidRDefault="002B5250">
      <w:pPr>
        <w:ind w:firstLine="480"/>
        <w:rPr>
          <w:kern w:val="2"/>
          <w:sz w:val="24"/>
          <w:szCs w:val="24"/>
          <w:lang w:val="zh-CN"/>
        </w:rPr>
      </w:pPr>
      <w:r>
        <w:rPr>
          <w:rFonts w:hint="eastAsia"/>
          <w:kern w:val="2"/>
          <w:sz w:val="24"/>
          <w:szCs w:val="24"/>
          <w:lang w:val="zh-CN"/>
        </w:rPr>
        <w:t>为降低设备噪声对周围环境的影响，建设单位拟采取以下降噪措施：</w:t>
      </w:r>
    </w:p>
    <w:p w:rsidR="00DB7CC8" w:rsidRDefault="002B5250">
      <w:pPr>
        <w:autoSpaceDE w:val="0"/>
        <w:autoSpaceDN w:val="0"/>
        <w:ind w:firstLine="480"/>
        <w:jc w:val="both"/>
        <w:textAlignment w:val="auto"/>
        <w:rPr>
          <w:kern w:val="2"/>
          <w:sz w:val="24"/>
          <w:szCs w:val="24"/>
        </w:rPr>
      </w:pPr>
      <w:r>
        <w:rPr>
          <w:bCs/>
          <w:sz w:val="24"/>
          <w:szCs w:val="24"/>
        </w:rPr>
        <w:t>（</w:t>
      </w:r>
      <w:r>
        <w:rPr>
          <w:bCs/>
          <w:sz w:val="24"/>
          <w:szCs w:val="24"/>
        </w:rPr>
        <w:t>1</w:t>
      </w:r>
      <w:r>
        <w:rPr>
          <w:bCs/>
          <w:sz w:val="24"/>
          <w:szCs w:val="24"/>
        </w:rPr>
        <w:t>）平面布置将高噪声的设备集中布置，生产区与生活办公区分开布设；</w:t>
      </w:r>
    </w:p>
    <w:p w:rsidR="00DB7CC8" w:rsidRDefault="002B5250">
      <w:pPr>
        <w:autoSpaceDE w:val="0"/>
        <w:autoSpaceDN w:val="0"/>
        <w:ind w:firstLine="480"/>
        <w:jc w:val="both"/>
        <w:textAlignment w:val="auto"/>
        <w:rPr>
          <w:kern w:val="2"/>
          <w:sz w:val="24"/>
          <w:szCs w:val="24"/>
        </w:rPr>
      </w:pPr>
      <w:r>
        <w:rPr>
          <w:kern w:val="2"/>
          <w:sz w:val="24"/>
          <w:szCs w:val="24"/>
        </w:rPr>
        <w:t>（</w:t>
      </w:r>
      <w:r>
        <w:rPr>
          <w:kern w:val="2"/>
          <w:sz w:val="24"/>
          <w:szCs w:val="24"/>
        </w:rPr>
        <w:t>2</w:t>
      </w:r>
      <w:r>
        <w:rPr>
          <w:kern w:val="2"/>
          <w:sz w:val="24"/>
          <w:szCs w:val="24"/>
        </w:rPr>
        <w:t>）选用噪声低、振动小的设备，同时运营后加强对各种机械的维修保养，保持其良好的运行效果；设备均采用隔振基础、柔性接头、弹性隔振吊、支架等。</w:t>
      </w:r>
    </w:p>
    <w:p w:rsidR="00DB7CC8" w:rsidRDefault="002B5250">
      <w:pPr>
        <w:autoSpaceDE w:val="0"/>
        <w:autoSpaceDN w:val="0"/>
        <w:ind w:firstLine="480"/>
        <w:jc w:val="both"/>
        <w:textAlignment w:val="auto"/>
        <w:rPr>
          <w:kern w:val="2"/>
          <w:sz w:val="24"/>
          <w:szCs w:val="24"/>
        </w:rPr>
      </w:pPr>
      <w:r>
        <w:rPr>
          <w:kern w:val="2"/>
          <w:sz w:val="24"/>
          <w:szCs w:val="24"/>
        </w:rPr>
        <w:t>（</w:t>
      </w:r>
      <w:r>
        <w:rPr>
          <w:kern w:val="2"/>
          <w:sz w:val="24"/>
          <w:szCs w:val="24"/>
        </w:rPr>
        <w:t>3</w:t>
      </w:r>
      <w:r>
        <w:rPr>
          <w:kern w:val="2"/>
          <w:sz w:val="24"/>
          <w:szCs w:val="24"/>
        </w:rPr>
        <w:t>）生产设备置于车间内，充分利用建筑物隔声，降低对周围环境的影响。</w:t>
      </w:r>
    </w:p>
    <w:p w:rsidR="00DB7CC8" w:rsidRDefault="002B5250">
      <w:pPr>
        <w:autoSpaceDE w:val="0"/>
        <w:autoSpaceDN w:val="0"/>
        <w:ind w:firstLine="480"/>
        <w:jc w:val="both"/>
        <w:textAlignment w:val="auto"/>
        <w:rPr>
          <w:kern w:val="2"/>
          <w:sz w:val="24"/>
          <w:szCs w:val="24"/>
        </w:rPr>
      </w:pPr>
      <w:r>
        <w:rPr>
          <w:kern w:val="2"/>
          <w:sz w:val="24"/>
          <w:szCs w:val="24"/>
        </w:rPr>
        <w:t>（</w:t>
      </w:r>
      <w:r>
        <w:rPr>
          <w:kern w:val="2"/>
          <w:sz w:val="24"/>
          <w:szCs w:val="24"/>
        </w:rPr>
        <w:t>4</w:t>
      </w:r>
      <w:r>
        <w:rPr>
          <w:kern w:val="2"/>
          <w:sz w:val="24"/>
          <w:szCs w:val="24"/>
        </w:rPr>
        <w:t>）水泵机组底座下设置橡胶隔振器、金属弹簧隔振器或弹性衬垫材料；保证吸水口吞没深度和吸水管衔接的严厉密封；吸水管道上和出水管上装设软性衔接装置。</w:t>
      </w:r>
    </w:p>
    <w:p w:rsidR="00DB7CC8" w:rsidRDefault="002B5250">
      <w:pPr>
        <w:ind w:firstLine="480"/>
        <w:jc w:val="both"/>
        <w:rPr>
          <w:bCs/>
          <w:sz w:val="24"/>
          <w:szCs w:val="24"/>
        </w:rPr>
      </w:pPr>
      <w:r>
        <w:rPr>
          <w:bCs/>
          <w:sz w:val="24"/>
          <w:szCs w:val="24"/>
        </w:rPr>
        <w:t>（</w:t>
      </w:r>
      <w:r>
        <w:rPr>
          <w:bCs/>
          <w:sz w:val="24"/>
          <w:szCs w:val="24"/>
        </w:rPr>
        <w:t>5</w:t>
      </w:r>
      <w:r>
        <w:rPr>
          <w:bCs/>
          <w:sz w:val="24"/>
          <w:szCs w:val="24"/>
        </w:rPr>
        <w:t>）运营期应加强调度管理，尽量减少夜间运输。</w:t>
      </w:r>
    </w:p>
    <w:p w:rsidR="00DB7CC8" w:rsidRDefault="002B5250">
      <w:pPr>
        <w:autoSpaceDE w:val="0"/>
        <w:autoSpaceDN w:val="0"/>
        <w:ind w:firstLine="480"/>
        <w:jc w:val="both"/>
        <w:textAlignment w:val="auto"/>
        <w:rPr>
          <w:kern w:val="2"/>
          <w:sz w:val="24"/>
          <w:szCs w:val="24"/>
        </w:rPr>
      </w:pPr>
      <w:r>
        <w:rPr>
          <w:bCs/>
          <w:sz w:val="24"/>
          <w:szCs w:val="24"/>
        </w:rPr>
        <w:t>（</w:t>
      </w:r>
      <w:r>
        <w:rPr>
          <w:bCs/>
          <w:sz w:val="24"/>
          <w:szCs w:val="24"/>
        </w:rPr>
        <w:t>6</w:t>
      </w:r>
      <w:r>
        <w:rPr>
          <w:bCs/>
          <w:sz w:val="24"/>
          <w:szCs w:val="24"/>
        </w:rPr>
        <w:t>）运输车辆要限制车速，经过村庄时要减速行驶，夜间要禁止鸣笛。</w:t>
      </w:r>
    </w:p>
    <w:p w:rsidR="00DB7CC8" w:rsidRDefault="002B5250">
      <w:pPr>
        <w:autoSpaceDE w:val="0"/>
        <w:autoSpaceDN w:val="0"/>
        <w:ind w:firstLine="480"/>
        <w:jc w:val="both"/>
        <w:textAlignment w:val="auto"/>
        <w:rPr>
          <w:kern w:val="2"/>
          <w:sz w:val="24"/>
          <w:szCs w:val="24"/>
        </w:rPr>
      </w:pPr>
      <w:r>
        <w:rPr>
          <w:kern w:val="2"/>
          <w:sz w:val="24"/>
          <w:szCs w:val="24"/>
        </w:rPr>
        <w:t>（</w:t>
      </w:r>
      <w:r>
        <w:rPr>
          <w:kern w:val="2"/>
          <w:sz w:val="24"/>
          <w:szCs w:val="24"/>
        </w:rPr>
        <w:t>7</w:t>
      </w:r>
      <w:r>
        <w:rPr>
          <w:kern w:val="2"/>
          <w:sz w:val="24"/>
          <w:szCs w:val="24"/>
        </w:rPr>
        <w:t>）加强厂区四周绿化，合理配置绿化物种及高度，以提高绿地和树木对噪声的阻断和吸收衰减作用。</w:t>
      </w:r>
    </w:p>
    <w:p w:rsidR="00DB7CC8" w:rsidRDefault="002B5250">
      <w:pPr>
        <w:autoSpaceDE w:val="0"/>
        <w:autoSpaceDN w:val="0"/>
        <w:ind w:firstLine="480"/>
        <w:jc w:val="both"/>
        <w:textAlignment w:val="auto"/>
        <w:rPr>
          <w:kern w:val="2"/>
          <w:sz w:val="24"/>
          <w:szCs w:val="24"/>
        </w:rPr>
      </w:pPr>
      <w:r>
        <w:rPr>
          <w:kern w:val="2"/>
          <w:sz w:val="24"/>
          <w:szCs w:val="24"/>
        </w:rPr>
        <w:lastRenderedPageBreak/>
        <w:t>虽然本项目选用低噪设备，并采用了各种降噪措施对车间噪声进行降噪处理，使厂界噪声达标，但</w:t>
      </w:r>
      <w:r>
        <w:rPr>
          <w:kern w:val="2"/>
          <w:sz w:val="24"/>
          <w:szCs w:val="24"/>
        </w:rPr>
        <w:t>生产设备产生的噪声仍对员工的影响较大，如不注意对员工的防护会对员工的健康带来一定的影响。</w:t>
      </w:r>
    </w:p>
    <w:p w:rsidR="00DB7CC8" w:rsidRDefault="002B5250">
      <w:pPr>
        <w:autoSpaceDE w:val="0"/>
        <w:autoSpaceDN w:val="0"/>
        <w:ind w:firstLine="480"/>
        <w:jc w:val="both"/>
        <w:textAlignment w:val="auto"/>
        <w:rPr>
          <w:kern w:val="2"/>
          <w:sz w:val="24"/>
          <w:szCs w:val="24"/>
        </w:rPr>
      </w:pPr>
      <w:r>
        <w:rPr>
          <w:kern w:val="2"/>
          <w:sz w:val="24"/>
          <w:szCs w:val="24"/>
        </w:rPr>
        <w:t>建设单位采取以下措施减少工作时噪声对员工的影响：</w:t>
      </w:r>
      <w:r>
        <w:rPr>
          <w:rFonts w:ascii="宋体" w:hAnsi="宋体" w:cs="宋体" w:hint="eastAsia"/>
          <w:kern w:val="2"/>
          <w:sz w:val="24"/>
          <w:szCs w:val="24"/>
        </w:rPr>
        <w:t>①</w:t>
      </w:r>
      <w:r>
        <w:rPr>
          <w:kern w:val="2"/>
          <w:sz w:val="24"/>
          <w:szCs w:val="24"/>
        </w:rPr>
        <w:t>发放耳塞，减少工作时噪声的影响；</w:t>
      </w:r>
      <w:r>
        <w:rPr>
          <w:rFonts w:ascii="宋体" w:hAnsi="宋体" w:cs="宋体" w:hint="eastAsia"/>
          <w:kern w:val="2"/>
          <w:sz w:val="24"/>
          <w:szCs w:val="24"/>
        </w:rPr>
        <w:t>②</w:t>
      </w:r>
      <w:r>
        <w:rPr>
          <w:kern w:val="2"/>
          <w:sz w:val="24"/>
          <w:szCs w:val="24"/>
        </w:rPr>
        <w:t>在厂房内设置隔声休息室，定时安排员工进入休息室休息，缓解噪声带来的影响；</w:t>
      </w:r>
      <w:r>
        <w:rPr>
          <w:rFonts w:ascii="宋体" w:hAnsi="宋体" w:cs="宋体" w:hint="eastAsia"/>
          <w:kern w:val="2"/>
          <w:sz w:val="24"/>
          <w:szCs w:val="24"/>
        </w:rPr>
        <w:t>③</w:t>
      </w:r>
      <w:r>
        <w:rPr>
          <w:kern w:val="2"/>
          <w:sz w:val="24"/>
          <w:szCs w:val="24"/>
        </w:rPr>
        <w:t>定期对员工进行体检，如有发现工作噪声对员工的健康带来危害，立即进行治疗并及时调整员工工作时间及个人防护措施。</w:t>
      </w:r>
    </w:p>
    <w:p w:rsidR="00DB7CC8" w:rsidRDefault="002B5250">
      <w:pPr>
        <w:pStyle w:val="4"/>
        <w:spacing w:before="48" w:after="48"/>
      </w:pPr>
      <w:bookmarkStart w:id="512" w:name="_Hlk9232829"/>
      <w:bookmarkStart w:id="513" w:name="_Hlk9240376"/>
      <w:r>
        <w:rPr>
          <w:rFonts w:hint="eastAsia"/>
        </w:rPr>
        <w:t>6.2.4.2</w:t>
      </w:r>
      <w:r>
        <w:rPr>
          <w:rFonts w:hint="eastAsia"/>
        </w:rPr>
        <w:t>噪声污染防治措施可行性分析</w:t>
      </w:r>
    </w:p>
    <w:p w:rsidR="00DB7CC8" w:rsidRDefault="002B5250">
      <w:pPr>
        <w:ind w:firstLine="480"/>
        <w:rPr>
          <w:kern w:val="2"/>
          <w:sz w:val="24"/>
          <w:szCs w:val="24"/>
          <w:lang w:val="zh-CN"/>
        </w:rPr>
      </w:pPr>
      <w:bookmarkStart w:id="514" w:name="_Hlk9232814"/>
      <w:bookmarkEnd w:id="512"/>
      <w:r>
        <w:rPr>
          <w:rFonts w:hint="eastAsia"/>
          <w:kern w:val="2"/>
          <w:sz w:val="24"/>
          <w:szCs w:val="24"/>
          <w:lang w:val="zh-CN"/>
        </w:rPr>
        <w:t>该项目产噪设备经采取相应的降噪措施后，对厂界的噪声贡献值满足《工业企业厂界环境噪声排放标准》</w:t>
      </w:r>
      <w:r>
        <w:rPr>
          <w:rFonts w:hint="eastAsia"/>
          <w:kern w:val="2"/>
          <w:sz w:val="24"/>
          <w:szCs w:val="24"/>
          <w:lang w:val="zh-CN"/>
        </w:rPr>
        <w:t>(GB12348-2</w:t>
      </w:r>
      <w:r>
        <w:rPr>
          <w:rFonts w:hint="eastAsia"/>
          <w:kern w:val="2"/>
          <w:sz w:val="24"/>
          <w:szCs w:val="24"/>
          <w:lang w:val="zh-CN"/>
        </w:rPr>
        <w:t>008)2</w:t>
      </w:r>
      <w:r>
        <w:rPr>
          <w:rFonts w:hint="eastAsia"/>
          <w:kern w:val="2"/>
          <w:sz w:val="24"/>
          <w:szCs w:val="24"/>
          <w:lang w:val="zh-CN"/>
        </w:rPr>
        <w:t>类标准要求。项目运输路线远离敏感点，要求运输车辆限速行驶，对敏感目标噪声影响较小。</w:t>
      </w:r>
    </w:p>
    <w:p w:rsidR="00DB7CC8" w:rsidRDefault="002B5250">
      <w:pPr>
        <w:ind w:firstLine="480"/>
        <w:textAlignment w:val="auto"/>
        <w:rPr>
          <w:kern w:val="2"/>
          <w:sz w:val="24"/>
          <w:szCs w:val="24"/>
        </w:rPr>
      </w:pPr>
      <w:r>
        <w:rPr>
          <w:rFonts w:hint="eastAsia"/>
          <w:kern w:val="2"/>
          <w:sz w:val="24"/>
          <w:szCs w:val="24"/>
          <w:lang w:val="zh-CN"/>
        </w:rPr>
        <w:t>以上分析表明，产噪设备采取以上降噪措施的降噪效果，本项目采取的降噪措施可行。</w:t>
      </w:r>
      <w:bookmarkEnd w:id="513"/>
      <w:bookmarkEnd w:id="514"/>
    </w:p>
    <w:p w:rsidR="00DB7CC8" w:rsidRDefault="002B5250">
      <w:pPr>
        <w:pStyle w:val="3"/>
        <w:numPr>
          <w:ilvl w:val="2"/>
          <w:numId w:val="1"/>
        </w:numPr>
        <w:rPr>
          <w:szCs w:val="28"/>
        </w:rPr>
      </w:pPr>
      <w:bookmarkStart w:id="515" w:name="_Toc24295"/>
      <w:bookmarkStart w:id="516" w:name="_Toc521591815"/>
      <w:bookmarkStart w:id="517" w:name="_Hlk18932661"/>
      <w:r>
        <w:rPr>
          <w:szCs w:val="28"/>
        </w:rPr>
        <w:t>运营期固废处置措施</w:t>
      </w:r>
      <w:bookmarkEnd w:id="515"/>
      <w:bookmarkEnd w:id="516"/>
      <w:r>
        <w:rPr>
          <w:rFonts w:hint="eastAsia"/>
          <w:szCs w:val="28"/>
        </w:rPr>
        <w:t>及可行性分析</w:t>
      </w:r>
    </w:p>
    <w:p w:rsidR="00DB7CC8" w:rsidRDefault="002B5250">
      <w:pPr>
        <w:ind w:firstLine="480"/>
        <w:jc w:val="both"/>
        <w:rPr>
          <w:bCs/>
          <w:sz w:val="24"/>
          <w:szCs w:val="24"/>
        </w:rPr>
      </w:pPr>
      <w:r>
        <w:rPr>
          <w:bCs/>
          <w:sz w:val="24"/>
          <w:szCs w:val="24"/>
        </w:rPr>
        <w:t>建设项目投产后产生的一般固体废物主要为尾矿砂、废钢球，危险废物主要为废机油、废油桶。</w:t>
      </w:r>
    </w:p>
    <w:p w:rsidR="00DB7CC8" w:rsidRDefault="002B5250">
      <w:pPr>
        <w:ind w:firstLine="480"/>
        <w:jc w:val="both"/>
        <w:rPr>
          <w:bCs/>
          <w:sz w:val="24"/>
          <w:szCs w:val="24"/>
        </w:rPr>
      </w:pPr>
      <w:r>
        <w:rPr>
          <w:bCs/>
          <w:sz w:val="24"/>
          <w:szCs w:val="24"/>
        </w:rPr>
        <w:t>（</w:t>
      </w:r>
      <w:r>
        <w:rPr>
          <w:bCs/>
          <w:sz w:val="24"/>
          <w:szCs w:val="24"/>
        </w:rPr>
        <w:t>1</w:t>
      </w:r>
      <w:r>
        <w:rPr>
          <w:bCs/>
          <w:sz w:val="24"/>
          <w:szCs w:val="24"/>
        </w:rPr>
        <w:t>）尾矿砂</w:t>
      </w:r>
    </w:p>
    <w:p w:rsidR="00DB7CC8" w:rsidRDefault="002B5250">
      <w:pPr>
        <w:ind w:firstLine="480"/>
        <w:jc w:val="both"/>
        <w:rPr>
          <w:bCs/>
          <w:sz w:val="24"/>
          <w:szCs w:val="24"/>
        </w:rPr>
      </w:pPr>
      <w:r>
        <w:rPr>
          <w:bCs/>
          <w:sz w:val="24"/>
          <w:szCs w:val="24"/>
        </w:rPr>
        <w:t>根据《一般工业固体废物贮存、处置场污染控制标准》（</w:t>
      </w:r>
      <w:r>
        <w:rPr>
          <w:bCs/>
          <w:sz w:val="24"/>
          <w:szCs w:val="24"/>
        </w:rPr>
        <w:t>GB18599-2001</w:t>
      </w:r>
      <w:r>
        <w:rPr>
          <w:bCs/>
          <w:sz w:val="24"/>
          <w:szCs w:val="24"/>
        </w:rPr>
        <w:t>）及修改单、《危险废物鉴别标准》（</w:t>
      </w:r>
      <w:r>
        <w:rPr>
          <w:bCs/>
          <w:sz w:val="24"/>
          <w:szCs w:val="24"/>
        </w:rPr>
        <w:t>GB5085.1-7-2007</w:t>
      </w:r>
      <w:r>
        <w:rPr>
          <w:bCs/>
          <w:sz w:val="24"/>
          <w:szCs w:val="24"/>
        </w:rPr>
        <w:t>），本项目尾矿砂属于第</w:t>
      </w:r>
      <w:r>
        <w:rPr>
          <w:bCs/>
          <w:sz w:val="24"/>
          <w:szCs w:val="24"/>
        </w:rPr>
        <w:t>Ⅰ</w:t>
      </w:r>
      <w:r>
        <w:rPr>
          <w:bCs/>
          <w:sz w:val="24"/>
          <w:szCs w:val="24"/>
        </w:rPr>
        <w:t>类一般固体废物，主要成分为</w:t>
      </w:r>
      <w:r>
        <w:rPr>
          <w:bCs/>
          <w:sz w:val="24"/>
          <w:szCs w:val="24"/>
        </w:rPr>
        <w:t>SiO</w:t>
      </w:r>
      <w:r>
        <w:rPr>
          <w:bCs/>
          <w:sz w:val="24"/>
          <w:szCs w:val="24"/>
          <w:vertAlign w:val="subscript"/>
        </w:rPr>
        <w:t>2</w:t>
      </w:r>
      <w:r>
        <w:rPr>
          <w:bCs/>
          <w:sz w:val="24"/>
          <w:szCs w:val="24"/>
        </w:rPr>
        <w:t>和</w:t>
      </w:r>
      <w:r>
        <w:rPr>
          <w:bCs/>
          <w:sz w:val="24"/>
          <w:szCs w:val="24"/>
        </w:rPr>
        <w:t>Fe</w:t>
      </w:r>
      <w:r>
        <w:rPr>
          <w:bCs/>
          <w:sz w:val="24"/>
          <w:szCs w:val="24"/>
        </w:rPr>
        <w:t>等元素</w:t>
      </w:r>
      <w:r>
        <w:rPr>
          <w:bCs/>
          <w:sz w:val="24"/>
          <w:szCs w:val="24"/>
        </w:rPr>
        <w:t>，不含有毒有害物质，尾矿粗砂外售当地建材企业综合利用，尾矿细砂</w:t>
      </w:r>
      <w:r>
        <w:rPr>
          <w:rFonts w:hint="eastAsia"/>
          <w:bCs/>
          <w:sz w:val="24"/>
          <w:szCs w:val="24"/>
        </w:rPr>
        <w:t>外运</w:t>
      </w:r>
      <w:r>
        <w:rPr>
          <w:bCs/>
          <w:sz w:val="24"/>
          <w:szCs w:val="24"/>
        </w:rPr>
        <w:t>填坑造地。</w:t>
      </w:r>
    </w:p>
    <w:p w:rsidR="00DB7CC8" w:rsidRDefault="002B5250">
      <w:pPr>
        <w:ind w:firstLine="480"/>
        <w:jc w:val="both"/>
        <w:rPr>
          <w:bCs/>
          <w:sz w:val="24"/>
          <w:szCs w:val="24"/>
        </w:rPr>
      </w:pPr>
      <w:r>
        <w:rPr>
          <w:sz w:val="24"/>
        </w:rPr>
        <w:t>本项目</w:t>
      </w:r>
      <w:r>
        <w:rPr>
          <w:rFonts w:hint="eastAsia"/>
          <w:sz w:val="24"/>
        </w:rPr>
        <w:t>依托厂区现有</w:t>
      </w:r>
      <w:r>
        <w:rPr>
          <w:sz w:val="24"/>
        </w:rPr>
        <w:t>尾砂库，用于暂时堆存生产过程中产生的尾矿砂。尾砂库则可储存项目</w:t>
      </w:r>
      <w:r>
        <w:rPr>
          <w:sz w:val="24"/>
        </w:rPr>
        <w:t>2</w:t>
      </w:r>
      <w:r>
        <w:rPr>
          <w:sz w:val="24"/>
        </w:rPr>
        <w:t>天的尾矿砂</w:t>
      </w:r>
      <w:r>
        <w:rPr>
          <w:rFonts w:hint="eastAsia"/>
          <w:sz w:val="24"/>
        </w:rPr>
        <w:t>，</w:t>
      </w:r>
      <w:r>
        <w:rPr>
          <w:sz w:val="24"/>
          <w:szCs w:val="24"/>
        </w:rPr>
        <w:t>本项目尾矿砂正常情况下每日即时运走，不在厂区暂存，因此本项目尾矿砂暂存间的库容可以满足存储要求。</w:t>
      </w:r>
    </w:p>
    <w:p w:rsidR="00DB7CC8" w:rsidRDefault="002B5250">
      <w:pPr>
        <w:ind w:firstLine="480"/>
        <w:jc w:val="both"/>
        <w:rPr>
          <w:bCs/>
          <w:sz w:val="24"/>
          <w:szCs w:val="24"/>
        </w:rPr>
      </w:pPr>
      <w:r>
        <w:rPr>
          <w:bCs/>
          <w:sz w:val="24"/>
          <w:szCs w:val="24"/>
        </w:rPr>
        <w:t>（</w:t>
      </w:r>
      <w:r>
        <w:rPr>
          <w:rFonts w:hint="eastAsia"/>
          <w:bCs/>
          <w:sz w:val="24"/>
          <w:szCs w:val="24"/>
        </w:rPr>
        <w:t>2</w:t>
      </w:r>
      <w:r>
        <w:rPr>
          <w:bCs/>
          <w:sz w:val="24"/>
          <w:szCs w:val="24"/>
        </w:rPr>
        <w:t>）废钢球</w:t>
      </w:r>
    </w:p>
    <w:p w:rsidR="00DB7CC8" w:rsidRDefault="002B5250">
      <w:pPr>
        <w:ind w:firstLine="480"/>
        <w:jc w:val="both"/>
        <w:rPr>
          <w:bCs/>
          <w:sz w:val="24"/>
          <w:szCs w:val="24"/>
        </w:rPr>
      </w:pPr>
      <w:r>
        <w:rPr>
          <w:bCs/>
          <w:sz w:val="24"/>
          <w:szCs w:val="24"/>
        </w:rPr>
        <w:t>废钢球由厂家回收处理。</w:t>
      </w:r>
    </w:p>
    <w:p w:rsidR="00DB7CC8" w:rsidRDefault="002B5250">
      <w:pPr>
        <w:ind w:firstLine="480"/>
        <w:jc w:val="both"/>
        <w:rPr>
          <w:bCs/>
          <w:sz w:val="24"/>
          <w:szCs w:val="24"/>
        </w:rPr>
      </w:pPr>
      <w:r>
        <w:rPr>
          <w:bCs/>
          <w:sz w:val="24"/>
          <w:szCs w:val="24"/>
        </w:rPr>
        <w:t>（</w:t>
      </w:r>
      <w:r>
        <w:rPr>
          <w:rFonts w:hint="eastAsia"/>
          <w:bCs/>
          <w:sz w:val="24"/>
          <w:szCs w:val="24"/>
        </w:rPr>
        <w:t>3</w:t>
      </w:r>
      <w:r>
        <w:rPr>
          <w:bCs/>
          <w:sz w:val="24"/>
          <w:szCs w:val="24"/>
        </w:rPr>
        <w:t>）高效除尘器收尘</w:t>
      </w:r>
    </w:p>
    <w:p w:rsidR="00DB7CC8" w:rsidRDefault="002B5250">
      <w:pPr>
        <w:ind w:firstLine="480"/>
        <w:jc w:val="both"/>
        <w:rPr>
          <w:bCs/>
          <w:sz w:val="24"/>
          <w:szCs w:val="24"/>
        </w:rPr>
      </w:pPr>
      <w:r>
        <w:rPr>
          <w:bCs/>
          <w:sz w:val="24"/>
          <w:szCs w:val="24"/>
        </w:rPr>
        <w:t>高效除尘器收集的粉尘，</w:t>
      </w:r>
      <w:r>
        <w:rPr>
          <w:rFonts w:hint="eastAsia"/>
          <w:spacing w:val="8"/>
          <w:sz w:val="23"/>
          <w:szCs w:val="23"/>
        </w:rPr>
        <w:t>灰仓底部设水箱，卸灰至水</w:t>
      </w:r>
      <w:r>
        <w:rPr>
          <w:rFonts w:hint="eastAsia"/>
          <w:spacing w:val="29"/>
          <w:sz w:val="23"/>
          <w:szCs w:val="23"/>
        </w:rPr>
        <w:t>箱内，由渣浆泵打入球磨机回用于生产</w:t>
      </w:r>
      <w:r>
        <w:rPr>
          <w:bCs/>
          <w:sz w:val="24"/>
          <w:szCs w:val="24"/>
        </w:rPr>
        <w:t>。</w:t>
      </w:r>
    </w:p>
    <w:p w:rsidR="00DB7CC8" w:rsidRDefault="002B5250">
      <w:pPr>
        <w:ind w:firstLine="480"/>
        <w:jc w:val="both"/>
        <w:rPr>
          <w:bCs/>
          <w:sz w:val="24"/>
          <w:szCs w:val="24"/>
        </w:rPr>
      </w:pPr>
      <w:r>
        <w:rPr>
          <w:bCs/>
          <w:sz w:val="24"/>
          <w:szCs w:val="24"/>
        </w:rPr>
        <w:t>（</w:t>
      </w:r>
      <w:r>
        <w:rPr>
          <w:rFonts w:hint="eastAsia"/>
          <w:bCs/>
          <w:sz w:val="24"/>
          <w:szCs w:val="24"/>
        </w:rPr>
        <w:t>4</w:t>
      </w:r>
      <w:r>
        <w:rPr>
          <w:bCs/>
          <w:sz w:val="24"/>
          <w:szCs w:val="24"/>
        </w:rPr>
        <w:t>）危险废物</w:t>
      </w:r>
    </w:p>
    <w:p w:rsidR="00DB7CC8" w:rsidRDefault="002B5250">
      <w:pPr>
        <w:ind w:firstLine="480"/>
        <w:jc w:val="both"/>
        <w:rPr>
          <w:bCs/>
          <w:sz w:val="24"/>
          <w:szCs w:val="24"/>
        </w:rPr>
      </w:pPr>
      <w:r>
        <w:rPr>
          <w:bCs/>
          <w:sz w:val="24"/>
          <w:szCs w:val="24"/>
        </w:rPr>
        <w:lastRenderedPageBreak/>
        <w:t>本项目废机油、废油桶年产生量约为</w:t>
      </w:r>
      <w:r>
        <w:rPr>
          <w:bCs/>
          <w:sz w:val="24"/>
          <w:szCs w:val="24"/>
        </w:rPr>
        <w:t>0.3t/a</w:t>
      </w:r>
      <w:r>
        <w:rPr>
          <w:bCs/>
          <w:sz w:val="24"/>
          <w:szCs w:val="24"/>
        </w:rPr>
        <w:t>，根据《国家危险废物名录》（</w:t>
      </w:r>
      <w:r>
        <w:rPr>
          <w:bCs/>
          <w:sz w:val="24"/>
          <w:szCs w:val="24"/>
        </w:rPr>
        <w:t>20</w:t>
      </w:r>
      <w:r>
        <w:rPr>
          <w:rFonts w:hint="eastAsia"/>
          <w:bCs/>
          <w:sz w:val="24"/>
          <w:szCs w:val="24"/>
        </w:rPr>
        <w:t>21</w:t>
      </w:r>
      <w:r>
        <w:rPr>
          <w:bCs/>
          <w:sz w:val="24"/>
          <w:szCs w:val="24"/>
        </w:rPr>
        <w:t>版），废机油（</w:t>
      </w:r>
      <w:r>
        <w:rPr>
          <w:bCs/>
          <w:sz w:val="24"/>
          <w:szCs w:val="24"/>
        </w:rPr>
        <w:t>HW08</w:t>
      </w:r>
      <w:r>
        <w:rPr>
          <w:bCs/>
          <w:sz w:val="24"/>
          <w:szCs w:val="24"/>
        </w:rPr>
        <w:t>废矿物油与含矿物油废物）、废油桶（</w:t>
      </w:r>
      <w:r>
        <w:rPr>
          <w:bCs/>
          <w:sz w:val="24"/>
          <w:szCs w:val="24"/>
        </w:rPr>
        <w:t>HW49</w:t>
      </w:r>
      <w:r>
        <w:rPr>
          <w:bCs/>
          <w:sz w:val="24"/>
          <w:szCs w:val="24"/>
        </w:rPr>
        <w:t>其他废物）为危险废物，将废机油用耐腐蚀容器统一收集后与废油桶分区存于厂区危废暂存间内，定期交由有资质的危险废物处置单位处理。</w:t>
      </w:r>
    </w:p>
    <w:p w:rsidR="00DB7CC8" w:rsidRDefault="002B5250">
      <w:pPr>
        <w:snapToGrid w:val="0"/>
        <w:ind w:firstLine="480"/>
        <w:jc w:val="both"/>
        <w:rPr>
          <w:bCs/>
          <w:sz w:val="24"/>
          <w:szCs w:val="24"/>
        </w:rPr>
      </w:pPr>
      <w:r>
        <w:rPr>
          <w:bCs/>
          <w:sz w:val="24"/>
          <w:szCs w:val="24"/>
        </w:rPr>
        <w:t>（</w:t>
      </w:r>
      <w:r>
        <w:rPr>
          <w:bCs/>
          <w:sz w:val="24"/>
          <w:szCs w:val="24"/>
        </w:rPr>
        <w:t>7</w:t>
      </w:r>
      <w:r>
        <w:rPr>
          <w:bCs/>
          <w:sz w:val="24"/>
          <w:szCs w:val="24"/>
        </w:rPr>
        <w:t>）危废暂存间建设及管理要求</w:t>
      </w:r>
      <w:bookmarkEnd w:id="517"/>
    </w:p>
    <w:p w:rsidR="00DB7CC8" w:rsidRDefault="002B5250">
      <w:pPr>
        <w:snapToGrid w:val="0"/>
        <w:ind w:firstLine="480"/>
        <w:jc w:val="both"/>
        <w:rPr>
          <w:bCs/>
          <w:sz w:val="24"/>
          <w:szCs w:val="24"/>
        </w:rPr>
      </w:pPr>
      <w:r>
        <w:rPr>
          <w:rFonts w:hint="eastAsia"/>
          <w:bCs/>
          <w:sz w:val="24"/>
          <w:szCs w:val="24"/>
        </w:rPr>
        <w:t>危险废物存储依托厂区现有危废间。</w:t>
      </w:r>
    </w:p>
    <w:p w:rsidR="00DB7CC8" w:rsidRDefault="002B5250">
      <w:pPr>
        <w:snapToGrid w:val="0"/>
        <w:ind w:firstLine="480"/>
        <w:jc w:val="both"/>
        <w:rPr>
          <w:bCs/>
          <w:sz w:val="24"/>
          <w:szCs w:val="24"/>
        </w:rPr>
      </w:pPr>
      <w:r>
        <w:rPr>
          <w:bCs/>
          <w:sz w:val="24"/>
          <w:szCs w:val="24"/>
        </w:rPr>
        <w:t>危险废物在危废间暂存期间严格按照《危险废物贮存污染控制标准》（</w:t>
      </w:r>
      <w:r>
        <w:rPr>
          <w:bCs/>
          <w:sz w:val="24"/>
          <w:szCs w:val="24"/>
        </w:rPr>
        <w:t>GB18597-20</w:t>
      </w:r>
      <w:r>
        <w:rPr>
          <w:rFonts w:hint="eastAsia"/>
          <w:bCs/>
          <w:sz w:val="24"/>
          <w:szCs w:val="24"/>
        </w:rPr>
        <w:t>23</w:t>
      </w:r>
      <w:r>
        <w:rPr>
          <w:bCs/>
          <w:sz w:val="24"/>
          <w:szCs w:val="24"/>
        </w:rPr>
        <w:t>）相关要求：</w:t>
      </w:r>
    </w:p>
    <w:p w:rsidR="00DB7CC8" w:rsidRDefault="002B5250">
      <w:pPr>
        <w:snapToGrid w:val="0"/>
        <w:ind w:firstLine="480"/>
        <w:jc w:val="both"/>
        <w:rPr>
          <w:bCs/>
          <w:sz w:val="24"/>
          <w:szCs w:val="24"/>
        </w:rPr>
      </w:pPr>
      <w:r>
        <w:rPr>
          <w:rFonts w:ascii="宋体" w:hAnsi="宋体" w:cs="宋体" w:hint="eastAsia"/>
          <w:bCs/>
          <w:sz w:val="24"/>
          <w:szCs w:val="24"/>
        </w:rPr>
        <w:t>①</w:t>
      </w:r>
      <w:r>
        <w:rPr>
          <w:bCs/>
          <w:sz w:val="24"/>
          <w:szCs w:val="24"/>
        </w:rPr>
        <w:t>地面与裙脚采取防渗措施，同时设置泄漏液体的收集装置。防渗层渗透系数小于</w:t>
      </w:r>
      <w:r>
        <w:rPr>
          <w:bCs/>
          <w:sz w:val="24"/>
          <w:szCs w:val="24"/>
        </w:rPr>
        <w:t>10</w:t>
      </w:r>
      <w:r>
        <w:rPr>
          <w:bCs/>
          <w:sz w:val="24"/>
          <w:szCs w:val="24"/>
          <w:vertAlign w:val="superscript"/>
        </w:rPr>
        <w:t>-10</w:t>
      </w:r>
      <w:r>
        <w:rPr>
          <w:bCs/>
          <w:sz w:val="24"/>
          <w:szCs w:val="24"/>
        </w:rPr>
        <w:t>cm/s</w:t>
      </w:r>
      <w:r>
        <w:rPr>
          <w:bCs/>
          <w:sz w:val="24"/>
          <w:szCs w:val="24"/>
        </w:rPr>
        <w:t>。地面及四周裙脚均应耐腐蚀，耐热且表面无裂隙，同时设置泄漏液体的收</w:t>
      </w:r>
      <w:r>
        <w:rPr>
          <w:bCs/>
          <w:sz w:val="24"/>
          <w:szCs w:val="24"/>
        </w:rPr>
        <w:t>集装置。危废暂存间设有隔离设施、报警装置和防风、防晒、防雨等安全设施。</w:t>
      </w:r>
    </w:p>
    <w:p w:rsidR="00DB7CC8" w:rsidRDefault="002B5250">
      <w:pPr>
        <w:snapToGrid w:val="0"/>
        <w:ind w:firstLine="480"/>
        <w:jc w:val="both"/>
        <w:rPr>
          <w:bCs/>
          <w:sz w:val="24"/>
          <w:szCs w:val="24"/>
        </w:rPr>
      </w:pPr>
      <w:r>
        <w:rPr>
          <w:rFonts w:ascii="宋体" w:hAnsi="宋体" w:cs="宋体" w:hint="eastAsia"/>
          <w:bCs/>
          <w:sz w:val="24"/>
          <w:szCs w:val="24"/>
        </w:rPr>
        <w:t>②</w:t>
      </w:r>
      <w:r>
        <w:rPr>
          <w:bCs/>
          <w:sz w:val="24"/>
          <w:szCs w:val="24"/>
        </w:rPr>
        <w:t>有泄漏液体收集装置、气体导出口及气体净化装置；设施内有安全照明装置和观察窗口；并设置环保专用标志。</w:t>
      </w:r>
    </w:p>
    <w:p w:rsidR="00DB7CC8" w:rsidRDefault="002B5250">
      <w:pPr>
        <w:snapToGrid w:val="0"/>
        <w:ind w:firstLine="480"/>
        <w:jc w:val="both"/>
        <w:rPr>
          <w:bCs/>
          <w:sz w:val="24"/>
          <w:szCs w:val="24"/>
        </w:rPr>
      </w:pPr>
      <w:r>
        <w:rPr>
          <w:rFonts w:ascii="宋体" w:hAnsi="宋体" w:cs="宋体" w:hint="eastAsia"/>
          <w:bCs/>
          <w:sz w:val="24"/>
          <w:szCs w:val="24"/>
        </w:rPr>
        <w:t>③</w:t>
      </w:r>
      <w:r>
        <w:rPr>
          <w:bCs/>
          <w:sz w:val="24"/>
          <w:szCs w:val="24"/>
        </w:rPr>
        <w:t>做好危险废物情况记录，记录上注明危险废物的名称、来源、数量、特性、包装容器的类别、入库日期、存放位置、出库日期、接收单位名称等。</w:t>
      </w:r>
    </w:p>
    <w:p w:rsidR="00DB7CC8" w:rsidRDefault="002B5250">
      <w:pPr>
        <w:snapToGrid w:val="0"/>
        <w:ind w:firstLine="480"/>
        <w:jc w:val="both"/>
        <w:rPr>
          <w:bCs/>
          <w:sz w:val="24"/>
          <w:szCs w:val="24"/>
        </w:rPr>
      </w:pPr>
      <w:r>
        <w:rPr>
          <w:rFonts w:ascii="宋体" w:hAnsi="宋体" w:cs="宋体" w:hint="eastAsia"/>
          <w:bCs/>
          <w:sz w:val="24"/>
          <w:szCs w:val="24"/>
        </w:rPr>
        <w:t>④</w:t>
      </w:r>
      <w:r>
        <w:rPr>
          <w:bCs/>
          <w:sz w:val="24"/>
          <w:szCs w:val="24"/>
        </w:rPr>
        <w:t>定期对所贮存的危险废物包装容器及贮存设施进行检查，发现漏损及时清理更换。</w:t>
      </w:r>
    </w:p>
    <w:p w:rsidR="00DB7CC8" w:rsidRDefault="002B5250">
      <w:pPr>
        <w:ind w:firstLine="480"/>
        <w:jc w:val="both"/>
        <w:rPr>
          <w:sz w:val="24"/>
          <w:szCs w:val="24"/>
        </w:rPr>
      </w:pPr>
      <w:r>
        <w:rPr>
          <w:sz w:val="24"/>
          <w:szCs w:val="24"/>
        </w:rPr>
        <w:t>经采取上述措施，固体废物均得到合理处置，不会对环境造成二次污染，措施可行。</w:t>
      </w:r>
    </w:p>
    <w:p w:rsidR="00DB7CC8" w:rsidRDefault="002B5250">
      <w:pPr>
        <w:pStyle w:val="3"/>
        <w:numPr>
          <w:ilvl w:val="2"/>
          <w:numId w:val="1"/>
        </w:numPr>
        <w:rPr>
          <w:szCs w:val="28"/>
        </w:rPr>
      </w:pPr>
      <w:bookmarkStart w:id="518" w:name="_Toc521591816"/>
      <w:bookmarkStart w:id="519" w:name="_Toc8968"/>
      <w:r>
        <w:rPr>
          <w:szCs w:val="28"/>
        </w:rPr>
        <w:t>绿化</w:t>
      </w:r>
      <w:bookmarkEnd w:id="518"/>
      <w:bookmarkEnd w:id="519"/>
    </w:p>
    <w:p w:rsidR="00DB7CC8" w:rsidRDefault="002B5250">
      <w:pPr>
        <w:spacing w:line="440" w:lineRule="exact"/>
        <w:ind w:firstLine="480"/>
        <w:jc w:val="both"/>
        <w:rPr>
          <w:sz w:val="24"/>
          <w:szCs w:val="24"/>
        </w:rPr>
      </w:pPr>
      <w:r>
        <w:rPr>
          <w:sz w:val="24"/>
          <w:szCs w:val="24"/>
        </w:rPr>
        <w:t>绿化具有许多特殊的环境功能，如调节温度及湿度、改良气候、净化空气、防风固沙、保持水土、隔音降噪等，还可以美化环境，给全公司职工创造一个舒适的工作和生活环境。结合本项目情况，使厂区的绿化工作能够有序地开展，本次评价提出具体建议如下：</w:t>
      </w:r>
    </w:p>
    <w:p w:rsidR="00DB7CC8" w:rsidRDefault="002B5250">
      <w:pPr>
        <w:spacing w:line="440" w:lineRule="exact"/>
        <w:ind w:firstLine="480"/>
        <w:rPr>
          <w:sz w:val="24"/>
          <w:szCs w:val="24"/>
        </w:rPr>
      </w:pPr>
      <w:r>
        <w:rPr>
          <w:sz w:val="24"/>
          <w:szCs w:val="24"/>
        </w:rPr>
        <w:t>（</w:t>
      </w:r>
      <w:r>
        <w:rPr>
          <w:sz w:val="24"/>
          <w:szCs w:val="24"/>
        </w:rPr>
        <w:t>1</w:t>
      </w:r>
      <w:r>
        <w:rPr>
          <w:sz w:val="24"/>
          <w:szCs w:val="24"/>
        </w:rPr>
        <w:t>）在厂前区，选树形美观、观赏价值高的常绿灌木、无花絮乔木，并大量配置草皮等；</w:t>
      </w:r>
    </w:p>
    <w:p w:rsidR="00DB7CC8" w:rsidRDefault="002B5250">
      <w:pPr>
        <w:spacing w:line="440" w:lineRule="exact"/>
        <w:ind w:firstLine="480"/>
        <w:rPr>
          <w:sz w:val="24"/>
          <w:szCs w:val="24"/>
        </w:rPr>
      </w:pPr>
      <w:r>
        <w:rPr>
          <w:sz w:val="24"/>
          <w:szCs w:val="24"/>
        </w:rPr>
        <w:t>（</w:t>
      </w:r>
      <w:r>
        <w:rPr>
          <w:sz w:val="24"/>
          <w:szCs w:val="24"/>
        </w:rPr>
        <w:t>2</w:t>
      </w:r>
      <w:r>
        <w:rPr>
          <w:sz w:val="24"/>
          <w:szCs w:val="24"/>
        </w:rPr>
        <w:t>）在有地下管沟的地段选用浅根性草皮、灌木等植物；</w:t>
      </w:r>
    </w:p>
    <w:p w:rsidR="00DB7CC8" w:rsidRDefault="002B5250">
      <w:pPr>
        <w:spacing w:line="440" w:lineRule="exact"/>
        <w:ind w:firstLine="480"/>
        <w:rPr>
          <w:sz w:val="24"/>
          <w:szCs w:val="24"/>
        </w:rPr>
      </w:pPr>
      <w:r>
        <w:rPr>
          <w:sz w:val="24"/>
          <w:szCs w:val="24"/>
        </w:rPr>
        <w:t>（</w:t>
      </w:r>
      <w:r>
        <w:rPr>
          <w:sz w:val="24"/>
          <w:szCs w:val="24"/>
        </w:rPr>
        <w:t>3</w:t>
      </w:r>
      <w:r>
        <w:rPr>
          <w:sz w:val="24"/>
          <w:szCs w:val="24"/>
        </w:rPr>
        <w:t>）在厂区的各个建筑物之间，用绿化带协调和连接，多种植草皮、常青树木；</w:t>
      </w:r>
    </w:p>
    <w:p w:rsidR="00DB7CC8" w:rsidRDefault="002B5250">
      <w:pPr>
        <w:ind w:firstLine="480"/>
        <w:rPr>
          <w:sz w:val="24"/>
          <w:szCs w:val="24"/>
        </w:rPr>
      </w:pPr>
      <w:r>
        <w:rPr>
          <w:sz w:val="24"/>
          <w:szCs w:val="24"/>
        </w:rPr>
        <w:t>（</w:t>
      </w:r>
      <w:r>
        <w:rPr>
          <w:sz w:val="24"/>
          <w:szCs w:val="24"/>
        </w:rPr>
        <w:t>4</w:t>
      </w:r>
      <w:r>
        <w:rPr>
          <w:sz w:val="24"/>
          <w:szCs w:val="24"/>
        </w:rPr>
        <w:t>）在厂界四周建绿化带，同时种植高大乔木，以过滤空气中的粉尘和有</w:t>
      </w:r>
      <w:r>
        <w:rPr>
          <w:sz w:val="24"/>
          <w:szCs w:val="24"/>
        </w:rPr>
        <w:lastRenderedPageBreak/>
        <w:t>害气</w:t>
      </w:r>
      <w:r>
        <w:rPr>
          <w:sz w:val="24"/>
          <w:szCs w:val="24"/>
        </w:rPr>
        <w:t>体，并兼有防火的作用，也可减小周围环境对本项目的影响；</w:t>
      </w:r>
    </w:p>
    <w:p w:rsidR="00DB7CC8" w:rsidRDefault="002B5250">
      <w:pPr>
        <w:ind w:firstLine="480"/>
        <w:rPr>
          <w:sz w:val="24"/>
          <w:szCs w:val="24"/>
        </w:rPr>
      </w:pPr>
      <w:r>
        <w:rPr>
          <w:sz w:val="24"/>
          <w:szCs w:val="24"/>
        </w:rPr>
        <w:t>（</w:t>
      </w:r>
      <w:r>
        <w:rPr>
          <w:sz w:val="24"/>
          <w:szCs w:val="24"/>
        </w:rPr>
        <w:t>5</w:t>
      </w:r>
      <w:r>
        <w:rPr>
          <w:sz w:val="24"/>
          <w:szCs w:val="24"/>
        </w:rPr>
        <w:t>）厂区道路两侧选择易管理且抗旱性强的树种，如杨树、刺槐等。</w:t>
      </w:r>
    </w:p>
    <w:p w:rsidR="00DB7CC8" w:rsidRDefault="002B5250">
      <w:pPr>
        <w:ind w:firstLine="480"/>
        <w:rPr>
          <w:sz w:val="24"/>
          <w:szCs w:val="24"/>
        </w:rPr>
      </w:pPr>
      <w:r>
        <w:rPr>
          <w:sz w:val="24"/>
          <w:szCs w:val="24"/>
        </w:rPr>
        <w:t>建设单位应加强对绿化工作及保护生态环境工作重要性的认识，配备专职人员对绿化工作进行管理，固定绿化投资，以保证绿化工作的长期开展。</w:t>
      </w:r>
    </w:p>
    <w:p w:rsidR="00DB7CC8" w:rsidRDefault="002B5250">
      <w:pPr>
        <w:pStyle w:val="3"/>
        <w:numPr>
          <w:ilvl w:val="2"/>
          <w:numId w:val="1"/>
        </w:numPr>
        <w:rPr>
          <w:bCs w:val="0"/>
          <w:snapToGrid w:val="0"/>
          <w:kern w:val="0"/>
          <w:szCs w:val="28"/>
        </w:rPr>
      </w:pPr>
      <w:bookmarkStart w:id="520" w:name="_Toc503218121"/>
      <w:bookmarkStart w:id="521" w:name="_Toc524285114"/>
      <w:bookmarkStart w:id="522" w:name="_Toc11511"/>
      <w:bookmarkStart w:id="523" w:name="_Toc18607"/>
      <w:bookmarkStart w:id="524" w:name="_Toc8400"/>
      <w:bookmarkStart w:id="525" w:name="_Toc521591817"/>
      <w:bookmarkStart w:id="526" w:name="_Toc499651422"/>
      <w:r>
        <w:rPr>
          <w:bCs w:val="0"/>
          <w:snapToGrid w:val="0"/>
          <w:kern w:val="0"/>
          <w:szCs w:val="28"/>
        </w:rPr>
        <w:t>环境保护投资估算</w:t>
      </w:r>
      <w:bookmarkEnd w:id="520"/>
      <w:bookmarkEnd w:id="521"/>
      <w:bookmarkEnd w:id="522"/>
      <w:bookmarkEnd w:id="523"/>
      <w:bookmarkEnd w:id="524"/>
      <w:bookmarkEnd w:id="525"/>
      <w:bookmarkEnd w:id="526"/>
    </w:p>
    <w:p w:rsidR="00DB7CC8" w:rsidRDefault="002B5250">
      <w:pPr>
        <w:autoSpaceDE w:val="0"/>
        <w:autoSpaceDN w:val="0"/>
        <w:ind w:firstLine="480"/>
        <w:jc w:val="both"/>
        <w:textAlignment w:val="auto"/>
        <w:rPr>
          <w:sz w:val="24"/>
          <w:szCs w:val="24"/>
        </w:rPr>
      </w:pPr>
      <w:r>
        <w:rPr>
          <w:sz w:val="24"/>
          <w:szCs w:val="24"/>
        </w:rPr>
        <w:t>本项目总投资为</w:t>
      </w:r>
      <w:r>
        <w:rPr>
          <w:rFonts w:hint="eastAsia"/>
          <w:sz w:val="24"/>
          <w:szCs w:val="24"/>
        </w:rPr>
        <w:t>22</w:t>
      </w:r>
      <w:r>
        <w:rPr>
          <w:sz w:val="24"/>
          <w:szCs w:val="24"/>
        </w:rPr>
        <w:t>00</w:t>
      </w:r>
      <w:r>
        <w:rPr>
          <w:sz w:val="24"/>
          <w:szCs w:val="24"/>
        </w:rPr>
        <w:t>万元，其中环保投资</w:t>
      </w:r>
      <w:r>
        <w:rPr>
          <w:rFonts w:hint="eastAsia"/>
          <w:sz w:val="24"/>
          <w:szCs w:val="24"/>
        </w:rPr>
        <w:t>110</w:t>
      </w:r>
      <w:r>
        <w:rPr>
          <w:rFonts w:hint="eastAsia"/>
          <w:sz w:val="24"/>
          <w:szCs w:val="24"/>
        </w:rPr>
        <w:t>万</w:t>
      </w:r>
      <w:r>
        <w:rPr>
          <w:sz w:val="24"/>
          <w:szCs w:val="24"/>
        </w:rPr>
        <w:t>元，占总投资的比例为</w:t>
      </w:r>
      <w:r>
        <w:rPr>
          <w:rFonts w:hint="eastAsia"/>
          <w:sz w:val="24"/>
          <w:szCs w:val="24"/>
        </w:rPr>
        <w:t>5</w:t>
      </w:r>
      <w:r>
        <w:rPr>
          <w:sz w:val="24"/>
          <w:szCs w:val="24"/>
        </w:rPr>
        <w:t>%</w:t>
      </w:r>
      <w:r>
        <w:rPr>
          <w:rFonts w:hint="eastAsia"/>
          <w:sz w:val="24"/>
          <w:szCs w:val="24"/>
        </w:rPr>
        <w:t>，</w:t>
      </w:r>
      <w:r>
        <w:rPr>
          <w:sz w:val="24"/>
          <w:szCs w:val="24"/>
        </w:rPr>
        <w:t>本项目环保投资明细见表</w:t>
      </w:r>
      <w:r>
        <w:rPr>
          <w:sz w:val="24"/>
          <w:szCs w:val="24"/>
        </w:rPr>
        <w:t>6.2-</w:t>
      </w:r>
      <w:r>
        <w:rPr>
          <w:rFonts w:hint="eastAsia"/>
          <w:sz w:val="24"/>
          <w:szCs w:val="24"/>
        </w:rPr>
        <w:t>7</w:t>
      </w:r>
      <w:r>
        <w:rPr>
          <w:sz w:val="24"/>
          <w:szCs w:val="24"/>
        </w:rPr>
        <w:t>。</w:t>
      </w:r>
    </w:p>
    <w:p w:rsidR="00DB7CC8" w:rsidRDefault="002B5250">
      <w:pPr>
        <w:spacing w:line="240" w:lineRule="auto"/>
        <w:ind w:firstLineChars="0" w:firstLine="0"/>
        <w:jc w:val="center"/>
        <w:textAlignment w:val="auto"/>
        <w:rPr>
          <w:rFonts w:eastAsia="黑体"/>
          <w:kern w:val="2"/>
          <w:sz w:val="21"/>
          <w:szCs w:val="21"/>
        </w:rPr>
      </w:pPr>
      <w:r>
        <w:rPr>
          <w:rFonts w:eastAsia="黑体"/>
          <w:kern w:val="2"/>
          <w:sz w:val="21"/>
          <w:szCs w:val="21"/>
        </w:rPr>
        <w:t>表</w:t>
      </w:r>
      <w:r>
        <w:rPr>
          <w:rFonts w:eastAsia="黑体"/>
          <w:kern w:val="2"/>
          <w:sz w:val="21"/>
          <w:szCs w:val="21"/>
        </w:rPr>
        <w:t>6.2-</w:t>
      </w:r>
      <w:r>
        <w:rPr>
          <w:rFonts w:eastAsia="黑体" w:hint="eastAsia"/>
          <w:kern w:val="2"/>
          <w:sz w:val="21"/>
          <w:szCs w:val="21"/>
        </w:rPr>
        <w:t>7</w:t>
      </w:r>
      <w:r>
        <w:rPr>
          <w:rFonts w:eastAsia="黑体"/>
          <w:kern w:val="2"/>
          <w:sz w:val="21"/>
          <w:szCs w:val="21"/>
        </w:rPr>
        <w:t xml:space="preserve">    </w:t>
      </w:r>
      <w:r>
        <w:rPr>
          <w:rFonts w:eastAsia="黑体"/>
          <w:kern w:val="2"/>
          <w:sz w:val="21"/>
          <w:szCs w:val="21"/>
        </w:rPr>
        <w:t>污染防治环保投资估算表</w:t>
      </w:r>
    </w:p>
    <w:tbl>
      <w:tblPr>
        <w:tblW w:w="8522"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740"/>
        <w:gridCol w:w="1081"/>
        <w:gridCol w:w="869"/>
        <w:gridCol w:w="4680"/>
        <w:gridCol w:w="1152"/>
      </w:tblGrid>
      <w:tr w:rsidR="00DB7CC8">
        <w:trPr>
          <w:trHeight w:val="283"/>
          <w:jc w:val="center"/>
        </w:trPr>
        <w:tc>
          <w:tcPr>
            <w:tcW w:w="74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项目</w:t>
            </w:r>
          </w:p>
        </w:tc>
        <w:tc>
          <w:tcPr>
            <w:tcW w:w="1950" w:type="dxa"/>
            <w:gridSpan w:val="2"/>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污染源</w:t>
            </w:r>
          </w:p>
        </w:tc>
        <w:tc>
          <w:tcPr>
            <w:tcW w:w="468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措施内容</w:t>
            </w:r>
          </w:p>
        </w:tc>
        <w:tc>
          <w:tcPr>
            <w:tcW w:w="1152" w:type="dxa"/>
            <w:tcBorders>
              <w:tl2br w:val="nil"/>
              <w:tr2bl w:val="nil"/>
            </w:tcBorders>
            <w:vAlign w:val="center"/>
          </w:tcPr>
          <w:p w:rsidR="00DB7CC8" w:rsidRDefault="002B5250">
            <w:pPr>
              <w:spacing w:line="240" w:lineRule="auto"/>
              <w:ind w:leftChars="-25" w:left="-70" w:rightChars="-25" w:right="-70" w:firstLineChars="0" w:firstLine="0"/>
              <w:jc w:val="center"/>
              <w:rPr>
                <w:spacing w:val="-4"/>
                <w:sz w:val="21"/>
                <w:szCs w:val="21"/>
              </w:rPr>
            </w:pPr>
            <w:r>
              <w:rPr>
                <w:spacing w:val="-4"/>
                <w:sz w:val="21"/>
                <w:szCs w:val="21"/>
              </w:rPr>
              <w:t>投资（万元）</w:t>
            </w:r>
          </w:p>
        </w:tc>
      </w:tr>
      <w:tr w:rsidR="00DB7CC8">
        <w:trPr>
          <w:trHeight w:val="283"/>
          <w:jc w:val="center"/>
        </w:trPr>
        <w:tc>
          <w:tcPr>
            <w:tcW w:w="740"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废气</w:t>
            </w:r>
          </w:p>
        </w:tc>
        <w:tc>
          <w:tcPr>
            <w:tcW w:w="1081" w:type="dxa"/>
            <w:tcBorders>
              <w:tl2br w:val="nil"/>
              <w:tr2bl w:val="nil"/>
            </w:tcBorders>
            <w:vAlign w:val="center"/>
          </w:tcPr>
          <w:p w:rsidR="00DB7CC8" w:rsidRDefault="002B5250">
            <w:pPr>
              <w:spacing w:line="240" w:lineRule="auto"/>
              <w:ind w:firstLineChars="0" w:firstLine="0"/>
              <w:jc w:val="center"/>
              <w:rPr>
                <w:bCs/>
                <w:kern w:val="2"/>
                <w:sz w:val="21"/>
                <w:szCs w:val="21"/>
              </w:rPr>
            </w:pPr>
            <w:r>
              <w:rPr>
                <w:bCs/>
                <w:kern w:val="2"/>
                <w:sz w:val="21"/>
                <w:szCs w:val="21"/>
              </w:rPr>
              <w:t>成品库</w:t>
            </w:r>
          </w:p>
        </w:tc>
        <w:tc>
          <w:tcPr>
            <w:tcW w:w="86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粉尘</w:t>
            </w:r>
          </w:p>
        </w:tc>
        <w:tc>
          <w:tcPr>
            <w:tcW w:w="4680" w:type="dxa"/>
            <w:tcBorders>
              <w:tl2br w:val="nil"/>
              <w:tr2bl w:val="nil"/>
            </w:tcBorders>
            <w:vAlign w:val="center"/>
          </w:tcPr>
          <w:p w:rsidR="00DB7CC8" w:rsidRDefault="002B5250">
            <w:pPr>
              <w:tabs>
                <w:tab w:val="left" w:pos="2745"/>
              </w:tabs>
              <w:adjustRightInd w:val="0"/>
              <w:snapToGrid w:val="0"/>
              <w:spacing w:line="240" w:lineRule="auto"/>
              <w:ind w:firstLineChars="0" w:firstLine="0"/>
              <w:jc w:val="center"/>
              <w:textAlignment w:val="auto"/>
              <w:rPr>
                <w:bCs/>
                <w:kern w:val="2"/>
                <w:sz w:val="21"/>
                <w:szCs w:val="21"/>
              </w:rPr>
            </w:pPr>
            <w:r>
              <w:rPr>
                <w:bCs/>
                <w:kern w:val="2"/>
                <w:sz w:val="21"/>
                <w:szCs w:val="21"/>
              </w:rPr>
              <w:t>地面全部硬化防渗，全封闭钢结构，水喷淋系统等</w:t>
            </w:r>
          </w:p>
        </w:tc>
        <w:tc>
          <w:tcPr>
            <w:tcW w:w="1152"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20</w:t>
            </w:r>
          </w:p>
        </w:tc>
      </w:tr>
      <w:tr w:rsidR="00DB7CC8">
        <w:trPr>
          <w:trHeight w:val="283"/>
          <w:jc w:val="center"/>
        </w:trPr>
        <w:tc>
          <w:tcPr>
            <w:tcW w:w="740"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81"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上料</w:t>
            </w:r>
          </w:p>
        </w:tc>
        <w:tc>
          <w:tcPr>
            <w:tcW w:w="86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粉尘</w:t>
            </w:r>
          </w:p>
        </w:tc>
        <w:tc>
          <w:tcPr>
            <w:tcW w:w="4680" w:type="dxa"/>
            <w:tcBorders>
              <w:tl2br w:val="nil"/>
              <w:tr2bl w:val="nil"/>
            </w:tcBorders>
            <w:vAlign w:val="center"/>
          </w:tcPr>
          <w:p w:rsidR="00DB7CC8" w:rsidRDefault="002B5250">
            <w:pPr>
              <w:spacing w:line="240" w:lineRule="auto"/>
              <w:ind w:firstLineChars="0" w:firstLine="0"/>
              <w:jc w:val="center"/>
              <w:rPr>
                <w:sz w:val="21"/>
                <w:szCs w:val="24"/>
              </w:rPr>
            </w:pPr>
            <w:r>
              <w:rPr>
                <w:rFonts w:hint="eastAsia"/>
                <w:sz w:val="21"/>
                <w:szCs w:val="24"/>
              </w:rPr>
              <w:t>设置满足要求的原料棚</w:t>
            </w:r>
            <w:r>
              <w:rPr>
                <w:sz w:val="21"/>
                <w:szCs w:val="24"/>
              </w:rPr>
              <w:t>，并设置喷淋系统</w:t>
            </w:r>
          </w:p>
        </w:tc>
        <w:tc>
          <w:tcPr>
            <w:tcW w:w="1152"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5</w:t>
            </w:r>
          </w:p>
        </w:tc>
      </w:tr>
      <w:tr w:rsidR="00DB7CC8">
        <w:trPr>
          <w:trHeight w:val="283"/>
          <w:jc w:val="center"/>
        </w:trPr>
        <w:tc>
          <w:tcPr>
            <w:tcW w:w="740"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81" w:type="dxa"/>
            <w:tcBorders>
              <w:tl2br w:val="nil"/>
              <w:tr2bl w:val="nil"/>
            </w:tcBorders>
            <w:vAlign w:val="center"/>
          </w:tcPr>
          <w:p w:rsidR="00DB7CC8" w:rsidRDefault="002B5250">
            <w:pPr>
              <w:spacing w:line="240" w:lineRule="auto"/>
              <w:ind w:firstLineChars="0" w:firstLine="0"/>
              <w:jc w:val="center"/>
              <w:rPr>
                <w:bCs/>
                <w:kern w:val="2"/>
                <w:sz w:val="21"/>
                <w:szCs w:val="21"/>
              </w:rPr>
            </w:pPr>
            <w:r>
              <w:rPr>
                <w:bCs/>
                <w:kern w:val="2"/>
                <w:sz w:val="21"/>
                <w:szCs w:val="21"/>
              </w:rPr>
              <w:t>运输</w:t>
            </w:r>
          </w:p>
        </w:tc>
        <w:tc>
          <w:tcPr>
            <w:tcW w:w="86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粉尘</w:t>
            </w:r>
          </w:p>
        </w:tc>
        <w:tc>
          <w:tcPr>
            <w:tcW w:w="4680" w:type="dxa"/>
            <w:tcBorders>
              <w:tl2br w:val="nil"/>
              <w:tr2bl w:val="nil"/>
            </w:tcBorders>
            <w:vAlign w:val="center"/>
          </w:tcPr>
          <w:p w:rsidR="00DB7CC8" w:rsidRDefault="002B5250">
            <w:pPr>
              <w:spacing w:line="240" w:lineRule="auto"/>
              <w:ind w:firstLineChars="0" w:firstLine="0"/>
              <w:jc w:val="center"/>
              <w:rPr>
                <w:bCs/>
                <w:kern w:val="2"/>
                <w:sz w:val="21"/>
                <w:szCs w:val="21"/>
              </w:rPr>
            </w:pPr>
            <w:r>
              <w:rPr>
                <w:bCs/>
                <w:kern w:val="2"/>
                <w:sz w:val="21"/>
                <w:szCs w:val="21"/>
              </w:rPr>
              <w:t>运输车辆车顶加盖篷布、厂区路面硬化、及时清扫并洒水</w:t>
            </w:r>
          </w:p>
        </w:tc>
        <w:tc>
          <w:tcPr>
            <w:tcW w:w="1152"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5</w:t>
            </w:r>
          </w:p>
        </w:tc>
      </w:tr>
      <w:tr w:rsidR="00DB7CC8">
        <w:trPr>
          <w:trHeight w:val="283"/>
          <w:jc w:val="center"/>
        </w:trPr>
        <w:tc>
          <w:tcPr>
            <w:tcW w:w="740"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81" w:type="dxa"/>
            <w:tcBorders>
              <w:tl2br w:val="nil"/>
              <w:tr2bl w:val="nil"/>
            </w:tcBorders>
            <w:vAlign w:val="center"/>
          </w:tcPr>
          <w:p w:rsidR="00DB7CC8" w:rsidRDefault="002B5250">
            <w:pPr>
              <w:spacing w:line="240" w:lineRule="auto"/>
              <w:ind w:firstLineChars="0" w:firstLine="0"/>
              <w:jc w:val="center"/>
              <w:rPr>
                <w:bCs/>
                <w:kern w:val="2"/>
                <w:sz w:val="21"/>
                <w:szCs w:val="21"/>
              </w:rPr>
            </w:pPr>
            <w:r>
              <w:rPr>
                <w:bCs/>
                <w:kern w:val="2"/>
                <w:sz w:val="21"/>
                <w:szCs w:val="21"/>
              </w:rPr>
              <w:t>物料输送</w:t>
            </w:r>
          </w:p>
        </w:tc>
        <w:tc>
          <w:tcPr>
            <w:tcW w:w="86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粉尘</w:t>
            </w:r>
          </w:p>
        </w:tc>
        <w:tc>
          <w:tcPr>
            <w:tcW w:w="4680" w:type="dxa"/>
            <w:tcBorders>
              <w:tl2br w:val="nil"/>
              <w:tr2bl w:val="nil"/>
            </w:tcBorders>
            <w:vAlign w:val="center"/>
          </w:tcPr>
          <w:p w:rsidR="00DB7CC8" w:rsidRDefault="002B5250">
            <w:pPr>
              <w:spacing w:line="240" w:lineRule="auto"/>
              <w:ind w:firstLineChars="0" w:firstLine="0"/>
              <w:jc w:val="center"/>
              <w:rPr>
                <w:bCs/>
                <w:kern w:val="2"/>
                <w:sz w:val="21"/>
                <w:szCs w:val="21"/>
              </w:rPr>
            </w:pPr>
            <w:r>
              <w:rPr>
                <w:bCs/>
                <w:kern w:val="2"/>
                <w:sz w:val="21"/>
                <w:szCs w:val="21"/>
              </w:rPr>
              <w:t>密闭输送廊道</w:t>
            </w:r>
          </w:p>
        </w:tc>
        <w:tc>
          <w:tcPr>
            <w:tcW w:w="1152"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5</w:t>
            </w:r>
          </w:p>
        </w:tc>
      </w:tr>
      <w:tr w:rsidR="00DB7CC8">
        <w:trPr>
          <w:trHeight w:val="283"/>
          <w:jc w:val="center"/>
        </w:trPr>
        <w:tc>
          <w:tcPr>
            <w:tcW w:w="740"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081" w:type="dxa"/>
            <w:tcBorders>
              <w:tl2br w:val="nil"/>
              <w:tr2bl w:val="nil"/>
            </w:tcBorders>
            <w:vAlign w:val="center"/>
          </w:tcPr>
          <w:p w:rsidR="00DB7CC8" w:rsidRDefault="002B5250">
            <w:pPr>
              <w:spacing w:line="240" w:lineRule="auto"/>
              <w:ind w:firstLineChars="0" w:firstLine="0"/>
              <w:jc w:val="center"/>
              <w:rPr>
                <w:bCs/>
                <w:kern w:val="2"/>
                <w:sz w:val="21"/>
                <w:szCs w:val="21"/>
              </w:rPr>
            </w:pPr>
            <w:r>
              <w:rPr>
                <w:bCs/>
                <w:kern w:val="2"/>
                <w:sz w:val="21"/>
                <w:szCs w:val="21"/>
              </w:rPr>
              <w:t>破碎车间</w:t>
            </w:r>
          </w:p>
        </w:tc>
        <w:tc>
          <w:tcPr>
            <w:tcW w:w="869"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粉尘</w:t>
            </w:r>
          </w:p>
        </w:tc>
        <w:tc>
          <w:tcPr>
            <w:tcW w:w="4680" w:type="dxa"/>
            <w:tcBorders>
              <w:tl2br w:val="nil"/>
              <w:tr2bl w:val="nil"/>
            </w:tcBorders>
            <w:vAlign w:val="center"/>
          </w:tcPr>
          <w:p w:rsidR="00DB7CC8" w:rsidRDefault="002B5250">
            <w:pPr>
              <w:spacing w:line="240" w:lineRule="auto"/>
              <w:ind w:firstLineChars="0" w:firstLine="0"/>
              <w:jc w:val="center"/>
              <w:rPr>
                <w:bCs/>
                <w:kern w:val="2"/>
                <w:sz w:val="21"/>
                <w:szCs w:val="21"/>
              </w:rPr>
            </w:pPr>
            <w:r>
              <w:rPr>
                <w:bCs/>
                <w:kern w:val="2"/>
                <w:sz w:val="21"/>
                <w:szCs w:val="21"/>
              </w:rPr>
              <w:t>封闭生产车间</w:t>
            </w:r>
            <w:r>
              <w:rPr>
                <w:bCs/>
                <w:kern w:val="2"/>
                <w:sz w:val="21"/>
                <w:szCs w:val="21"/>
              </w:rPr>
              <w:t>+</w:t>
            </w:r>
            <w:r>
              <w:rPr>
                <w:bCs/>
                <w:kern w:val="2"/>
                <w:sz w:val="21"/>
                <w:szCs w:val="21"/>
              </w:rPr>
              <w:t>集气罩</w:t>
            </w:r>
            <w:r>
              <w:rPr>
                <w:bCs/>
                <w:kern w:val="2"/>
                <w:sz w:val="21"/>
                <w:szCs w:val="21"/>
              </w:rPr>
              <w:t>+</w:t>
            </w:r>
            <w:r>
              <w:rPr>
                <w:bCs/>
                <w:kern w:val="2"/>
                <w:sz w:val="21"/>
                <w:szCs w:val="21"/>
              </w:rPr>
              <w:t>布袋除尘器</w:t>
            </w:r>
            <w:r>
              <w:rPr>
                <w:bCs/>
                <w:kern w:val="2"/>
                <w:sz w:val="21"/>
                <w:szCs w:val="21"/>
              </w:rPr>
              <w:t>+1</w:t>
            </w:r>
            <w:r>
              <w:rPr>
                <w:rFonts w:hint="eastAsia"/>
                <w:bCs/>
                <w:kern w:val="2"/>
                <w:sz w:val="21"/>
                <w:szCs w:val="21"/>
              </w:rPr>
              <w:t>8</w:t>
            </w:r>
            <w:r>
              <w:rPr>
                <w:bCs/>
                <w:kern w:val="2"/>
                <w:sz w:val="21"/>
                <w:szCs w:val="21"/>
              </w:rPr>
              <w:t>m</w:t>
            </w:r>
            <w:r>
              <w:rPr>
                <w:bCs/>
                <w:kern w:val="2"/>
                <w:sz w:val="21"/>
                <w:szCs w:val="21"/>
              </w:rPr>
              <w:t>高排气筒</w:t>
            </w:r>
            <w:r>
              <w:rPr>
                <w:rFonts w:hint="eastAsia"/>
                <w:bCs/>
                <w:kern w:val="2"/>
                <w:sz w:val="21"/>
                <w:szCs w:val="21"/>
              </w:rPr>
              <w:t>（</w:t>
            </w:r>
            <w:r>
              <w:rPr>
                <w:rFonts w:hint="eastAsia"/>
                <w:bCs/>
                <w:kern w:val="2"/>
                <w:sz w:val="21"/>
                <w:szCs w:val="21"/>
              </w:rPr>
              <w:t>1</w:t>
            </w:r>
            <w:r>
              <w:rPr>
                <w:rFonts w:hint="eastAsia"/>
                <w:bCs/>
                <w:kern w:val="2"/>
                <w:sz w:val="21"/>
                <w:szCs w:val="21"/>
              </w:rPr>
              <w:t>套）</w:t>
            </w:r>
          </w:p>
        </w:tc>
        <w:tc>
          <w:tcPr>
            <w:tcW w:w="1152"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50</w:t>
            </w:r>
          </w:p>
        </w:tc>
      </w:tr>
      <w:tr w:rsidR="00DB7CC8">
        <w:trPr>
          <w:trHeight w:val="672"/>
          <w:jc w:val="center"/>
        </w:trPr>
        <w:tc>
          <w:tcPr>
            <w:tcW w:w="740"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废水</w:t>
            </w:r>
          </w:p>
        </w:tc>
        <w:tc>
          <w:tcPr>
            <w:tcW w:w="1950" w:type="dxa"/>
            <w:gridSpan w:val="2"/>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生产废水</w:t>
            </w:r>
          </w:p>
        </w:tc>
        <w:tc>
          <w:tcPr>
            <w:tcW w:w="4680" w:type="dxa"/>
            <w:tcBorders>
              <w:tl2br w:val="nil"/>
              <w:tr2bl w:val="nil"/>
            </w:tcBorders>
            <w:vAlign w:val="center"/>
          </w:tcPr>
          <w:p w:rsidR="00DB7CC8" w:rsidRDefault="002B5250">
            <w:pPr>
              <w:spacing w:line="240" w:lineRule="auto"/>
              <w:ind w:firstLineChars="0" w:firstLine="0"/>
              <w:jc w:val="center"/>
              <w:rPr>
                <w:bCs/>
                <w:kern w:val="2"/>
                <w:sz w:val="21"/>
                <w:szCs w:val="21"/>
              </w:rPr>
            </w:pPr>
            <w:r>
              <w:rPr>
                <w:sz w:val="21"/>
                <w:szCs w:val="21"/>
              </w:rPr>
              <w:t>浓密池</w:t>
            </w:r>
            <w:r>
              <w:rPr>
                <w:rFonts w:hint="eastAsia"/>
                <w:sz w:val="21"/>
                <w:szCs w:val="21"/>
              </w:rPr>
              <w:t>1</w:t>
            </w:r>
            <w:r>
              <w:rPr>
                <w:sz w:val="21"/>
                <w:szCs w:val="21"/>
              </w:rPr>
              <w:t>座，清水池</w:t>
            </w:r>
            <w:r>
              <w:rPr>
                <w:sz w:val="21"/>
                <w:szCs w:val="21"/>
              </w:rPr>
              <w:t>1</w:t>
            </w:r>
            <w:r>
              <w:rPr>
                <w:sz w:val="21"/>
                <w:szCs w:val="21"/>
              </w:rPr>
              <w:t>座，压滤机</w:t>
            </w:r>
            <w:r>
              <w:rPr>
                <w:sz w:val="21"/>
                <w:szCs w:val="21"/>
              </w:rPr>
              <w:t>1</w:t>
            </w:r>
            <w:r>
              <w:rPr>
                <w:sz w:val="21"/>
                <w:szCs w:val="21"/>
              </w:rPr>
              <w:t>台，处理尾矿，得到尾矿砂，浓密池上清液和滤液回用于生产工序</w:t>
            </w:r>
          </w:p>
        </w:tc>
        <w:tc>
          <w:tcPr>
            <w:tcW w:w="1152"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0</w:t>
            </w:r>
          </w:p>
        </w:tc>
      </w:tr>
      <w:tr w:rsidR="00DB7CC8">
        <w:trPr>
          <w:trHeight w:val="283"/>
          <w:jc w:val="center"/>
        </w:trPr>
        <w:tc>
          <w:tcPr>
            <w:tcW w:w="740"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950" w:type="dxa"/>
            <w:gridSpan w:val="2"/>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洗车废水</w:t>
            </w:r>
          </w:p>
        </w:tc>
        <w:tc>
          <w:tcPr>
            <w:tcW w:w="4680" w:type="dxa"/>
            <w:tcBorders>
              <w:tl2br w:val="nil"/>
              <w:tr2bl w:val="nil"/>
            </w:tcBorders>
            <w:vAlign w:val="center"/>
          </w:tcPr>
          <w:p w:rsidR="00DB7CC8" w:rsidRDefault="002B5250">
            <w:pPr>
              <w:spacing w:line="240" w:lineRule="auto"/>
              <w:ind w:firstLineChars="0" w:firstLine="0"/>
              <w:jc w:val="center"/>
              <w:rPr>
                <w:bCs/>
                <w:kern w:val="2"/>
                <w:sz w:val="21"/>
                <w:szCs w:val="21"/>
              </w:rPr>
            </w:pPr>
            <w:r>
              <w:rPr>
                <w:bCs/>
                <w:kern w:val="2"/>
                <w:sz w:val="21"/>
                <w:szCs w:val="21"/>
              </w:rPr>
              <w:t>洗车平台</w:t>
            </w:r>
            <w:r>
              <w:rPr>
                <w:bCs/>
                <w:kern w:val="2"/>
                <w:sz w:val="21"/>
                <w:szCs w:val="21"/>
              </w:rPr>
              <w:t>+</w:t>
            </w:r>
            <w:r>
              <w:rPr>
                <w:bCs/>
                <w:kern w:val="2"/>
                <w:sz w:val="21"/>
                <w:szCs w:val="21"/>
              </w:rPr>
              <w:t>冲洗废水沉淀池</w:t>
            </w:r>
            <w:r>
              <w:rPr>
                <w:rFonts w:hint="eastAsia"/>
                <w:bCs/>
                <w:kern w:val="2"/>
                <w:sz w:val="21"/>
                <w:szCs w:val="21"/>
              </w:rPr>
              <w:t>（</w:t>
            </w:r>
            <w:r>
              <w:rPr>
                <w:rFonts w:hint="eastAsia"/>
                <w:bCs/>
                <w:kern w:val="2"/>
                <w:sz w:val="21"/>
                <w:szCs w:val="21"/>
              </w:rPr>
              <w:t>1</w:t>
            </w:r>
            <w:r>
              <w:rPr>
                <w:rFonts w:hint="eastAsia"/>
                <w:bCs/>
                <w:kern w:val="2"/>
                <w:sz w:val="21"/>
                <w:szCs w:val="21"/>
              </w:rPr>
              <w:t>套）</w:t>
            </w:r>
          </w:p>
        </w:tc>
        <w:tc>
          <w:tcPr>
            <w:tcW w:w="1152"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w:t>
            </w:r>
          </w:p>
        </w:tc>
      </w:tr>
      <w:tr w:rsidR="00DB7CC8">
        <w:trPr>
          <w:trHeight w:val="283"/>
          <w:jc w:val="center"/>
        </w:trPr>
        <w:tc>
          <w:tcPr>
            <w:tcW w:w="740" w:type="dxa"/>
            <w:vMerge w:val="restart"/>
            <w:tcBorders>
              <w:tl2br w:val="nil"/>
              <w:tr2bl w:val="nil"/>
            </w:tcBorders>
            <w:vAlign w:val="center"/>
          </w:tcPr>
          <w:p w:rsidR="00DB7CC8" w:rsidRDefault="002B5250">
            <w:pPr>
              <w:spacing w:line="240" w:lineRule="auto"/>
              <w:ind w:firstLineChars="0" w:firstLine="0"/>
              <w:jc w:val="center"/>
              <w:rPr>
                <w:sz w:val="21"/>
                <w:szCs w:val="21"/>
              </w:rPr>
            </w:pPr>
            <w:bookmarkStart w:id="527" w:name="_Hlk487034067"/>
            <w:bookmarkStart w:id="528" w:name="OLE_LINK13"/>
            <w:bookmarkStart w:id="529" w:name="OLE_LINK14"/>
            <w:r>
              <w:rPr>
                <w:sz w:val="21"/>
                <w:szCs w:val="21"/>
              </w:rPr>
              <w:t>固废</w:t>
            </w:r>
          </w:p>
        </w:tc>
        <w:tc>
          <w:tcPr>
            <w:tcW w:w="1950" w:type="dxa"/>
            <w:gridSpan w:val="2"/>
            <w:tcBorders>
              <w:tl2br w:val="nil"/>
              <w:tr2bl w:val="nil"/>
            </w:tcBorders>
            <w:vAlign w:val="center"/>
          </w:tcPr>
          <w:p w:rsidR="00DB7CC8" w:rsidRDefault="002B5250">
            <w:pPr>
              <w:widowControl/>
              <w:spacing w:line="240" w:lineRule="auto"/>
              <w:ind w:firstLineChars="0" w:firstLine="0"/>
              <w:jc w:val="center"/>
              <w:rPr>
                <w:sz w:val="21"/>
                <w:szCs w:val="21"/>
              </w:rPr>
            </w:pPr>
            <w:r>
              <w:rPr>
                <w:sz w:val="21"/>
                <w:szCs w:val="21"/>
              </w:rPr>
              <w:t>生活垃圾</w:t>
            </w:r>
          </w:p>
        </w:tc>
        <w:tc>
          <w:tcPr>
            <w:tcW w:w="468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垃圾桶</w:t>
            </w:r>
          </w:p>
        </w:tc>
        <w:tc>
          <w:tcPr>
            <w:tcW w:w="1152"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0</w:t>
            </w:r>
          </w:p>
        </w:tc>
      </w:tr>
      <w:tr w:rsidR="00DB7CC8">
        <w:trPr>
          <w:trHeight w:val="283"/>
          <w:jc w:val="center"/>
        </w:trPr>
        <w:tc>
          <w:tcPr>
            <w:tcW w:w="740"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950" w:type="dxa"/>
            <w:gridSpan w:val="2"/>
            <w:tcBorders>
              <w:tl2br w:val="nil"/>
              <w:tr2bl w:val="nil"/>
            </w:tcBorders>
            <w:vAlign w:val="center"/>
          </w:tcPr>
          <w:p w:rsidR="00DB7CC8" w:rsidRDefault="002B5250">
            <w:pPr>
              <w:widowControl/>
              <w:spacing w:line="240" w:lineRule="auto"/>
              <w:ind w:firstLineChars="0" w:firstLine="0"/>
              <w:jc w:val="center"/>
              <w:rPr>
                <w:sz w:val="21"/>
                <w:szCs w:val="21"/>
              </w:rPr>
            </w:pPr>
            <w:r>
              <w:rPr>
                <w:sz w:val="21"/>
                <w:szCs w:val="21"/>
              </w:rPr>
              <w:t>危险废物</w:t>
            </w:r>
          </w:p>
        </w:tc>
        <w:tc>
          <w:tcPr>
            <w:tcW w:w="468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危废暂存间</w:t>
            </w:r>
          </w:p>
        </w:tc>
        <w:tc>
          <w:tcPr>
            <w:tcW w:w="1152"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0</w:t>
            </w:r>
          </w:p>
        </w:tc>
      </w:tr>
      <w:tr w:rsidR="00DB7CC8">
        <w:trPr>
          <w:trHeight w:val="283"/>
          <w:jc w:val="center"/>
        </w:trPr>
        <w:tc>
          <w:tcPr>
            <w:tcW w:w="74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噪声</w:t>
            </w:r>
          </w:p>
        </w:tc>
        <w:tc>
          <w:tcPr>
            <w:tcW w:w="1950" w:type="dxa"/>
            <w:gridSpan w:val="2"/>
            <w:tcBorders>
              <w:tl2br w:val="nil"/>
              <w:tr2bl w:val="nil"/>
            </w:tcBorders>
            <w:vAlign w:val="center"/>
          </w:tcPr>
          <w:p w:rsidR="00DB7CC8" w:rsidRDefault="002B5250">
            <w:pPr>
              <w:widowControl/>
              <w:spacing w:line="240" w:lineRule="auto"/>
              <w:ind w:firstLineChars="0" w:firstLine="0"/>
              <w:jc w:val="center"/>
              <w:rPr>
                <w:sz w:val="21"/>
                <w:szCs w:val="21"/>
              </w:rPr>
            </w:pPr>
            <w:r>
              <w:rPr>
                <w:sz w:val="21"/>
                <w:szCs w:val="21"/>
              </w:rPr>
              <w:t>噪声设备</w:t>
            </w:r>
          </w:p>
        </w:tc>
        <w:tc>
          <w:tcPr>
            <w:tcW w:w="4680" w:type="dxa"/>
            <w:tcBorders>
              <w:tl2br w:val="nil"/>
              <w:tr2bl w:val="nil"/>
            </w:tcBorders>
            <w:vAlign w:val="center"/>
          </w:tcPr>
          <w:p w:rsidR="00DB7CC8" w:rsidRDefault="002B5250">
            <w:pPr>
              <w:widowControl/>
              <w:spacing w:line="240" w:lineRule="auto"/>
              <w:ind w:firstLineChars="0" w:firstLine="0"/>
              <w:jc w:val="center"/>
              <w:rPr>
                <w:sz w:val="21"/>
                <w:szCs w:val="21"/>
              </w:rPr>
            </w:pPr>
            <w:r>
              <w:rPr>
                <w:sz w:val="21"/>
                <w:szCs w:val="21"/>
              </w:rPr>
              <w:t>减振、隔声、吸声等措施</w:t>
            </w:r>
          </w:p>
        </w:tc>
        <w:tc>
          <w:tcPr>
            <w:tcW w:w="1152"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20</w:t>
            </w:r>
          </w:p>
        </w:tc>
      </w:tr>
      <w:tr w:rsidR="00DB7CC8">
        <w:trPr>
          <w:trHeight w:val="283"/>
          <w:jc w:val="center"/>
        </w:trPr>
        <w:tc>
          <w:tcPr>
            <w:tcW w:w="7370" w:type="dxa"/>
            <w:gridSpan w:val="4"/>
            <w:tcBorders>
              <w:tl2br w:val="nil"/>
              <w:tr2bl w:val="nil"/>
            </w:tcBorders>
            <w:vAlign w:val="center"/>
          </w:tcPr>
          <w:p w:rsidR="00DB7CC8" w:rsidRDefault="002B5250">
            <w:pPr>
              <w:widowControl/>
              <w:spacing w:line="240" w:lineRule="auto"/>
              <w:ind w:firstLineChars="0" w:firstLine="0"/>
              <w:jc w:val="center"/>
              <w:rPr>
                <w:sz w:val="21"/>
                <w:szCs w:val="21"/>
              </w:rPr>
            </w:pPr>
            <w:r>
              <w:rPr>
                <w:sz w:val="21"/>
                <w:szCs w:val="21"/>
              </w:rPr>
              <w:t>事故水池等</w:t>
            </w:r>
          </w:p>
        </w:tc>
        <w:tc>
          <w:tcPr>
            <w:tcW w:w="1152"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3</w:t>
            </w:r>
          </w:p>
        </w:tc>
      </w:tr>
      <w:bookmarkEnd w:id="527"/>
      <w:bookmarkEnd w:id="528"/>
      <w:bookmarkEnd w:id="529"/>
      <w:tr w:rsidR="00DB7CC8">
        <w:trPr>
          <w:trHeight w:val="283"/>
          <w:jc w:val="center"/>
        </w:trPr>
        <w:tc>
          <w:tcPr>
            <w:tcW w:w="7370" w:type="dxa"/>
            <w:gridSpan w:val="4"/>
            <w:tcBorders>
              <w:tl2br w:val="nil"/>
              <w:tr2bl w:val="nil"/>
            </w:tcBorders>
            <w:vAlign w:val="center"/>
          </w:tcPr>
          <w:p w:rsidR="00DB7CC8" w:rsidRDefault="002B5250">
            <w:pPr>
              <w:autoSpaceDE w:val="0"/>
              <w:autoSpaceDN w:val="0"/>
              <w:spacing w:line="240" w:lineRule="auto"/>
              <w:ind w:firstLineChars="0" w:firstLine="0"/>
              <w:jc w:val="center"/>
              <w:rPr>
                <w:sz w:val="21"/>
                <w:szCs w:val="21"/>
              </w:rPr>
            </w:pPr>
            <w:r>
              <w:rPr>
                <w:sz w:val="21"/>
                <w:szCs w:val="21"/>
              </w:rPr>
              <w:t>总计</w:t>
            </w:r>
          </w:p>
        </w:tc>
        <w:tc>
          <w:tcPr>
            <w:tcW w:w="1152"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110</w:t>
            </w:r>
          </w:p>
        </w:tc>
      </w:tr>
    </w:tbl>
    <w:p w:rsidR="00DB7CC8" w:rsidRDefault="00DB7CC8">
      <w:pPr>
        <w:spacing w:line="460" w:lineRule="exact"/>
        <w:ind w:firstLine="480"/>
        <w:rPr>
          <w:sz w:val="24"/>
          <w:szCs w:val="24"/>
        </w:rPr>
      </w:pPr>
    </w:p>
    <w:p w:rsidR="00DB7CC8" w:rsidRDefault="00DB7CC8">
      <w:pPr>
        <w:spacing w:line="460" w:lineRule="exact"/>
        <w:ind w:firstLine="480"/>
        <w:rPr>
          <w:sz w:val="24"/>
          <w:szCs w:val="24"/>
        </w:rPr>
        <w:sectPr w:rsidR="00DB7CC8">
          <w:pgSz w:w="11905" w:h="16838"/>
          <w:pgMar w:top="1440" w:right="1803" w:bottom="1134" w:left="1803" w:header="850" w:footer="992" w:gutter="0"/>
          <w:cols w:space="0"/>
          <w:docGrid w:linePitch="312"/>
        </w:sectPr>
      </w:pPr>
    </w:p>
    <w:p w:rsidR="00DB7CC8" w:rsidRDefault="002B5250">
      <w:pPr>
        <w:pStyle w:val="1"/>
        <w:numPr>
          <w:ilvl w:val="0"/>
          <w:numId w:val="1"/>
        </w:numPr>
        <w:rPr>
          <w:rFonts w:ascii="Times New Roman"/>
          <w:sz w:val="36"/>
        </w:rPr>
      </w:pPr>
      <w:bookmarkStart w:id="530" w:name="_Toc499651423"/>
      <w:bookmarkStart w:id="531" w:name="_Toc7525"/>
      <w:bookmarkStart w:id="532" w:name="_Toc477175434"/>
      <w:bookmarkStart w:id="533" w:name="_Toc521591818"/>
      <w:bookmarkStart w:id="534" w:name="_Toc27113"/>
      <w:bookmarkStart w:id="535" w:name="_Toc503218122"/>
      <w:bookmarkStart w:id="536" w:name="_Toc20032"/>
      <w:bookmarkStart w:id="537" w:name="_Toc524285115"/>
      <w:bookmarkStart w:id="538" w:name="_Toc15353"/>
      <w:r>
        <w:rPr>
          <w:rFonts w:ascii="Times New Roman"/>
          <w:sz w:val="36"/>
        </w:rPr>
        <w:lastRenderedPageBreak/>
        <w:t>环境影响经济损益分析</w:t>
      </w:r>
      <w:bookmarkEnd w:id="530"/>
      <w:bookmarkEnd w:id="531"/>
      <w:bookmarkEnd w:id="532"/>
      <w:bookmarkEnd w:id="533"/>
      <w:bookmarkEnd w:id="534"/>
      <w:bookmarkEnd w:id="535"/>
      <w:bookmarkEnd w:id="536"/>
      <w:bookmarkEnd w:id="537"/>
      <w:bookmarkEnd w:id="538"/>
    </w:p>
    <w:p w:rsidR="00DB7CC8" w:rsidRDefault="002B5250">
      <w:pPr>
        <w:autoSpaceDE w:val="0"/>
        <w:autoSpaceDN w:val="0"/>
        <w:ind w:firstLine="480"/>
        <w:jc w:val="both"/>
        <w:textAlignment w:val="auto"/>
        <w:rPr>
          <w:sz w:val="24"/>
        </w:rPr>
      </w:pPr>
      <w:r>
        <w:rPr>
          <w:sz w:val="24"/>
        </w:rPr>
        <w:t>环境经济损益分析是建设项目环境影响评价的一个重要组成部分，它是综合评价建设项目的环保投资是否能够补偿或多大程度上补偿了由此可能造成的环境损失的重要依据，其主要任务是分析建设项目拟投入或投入的环保投资，所能收到的环境保护效果。因此，环境经济损益分析除了需计算用于治理控制污染所需的投资和费用外，还要同时核算项目建设可能收到的经济效益、环境效益和社会效益。</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539" w:name="_Toc5001"/>
      <w:bookmarkStart w:id="540" w:name="_Toc521591819"/>
      <w:bookmarkStart w:id="541" w:name="_Toc15701"/>
      <w:bookmarkStart w:id="542" w:name="_Toc22558"/>
      <w:bookmarkStart w:id="543" w:name="_Toc11745"/>
      <w:bookmarkStart w:id="544" w:name="_Toc524285116"/>
      <w:bookmarkStart w:id="545" w:name="_Toc503218123"/>
      <w:bookmarkStart w:id="546" w:name="_Toc499651424"/>
      <w:r>
        <w:rPr>
          <w:rFonts w:ascii="Times New Roman" w:eastAsia="宋体" w:hAnsi="Times New Roman"/>
          <w:bCs w:val="0"/>
          <w:snapToGrid w:val="0"/>
          <w:kern w:val="0"/>
          <w:sz w:val="28"/>
          <w:szCs w:val="28"/>
        </w:rPr>
        <w:t>环境影响经济损失分析</w:t>
      </w:r>
      <w:bookmarkEnd w:id="539"/>
      <w:bookmarkEnd w:id="540"/>
      <w:bookmarkEnd w:id="541"/>
      <w:bookmarkEnd w:id="542"/>
      <w:bookmarkEnd w:id="543"/>
      <w:bookmarkEnd w:id="544"/>
      <w:bookmarkEnd w:id="545"/>
      <w:bookmarkEnd w:id="546"/>
    </w:p>
    <w:p w:rsidR="00DB7CC8" w:rsidRDefault="002B5250">
      <w:pPr>
        <w:pStyle w:val="3"/>
        <w:numPr>
          <w:ilvl w:val="2"/>
          <w:numId w:val="1"/>
        </w:numPr>
        <w:rPr>
          <w:szCs w:val="28"/>
        </w:rPr>
      </w:pPr>
      <w:bookmarkStart w:id="547" w:name="_Toc521591820"/>
      <w:bookmarkStart w:id="548" w:name="_Toc29126"/>
      <w:r>
        <w:rPr>
          <w:szCs w:val="28"/>
        </w:rPr>
        <w:t>环境空气影响经济损失</w:t>
      </w:r>
      <w:bookmarkEnd w:id="547"/>
      <w:bookmarkEnd w:id="548"/>
    </w:p>
    <w:p w:rsidR="00DB7CC8" w:rsidRDefault="002B5250">
      <w:pPr>
        <w:autoSpaceDE w:val="0"/>
        <w:autoSpaceDN w:val="0"/>
        <w:ind w:firstLine="480"/>
        <w:jc w:val="both"/>
        <w:textAlignment w:val="auto"/>
        <w:rPr>
          <w:sz w:val="24"/>
        </w:rPr>
      </w:pPr>
      <w:r>
        <w:rPr>
          <w:sz w:val="24"/>
        </w:rPr>
        <w:t>营运期项目的环境空气影响主要表现在粉尘使周围居民的空气环境质量有所下降，有可能对居民健康产生一定的影响。但是目前尚无环境空气影响经济损失的定量计算方法，环境空气影响造成的损失还难以直接用货币衡量，因此，以下将对环境空气影响损失进行定性分析。</w:t>
      </w:r>
    </w:p>
    <w:p w:rsidR="00DB7CC8" w:rsidRDefault="002B5250">
      <w:pPr>
        <w:autoSpaceDE w:val="0"/>
        <w:autoSpaceDN w:val="0"/>
        <w:ind w:firstLine="480"/>
        <w:jc w:val="both"/>
        <w:textAlignment w:val="auto"/>
        <w:rPr>
          <w:sz w:val="24"/>
        </w:rPr>
      </w:pPr>
      <w:r>
        <w:rPr>
          <w:sz w:val="24"/>
        </w:rPr>
        <w:t>本项目建设后，原料堆存等过程产生的粉尘，通过建设全封闭式结构，并设置洒水装置等措施可最大限度的减少粉尘排放；破碎干选过程通过封闭车间，并在车间内设置集尘罩</w:t>
      </w:r>
      <w:r>
        <w:rPr>
          <w:sz w:val="24"/>
        </w:rPr>
        <w:t>+</w:t>
      </w:r>
      <w:r>
        <w:rPr>
          <w:sz w:val="24"/>
        </w:rPr>
        <w:t>布袋除尘器等措施，粉尘排放量较少，对周围居民的影响可降至最低。</w:t>
      </w:r>
    </w:p>
    <w:p w:rsidR="00DB7CC8" w:rsidRDefault="002B5250">
      <w:pPr>
        <w:pStyle w:val="3"/>
        <w:numPr>
          <w:ilvl w:val="2"/>
          <w:numId w:val="1"/>
        </w:numPr>
        <w:rPr>
          <w:szCs w:val="28"/>
        </w:rPr>
      </w:pPr>
      <w:bookmarkStart w:id="549" w:name="_Toc521591821"/>
      <w:bookmarkStart w:id="550" w:name="_Toc13814"/>
      <w:r>
        <w:rPr>
          <w:szCs w:val="28"/>
        </w:rPr>
        <w:t>水环境影响经济损失</w:t>
      </w:r>
      <w:bookmarkEnd w:id="549"/>
      <w:bookmarkEnd w:id="550"/>
    </w:p>
    <w:p w:rsidR="00DB7CC8" w:rsidRDefault="002B5250">
      <w:pPr>
        <w:autoSpaceDE w:val="0"/>
        <w:autoSpaceDN w:val="0"/>
        <w:ind w:firstLine="480"/>
        <w:jc w:val="both"/>
        <w:textAlignment w:val="auto"/>
        <w:rPr>
          <w:sz w:val="24"/>
        </w:rPr>
      </w:pPr>
      <w:r>
        <w:rPr>
          <w:sz w:val="24"/>
        </w:rPr>
        <w:t>营运期本项目产生的污水主要是选</w:t>
      </w:r>
      <w:r>
        <w:rPr>
          <w:sz w:val="24"/>
        </w:rPr>
        <w:t>矿废水、</w:t>
      </w:r>
      <w:r>
        <w:rPr>
          <w:rFonts w:hint="eastAsia"/>
          <w:sz w:val="24"/>
        </w:rPr>
        <w:t>车间地面冲洗废水、</w:t>
      </w:r>
      <w:r>
        <w:rPr>
          <w:sz w:val="24"/>
        </w:rPr>
        <w:t>洗车废水、职工生活污水。</w:t>
      </w:r>
      <w:r>
        <w:rPr>
          <w:kern w:val="2"/>
          <w:sz w:val="24"/>
          <w:szCs w:val="24"/>
        </w:rPr>
        <w:t>选矿废水</w:t>
      </w:r>
      <w:r>
        <w:rPr>
          <w:rFonts w:hint="eastAsia"/>
          <w:kern w:val="2"/>
          <w:sz w:val="24"/>
          <w:szCs w:val="24"/>
        </w:rPr>
        <w:t>和</w:t>
      </w:r>
      <w:r>
        <w:rPr>
          <w:rFonts w:hint="eastAsia"/>
          <w:sz w:val="24"/>
        </w:rPr>
        <w:t>车间地面冲洗废水</w:t>
      </w:r>
      <w:r>
        <w:rPr>
          <w:kern w:val="2"/>
          <w:sz w:val="24"/>
          <w:szCs w:val="24"/>
        </w:rPr>
        <w:t>经浓缩澄清后，回用于生产过程，不外排；洗车废水经沉淀池沉淀后回用于洗车；生活污水</w:t>
      </w:r>
      <w:r>
        <w:rPr>
          <w:bCs/>
          <w:kern w:val="2"/>
          <w:sz w:val="24"/>
          <w:szCs w:val="21"/>
        </w:rPr>
        <w:t>回用于厂区及道路洒水降尘，不外排。水环境经济损失很小。</w:t>
      </w:r>
    </w:p>
    <w:p w:rsidR="00DB7CC8" w:rsidRDefault="002B5250">
      <w:pPr>
        <w:pStyle w:val="3"/>
        <w:numPr>
          <w:ilvl w:val="2"/>
          <w:numId w:val="1"/>
        </w:numPr>
        <w:rPr>
          <w:szCs w:val="28"/>
        </w:rPr>
      </w:pPr>
      <w:bookmarkStart w:id="551" w:name="_Toc10748"/>
      <w:bookmarkStart w:id="552" w:name="_Toc521591822"/>
      <w:r>
        <w:rPr>
          <w:szCs w:val="28"/>
        </w:rPr>
        <w:t>噪声影响经济损失</w:t>
      </w:r>
      <w:bookmarkEnd w:id="551"/>
      <w:bookmarkEnd w:id="552"/>
    </w:p>
    <w:p w:rsidR="00DB7CC8" w:rsidRDefault="002B5250">
      <w:pPr>
        <w:autoSpaceDE w:val="0"/>
        <w:autoSpaceDN w:val="0"/>
        <w:ind w:firstLine="480"/>
        <w:jc w:val="both"/>
        <w:textAlignment w:val="auto"/>
        <w:rPr>
          <w:sz w:val="24"/>
        </w:rPr>
      </w:pPr>
      <w:r>
        <w:rPr>
          <w:sz w:val="24"/>
        </w:rPr>
        <w:t>有关噪声影响的人群调查以及流行病学研究发现，在我国，生活在</w:t>
      </w:r>
      <w:r>
        <w:rPr>
          <w:sz w:val="24"/>
        </w:rPr>
        <w:t>70dB</w:t>
      </w:r>
      <w:r>
        <w:rPr>
          <w:sz w:val="24"/>
        </w:rPr>
        <w:t>（</w:t>
      </w:r>
      <w:r>
        <w:rPr>
          <w:sz w:val="24"/>
        </w:rPr>
        <w:t>A</w:t>
      </w:r>
      <w:r>
        <w:rPr>
          <w:sz w:val="24"/>
        </w:rPr>
        <w:t>）以上环境中居民的人均医疗费用比</w:t>
      </w:r>
      <w:r>
        <w:rPr>
          <w:sz w:val="24"/>
        </w:rPr>
        <w:t>70dB</w:t>
      </w:r>
      <w:r>
        <w:rPr>
          <w:sz w:val="24"/>
        </w:rPr>
        <w:t>（</w:t>
      </w:r>
      <w:r>
        <w:rPr>
          <w:sz w:val="24"/>
        </w:rPr>
        <w:t>A</w:t>
      </w:r>
      <w:r>
        <w:rPr>
          <w:sz w:val="24"/>
        </w:rPr>
        <w:t>）以下的同类地方高；噪声级在</w:t>
      </w:r>
      <w:r>
        <w:rPr>
          <w:sz w:val="24"/>
        </w:rPr>
        <w:t>70dB</w:t>
      </w:r>
      <w:r>
        <w:rPr>
          <w:sz w:val="24"/>
        </w:rPr>
        <w:t>（</w:t>
      </w:r>
      <w:r>
        <w:rPr>
          <w:sz w:val="24"/>
        </w:rPr>
        <w:t>A</w:t>
      </w:r>
      <w:r>
        <w:rPr>
          <w:sz w:val="24"/>
        </w:rPr>
        <w:t>）以上环境的居民有</w:t>
      </w:r>
      <w:r>
        <w:rPr>
          <w:sz w:val="24"/>
        </w:rPr>
        <w:t>66.7%</w:t>
      </w:r>
      <w:r>
        <w:rPr>
          <w:sz w:val="24"/>
        </w:rPr>
        <w:t>睡眠受到干扰，而睡眠受到干扰的职工会表现出生产效率有所下降。根据前面的噪声预测结果，在采取降噪措施前</w:t>
      </w:r>
      <w:r>
        <w:rPr>
          <w:sz w:val="24"/>
        </w:rPr>
        <w:t>，本项目昼夜间噪声值均未达到</w:t>
      </w:r>
      <w:r>
        <w:rPr>
          <w:sz w:val="24"/>
        </w:rPr>
        <w:t>70dB</w:t>
      </w:r>
      <w:r>
        <w:rPr>
          <w:sz w:val="24"/>
        </w:rPr>
        <w:t>（</w:t>
      </w:r>
      <w:r>
        <w:rPr>
          <w:sz w:val="24"/>
        </w:rPr>
        <w:t>A</w:t>
      </w:r>
      <w:r>
        <w:rPr>
          <w:sz w:val="24"/>
        </w:rPr>
        <w:t>），因此本项目的建设不会引起噪声影响经济损失。</w:t>
      </w:r>
    </w:p>
    <w:p w:rsidR="00DB7CC8" w:rsidRDefault="002B5250">
      <w:pPr>
        <w:pStyle w:val="3"/>
        <w:numPr>
          <w:ilvl w:val="2"/>
          <w:numId w:val="1"/>
        </w:numPr>
        <w:rPr>
          <w:szCs w:val="28"/>
        </w:rPr>
      </w:pPr>
      <w:bookmarkStart w:id="553" w:name="_Toc521591823"/>
      <w:bookmarkStart w:id="554" w:name="_Toc31641"/>
      <w:r>
        <w:rPr>
          <w:szCs w:val="28"/>
        </w:rPr>
        <w:lastRenderedPageBreak/>
        <w:t>生态环境影响经济损失</w:t>
      </w:r>
      <w:bookmarkEnd w:id="553"/>
      <w:bookmarkEnd w:id="554"/>
    </w:p>
    <w:p w:rsidR="00DB7CC8" w:rsidRDefault="002B5250">
      <w:pPr>
        <w:autoSpaceDE w:val="0"/>
        <w:autoSpaceDN w:val="0"/>
        <w:ind w:firstLine="480"/>
        <w:jc w:val="both"/>
        <w:textAlignment w:val="auto"/>
        <w:rPr>
          <w:sz w:val="24"/>
        </w:rPr>
      </w:pPr>
      <w:r>
        <w:rPr>
          <w:sz w:val="24"/>
        </w:rPr>
        <w:t>本项目用地不在河北省生态保护红线范围内，且用地为工业用地，占地范围内无植被覆盖，项目建设过程中注意防止水土流失，建成后及时绿化，项目建设不会造成生物量的损失，对生态环境不会造成严重影响。</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555" w:name="_Toc503218124"/>
      <w:bookmarkStart w:id="556" w:name="_Toc499651425"/>
      <w:bookmarkStart w:id="557" w:name="_Toc29090"/>
      <w:bookmarkStart w:id="558" w:name="_Toc477175436"/>
      <w:bookmarkStart w:id="559" w:name="_Toc468451745"/>
      <w:bookmarkStart w:id="560" w:name="_Toc384552437"/>
      <w:bookmarkStart w:id="561" w:name="_Toc382810946"/>
      <w:bookmarkStart w:id="562" w:name="_Toc387133348"/>
      <w:bookmarkStart w:id="563" w:name="_Toc524285117"/>
      <w:bookmarkStart w:id="564" w:name="_Toc1945"/>
      <w:bookmarkStart w:id="565" w:name="_Toc3990"/>
      <w:bookmarkStart w:id="566" w:name="_Toc521591825"/>
      <w:bookmarkStart w:id="567" w:name="_Toc17699"/>
      <w:bookmarkStart w:id="568" w:name="_Toc2738"/>
      <w:r>
        <w:rPr>
          <w:rFonts w:ascii="Times New Roman" w:eastAsia="宋体" w:hAnsi="Times New Roman"/>
          <w:bCs w:val="0"/>
          <w:snapToGrid w:val="0"/>
          <w:kern w:val="0"/>
          <w:sz w:val="28"/>
          <w:szCs w:val="28"/>
        </w:rPr>
        <w:t>经济效益</w:t>
      </w:r>
      <w:bookmarkEnd w:id="555"/>
      <w:bookmarkEnd w:id="556"/>
      <w:bookmarkEnd w:id="557"/>
      <w:bookmarkEnd w:id="558"/>
      <w:bookmarkEnd w:id="559"/>
      <w:bookmarkEnd w:id="560"/>
      <w:bookmarkEnd w:id="561"/>
      <w:bookmarkEnd w:id="562"/>
      <w:r>
        <w:rPr>
          <w:rFonts w:ascii="Times New Roman" w:eastAsia="宋体" w:hAnsi="Times New Roman"/>
          <w:bCs w:val="0"/>
          <w:snapToGrid w:val="0"/>
          <w:kern w:val="0"/>
          <w:sz w:val="28"/>
          <w:szCs w:val="28"/>
        </w:rPr>
        <w:t>分析</w:t>
      </w:r>
      <w:bookmarkEnd w:id="563"/>
      <w:bookmarkEnd w:id="564"/>
      <w:bookmarkEnd w:id="565"/>
      <w:bookmarkEnd w:id="566"/>
      <w:bookmarkEnd w:id="567"/>
      <w:bookmarkEnd w:id="568"/>
    </w:p>
    <w:p w:rsidR="00DB7CC8" w:rsidRDefault="002B5250">
      <w:pPr>
        <w:autoSpaceDE w:val="0"/>
        <w:autoSpaceDN w:val="0"/>
        <w:ind w:firstLine="480"/>
        <w:jc w:val="both"/>
        <w:textAlignment w:val="auto"/>
        <w:rPr>
          <w:bCs/>
          <w:sz w:val="24"/>
        </w:rPr>
      </w:pPr>
      <w:r>
        <w:rPr>
          <w:bCs/>
          <w:sz w:val="24"/>
        </w:rPr>
        <w:t>本工程的建设具有产业链效益，能够带动一方经济的快速发展，并能促进钢铁等相关行业的发展。</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569" w:name="_Toc477175437"/>
      <w:bookmarkStart w:id="570" w:name="_Toc24104"/>
      <w:bookmarkStart w:id="571" w:name="_Toc499651426"/>
      <w:bookmarkStart w:id="572" w:name="_Toc468451746"/>
      <w:bookmarkStart w:id="573" w:name="_Toc10543"/>
      <w:bookmarkStart w:id="574" w:name="_Toc364090221"/>
      <w:bookmarkStart w:id="575" w:name="_Toc2831"/>
      <w:bookmarkStart w:id="576" w:name="_Toc357926851"/>
      <w:bookmarkStart w:id="577" w:name="_Toc387133351"/>
      <w:bookmarkStart w:id="578" w:name="_Toc524285118"/>
      <w:bookmarkStart w:id="579" w:name="_Toc15271"/>
      <w:bookmarkStart w:id="580" w:name="_Toc503218125"/>
      <w:bookmarkStart w:id="581" w:name="_Toc521591826"/>
      <w:bookmarkStart w:id="582" w:name="_Toc12232"/>
      <w:bookmarkStart w:id="583" w:name="_Toc384552440"/>
      <w:bookmarkStart w:id="584" w:name="_Toc382810949"/>
      <w:r>
        <w:rPr>
          <w:rFonts w:ascii="Times New Roman" w:eastAsia="宋体" w:hAnsi="Times New Roman"/>
          <w:bCs w:val="0"/>
          <w:snapToGrid w:val="0"/>
          <w:kern w:val="0"/>
          <w:sz w:val="28"/>
          <w:szCs w:val="28"/>
        </w:rPr>
        <w:t>环境效益分析</w:t>
      </w:r>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p>
    <w:p w:rsidR="00DB7CC8" w:rsidRDefault="002B5250">
      <w:pPr>
        <w:autoSpaceDE w:val="0"/>
        <w:autoSpaceDN w:val="0"/>
        <w:ind w:firstLine="480"/>
        <w:jc w:val="both"/>
        <w:textAlignment w:val="auto"/>
        <w:rPr>
          <w:bCs/>
          <w:sz w:val="24"/>
        </w:rPr>
      </w:pPr>
      <w:r>
        <w:rPr>
          <w:bCs/>
          <w:sz w:val="24"/>
        </w:rPr>
        <w:t>环境经济效益是指采取环保治理措施获取的直接经济效益。本项目在</w:t>
      </w:r>
      <w:r>
        <w:rPr>
          <w:bCs/>
          <w:sz w:val="24"/>
        </w:rPr>
        <w:t>“</w:t>
      </w:r>
      <w:r>
        <w:rPr>
          <w:bCs/>
          <w:sz w:val="24"/>
        </w:rPr>
        <w:t>三废</w:t>
      </w:r>
      <w:r>
        <w:rPr>
          <w:bCs/>
          <w:sz w:val="24"/>
        </w:rPr>
        <w:t>”</w:t>
      </w:r>
      <w:r>
        <w:rPr>
          <w:bCs/>
          <w:sz w:val="24"/>
        </w:rPr>
        <w:t>治理的过程中注重了对资源、能源</w:t>
      </w:r>
      <w:r>
        <w:rPr>
          <w:bCs/>
          <w:sz w:val="24"/>
        </w:rPr>
        <w:t>的回收利用，从而大大减少了生产过程中的资源流失。结合本工程特点，应包括提高水重复利用量的节水经济效益、减少粉尘排放的经济效益、一定时期内改善区域生态环境的经济效益。</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585" w:name="_Toc11898"/>
      <w:bookmarkStart w:id="586" w:name="_Toc28288"/>
      <w:bookmarkStart w:id="587" w:name="_Toc503218126"/>
      <w:bookmarkStart w:id="588" w:name="_Toc7545"/>
      <w:bookmarkStart w:id="589" w:name="_Toc521591827"/>
      <w:bookmarkStart w:id="590" w:name="_Toc21149"/>
      <w:bookmarkStart w:id="591" w:name="_Toc524285119"/>
      <w:bookmarkStart w:id="592" w:name="_Toc499651427"/>
      <w:r>
        <w:rPr>
          <w:rFonts w:ascii="Times New Roman" w:eastAsia="宋体" w:hAnsi="Times New Roman"/>
          <w:bCs w:val="0"/>
          <w:snapToGrid w:val="0"/>
          <w:kern w:val="0"/>
          <w:sz w:val="28"/>
          <w:szCs w:val="28"/>
        </w:rPr>
        <w:t>社会效益分析</w:t>
      </w:r>
      <w:bookmarkEnd w:id="585"/>
      <w:bookmarkEnd w:id="586"/>
      <w:bookmarkEnd w:id="587"/>
      <w:bookmarkEnd w:id="588"/>
      <w:bookmarkEnd w:id="589"/>
      <w:bookmarkEnd w:id="590"/>
      <w:bookmarkEnd w:id="591"/>
      <w:bookmarkEnd w:id="592"/>
    </w:p>
    <w:p w:rsidR="00DB7CC8" w:rsidRDefault="002B5250">
      <w:pPr>
        <w:autoSpaceDE w:val="0"/>
        <w:autoSpaceDN w:val="0"/>
        <w:ind w:firstLine="480"/>
        <w:jc w:val="both"/>
        <w:textAlignment w:val="auto"/>
        <w:rPr>
          <w:bCs/>
          <w:sz w:val="24"/>
        </w:rPr>
      </w:pPr>
      <w:r>
        <w:rPr>
          <w:bCs/>
          <w:sz w:val="24"/>
        </w:rPr>
        <w:t>本项目实施后将带来多方面的社会效益，其对社会的促进作用主要体现在以下几点：</w:t>
      </w:r>
    </w:p>
    <w:p w:rsidR="00DB7CC8" w:rsidRDefault="002B5250">
      <w:pPr>
        <w:autoSpaceDE w:val="0"/>
        <w:autoSpaceDN w:val="0"/>
        <w:ind w:firstLine="480"/>
        <w:jc w:val="both"/>
        <w:textAlignment w:val="auto"/>
        <w:rPr>
          <w:bCs/>
          <w:sz w:val="24"/>
        </w:rPr>
      </w:pPr>
      <w:r>
        <w:rPr>
          <w:bCs/>
          <w:sz w:val="24"/>
        </w:rPr>
        <w:t>（</w:t>
      </w:r>
      <w:r>
        <w:rPr>
          <w:bCs/>
          <w:sz w:val="24"/>
        </w:rPr>
        <w:t>1</w:t>
      </w:r>
      <w:r>
        <w:rPr>
          <w:bCs/>
          <w:sz w:val="24"/>
        </w:rPr>
        <w:t>）提供就业机会，解决农村剩余劳动力</w:t>
      </w:r>
    </w:p>
    <w:p w:rsidR="00DB7CC8" w:rsidRDefault="002B5250">
      <w:pPr>
        <w:autoSpaceDE w:val="0"/>
        <w:autoSpaceDN w:val="0"/>
        <w:ind w:firstLine="480"/>
        <w:jc w:val="both"/>
        <w:textAlignment w:val="auto"/>
        <w:rPr>
          <w:bCs/>
          <w:sz w:val="24"/>
        </w:rPr>
      </w:pPr>
      <w:r>
        <w:rPr>
          <w:bCs/>
          <w:sz w:val="24"/>
        </w:rPr>
        <w:t>本次建设项目劳动定员</w:t>
      </w:r>
      <w:r>
        <w:rPr>
          <w:bCs/>
          <w:sz w:val="24"/>
        </w:rPr>
        <w:t>75</w:t>
      </w:r>
      <w:r>
        <w:rPr>
          <w:bCs/>
          <w:sz w:val="24"/>
        </w:rPr>
        <w:t>人，其中除管理人员和技术人员外，其他人员人均可在当地解决。</w:t>
      </w:r>
    </w:p>
    <w:p w:rsidR="00DB7CC8" w:rsidRDefault="002B5250">
      <w:pPr>
        <w:autoSpaceDE w:val="0"/>
        <w:autoSpaceDN w:val="0"/>
        <w:ind w:firstLine="480"/>
        <w:jc w:val="both"/>
        <w:textAlignment w:val="auto"/>
        <w:rPr>
          <w:bCs/>
          <w:sz w:val="24"/>
        </w:rPr>
      </w:pPr>
      <w:r>
        <w:rPr>
          <w:bCs/>
          <w:sz w:val="24"/>
        </w:rPr>
        <w:t>（</w:t>
      </w:r>
      <w:r>
        <w:rPr>
          <w:bCs/>
          <w:sz w:val="24"/>
        </w:rPr>
        <w:t>2</w:t>
      </w:r>
      <w:r>
        <w:rPr>
          <w:bCs/>
          <w:sz w:val="24"/>
        </w:rPr>
        <w:t>）增加农民收入，加快脱贫致富，促进农村经济繁荣。</w:t>
      </w:r>
    </w:p>
    <w:p w:rsidR="00DB7CC8" w:rsidRDefault="002B5250">
      <w:pPr>
        <w:autoSpaceDE w:val="0"/>
        <w:autoSpaceDN w:val="0"/>
        <w:ind w:firstLine="480"/>
        <w:jc w:val="both"/>
        <w:textAlignment w:val="auto"/>
        <w:rPr>
          <w:bCs/>
          <w:sz w:val="24"/>
        </w:rPr>
      </w:pPr>
      <w:r>
        <w:rPr>
          <w:bCs/>
          <w:sz w:val="24"/>
        </w:rPr>
        <w:t>项目的实施改变了农村人口就业结构，随着农民收入的增加，有利于促进了农业进步和大</w:t>
      </w:r>
      <w:r>
        <w:rPr>
          <w:bCs/>
          <w:sz w:val="24"/>
        </w:rPr>
        <w:t>农业发展。</w:t>
      </w:r>
    </w:p>
    <w:p w:rsidR="00DB7CC8" w:rsidRDefault="002B5250">
      <w:pPr>
        <w:autoSpaceDE w:val="0"/>
        <w:autoSpaceDN w:val="0"/>
        <w:ind w:firstLine="480"/>
        <w:jc w:val="both"/>
        <w:textAlignment w:val="auto"/>
        <w:rPr>
          <w:bCs/>
          <w:sz w:val="24"/>
        </w:rPr>
      </w:pPr>
      <w:r>
        <w:rPr>
          <w:bCs/>
          <w:sz w:val="24"/>
        </w:rPr>
        <w:t>（</w:t>
      </w:r>
      <w:r>
        <w:rPr>
          <w:bCs/>
          <w:sz w:val="24"/>
        </w:rPr>
        <w:t>3</w:t>
      </w:r>
      <w:r>
        <w:rPr>
          <w:bCs/>
          <w:sz w:val="24"/>
        </w:rPr>
        <w:t>）带动相关产业的发展。</w:t>
      </w:r>
    </w:p>
    <w:p w:rsidR="00DB7CC8" w:rsidRDefault="002B5250">
      <w:pPr>
        <w:autoSpaceDE w:val="0"/>
        <w:autoSpaceDN w:val="0"/>
        <w:ind w:firstLine="480"/>
        <w:jc w:val="both"/>
        <w:textAlignment w:val="auto"/>
        <w:rPr>
          <w:bCs/>
          <w:sz w:val="24"/>
        </w:rPr>
      </w:pPr>
      <w:r>
        <w:rPr>
          <w:bCs/>
          <w:sz w:val="24"/>
        </w:rPr>
        <w:t>本次建设项目的实施将带动建筑业、运输业以及服务业的发展，同时由于人口的聚集，对农产品的需求将会有所增加，可有效地推动农业种植结构的优化调整。</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593" w:name="_Toc499651429"/>
      <w:bookmarkStart w:id="594" w:name="_Toc12052"/>
      <w:bookmarkStart w:id="595" w:name="_Toc29555"/>
      <w:bookmarkStart w:id="596" w:name="_Toc503218128"/>
      <w:bookmarkStart w:id="597" w:name="_Toc521591828"/>
      <w:bookmarkStart w:id="598" w:name="_Toc28066"/>
      <w:bookmarkStart w:id="599" w:name="_Toc24291"/>
      <w:bookmarkStart w:id="600" w:name="_Toc524285120"/>
      <w:r>
        <w:rPr>
          <w:rFonts w:ascii="Times New Roman" w:eastAsia="宋体" w:hAnsi="Times New Roman"/>
          <w:bCs w:val="0"/>
          <w:snapToGrid w:val="0"/>
          <w:kern w:val="0"/>
          <w:sz w:val="28"/>
          <w:szCs w:val="28"/>
        </w:rPr>
        <w:t>分析结论</w:t>
      </w:r>
      <w:bookmarkEnd w:id="593"/>
      <w:bookmarkEnd w:id="594"/>
      <w:bookmarkEnd w:id="595"/>
      <w:bookmarkEnd w:id="596"/>
      <w:bookmarkEnd w:id="597"/>
      <w:bookmarkEnd w:id="598"/>
      <w:bookmarkEnd w:id="599"/>
      <w:bookmarkEnd w:id="600"/>
    </w:p>
    <w:p w:rsidR="00DB7CC8" w:rsidRDefault="002B5250">
      <w:pPr>
        <w:autoSpaceDE w:val="0"/>
        <w:autoSpaceDN w:val="0"/>
        <w:ind w:firstLine="480"/>
        <w:jc w:val="both"/>
        <w:textAlignment w:val="auto"/>
        <w:rPr>
          <w:bCs/>
          <w:sz w:val="24"/>
        </w:rPr>
      </w:pPr>
      <w:r>
        <w:rPr>
          <w:bCs/>
          <w:sz w:val="24"/>
        </w:rPr>
        <w:t>综合以上分析，本项目具有较好经济、环境和社会效益，它的建成，将能够拉动地方经济的快速发展；废物资源化利用，将促进人类与社会的和谐发展。</w:t>
      </w:r>
    </w:p>
    <w:p w:rsidR="00DB7CC8" w:rsidRDefault="00DB7CC8">
      <w:pPr>
        <w:ind w:firstLineChars="0" w:firstLine="0"/>
        <w:sectPr w:rsidR="00DB7CC8">
          <w:pgSz w:w="11905" w:h="16838"/>
          <w:pgMar w:top="1440" w:right="1803" w:bottom="1134" w:left="1803" w:header="850" w:footer="992" w:gutter="0"/>
          <w:cols w:space="0"/>
          <w:docGrid w:linePitch="312"/>
        </w:sectPr>
      </w:pPr>
    </w:p>
    <w:p w:rsidR="00DB7CC8" w:rsidRDefault="002B5250">
      <w:pPr>
        <w:pStyle w:val="1"/>
        <w:numPr>
          <w:ilvl w:val="0"/>
          <w:numId w:val="1"/>
        </w:numPr>
        <w:rPr>
          <w:rFonts w:ascii="Times New Roman"/>
          <w:sz w:val="36"/>
        </w:rPr>
      </w:pPr>
      <w:bookmarkStart w:id="601" w:name="_Toc535351482"/>
      <w:bookmarkStart w:id="602" w:name="_Toc334831508"/>
      <w:bookmarkStart w:id="603" w:name="_Toc503218129"/>
      <w:bookmarkStart w:id="604" w:name="_Toc30243"/>
      <w:bookmarkStart w:id="605" w:name="_Toc25918"/>
      <w:bookmarkStart w:id="606" w:name="_Toc20860"/>
      <w:bookmarkStart w:id="607" w:name="_Toc524285121"/>
      <w:bookmarkStart w:id="608" w:name="_Toc521591829"/>
      <w:bookmarkStart w:id="609" w:name="_Toc19729"/>
      <w:bookmarkStart w:id="610" w:name="_Toc499651430"/>
      <w:bookmarkStart w:id="611" w:name="_Toc477175439"/>
      <w:r>
        <w:rPr>
          <w:rFonts w:ascii="Times New Roman"/>
          <w:sz w:val="36"/>
        </w:rPr>
        <w:lastRenderedPageBreak/>
        <w:t>环境管理和</w:t>
      </w:r>
      <w:bookmarkEnd w:id="601"/>
      <w:bookmarkEnd w:id="602"/>
      <w:r>
        <w:rPr>
          <w:rFonts w:ascii="Times New Roman"/>
          <w:sz w:val="36"/>
        </w:rPr>
        <w:t>环境监测</w:t>
      </w:r>
      <w:bookmarkEnd w:id="603"/>
      <w:bookmarkEnd w:id="604"/>
      <w:bookmarkEnd w:id="605"/>
      <w:bookmarkEnd w:id="606"/>
      <w:bookmarkEnd w:id="607"/>
      <w:bookmarkEnd w:id="608"/>
      <w:bookmarkEnd w:id="609"/>
      <w:bookmarkEnd w:id="610"/>
      <w:bookmarkEnd w:id="611"/>
    </w:p>
    <w:p w:rsidR="00DB7CC8" w:rsidRDefault="002B5250">
      <w:pPr>
        <w:autoSpaceDE w:val="0"/>
        <w:autoSpaceDN w:val="0"/>
        <w:ind w:firstLine="480"/>
        <w:jc w:val="both"/>
        <w:textAlignment w:val="auto"/>
        <w:rPr>
          <w:bCs/>
          <w:sz w:val="24"/>
        </w:rPr>
      </w:pPr>
      <w:r>
        <w:rPr>
          <w:bCs/>
          <w:sz w:val="24"/>
        </w:rPr>
        <w:t>环境管理是以环境科学理论为基础，运用经济、法律、技术、行政、教育等手段对经济、社会发展过程中施加给环境的影响进行调节控制，实现经济、社会和环境效益的和谐统一。</w:t>
      </w:r>
    </w:p>
    <w:p w:rsidR="00DB7CC8" w:rsidRDefault="002B5250">
      <w:pPr>
        <w:autoSpaceDE w:val="0"/>
        <w:autoSpaceDN w:val="0"/>
        <w:ind w:firstLine="480"/>
        <w:jc w:val="both"/>
        <w:textAlignment w:val="auto"/>
        <w:rPr>
          <w:bCs/>
          <w:sz w:val="24"/>
        </w:rPr>
      </w:pPr>
      <w:r>
        <w:rPr>
          <w:bCs/>
          <w:sz w:val="24"/>
        </w:rPr>
        <w:t>企业的环境管理和环境监测机构的建立，是从保护环境出发，根据建设项目特点，尤其是企业内部的重大环境因素，以及相应环保措施的落实，以一定的管理机构、制度确保环保措施实施的环境管理和监测计划，监督各项环保措施的实施，监测各项环保设施运行效果，更好地为环境管理提供科学依据。</w:t>
      </w:r>
    </w:p>
    <w:p w:rsidR="00DB7CC8" w:rsidRDefault="002B5250">
      <w:pPr>
        <w:autoSpaceDE w:val="0"/>
        <w:autoSpaceDN w:val="0"/>
        <w:ind w:firstLine="480"/>
        <w:jc w:val="both"/>
        <w:textAlignment w:val="auto"/>
        <w:rPr>
          <w:bCs/>
          <w:sz w:val="24"/>
        </w:rPr>
      </w:pPr>
      <w:r>
        <w:rPr>
          <w:bCs/>
          <w:sz w:val="24"/>
        </w:rPr>
        <w:t>本项目环境管理计划力求针对项目存在的主要环境问题以及应采取的环保工程措施，提出本项目环境管理和监测计划，也供各级环保部门对该项目进行环境管理时参考。</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612" w:name="_Toc8045570"/>
      <w:bookmarkStart w:id="613" w:name="_Toc13216555"/>
      <w:bookmarkStart w:id="614" w:name="_Toc7021"/>
      <w:r>
        <w:rPr>
          <w:rFonts w:ascii="Times New Roman" w:eastAsia="宋体" w:hAnsi="Times New Roman"/>
          <w:bCs w:val="0"/>
          <w:snapToGrid w:val="0"/>
          <w:kern w:val="0"/>
          <w:sz w:val="28"/>
          <w:szCs w:val="28"/>
        </w:rPr>
        <w:t>施工期环境管理</w:t>
      </w:r>
      <w:bookmarkEnd w:id="612"/>
      <w:bookmarkEnd w:id="613"/>
      <w:bookmarkEnd w:id="614"/>
    </w:p>
    <w:p w:rsidR="00DB7CC8" w:rsidRDefault="002B5250">
      <w:pPr>
        <w:autoSpaceDE w:val="0"/>
        <w:autoSpaceDN w:val="0"/>
        <w:ind w:firstLine="480"/>
        <w:jc w:val="both"/>
        <w:textAlignment w:val="auto"/>
        <w:rPr>
          <w:bCs/>
          <w:sz w:val="24"/>
          <w:szCs w:val="22"/>
        </w:rPr>
      </w:pPr>
      <w:r>
        <w:rPr>
          <w:rFonts w:hint="eastAsia"/>
          <w:bCs/>
          <w:sz w:val="24"/>
          <w:szCs w:val="22"/>
        </w:rPr>
        <w:t>为加强施工现场管理，防治施工扬尘污染和施工噪声污染，本评价对项目施工期环境管理提出如下要求：</w:t>
      </w:r>
    </w:p>
    <w:p w:rsidR="00DB7CC8" w:rsidRDefault="002B5250">
      <w:pPr>
        <w:autoSpaceDE w:val="0"/>
        <w:autoSpaceDN w:val="0"/>
        <w:ind w:firstLine="480"/>
        <w:jc w:val="both"/>
        <w:textAlignment w:val="auto"/>
        <w:rPr>
          <w:bCs/>
          <w:sz w:val="24"/>
          <w:szCs w:val="22"/>
        </w:rPr>
      </w:pPr>
      <w:r>
        <w:rPr>
          <w:rFonts w:hint="eastAsia"/>
          <w:bCs/>
          <w:sz w:val="24"/>
          <w:szCs w:val="22"/>
        </w:rPr>
        <w:t>⑴项目建设单位应配备</w:t>
      </w:r>
      <w:r>
        <w:rPr>
          <w:bCs/>
          <w:sz w:val="24"/>
          <w:szCs w:val="22"/>
        </w:rPr>
        <w:t>1</w:t>
      </w:r>
      <w:r>
        <w:rPr>
          <w:rFonts w:hint="eastAsia"/>
          <w:bCs/>
          <w:sz w:val="24"/>
          <w:szCs w:val="22"/>
        </w:rPr>
        <w:t>名具有环保专业知识的技术人员，专职或兼职负责施工期的环境保护工作，其主要职责如下：</w:t>
      </w:r>
    </w:p>
    <w:p w:rsidR="00DB7CC8" w:rsidRDefault="002B5250">
      <w:pPr>
        <w:autoSpaceDE w:val="0"/>
        <w:autoSpaceDN w:val="0"/>
        <w:ind w:firstLine="480"/>
        <w:jc w:val="both"/>
        <w:textAlignment w:val="auto"/>
        <w:rPr>
          <w:bCs/>
          <w:sz w:val="24"/>
          <w:szCs w:val="22"/>
        </w:rPr>
      </w:pPr>
      <w:r>
        <w:rPr>
          <w:rFonts w:hint="eastAsia"/>
          <w:bCs/>
          <w:sz w:val="24"/>
          <w:szCs w:val="22"/>
        </w:rPr>
        <w:t>①根据国家及地方政策有关施工管理调理和施工操作规范，结合项目的特点，制定施工环境管理调理，为施工单位的施工活动提出具体要求；</w:t>
      </w:r>
    </w:p>
    <w:p w:rsidR="00DB7CC8" w:rsidRDefault="002B5250">
      <w:pPr>
        <w:autoSpaceDE w:val="0"/>
        <w:autoSpaceDN w:val="0"/>
        <w:ind w:firstLine="480"/>
        <w:jc w:val="both"/>
        <w:textAlignment w:val="auto"/>
        <w:rPr>
          <w:bCs/>
          <w:sz w:val="24"/>
          <w:szCs w:val="22"/>
        </w:rPr>
      </w:pPr>
      <w:r>
        <w:rPr>
          <w:rFonts w:hint="eastAsia"/>
          <w:bCs/>
          <w:sz w:val="24"/>
          <w:szCs w:val="22"/>
        </w:rPr>
        <w:t>②监督、检查施工单位</w:t>
      </w:r>
      <w:r>
        <w:rPr>
          <w:rFonts w:hint="eastAsia"/>
          <w:bCs/>
          <w:sz w:val="24"/>
          <w:szCs w:val="22"/>
        </w:rPr>
        <w:t>对防污和治污的执行情况；</w:t>
      </w:r>
    </w:p>
    <w:p w:rsidR="00DB7CC8" w:rsidRDefault="002B5250">
      <w:pPr>
        <w:autoSpaceDE w:val="0"/>
        <w:autoSpaceDN w:val="0"/>
        <w:ind w:firstLine="480"/>
        <w:jc w:val="both"/>
        <w:textAlignment w:val="auto"/>
        <w:rPr>
          <w:bCs/>
          <w:sz w:val="24"/>
          <w:szCs w:val="22"/>
        </w:rPr>
      </w:pPr>
      <w:r>
        <w:rPr>
          <w:rFonts w:hint="eastAsia"/>
          <w:bCs/>
          <w:sz w:val="24"/>
          <w:szCs w:val="22"/>
        </w:rPr>
        <w:t>③参与有关环境纠纷和污染事故的调查处理工作。</w:t>
      </w:r>
    </w:p>
    <w:p w:rsidR="00DB7CC8" w:rsidRDefault="002B5250">
      <w:pPr>
        <w:autoSpaceDE w:val="0"/>
        <w:autoSpaceDN w:val="0"/>
        <w:ind w:firstLine="480"/>
        <w:jc w:val="both"/>
        <w:textAlignment w:val="auto"/>
        <w:rPr>
          <w:bCs/>
          <w:sz w:val="24"/>
          <w:szCs w:val="22"/>
        </w:rPr>
      </w:pPr>
      <w:r>
        <w:rPr>
          <w:rFonts w:hint="eastAsia"/>
          <w:bCs/>
          <w:sz w:val="24"/>
          <w:szCs w:val="22"/>
        </w:rPr>
        <w:t>⑵施工单位设置一名专职或兼职环境保护人员，其主要职责为：</w:t>
      </w:r>
    </w:p>
    <w:p w:rsidR="00DB7CC8" w:rsidRDefault="002B5250">
      <w:pPr>
        <w:autoSpaceDE w:val="0"/>
        <w:autoSpaceDN w:val="0"/>
        <w:ind w:firstLine="480"/>
        <w:jc w:val="both"/>
        <w:textAlignment w:val="auto"/>
        <w:rPr>
          <w:bCs/>
          <w:sz w:val="24"/>
          <w:szCs w:val="22"/>
        </w:rPr>
      </w:pPr>
      <w:r>
        <w:rPr>
          <w:rFonts w:hint="eastAsia"/>
          <w:bCs/>
          <w:sz w:val="24"/>
          <w:szCs w:val="22"/>
        </w:rPr>
        <w:t>①与建设单位环保人员一同制定工程施工环境管理条例；</w:t>
      </w:r>
    </w:p>
    <w:p w:rsidR="00DB7CC8" w:rsidRDefault="002B5250">
      <w:pPr>
        <w:autoSpaceDE w:val="0"/>
        <w:autoSpaceDN w:val="0"/>
        <w:ind w:firstLine="480"/>
        <w:jc w:val="both"/>
        <w:textAlignment w:val="auto"/>
        <w:rPr>
          <w:bCs/>
          <w:sz w:val="24"/>
          <w:szCs w:val="22"/>
        </w:rPr>
      </w:pPr>
      <w:r>
        <w:rPr>
          <w:rFonts w:hint="eastAsia"/>
          <w:bCs/>
          <w:sz w:val="24"/>
          <w:szCs w:val="22"/>
        </w:rPr>
        <w:t>②定期检查施工工程中环境管理条例设施情况，并督促有关人员进行整改；</w:t>
      </w:r>
    </w:p>
    <w:p w:rsidR="00DB7CC8" w:rsidRDefault="002B5250">
      <w:pPr>
        <w:autoSpaceDE w:val="0"/>
        <w:autoSpaceDN w:val="0"/>
        <w:ind w:firstLine="480"/>
        <w:jc w:val="both"/>
        <w:textAlignment w:val="auto"/>
        <w:rPr>
          <w:bCs/>
          <w:sz w:val="24"/>
          <w:szCs w:val="22"/>
        </w:rPr>
      </w:pPr>
      <w:r>
        <w:rPr>
          <w:rFonts w:hint="eastAsia"/>
          <w:bCs/>
          <w:sz w:val="24"/>
          <w:szCs w:val="22"/>
        </w:rPr>
        <w:t>③定期听取环保部门、建设单位和周围居民对施工污染影响的意见，以便进一步加强文明施工。</w:t>
      </w:r>
    </w:p>
    <w:p w:rsidR="00DB7CC8" w:rsidRDefault="002B5250">
      <w:pPr>
        <w:autoSpaceDE w:val="0"/>
        <w:autoSpaceDN w:val="0"/>
        <w:ind w:firstLine="480"/>
        <w:jc w:val="both"/>
        <w:textAlignment w:val="auto"/>
        <w:rPr>
          <w:bCs/>
          <w:sz w:val="24"/>
          <w:szCs w:val="22"/>
        </w:rPr>
      </w:pPr>
      <w:r>
        <w:rPr>
          <w:rFonts w:hint="eastAsia"/>
          <w:bCs/>
          <w:sz w:val="24"/>
          <w:szCs w:val="22"/>
        </w:rPr>
        <w:t>为减小施工期对环境的影响，环评要求设置专人对施工期进行环境管理，施工期环境管理一览表，见表</w:t>
      </w:r>
      <w:r>
        <w:rPr>
          <w:rFonts w:hint="eastAsia"/>
          <w:bCs/>
          <w:sz w:val="24"/>
          <w:szCs w:val="22"/>
        </w:rPr>
        <w:t>8.1-1</w:t>
      </w:r>
      <w:r>
        <w:rPr>
          <w:rFonts w:hint="eastAsia"/>
          <w:bCs/>
          <w:sz w:val="24"/>
          <w:szCs w:val="22"/>
        </w:rPr>
        <w:t>。</w:t>
      </w:r>
    </w:p>
    <w:p w:rsidR="00DB7CC8" w:rsidRDefault="00DB7CC8">
      <w:pPr>
        <w:autoSpaceDE w:val="0"/>
        <w:autoSpaceDN w:val="0"/>
        <w:ind w:firstLine="480"/>
        <w:jc w:val="both"/>
        <w:textAlignment w:val="auto"/>
        <w:rPr>
          <w:bCs/>
          <w:sz w:val="24"/>
        </w:rPr>
      </w:pPr>
    </w:p>
    <w:p w:rsidR="00DB7CC8" w:rsidRDefault="00DB7CC8">
      <w:pPr>
        <w:autoSpaceDE w:val="0"/>
        <w:autoSpaceDN w:val="0"/>
        <w:ind w:firstLine="480"/>
        <w:jc w:val="both"/>
        <w:textAlignment w:val="auto"/>
        <w:rPr>
          <w:bCs/>
          <w:sz w:val="24"/>
        </w:rPr>
      </w:pPr>
    </w:p>
    <w:p w:rsidR="00DB7CC8" w:rsidRDefault="002B5250">
      <w:pPr>
        <w:spacing w:line="240" w:lineRule="auto"/>
        <w:ind w:firstLineChars="0" w:firstLine="0"/>
        <w:jc w:val="center"/>
        <w:textAlignment w:val="auto"/>
        <w:rPr>
          <w:rFonts w:eastAsia="黑体"/>
          <w:kern w:val="2"/>
          <w:sz w:val="21"/>
          <w:szCs w:val="21"/>
        </w:rPr>
      </w:pPr>
      <w:bookmarkStart w:id="615" w:name="_Ref6908867"/>
      <w:r>
        <w:rPr>
          <w:rFonts w:eastAsia="黑体" w:hint="eastAsia"/>
          <w:kern w:val="2"/>
          <w:sz w:val="21"/>
          <w:szCs w:val="21"/>
        </w:rPr>
        <w:lastRenderedPageBreak/>
        <w:t>表</w:t>
      </w:r>
      <w:r>
        <w:rPr>
          <w:rFonts w:eastAsia="黑体" w:hint="eastAsia"/>
          <w:kern w:val="2"/>
          <w:sz w:val="21"/>
          <w:szCs w:val="21"/>
        </w:rPr>
        <w:t>8.1-1</w:t>
      </w:r>
      <w:r>
        <w:rPr>
          <w:rFonts w:eastAsia="黑体"/>
          <w:kern w:val="2"/>
          <w:sz w:val="21"/>
          <w:szCs w:val="21"/>
        </w:rPr>
        <w:t xml:space="preserve"> </w:t>
      </w:r>
      <w:bookmarkEnd w:id="615"/>
      <w:r>
        <w:rPr>
          <w:rFonts w:eastAsia="黑体"/>
          <w:kern w:val="2"/>
          <w:sz w:val="21"/>
          <w:szCs w:val="21"/>
        </w:rPr>
        <w:t xml:space="preserve">  </w:t>
      </w:r>
      <w:r>
        <w:rPr>
          <w:rFonts w:eastAsia="黑体" w:hint="eastAsia"/>
          <w:kern w:val="2"/>
          <w:sz w:val="21"/>
          <w:szCs w:val="21"/>
        </w:rPr>
        <w:t>施工期环境管理一览表</w:t>
      </w:r>
    </w:p>
    <w:tbl>
      <w:tblPr>
        <w:tblpPr w:leftFromText="180" w:rightFromText="180" w:vertAnchor="text" w:horzAnchor="page" w:tblpX="1875" w:tblpY="39"/>
        <w:tblOverlap w:val="never"/>
        <w:tblW w:w="86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3"/>
        <w:gridCol w:w="5593"/>
        <w:gridCol w:w="1134"/>
        <w:gridCol w:w="1118"/>
      </w:tblGrid>
      <w:tr w:rsidR="00DB7CC8">
        <w:trPr>
          <w:trHeight w:val="397"/>
        </w:trPr>
        <w:tc>
          <w:tcPr>
            <w:tcW w:w="853"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lang w:val="zh-CN"/>
              </w:rPr>
            </w:pPr>
            <w:r>
              <w:rPr>
                <w:rFonts w:hint="eastAsia"/>
              </w:rPr>
              <w:t>污染物</w:t>
            </w:r>
          </w:p>
        </w:tc>
        <w:tc>
          <w:tcPr>
            <w:tcW w:w="5593"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防治或控制措施</w:t>
            </w:r>
          </w:p>
        </w:tc>
        <w:tc>
          <w:tcPr>
            <w:tcW w:w="2252" w:type="dxa"/>
            <w:gridSpan w:val="2"/>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环境</w:t>
            </w:r>
            <w:r>
              <w:rPr>
                <w:rFonts w:hint="eastAsia"/>
              </w:rPr>
              <w:t>管理</w:t>
            </w:r>
          </w:p>
        </w:tc>
      </w:tr>
      <w:tr w:rsidR="00DB7CC8">
        <w:trPr>
          <w:trHeight w:val="397"/>
        </w:trPr>
        <w:tc>
          <w:tcPr>
            <w:tcW w:w="853"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施</w:t>
            </w:r>
          </w:p>
          <w:p w:rsidR="00DB7CC8" w:rsidRDefault="002B5250">
            <w:pPr>
              <w:pStyle w:val="afffffffc"/>
              <w:spacing w:line="240" w:lineRule="auto"/>
            </w:pPr>
            <w:r>
              <w:rPr>
                <w:rFonts w:hint="eastAsia"/>
              </w:rPr>
              <w:t>工</w:t>
            </w:r>
          </w:p>
          <w:p w:rsidR="00DB7CC8" w:rsidRDefault="002B5250">
            <w:pPr>
              <w:pStyle w:val="afffffffc"/>
              <w:spacing w:line="240" w:lineRule="auto"/>
            </w:pPr>
            <w:r>
              <w:rPr>
                <w:rFonts w:hint="eastAsia"/>
              </w:rPr>
              <w:t>扬</w:t>
            </w:r>
          </w:p>
          <w:p w:rsidR="00DB7CC8" w:rsidRDefault="002B5250">
            <w:pPr>
              <w:pStyle w:val="afffffffc"/>
              <w:spacing w:line="240" w:lineRule="auto"/>
            </w:pPr>
            <w:r>
              <w:rPr>
                <w:rFonts w:hint="eastAsia"/>
              </w:rPr>
              <w:t>尘</w:t>
            </w:r>
          </w:p>
        </w:tc>
        <w:tc>
          <w:tcPr>
            <w:tcW w:w="5593"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1.</w:t>
            </w:r>
            <w:r>
              <w:rPr>
                <w:rFonts w:hint="eastAsia"/>
              </w:rPr>
              <w:t>加强现场执法检查，强化土方作业时段监督管理，增加检查频次，加大处罚力度；</w:t>
            </w:r>
            <w:r>
              <w:t>2.</w:t>
            </w:r>
            <w:r>
              <w:rPr>
                <w:rFonts w:hint="eastAsia"/>
              </w:rPr>
              <w:t>建设工程施工现场必须全封闭设置围挡墙，严禁敞开式作业；</w:t>
            </w:r>
            <w:r>
              <w:t>3.</w:t>
            </w:r>
            <w:r>
              <w:rPr>
                <w:rFonts w:hint="eastAsia"/>
              </w:rPr>
              <w:t>施工现场道路、作业区、生活区必须进行地面硬化；</w:t>
            </w:r>
            <w:r>
              <w:t>4.</w:t>
            </w:r>
            <w:r>
              <w:rPr>
                <w:rFonts w:hint="eastAsia"/>
              </w:rPr>
              <w:t>材料运输过程中加盖苫布，防止物料洒落。</w:t>
            </w:r>
            <w:r>
              <w:t>5.</w:t>
            </w:r>
            <w:r>
              <w:rPr>
                <w:rFonts w:hint="eastAsia"/>
              </w:rPr>
              <w:t>对因堆放、装卸、运输、搅拌等易产生扬尘的污染源，应采取遮盖、洒水、封闭等控制措施；</w:t>
            </w:r>
            <w:r>
              <w:t>6.</w:t>
            </w:r>
            <w:r>
              <w:rPr>
                <w:rFonts w:hint="eastAsia"/>
              </w:rPr>
              <w:t>施工现场的垃圾、渣土、沙石等要及时清运，建筑施工场地出口设置冲洗平台；</w:t>
            </w:r>
            <w:r>
              <w:t>7.</w:t>
            </w:r>
            <w:r>
              <w:rPr>
                <w:rFonts w:hint="eastAsia"/>
              </w:rPr>
              <w:t>施工扬尘污染控制情况纳入建筑企业信用管理系统，作为招投标重要依据；</w:t>
            </w:r>
            <w:r>
              <w:t>8.</w:t>
            </w:r>
            <w:r>
              <w:rPr>
                <w:rFonts w:hint="eastAsia"/>
              </w:rPr>
              <w:t>建筑工地要达到《河北省建筑施工扬尘防治强化措施</w:t>
            </w:r>
            <w:r>
              <w:t>18</w:t>
            </w:r>
            <w:r>
              <w:rPr>
                <w:rFonts w:hint="eastAsia"/>
              </w:rPr>
              <w:t>条》（冀建安</w:t>
            </w:r>
            <w:r>
              <w:t>[2016]27</w:t>
            </w:r>
            <w:r>
              <w:rPr>
                <w:rFonts w:hint="eastAsia"/>
              </w:rPr>
              <w:t>号）标准要求，防止扬尘污染。</w:t>
            </w:r>
          </w:p>
        </w:tc>
        <w:tc>
          <w:tcPr>
            <w:tcW w:w="1134"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施工单位环保措施上墙，落实到人，作好施工场地环境管理和保洁工作</w:t>
            </w:r>
          </w:p>
        </w:tc>
        <w:tc>
          <w:tcPr>
            <w:tcW w:w="1118"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0"/>
              </w:rPr>
            </w:pPr>
            <w:r>
              <w:rPr>
                <w:rFonts w:hint="eastAsia"/>
              </w:rPr>
              <w:t>建筑行政管理部门及环境管理部门进行定期检查</w:t>
            </w:r>
          </w:p>
        </w:tc>
      </w:tr>
      <w:tr w:rsidR="00DB7CC8">
        <w:trPr>
          <w:trHeight w:val="397"/>
        </w:trPr>
        <w:tc>
          <w:tcPr>
            <w:tcW w:w="853"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施工噪声</w:t>
            </w:r>
          </w:p>
        </w:tc>
        <w:tc>
          <w:tcPr>
            <w:tcW w:w="5593"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t>1.</w:t>
            </w:r>
            <w:r>
              <w:rPr>
                <w:rFonts w:hint="eastAsia"/>
              </w:rPr>
              <w:t>合理安排施工时间，尽量避免同时使用大量动力机械设备；</w:t>
            </w:r>
          </w:p>
          <w:p w:rsidR="00DB7CC8" w:rsidRDefault="002B5250">
            <w:pPr>
              <w:pStyle w:val="afffffffc"/>
              <w:spacing w:line="240" w:lineRule="auto"/>
            </w:pPr>
            <w:r>
              <w:t>2.</w:t>
            </w:r>
            <w:r>
              <w:rPr>
                <w:rFonts w:hint="eastAsia"/>
              </w:rPr>
              <w:t>施工单位开工</w:t>
            </w:r>
            <w:r>
              <w:t>15</w:t>
            </w:r>
            <w:r>
              <w:rPr>
                <w:rFonts w:hint="eastAsia"/>
              </w:rPr>
              <w:t>日前，携带施工资料等到所在地县级以上地方人民政府环境保护行政主管部门申报《建设施工环保审批表》，经批准后方可施工；</w:t>
            </w:r>
          </w:p>
          <w:p w:rsidR="00DB7CC8" w:rsidRDefault="002B5250">
            <w:pPr>
              <w:pStyle w:val="afffffffc"/>
              <w:spacing w:line="240" w:lineRule="auto"/>
            </w:pPr>
            <w:r>
              <w:t>3.</w:t>
            </w:r>
            <w:r>
              <w:rPr>
                <w:rFonts w:hint="eastAsia"/>
              </w:rPr>
              <w:t>建设招投标单位将投标方的低噪声、低振动施工设备和相应技术作为中标的考虑内容；</w:t>
            </w:r>
          </w:p>
          <w:p w:rsidR="00DB7CC8" w:rsidRDefault="002B5250">
            <w:pPr>
              <w:pStyle w:val="afffffffc"/>
              <w:spacing w:line="240" w:lineRule="auto"/>
            </w:pPr>
            <w:r>
              <w:t>4.</w:t>
            </w:r>
            <w:r>
              <w:rPr>
                <w:rFonts w:hint="eastAsia"/>
              </w:rPr>
              <w:t>合理安排施工场地；</w:t>
            </w:r>
          </w:p>
          <w:p w:rsidR="00DB7CC8" w:rsidRDefault="002B5250">
            <w:pPr>
              <w:pStyle w:val="afffffffc"/>
              <w:spacing w:line="240" w:lineRule="auto"/>
            </w:pPr>
            <w:r>
              <w:t>5.</w:t>
            </w:r>
            <w:r>
              <w:rPr>
                <w:rFonts w:hint="eastAsia"/>
              </w:rPr>
              <w:t>合理选择运输路线，尽量避开沿途的环境敏感点。</w:t>
            </w:r>
          </w:p>
        </w:tc>
        <w:tc>
          <w:tcPr>
            <w:tcW w:w="1134"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spacing w:val="-4"/>
              </w:rPr>
              <w:t>-</w:t>
            </w:r>
          </w:p>
        </w:tc>
        <w:tc>
          <w:tcPr>
            <w:tcW w:w="1118" w:type="dxa"/>
            <w:vMerge w:val="restart"/>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zCs w:val="22"/>
              </w:rPr>
            </w:pPr>
            <w:r>
              <w:rPr>
                <w:rFonts w:hint="eastAsia"/>
              </w:rPr>
              <w:t>建筑行政管理部门及环境管理部门进行定期检查</w:t>
            </w:r>
          </w:p>
        </w:tc>
      </w:tr>
      <w:tr w:rsidR="00DB7CC8">
        <w:trPr>
          <w:trHeight w:val="397"/>
        </w:trPr>
        <w:tc>
          <w:tcPr>
            <w:tcW w:w="853"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建筑</w:t>
            </w:r>
          </w:p>
          <w:p w:rsidR="00DB7CC8" w:rsidRDefault="002B5250">
            <w:pPr>
              <w:pStyle w:val="afffffffc"/>
              <w:spacing w:line="240" w:lineRule="auto"/>
            </w:pPr>
            <w:r>
              <w:rPr>
                <w:rFonts w:hint="eastAsia"/>
              </w:rPr>
              <w:t>垃圾</w:t>
            </w:r>
          </w:p>
        </w:tc>
        <w:tc>
          <w:tcPr>
            <w:tcW w:w="5593"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建筑垃圾多余弃土及时清运，不得长期堆存，作到随有随清，车辆用毡布遮盖，防治撒落。</w:t>
            </w:r>
          </w:p>
        </w:tc>
        <w:tc>
          <w:tcPr>
            <w:tcW w:w="1134"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pacing w:val="-4"/>
              </w:rPr>
            </w:pPr>
            <w:r>
              <w:rPr>
                <w:rFonts w:hint="eastAsia"/>
                <w:spacing w:val="-4"/>
              </w:rPr>
              <w:t>渣土清运至指定地点填埋</w:t>
            </w:r>
          </w:p>
        </w:tc>
        <w:tc>
          <w:tcPr>
            <w:tcW w:w="1118" w:type="dxa"/>
            <w:vMerge/>
            <w:tcBorders>
              <w:top w:val="single" w:sz="4" w:space="0" w:color="auto"/>
              <w:left w:val="single" w:sz="4" w:space="0" w:color="auto"/>
              <w:bottom w:val="single" w:sz="4" w:space="0" w:color="auto"/>
              <w:right w:val="single" w:sz="4" w:space="0" w:color="auto"/>
            </w:tcBorders>
            <w:vAlign w:val="center"/>
          </w:tcPr>
          <w:p w:rsidR="00DB7CC8" w:rsidRDefault="00DB7CC8">
            <w:pPr>
              <w:pStyle w:val="afffffffc"/>
              <w:spacing w:line="240" w:lineRule="auto"/>
              <w:rPr>
                <w:sz w:val="22"/>
                <w:szCs w:val="22"/>
                <w:lang w:val="zh-CN" w:bidi="zh-CN"/>
              </w:rPr>
            </w:pPr>
          </w:p>
        </w:tc>
      </w:tr>
      <w:tr w:rsidR="00DB7CC8">
        <w:trPr>
          <w:trHeight w:val="397"/>
        </w:trPr>
        <w:tc>
          <w:tcPr>
            <w:tcW w:w="853"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防渗</w:t>
            </w:r>
          </w:p>
          <w:p w:rsidR="00DB7CC8" w:rsidRDefault="002B5250">
            <w:pPr>
              <w:pStyle w:val="afffffffc"/>
              <w:spacing w:line="240" w:lineRule="auto"/>
            </w:pPr>
            <w:r>
              <w:rPr>
                <w:rFonts w:hint="eastAsia"/>
              </w:rPr>
              <w:t>工程</w:t>
            </w:r>
          </w:p>
        </w:tc>
        <w:tc>
          <w:tcPr>
            <w:tcW w:w="5593"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pPr>
            <w:r>
              <w:rPr>
                <w:rFonts w:hint="eastAsia"/>
              </w:rPr>
              <w:t>重点防渗区包括：危废间；一般防渗区包括：精粉库、沉淀池、清水池、压滤机设备间、球磨车间、事故池；简单防渗区包括车库、配电室、办公区、旱厕和洗车平台等（详见图</w:t>
            </w:r>
            <w:r>
              <w:t>6.2-1</w:t>
            </w:r>
            <w:r>
              <w:rPr>
                <w:rFonts w:hint="eastAsia"/>
              </w:rPr>
              <w:t>）。具体防渗措施见</w:t>
            </w:r>
            <w:r>
              <w:t>6.2.3.3</w:t>
            </w:r>
            <w:r>
              <w:rPr>
                <w:rFonts w:hint="eastAsia"/>
              </w:rPr>
              <w:t>。</w:t>
            </w:r>
          </w:p>
        </w:tc>
        <w:tc>
          <w:tcPr>
            <w:tcW w:w="1134" w:type="dxa"/>
            <w:tcBorders>
              <w:top w:val="single" w:sz="4" w:space="0" w:color="auto"/>
              <w:left w:val="single" w:sz="4" w:space="0" w:color="auto"/>
              <w:bottom w:val="single" w:sz="4" w:space="0" w:color="auto"/>
              <w:right w:val="single" w:sz="4" w:space="0" w:color="auto"/>
            </w:tcBorders>
            <w:vAlign w:val="center"/>
          </w:tcPr>
          <w:p w:rsidR="00DB7CC8" w:rsidRDefault="002B5250">
            <w:pPr>
              <w:pStyle w:val="afffffffc"/>
              <w:spacing w:line="240" w:lineRule="auto"/>
              <w:rPr>
                <w:spacing w:val="-4"/>
              </w:rPr>
            </w:pPr>
            <w:r>
              <w:rPr>
                <w:spacing w:val="-4"/>
              </w:rPr>
              <w:t>-</w:t>
            </w:r>
          </w:p>
        </w:tc>
        <w:tc>
          <w:tcPr>
            <w:tcW w:w="1118" w:type="dxa"/>
            <w:vMerge/>
            <w:tcBorders>
              <w:top w:val="single" w:sz="4" w:space="0" w:color="auto"/>
              <w:left w:val="single" w:sz="4" w:space="0" w:color="auto"/>
              <w:bottom w:val="single" w:sz="4" w:space="0" w:color="auto"/>
              <w:right w:val="single" w:sz="4" w:space="0" w:color="auto"/>
            </w:tcBorders>
            <w:vAlign w:val="center"/>
          </w:tcPr>
          <w:p w:rsidR="00DB7CC8" w:rsidRDefault="00DB7CC8">
            <w:pPr>
              <w:pStyle w:val="afffffffc"/>
              <w:spacing w:line="240" w:lineRule="auto"/>
              <w:rPr>
                <w:sz w:val="22"/>
                <w:szCs w:val="22"/>
                <w:lang w:val="zh-CN" w:bidi="zh-CN"/>
              </w:rPr>
            </w:pPr>
          </w:p>
        </w:tc>
      </w:tr>
    </w:tbl>
    <w:p w:rsidR="00DB7CC8" w:rsidRDefault="00DB7CC8">
      <w:pPr>
        <w:autoSpaceDE w:val="0"/>
        <w:autoSpaceDN w:val="0"/>
        <w:ind w:firstLineChars="0" w:firstLine="0"/>
        <w:jc w:val="both"/>
        <w:textAlignment w:val="auto"/>
        <w:rPr>
          <w:bCs/>
          <w:sz w:val="24"/>
        </w:rPr>
      </w:pP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616" w:name="_Toc27492"/>
      <w:bookmarkStart w:id="617" w:name="_Toc25288"/>
      <w:bookmarkStart w:id="618" w:name="_Toc503218130"/>
      <w:bookmarkStart w:id="619" w:name="_Toc521591831"/>
      <w:bookmarkStart w:id="620" w:name="_Toc27383"/>
      <w:bookmarkStart w:id="621" w:name="_Toc477175440"/>
      <w:bookmarkStart w:id="622" w:name="_Toc524285123"/>
      <w:bookmarkStart w:id="623" w:name="_Toc176578296"/>
      <w:bookmarkStart w:id="624" w:name="_Toc321984021"/>
      <w:bookmarkStart w:id="625" w:name="_Toc499651431"/>
      <w:bookmarkStart w:id="626" w:name="_Toc19637"/>
      <w:bookmarkStart w:id="627" w:name="_Toc186367930"/>
      <w:r>
        <w:rPr>
          <w:rFonts w:ascii="Times New Roman" w:eastAsia="宋体" w:hAnsi="Times New Roman"/>
          <w:bCs w:val="0"/>
          <w:snapToGrid w:val="0"/>
          <w:kern w:val="0"/>
          <w:sz w:val="28"/>
          <w:szCs w:val="28"/>
        </w:rPr>
        <w:t>运营期环境管理</w:t>
      </w:r>
      <w:bookmarkEnd w:id="616"/>
      <w:bookmarkEnd w:id="617"/>
      <w:bookmarkEnd w:id="618"/>
      <w:bookmarkEnd w:id="619"/>
      <w:bookmarkEnd w:id="620"/>
      <w:bookmarkEnd w:id="621"/>
      <w:bookmarkEnd w:id="622"/>
      <w:bookmarkEnd w:id="623"/>
      <w:bookmarkEnd w:id="624"/>
      <w:bookmarkEnd w:id="625"/>
      <w:bookmarkEnd w:id="626"/>
      <w:bookmarkEnd w:id="627"/>
    </w:p>
    <w:p w:rsidR="00DB7CC8" w:rsidRDefault="002B5250">
      <w:pPr>
        <w:autoSpaceDE w:val="0"/>
        <w:autoSpaceDN w:val="0"/>
        <w:ind w:firstLine="480"/>
        <w:jc w:val="both"/>
        <w:textAlignment w:val="auto"/>
        <w:rPr>
          <w:sz w:val="24"/>
        </w:rPr>
      </w:pPr>
      <w:r>
        <w:rPr>
          <w:sz w:val="24"/>
        </w:rPr>
        <w:t>环境管理是企业管理工作重要组成部分。其主要目的是通过环境管理工作的开展，提高全体员工环保意识，促进企业积极主动地预防和治理污染，避免因管理不善产生环境污染。因此，企业要贯彻落实国家和地方有关法律和法规，正确处理企业发展与环境保护的关系，实现清洁生产，从而真正达到持续发展的战略目标。</w:t>
      </w:r>
    </w:p>
    <w:p w:rsidR="00DB7CC8" w:rsidRDefault="002B5250">
      <w:pPr>
        <w:pStyle w:val="3"/>
        <w:numPr>
          <w:ilvl w:val="2"/>
          <w:numId w:val="1"/>
        </w:numPr>
        <w:rPr>
          <w:szCs w:val="28"/>
        </w:rPr>
      </w:pPr>
      <w:bookmarkStart w:id="628" w:name="_Toc521591832"/>
      <w:bookmarkStart w:id="629" w:name="_Toc5636"/>
      <w:r>
        <w:rPr>
          <w:szCs w:val="28"/>
        </w:rPr>
        <w:t>机构组成</w:t>
      </w:r>
      <w:bookmarkEnd w:id="628"/>
      <w:bookmarkEnd w:id="629"/>
    </w:p>
    <w:p w:rsidR="00DB7CC8" w:rsidRDefault="002B5250">
      <w:pPr>
        <w:autoSpaceDE w:val="0"/>
        <w:autoSpaceDN w:val="0"/>
        <w:ind w:firstLine="480"/>
        <w:jc w:val="both"/>
        <w:textAlignment w:val="auto"/>
        <w:rPr>
          <w:sz w:val="24"/>
        </w:rPr>
      </w:pPr>
      <w:r>
        <w:rPr>
          <w:sz w:val="24"/>
        </w:rPr>
        <w:t>建立环境管理机构是环境管理工作科学化、制度化、经常化的组织保障，是将环境保护纳入企业管理和生产计划并制定合理的污染控制指标，使企业排污符合国家和地方有关排放标准，并实现</w:t>
      </w:r>
      <w:r>
        <w:rPr>
          <w:sz w:val="24"/>
        </w:rPr>
        <w:t>“</w:t>
      </w:r>
      <w:r>
        <w:rPr>
          <w:sz w:val="24"/>
        </w:rPr>
        <w:t>一控双达标</w:t>
      </w:r>
      <w:r>
        <w:rPr>
          <w:sz w:val="24"/>
        </w:rPr>
        <w:t>”</w:t>
      </w:r>
      <w:r>
        <w:rPr>
          <w:sz w:val="24"/>
        </w:rPr>
        <w:t>，企业内部必须建立环境管理机构。</w:t>
      </w:r>
    </w:p>
    <w:p w:rsidR="00DB7CC8" w:rsidRDefault="002B5250">
      <w:pPr>
        <w:autoSpaceDE w:val="0"/>
        <w:autoSpaceDN w:val="0"/>
        <w:ind w:firstLine="480"/>
        <w:jc w:val="both"/>
        <w:textAlignment w:val="auto"/>
        <w:rPr>
          <w:sz w:val="24"/>
        </w:rPr>
      </w:pPr>
      <w:r>
        <w:rPr>
          <w:sz w:val="24"/>
        </w:rPr>
        <w:t>根据项目实际情况，企业应当建立环保机构，负责项目施工、运营期间的安</w:t>
      </w:r>
      <w:r>
        <w:rPr>
          <w:sz w:val="24"/>
        </w:rPr>
        <w:lastRenderedPageBreak/>
        <w:t>全生产和环境管理工作。由公司总经理负责，</w:t>
      </w:r>
      <w:r>
        <w:rPr>
          <w:sz w:val="24"/>
        </w:rPr>
        <w:t>1</w:t>
      </w:r>
      <w:r>
        <w:rPr>
          <w:sz w:val="24"/>
        </w:rPr>
        <w:t>名副经理分管主抓，成员由各生产岗位领导组成，专门研究、决策有关环境保护方面的事宜。同时配备</w:t>
      </w:r>
      <w:r>
        <w:rPr>
          <w:sz w:val="24"/>
        </w:rPr>
        <w:t>1</w:t>
      </w:r>
      <w:r>
        <w:rPr>
          <w:sz w:val="24"/>
        </w:rPr>
        <w:t>专职环保员，担负起全厂环境管理工作，使各项环保措施、制度得以贯彻落实。</w:t>
      </w:r>
    </w:p>
    <w:p w:rsidR="00DB7CC8" w:rsidRDefault="002B5250">
      <w:pPr>
        <w:pStyle w:val="3"/>
        <w:numPr>
          <w:ilvl w:val="2"/>
          <w:numId w:val="1"/>
        </w:numPr>
        <w:rPr>
          <w:szCs w:val="28"/>
        </w:rPr>
      </w:pPr>
      <w:bookmarkStart w:id="630" w:name="_Toc521591833"/>
      <w:bookmarkStart w:id="631" w:name="_Toc9134"/>
      <w:r>
        <w:rPr>
          <w:szCs w:val="28"/>
        </w:rPr>
        <w:t>机构职责</w:t>
      </w:r>
      <w:bookmarkEnd w:id="630"/>
      <w:bookmarkEnd w:id="631"/>
    </w:p>
    <w:p w:rsidR="00DB7CC8" w:rsidRDefault="002B5250">
      <w:pPr>
        <w:autoSpaceDE w:val="0"/>
        <w:autoSpaceDN w:val="0"/>
        <w:ind w:firstLine="480"/>
        <w:jc w:val="both"/>
        <w:textAlignment w:val="auto"/>
        <w:rPr>
          <w:sz w:val="24"/>
        </w:rPr>
      </w:pPr>
      <w:r>
        <w:rPr>
          <w:sz w:val="24"/>
        </w:rPr>
        <w:t>企业环保机构应具有厂内行使环保执法的权利，并接受当地环保管理部门的指导和监督。其主要职责如下：</w:t>
      </w:r>
    </w:p>
    <w:p w:rsidR="00DB7CC8" w:rsidRDefault="002B5250">
      <w:pPr>
        <w:autoSpaceDE w:val="0"/>
        <w:autoSpaceDN w:val="0"/>
        <w:ind w:firstLine="480"/>
        <w:jc w:val="both"/>
        <w:textAlignment w:val="auto"/>
        <w:rPr>
          <w:sz w:val="24"/>
        </w:rPr>
      </w:pPr>
      <w:r>
        <w:rPr>
          <w:sz w:val="24"/>
        </w:rPr>
        <w:t>（</w:t>
      </w:r>
      <w:r>
        <w:rPr>
          <w:sz w:val="24"/>
        </w:rPr>
        <w:t>1</w:t>
      </w:r>
      <w:r>
        <w:rPr>
          <w:sz w:val="24"/>
        </w:rPr>
        <w:t>）贯彻、宣传国家的环保方针、政策和法律法规。</w:t>
      </w:r>
    </w:p>
    <w:p w:rsidR="00DB7CC8" w:rsidRDefault="002B5250">
      <w:pPr>
        <w:autoSpaceDE w:val="0"/>
        <w:autoSpaceDN w:val="0"/>
        <w:ind w:firstLine="480"/>
        <w:jc w:val="both"/>
        <w:textAlignment w:val="auto"/>
        <w:rPr>
          <w:sz w:val="24"/>
        </w:rPr>
      </w:pPr>
      <w:r>
        <w:rPr>
          <w:sz w:val="24"/>
        </w:rPr>
        <w:t>（</w:t>
      </w:r>
      <w:r>
        <w:rPr>
          <w:sz w:val="24"/>
        </w:rPr>
        <w:t>2</w:t>
      </w:r>
      <w:r>
        <w:rPr>
          <w:sz w:val="24"/>
        </w:rPr>
        <w:t>）制定本厂的环保管理制度。建立和健全企业内部环境保护目标责任制度和考核制度，严格</w:t>
      </w:r>
      <w:r>
        <w:rPr>
          <w:sz w:val="24"/>
        </w:rPr>
        <w:t>考核各环保设施处理效果，要有相应的奖惩制度。</w:t>
      </w:r>
    </w:p>
    <w:p w:rsidR="00DB7CC8" w:rsidRDefault="002B5250">
      <w:pPr>
        <w:autoSpaceDE w:val="0"/>
        <w:autoSpaceDN w:val="0"/>
        <w:ind w:firstLine="480"/>
        <w:jc w:val="both"/>
        <w:textAlignment w:val="auto"/>
        <w:rPr>
          <w:sz w:val="24"/>
        </w:rPr>
      </w:pPr>
      <w:r>
        <w:rPr>
          <w:sz w:val="24"/>
        </w:rPr>
        <w:t>（</w:t>
      </w:r>
      <w:r>
        <w:rPr>
          <w:sz w:val="24"/>
        </w:rPr>
        <w:t>3</w:t>
      </w:r>
      <w:r>
        <w:rPr>
          <w:sz w:val="24"/>
        </w:rPr>
        <w:t>）监督检查本项目执行</w:t>
      </w:r>
      <w:r>
        <w:rPr>
          <w:sz w:val="24"/>
        </w:rPr>
        <w:t>“</w:t>
      </w:r>
      <w:r>
        <w:rPr>
          <w:sz w:val="24"/>
        </w:rPr>
        <w:t>三同时</w:t>
      </w:r>
      <w:r>
        <w:rPr>
          <w:sz w:val="24"/>
        </w:rPr>
        <w:t>”</w:t>
      </w:r>
      <w:r>
        <w:rPr>
          <w:sz w:val="24"/>
        </w:rPr>
        <w:t>规定的情况。</w:t>
      </w:r>
    </w:p>
    <w:p w:rsidR="00DB7CC8" w:rsidRDefault="002B5250">
      <w:pPr>
        <w:tabs>
          <w:tab w:val="left" w:pos="1395"/>
        </w:tabs>
        <w:autoSpaceDE w:val="0"/>
        <w:autoSpaceDN w:val="0"/>
        <w:ind w:firstLine="480"/>
        <w:jc w:val="both"/>
        <w:textAlignment w:val="auto"/>
        <w:rPr>
          <w:sz w:val="24"/>
        </w:rPr>
      </w:pPr>
      <w:r>
        <w:rPr>
          <w:sz w:val="24"/>
        </w:rPr>
        <w:t>（</w:t>
      </w:r>
      <w:r>
        <w:rPr>
          <w:sz w:val="24"/>
        </w:rPr>
        <w:t>4</w:t>
      </w:r>
      <w:r>
        <w:rPr>
          <w:sz w:val="24"/>
        </w:rPr>
        <w:t>）定期进行环保设备检查、维修和保养工作，确保环保设施长期、稳定、达标运转。建立并管理好环保设施档案资料。</w:t>
      </w:r>
    </w:p>
    <w:p w:rsidR="00DB7CC8" w:rsidRDefault="002B5250">
      <w:pPr>
        <w:tabs>
          <w:tab w:val="left" w:pos="1395"/>
        </w:tabs>
        <w:autoSpaceDE w:val="0"/>
        <w:autoSpaceDN w:val="0"/>
        <w:ind w:firstLine="480"/>
        <w:jc w:val="both"/>
        <w:textAlignment w:val="auto"/>
        <w:rPr>
          <w:sz w:val="24"/>
        </w:rPr>
      </w:pPr>
      <w:r>
        <w:rPr>
          <w:sz w:val="24"/>
        </w:rPr>
        <w:t>（</w:t>
      </w:r>
      <w:r>
        <w:rPr>
          <w:sz w:val="24"/>
        </w:rPr>
        <w:t>5</w:t>
      </w:r>
      <w:r>
        <w:rPr>
          <w:sz w:val="24"/>
        </w:rPr>
        <w:t>）负责选矿厂环保设施的日常运行管理工作，制定事故防范措施。</w:t>
      </w:r>
    </w:p>
    <w:p w:rsidR="00DB7CC8" w:rsidRDefault="002B5250">
      <w:pPr>
        <w:tabs>
          <w:tab w:val="left" w:pos="1395"/>
        </w:tabs>
        <w:autoSpaceDE w:val="0"/>
        <w:autoSpaceDN w:val="0"/>
        <w:ind w:firstLine="480"/>
        <w:jc w:val="both"/>
        <w:textAlignment w:val="auto"/>
        <w:rPr>
          <w:sz w:val="24"/>
        </w:rPr>
      </w:pPr>
      <w:r>
        <w:rPr>
          <w:sz w:val="24"/>
        </w:rPr>
        <w:t>（</w:t>
      </w:r>
      <w:r>
        <w:rPr>
          <w:sz w:val="24"/>
        </w:rPr>
        <w:t>6</w:t>
      </w:r>
      <w:r>
        <w:rPr>
          <w:sz w:val="24"/>
        </w:rPr>
        <w:t>）有计划地做好普及环境科学知识和环境法律知识的宣传教育工作，对场内环保人员和附近居民进行环境保护教育，不断提高居民的环境意识和环保人员的业务素质。</w:t>
      </w:r>
    </w:p>
    <w:p w:rsidR="00DB7CC8" w:rsidRDefault="002B5250">
      <w:pPr>
        <w:autoSpaceDE w:val="0"/>
        <w:autoSpaceDN w:val="0"/>
        <w:ind w:firstLine="480"/>
        <w:jc w:val="both"/>
        <w:textAlignment w:val="auto"/>
        <w:rPr>
          <w:sz w:val="24"/>
        </w:rPr>
      </w:pPr>
      <w:r>
        <w:rPr>
          <w:sz w:val="24"/>
        </w:rPr>
        <w:t>（</w:t>
      </w:r>
      <w:r>
        <w:rPr>
          <w:sz w:val="24"/>
        </w:rPr>
        <w:t>7</w:t>
      </w:r>
      <w:r>
        <w:rPr>
          <w:sz w:val="24"/>
        </w:rPr>
        <w:t>）负责与本项目污染源监测工作对接，了解掌握本项目污染动态，发现异常要及时查找原因，并反馈</w:t>
      </w:r>
      <w:r>
        <w:rPr>
          <w:sz w:val="24"/>
        </w:rPr>
        <w:t>给生产工段，防止污染事故发生。</w:t>
      </w:r>
    </w:p>
    <w:p w:rsidR="00DB7CC8" w:rsidRDefault="002B5250">
      <w:pPr>
        <w:pStyle w:val="3"/>
        <w:numPr>
          <w:ilvl w:val="2"/>
          <w:numId w:val="1"/>
        </w:numPr>
        <w:rPr>
          <w:szCs w:val="28"/>
        </w:rPr>
      </w:pPr>
      <w:bookmarkStart w:id="632" w:name="_Toc521591834"/>
      <w:bookmarkStart w:id="633" w:name="_Toc32579"/>
      <w:r>
        <w:rPr>
          <w:szCs w:val="28"/>
        </w:rPr>
        <w:t>环境管理制度</w:t>
      </w:r>
      <w:bookmarkEnd w:id="632"/>
      <w:bookmarkEnd w:id="633"/>
    </w:p>
    <w:p w:rsidR="00DB7CC8" w:rsidRDefault="002B5250">
      <w:pPr>
        <w:autoSpaceDE w:val="0"/>
        <w:autoSpaceDN w:val="0"/>
        <w:ind w:firstLine="480"/>
        <w:jc w:val="both"/>
        <w:textAlignment w:val="auto"/>
        <w:rPr>
          <w:sz w:val="24"/>
        </w:rPr>
      </w:pPr>
      <w:r>
        <w:rPr>
          <w:sz w:val="24"/>
        </w:rPr>
        <w:t>企业应建立健全必要的环境管理规章制度，并把它作为企业领导和全体职工必须严格遵守的一种规范和总则。</w:t>
      </w:r>
      <w:r>
        <w:rPr>
          <w:sz w:val="24"/>
        </w:rPr>
        <w:t>“</w:t>
      </w:r>
      <w:r>
        <w:rPr>
          <w:sz w:val="24"/>
        </w:rPr>
        <w:t>有规可循、执规必严</w:t>
      </w:r>
      <w:r>
        <w:rPr>
          <w:sz w:val="24"/>
        </w:rPr>
        <w:t>”</w:t>
      </w:r>
      <w:r>
        <w:rPr>
          <w:sz w:val="24"/>
        </w:rPr>
        <w:t>是环境管理得以顺利实施的重要保证。各项规章制度要体现环境管理的任务、内容和准则，使环境管理特点和要求渗透到企业的各项管理工作之中。</w:t>
      </w:r>
    </w:p>
    <w:p w:rsidR="00DB7CC8" w:rsidRDefault="002B5250">
      <w:pPr>
        <w:autoSpaceDE w:val="0"/>
        <w:autoSpaceDN w:val="0"/>
        <w:ind w:firstLine="480"/>
        <w:jc w:val="both"/>
        <w:textAlignment w:val="auto"/>
        <w:rPr>
          <w:sz w:val="24"/>
        </w:rPr>
      </w:pPr>
      <w:r>
        <w:rPr>
          <w:sz w:val="24"/>
        </w:rPr>
        <w:t>最基本的环境管理制度有以下几方面：</w:t>
      </w:r>
    </w:p>
    <w:p w:rsidR="00DB7CC8" w:rsidRDefault="002B5250">
      <w:pPr>
        <w:autoSpaceDE w:val="0"/>
        <w:autoSpaceDN w:val="0"/>
        <w:ind w:firstLine="480"/>
        <w:jc w:val="both"/>
        <w:textAlignment w:val="auto"/>
        <w:rPr>
          <w:sz w:val="24"/>
        </w:rPr>
      </w:pPr>
      <w:r>
        <w:rPr>
          <w:sz w:val="24"/>
        </w:rPr>
        <w:t>（</w:t>
      </w:r>
      <w:r>
        <w:rPr>
          <w:sz w:val="24"/>
        </w:rPr>
        <w:t>1</w:t>
      </w:r>
      <w:r>
        <w:rPr>
          <w:sz w:val="24"/>
        </w:rPr>
        <w:t>）环境保护职责管理制度</w:t>
      </w:r>
    </w:p>
    <w:p w:rsidR="00DB7CC8" w:rsidRDefault="002B5250">
      <w:pPr>
        <w:autoSpaceDE w:val="0"/>
        <w:autoSpaceDN w:val="0"/>
        <w:ind w:firstLine="480"/>
        <w:jc w:val="both"/>
        <w:textAlignment w:val="auto"/>
        <w:rPr>
          <w:sz w:val="24"/>
        </w:rPr>
      </w:pPr>
      <w:r>
        <w:rPr>
          <w:sz w:val="24"/>
        </w:rPr>
        <w:t>（</w:t>
      </w:r>
      <w:r>
        <w:rPr>
          <w:sz w:val="24"/>
        </w:rPr>
        <w:t>2</w:t>
      </w:r>
      <w:r>
        <w:rPr>
          <w:sz w:val="24"/>
        </w:rPr>
        <w:t>）废水、废气、固体废物排放管理制度</w:t>
      </w:r>
    </w:p>
    <w:p w:rsidR="00DB7CC8" w:rsidRDefault="002B5250">
      <w:pPr>
        <w:autoSpaceDE w:val="0"/>
        <w:autoSpaceDN w:val="0"/>
        <w:ind w:firstLine="480"/>
        <w:jc w:val="both"/>
        <w:textAlignment w:val="auto"/>
        <w:rPr>
          <w:sz w:val="24"/>
        </w:rPr>
      </w:pPr>
      <w:r>
        <w:rPr>
          <w:sz w:val="24"/>
        </w:rPr>
        <w:t>（</w:t>
      </w:r>
      <w:r>
        <w:rPr>
          <w:sz w:val="24"/>
        </w:rPr>
        <w:t>3</w:t>
      </w:r>
      <w:r>
        <w:rPr>
          <w:sz w:val="24"/>
        </w:rPr>
        <w:t>）处理装置日常运行管理制度</w:t>
      </w:r>
    </w:p>
    <w:p w:rsidR="00DB7CC8" w:rsidRDefault="002B5250">
      <w:pPr>
        <w:autoSpaceDE w:val="0"/>
        <w:autoSpaceDN w:val="0"/>
        <w:ind w:firstLine="480"/>
        <w:jc w:val="both"/>
        <w:textAlignment w:val="auto"/>
        <w:rPr>
          <w:sz w:val="24"/>
        </w:rPr>
      </w:pPr>
      <w:r>
        <w:rPr>
          <w:sz w:val="24"/>
        </w:rPr>
        <w:t>（</w:t>
      </w:r>
      <w:r>
        <w:rPr>
          <w:sz w:val="24"/>
        </w:rPr>
        <w:t>4</w:t>
      </w:r>
      <w:r>
        <w:rPr>
          <w:sz w:val="24"/>
        </w:rPr>
        <w:t>）排污情况报告制度</w:t>
      </w:r>
    </w:p>
    <w:p w:rsidR="00DB7CC8" w:rsidRDefault="002B5250">
      <w:pPr>
        <w:autoSpaceDE w:val="0"/>
        <w:autoSpaceDN w:val="0"/>
        <w:ind w:firstLine="480"/>
        <w:jc w:val="both"/>
        <w:textAlignment w:val="auto"/>
        <w:rPr>
          <w:sz w:val="24"/>
        </w:rPr>
      </w:pPr>
      <w:r>
        <w:rPr>
          <w:sz w:val="24"/>
        </w:rPr>
        <w:t>（</w:t>
      </w:r>
      <w:r>
        <w:rPr>
          <w:sz w:val="24"/>
        </w:rPr>
        <w:t>5</w:t>
      </w:r>
      <w:r>
        <w:rPr>
          <w:sz w:val="24"/>
        </w:rPr>
        <w:t>）污染事故处理制度</w:t>
      </w:r>
    </w:p>
    <w:p w:rsidR="00DB7CC8" w:rsidRDefault="002B5250">
      <w:pPr>
        <w:ind w:firstLine="480"/>
        <w:jc w:val="both"/>
        <w:rPr>
          <w:sz w:val="24"/>
        </w:rPr>
      </w:pPr>
      <w:r>
        <w:rPr>
          <w:sz w:val="24"/>
        </w:rPr>
        <w:t>（</w:t>
      </w:r>
      <w:r>
        <w:rPr>
          <w:sz w:val="24"/>
        </w:rPr>
        <w:t>6</w:t>
      </w:r>
      <w:r>
        <w:rPr>
          <w:sz w:val="24"/>
        </w:rPr>
        <w:t>）环保教育制度</w:t>
      </w:r>
    </w:p>
    <w:p w:rsidR="00DB7CC8" w:rsidRDefault="002B5250">
      <w:pPr>
        <w:ind w:firstLine="480"/>
        <w:jc w:val="both"/>
        <w:rPr>
          <w:sz w:val="24"/>
        </w:rPr>
      </w:pPr>
      <w:r>
        <w:rPr>
          <w:sz w:val="24"/>
        </w:rPr>
        <w:lastRenderedPageBreak/>
        <w:t>通过对各项环</w:t>
      </w:r>
      <w:r>
        <w:rPr>
          <w:sz w:val="24"/>
        </w:rPr>
        <w:t>境管理制度建立和严格执行，形成目标管理、监督反馈紧密配合的环保工作管理体系，可有效防止非正常生产和突发性事故造成的危害。</w:t>
      </w:r>
    </w:p>
    <w:p w:rsidR="00DB7CC8" w:rsidRDefault="002B5250">
      <w:pPr>
        <w:pStyle w:val="3"/>
        <w:numPr>
          <w:ilvl w:val="2"/>
          <w:numId w:val="1"/>
        </w:numPr>
        <w:rPr>
          <w:szCs w:val="28"/>
        </w:rPr>
      </w:pPr>
      <w:bookmarkStart w:id="634" w:name="_Toc521591835"/>
      <w:bookmarkStart w:id="635" w:name="_Toc5945"/>
      <w:r>
        <w:rPr>
          <w:szCs w:val="28"/>
        </w:rPr>
        <w:t>建设单位公开信息内容</w:t>
      </w:r>
    </w:p>
    <w:p w:rsidR="00DB7CC8" w:rsidRDefault="002B5250">
      <w:pPr>
        <w:ind w:firstLine="480"/>
        <w:rPr>
          <w:sz w:val="24"/>
        </w:rPr>
      </w:pPr>
      <w:r>
        <w:rPr>
          <w:rFonts w:hint="eastAsia"/>
          <w:sz w:val="24"/>
        </w:rPr>
        <w:t>建设单位公开信息内容见下表。</w:t>
      </w:r>
    </w:p>
    <w:p w:rsidR="00DB7CC8" w:rsidRDefault="002B5250">
      <w:pPr>
        <w:spacing w:line="240" w:lineRule="auto"/>
        <w:ind w:firstLineChars="0" w:firstLine="0"/>
        <w:jc w:val="center"/>
        <w:rPr>
          <w:rFonts w:eastAsia="黑体"/>
          <w:bCs/>
          <w:kern w:val="2"/>
          <w:sz w:val="21"/>
          <w:szCs w:val="21"/>
        </w:rPr>
      </w:pPr>
      <w:r>
        <w:rPr>
          <w:rFonts w:eastAsia="黑体" w:hint="eastAsia"/>
          <w:bCs/>
          <w:kern w:val="2"/>
          <w:sz w:val="21"/>
          <w:szCs w:val="21"/>
        </w:rPr>
        <w:t>表</w:t>
      </w:r>
      <w:r>
        <w:rPr>
          <w:rFonts w:eastAsia="黑体" w:hint="eastAsia"/>
          <w:bCs/>
          <w:kern w:val="2"/>
          <w:sz w:val="21"/>
          <w:szCs w:val="21"/>
        </w:rPr>
        <w:t xml:space="preserve">8.2-1     </w:t>
      </w:r>
      <w:r>
        <w:rPr>
          <w:rFonts w:eastAsia="黑体" w:hint="eastAsia"/>
          <w:bCs/>
          <w:kern w:val="2"/>
          <w:sz w:val="21"/>
          <w:szCs w:val="21"/>
        </w:rPr>
        <w:t>建设单位公开信息内容一览表</w:t>
      </w:r>
    </w:p>
    <w:tbl>
      <w:tblP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559"/>
        <w:gridCol w:w="6152"/>
      </w:tblGrid>
      <w:tr w:rsidR="00DB7CC8">
        <w:trPr>
          <w:trHeight w:val="283"/>
        </w:trPr>
        <w:tc>
          <w:tcPr>
            <w:tcW w:w="817" w:type="dxa"/>
            <w:vAlign w:val="center"/>
          </w:tcPr>
          <w:p w:rsidR="00DB7CC8" w:rsidRDefault="002B5250">
            <w:pPr>
              <w:spacing w:line="240" w:lineRule="auto"/>
              <w:ind w:firstLineChars="0" w:firstLine="0"/>
              <w:jc w:val="center"/>
              <w:rPr>
                <w:sz w:val="21"/>
                <w:szCs w:val="21"/>
              </w:rPr>
            </w:pPr>
            <w:r>
              <w:rPr>
                <w:rFonts w:hint="eastAsia"/>
                <w:sz w:val="21"/>
                <w:szCs w:val="21"/>
              </w:rPr>
              <w:t>序号</w:t>
            </w:r>
          </w:p>
        </w:tc>
        <w:tc>
          <w:tcPr>
            <w:tcW w:w="1559" w:type="dxa"/>
            <w:vAlign w:val="center"/>
          </w:tcPr>
          <w:p w:rsidR="00DB7CC8" w:rsidRDefault="002B5250">
            <w:pPr>
              <w:spacing w:line="240" w:lineRule="auto"/>
              <w:ind w:firstLineChars="0" w:firstLine="0"/>
              <w:jc w:val="center"/>
              <w:rPr>
                <w:sz w:val="21"/>
                <w:szCs w:val="21"/>
              </w:rPr>
            </w:pPr>
            <w:r>
              <w:rPr>
                <w:rFonts w:hint="eastAsia"/>
                <w:sz w:val="21"/>
                <w:szCs w:val="21"/>
              </w:rPr>
              <w:t>公开信息</w:t>
            </w:r>
          </w:p>
        </w:tc>
        <w:tc>
          <w:tcPr>
            <w:tcW w:w="6152" w:type="dxa"/>
            <w:vAlign w:val="center"/>
          </w:tcPr>
          <w:p w:rsidR="00DB7CC8" w:rsidRDefault="002B5250">
            <w:pPr>
              <w:spacing w:line="240" w:lineRule="auto"/>
              <w:ind w:firstLineChars="0" w:firstLine="0"/>
              <w:jc w:val="center"/>
              <w:rPr>
                <w:sz w:val="21"/>
                <w:szCs w:val="21"/>
              </w:rPr>
            </w:pPr>
            <w:r>
              <w:rPr>
                <w:rFonts w:hint="eastAsia"/>
                <w:sz w:val="21"/>
                <w:szCs w:val="21"/>
              </w:rPr>
              <w:t>内容</w:t>
            </w:r>
          </w:p>
        </w:tc>
      </w:tr>
      <w:tr w:rsidR="00DB7CC8">
        <w:trPr>
          <w:trHeight w:val="283"/>
        </w:trPr>
        <w:tc>
          <w:tcPr>
            <w:tcW w:w="817" w:type="dxa"/>
            <w:vAlign w:val="center"/>
          </w:tcPr>
          <w:p w:rsidR="00DB7CC8" w:rsidRDefault="002B5250">
            <w:pPr>
              <w:spacing w:line="240" w:lineRule="auto"/>
              <w:ind w:firstLineChars="0" w:firstLine="0"/>
              <w:jc w:val="center"/>
              <w:rPr>
                <w:sz w:val="21"/>
                <w:szCs w:val="21"/>
              </w:rPr>
            </w:pPr>
            <w:r>
              <w:rPr>
                <w:rFonts w:hint="eastAsia"/>
                <w:sz w:val="21"/>
                <w:szCs w:val="21"/>
              </w:rPr>
              <w:t>1</w:t>
            </w:r>
          </w:p>
        </w:tc>
        <w:tc>
          <w:tcPr>
            <w:tcW w:w="1559" w:type="dxa"/>
            <w:vAlign w:val="center"/>
          </w:tcPr>
          <w:p w:rsidR="00DB7CC8" w:rsidRDefault="002B5250">
            <w:pPr>
              <w:spacing w:line="240" w:lineRule="auto"/>
              <w:ind w:firstLineChars="0" w:firstLine="0"/>
              <w:jc w:val="center"/>
              <w:rPr>
                <w:sz w:val="21"/>
                <w:szCs w:val="21"/>
              </w:rPr>
            </w:pPr>
            <w:r>
              <w:rPr>
                <w:rFonts w:hint="eastAsia"/>
                <w:sz w:val="21"/>
                <w:szCs w:val="21"/>
              </w:rPr>
              <w:t>基础信息</w:t>
            </w:r>
          </w:p>
        </w:tc>
        <w:tc>
          <w:tcPr>
            <w:tcW w:w="6152" w:type="dxa"/>
            <w:vAlign w:val="center"/>
          </w:tcPr>
          <w:p w:rsidR="00DB7CC8" w:rsidRDefault="002B5250">
            <w:pPr>
              <w:spacing w:line="240" w:lineRule="auto"/>
              <w:ind w:firstLineChars="0" w:firstLine="0"/>
              <w:jc w:val="center"/>
              <w:rPr>
                <w:sz w:val="21"/>
                <w:szCs w:val="21"/>
              </w:rPr>
            </w:pPr>
            <w:r>
              <w:rPr>
                <w:rFonts w:hint="eastAsia"/>
                <w:sz w:val="21"/>
                <w:szCs w:val="21"/>
              </w:rPr>
              <w:t>单位名称、组织机构代码、法定代表人、生产地址、联系方式，以及生产经营和管理服务的主要内容、产品及规模</w:t>
            </w:r>
          </w:p>
        </w:tc>
      </w:tr>
      <w:tr w:rsidR="00DB7CC8">
        <w:trPr>
          <w:trHeight w:val="283"/>
        </w:trPr>
        <w:tc>
          <w:tcPr>
            <w:tcW w:w="817" w:type="dxa"/>
            <w:vAlign w:val="center"/>
          </w:tcPr>
          <w:p w:rsidR="00DB7CC8" w:rsidRDefault="002B5250">
            <w:pPr>
              <w:spacing w:line="240" w:lineRule="auto"/>
              <w:ind w:firstLineChars="0" w:firstLine="0"/>
              <w:jc w:val="center"/>
              <w:rPr>
                <w:sz w:val="21"/>
                <w:szCs w:val="21"/>
              </w:rPr>
            </w:pPr>
            <w:r>
              <w:rPr>
                <w:rFonts w:hint="eastAsia"/>
                <w:sz w:val="21"/>
                <w:szCs w:val="21"/>
              </w:rPr>
              <w:t>2</w:t>
            </w:r>
          </w:p>
        </w:tc>
        <w:tc>
          <w:tcPr>
            <w:tcW w:w="1559" w:type="dxa"/>
            <w:vAlign w:val="center"/>
          </w:tcPr>
          <w:p w:rsidR="00DB7CC8" w:rsidRDefault="002B5250">
            <w:pPr>
              <w:spacing w:line="240" w:lineRule="auto"/>
              <w:ind w:firstLineChars="0" w:firstLine="0"/>
              <w:jc w:val="center"/>
              <w:rPr>
                <w:sz w:val="21"/>
                <w:szCs w:val="21"/>
              </w:rPr>
            </w:pPr>
            <w:r>
              <w:rPr>
                <w:rFonts w:hint="eastAsia"/>
                <w:sz w:val="21"/>
                <w:szCs w:val="21"/>
              </w:rPr>
              <w:t>排污信息</w:t>
            </w:r>
          </w:p>
        </w:tc>
        <w:tc>
          <w:tcPr>
            <w:tcW w:w="6152" w:type="dxa"/>
            <w:vAlign w:val="center"/>
          </w:tcPr>
          <w:p w:rsidR="00DB7CC8" w:rsidRDefault="002B5250">
            <w:pPr>
              <w:spacing w:line="240" w:lineRule="auto"/>
              <w:ind w:firstLineChars="0" w:firstLine="0"/>
              <w:jc w:val="center"/>
              <w:rPr>
                <w:sz w:val="21"/>
                <w:szCs w:val="21"/>
              </w:rPr>
            </w:pPr>
            <w:r>
              <w:rPr>
                <w:rFonts w:hint="eastAsia"/>
                <w:sz w:val="21"/>
                <w:szCs w:val="21"/>
              </w:rPr>
              <w:t>主要污染物及特征污染物的名称、排放方式、排放口数量和分布情况、排放浓度和总量、超标情况，以及执行的污染物排放标准、核定的排放总量</w:t>
            </w:r>
          </w:p>
        </w:tc>
      </w:tr>
      <w:tr w:rsidR="00DB7CC8">
        <w:trPr>
          <w:trHeight w:val="283"/>
        </w:trPr>
        <w:tc>
          <w:tcPr>
            <w:tcW w:w="817" w:type="dxa"/>
            <w:vAlign w:val="center"/>
          </w:tcPr>
          <w:p w:rsidR="00DB7CC8" w:rsidRDefault="002B5250">
            <w:pPr>
              <w:spacing w:line="240" w:lineRule="auto"/>
              <w:ind w:firstLineChars="0" w:firstLine="0"/>
              <w:jc w:val="center"/>
              <w:rPr>
                <w:sz w:val="21"/>
                <w:szCs w:val="21"/>
              </w:rPr>
            </w:pPr>
            <w:r>
              <w:rPr>
                <w:rFonts w:hint="eastAsia"/>
                <w:sz w:val="21"/>
                <w:szCs w:val="21"/>
              </w:rPr>
              <w:t>3</w:t>
            </w:r>
          </w:p>
        </w:tc>
        <w:tc>
          <w:tcPr>
            <w:tcW w:w="1559" w:type="dxa"/>
            <w:vAlign w:val="center"/>
          </w:tcPr>
          <w:p w:rsidR="00DB7CC8" w:rsidRDefault="002B5250">
            <w:pPr>
              <w:spacing w:line="240" w:lineRule="auto"/>
              <w:ind w:firstLineChars="0" w:firstLine="0"/>
              <w:jc w:val="center"/>
              <w:rPr>
                <w:sz w:val="21"/>
                <w:szCs w:val="21"/>
              </w:rPr>
            </w:pPr>
            <w:r>
              <w:rPr>
                <w:rFonts w:hint="eastAsia"/>
                <w:sz w:val="21"/>
                <w:szCs w:val="21"/>
              </w:rPr>
              <w:t>污染防治设施</w:t>
            </w:r>
          </w:p>
        </w:tc>
        <w:tc>
          <w:tcPr>
            <w:tcW w:w="6152" w:type="dxa"/>
            <w:vAlign w:val="center"/>
          </w:tcPr>
          <w:p w:rsidR="00DB7CC8" w:rsidRDefault="002B5250">
            <w:pPr>
              <w:spacing w:line="240" w:lineRule="auto"/>
              <w:ind w:firstLineChars="0" w:firstLine="0"/>
              <w:jc w:val="center"/>
              <w:rPr>
                <w:sz w:val="21"/>
                <w:szCs w:val="21"/>
              </w:rPr>
            </w:pPr>
            <w:r>
              <w:rPr>
                <w:rFonts w:hint="eastAsia"/>
                <w:sz w:val="21"/>
                <w:szCs w:val="21"/>
              </w:rPr>
              <w:t>污染防治设施的建设和运行情况</w:t>
            </w:r>
          </w:p>
        </w:tc>
      </w:tr>
      <w:tr w:rsidR="00DB7CC8">
        <w:trPr>
          <w:trHeight w:val="283"/>
        </w:trPr>
        <w:tc>
          <w:tcPr>
            <w:tcW w:w="817" w:type="dxa"/>
            <w:vAlign w:val="center"/>
          </w:tcPr>
          <w:p w:rsidR="00DB7CC8" w:rsidRDefault="002B5250">
            <w:pPr>
              <w:spacing w:line="240" w:lineRule="auto"/>
              <w:ind w:firstLineChars="0" w:firstLine="0"/>
              <w:jc w:val="center"/>
              <w:rPr>
                <w:sz w:val="21"/>
                <w:szCs w:val="21"/>
              </w:rPr>
            </w:pPr>
            <w:r>
              <w:rPr>
                <w:rFonts w:hint="eastAsia"/>
                <w:sz w:val="21"/>
                <w:szCs w:val="21"/>
              </w:rPr>
              <w:t>4</w:t>
            </w:r>
          </w:p>
        </w:tc>
        <w:tc>
          <w:tcPr>
            <w:tcW w:w="1559" w:type="dxa"/>
            <w:vAlign w:val="center"/>
          </w:tcPr>
          <w:p w:rsidR="00DB7CC8" w:rsidRDefault="002B5250">
            <w:pPr>
              <w:spacing w:line="240" w:lineRule="auto"/>
              <w:ind w:firstLineChars="0" w:firstLine="0"/>
              <w:jc w:val="center"/>
              <w:rPr>
                <w:sz w:val="21"/>
                <w:szCs w:val="21"/>
              </w:rPr>
            </w:pPr>
            <w:r>
              <w:rPr>
                <w:rFonts w:hint="eastAsia"/>
                <w:sz w:val="21"/>
                <w:szCs w:val="21"/>
              </w:rPr>
              <w:t>环保手续</w:t>
            </w:r>
          </w:p>
        </w:tc>
        <w:tc>
          <w:tcPr>
            <w:tcW w:w="6152" w:type="dxa"/>
            <w:vAlign w:val="center"/>
          </w:tcPr>
          <w:p w:rsidR="00DB7CC8" w:rsidRDefault="002B5250">
            <w:pPr>
              <w:spacing w:line="240" w:lineRule="auto"/>
              <w:ind w:firstLineChars="0" w:firstLine="0"/>
              <w:jc w:val="center"/>
              <w:rPr>
                <w:sz w:val="21"/>
                <w:szCs w:val="21"/>
              </w:rPr>
            </w:pPr>
            <w:r>
              <w:rPr>
                <w:rFonts w:hint="eastAsia"/>
                <w:sz w:val="21"/>
                <w:szCs w:val="21"/>
              </w:rPr>
              <w:t>建设项目环境影响评价及其他环境保护行政许可情况</w:t>
            </w:r>
          </w:p>
        </w:tc>
      </w:tr>
    </w:tbl>
    <w:p w:rsidR="00DB7CC8" w:rsidRDefault="002B5250">
      <w:pPr>
        <w:pStyle w:val="3"/>
        <w:numPr>
          <w:ilvl w:val="2"/>
          <w:numId w:val="1"/>
        </w:numPr>
        <w:rPr>
          <w:szCs w:val="28"/>
        </w:rPr>
      </w:pPr>
      <w:r>
        <w:rPr>
          <w:szCs w:val="28"/>
        </w:rPr>
        <w:t>排污口规范化</w:t>
      </w:r>
      <w:bookmarkEnd w:id="634"/>
      <w:bookmarkEnd w:id="635"/>
    </w:p>
    <w:p w:rsidR="00DB7CC8" w:rsidRDefault="002B5250">
      <w:pPr>
        <w:ind w:firstLine="480"/>
        <w:jc w:val="both"/>
        <w:rPr>
          <w:sz w:val="24"/>
        </w:rPr>
      </w:pPr>
      <w:r>
        <w:rPr>
          <w:sz w:val="24"/>
        </w:rPr>
        <w:t>排污口是企业污染物进入环境，污染环境的通道，强化排污口的管理是实施污染物总量控制的基础工作之一，也是区域环境管理逐步实现污染物排放科学化、定量化的重要手段。具体管理原则如下：</w:t>
      </w:r>
    </w:p>
    <w:p w:rsidR="00DB7CC8" w:rsidRDefault="002B5250">
      <w:pPr>
        <w:ind w:firstLine="480"/>
        <w:jc w:val="both"/>
        <w:rPr>
          <w:sz w:val="24"/>
        </w:rPr>
      </w:pPr>
      <w:r>
        <w:rPr>
          <w:sz w:val="24"/>
        </w:rPr>
        <w:t>（</w:t>
      </w:r>
      <w:r>
        <w:rPr>
          <w:sz w:val="24"/>
        </w:rPr>
        <w:t>1</w:t>
      </w:r>
      <w:r>
        <w:rPr>
          <w:sz w:val="24"/>
        </w:rPr>
        <w:t>）向环境排放污染物的排放口必须规范化；</w:t>
      </w:r>
    </w:p>
    <w:p w:rsidR="00DB7CC8" w:rsidRDefault="002B5250">
      <w:pPr>
        <w:ind w:firstLine="480"/>
        <w:jc w:val="both"/>
        <w:rPr>
          <w:sz w:val="24"/>
        </w:rPr>
      </w:pPr>
      <w:r>
        <w:rPr>
          <w:sz w:val="24"/>
        </w:rPr>
        <w:t>在场区</w:t>
      </w:r>
      <w:r>
        <w:rPr>
          <w:sz w:val="24"/>
        </w:rPr>
        <w:t>“</w:t>
      </w:r>
      <w:r>
        <w:rPr>
          <w:sz w:val="24"/>
        </w:rPr>
        <w:t>三废</w:t>
      </w:r>
      <w:r>
        <w:rPr>
          <w:sz w:val="24"/>
        </w:rPr>
        <w:t>”</w:t>
      </w:r>
      <w:r>
        <w:rPr>
          <w:sz w:val="24"/>
        </w:rPr>
        <w:t>及噪声排放点设置明显标志，标志的设置应执行《环境保护图形标志排放口（源）》（</w:t>
      </w:r>
      <w:r>
        <w:rPr>
          <w:sz w:val="24"/>
        </w:rPr>
        <w:t>GB15562.1—1995</w:t>
      </w:r>
      <w:r>
        <w:rPr>
          <w:sz w:val="24"/>
        </w:rPr>
        <w:t>）及《环境保护图形固体废物贮存（处置）场》（</w:t>
      </w:r>
      <w:r>
        <w:rPr>
          <w:sz w:val="24"/>
        </w:rPr>
        <w:t>GB15562.2—1995</w:t>
      </w:r>
      <w:r>
        <w:rPr>
          <w:sz w:val="24"/>
        </w:rPr>
        <w:t>）中有关规定。排放口图形标志见图</w:t>
      </w:r>
      <w:r>
        <w:rPr>
          <w:sz w:val="24"/>
        </w:rPr>
        <w:t>8.</w:t>
      </w:r>
      <w:r>
        <w:rPr>
          <w:rFonts w:hint="eastAsia"/>
          <w:sz w:val="24"/>
        </w:rPr>
        <w:t>2</w:t>
      </w:r>
      <w:r>
        <w:rPr>
          <w:sz w:val="24"/>
        </w:rPr>
        <w:t>-1</w:t>
      </w:r>
      <w:r>
        <w:rPr>
          <w:sz w:val="24"/>
        </w:rPr>
        <w:t>。</w:t>
      </w:r>
    </w:p>
    <w:tbl>
      <w:tblPr>
        <w:tblW w:w="5000" w:type="pct"/>
        <w:jc w:val="center"/>
        <w:tblBorders>
          <w:top w:val="single" w:sz="8" w:space="0" w:color="auto"/>
          <w:bottom w:val="single" w:sz="8" w:space="0" w:color="auto"/>
          <w:insideH w:val="single" w:sz="8" w:space="0" w:color="auto"/>
          <w:insideV w:val="single" w:sz="8" w:space="0" w:color="auto"/>
        </w:tblBorders>
        <w:tblLook w:val="04A0" w:firstRow="1" w:lastRow="0" w:firstColumn="1" w:lastColumn="0" w:noHBand="0" w:noVBand="1"/>
      </w:tblPr>
      <w:tblGrid>
        <w:gridCol w:w="931"/>
        <w:gridCol w:w="1686"/>
        <w:gridCol w:w="1626"/>
        <w:gridCol w:w="1561"/>
        <w:gridCol w:w="5"/>
        <w:gridCol w:w="2696"/>
        <w:gridCol w:w="10"/>
      </w:tblGrid>
      <w:tr w:rsidR="00DB7CC8">
        <w:trPr>
          <w:jc w:val="center"/>
        </w:trPr>
        <w:tc>
          <w:tcPr>
            <w:tcW w:w="856" w:type="pct"/>
            <w:vAlign w:val="center"/>
          </w:tcPr>
          <w:p w:rsidR="00DB7CC8" w:rsidRDefault="002B5250">
            <w:pPr>
              <w:pStyle w:val="af2"/>
              <w:spacing w:after="0" w:line="240" w:lineRule="auto"/>
              <w:ind w:firstLineChars="0" w:firstLine="0"/>
              <w:jc w:val="center"/>
              <w:rPr>
                <w:spacing w:val="21"/>
                <w:sz w:val="21"/>
                <w:szCs w:val="21"/>
              </w:rPr>
            </w:pPr>
            <w:bookmarkStart w:id="636" w:name="_Hlk3797884"/>
            <w:r>
              <w:rPr>
                <w:spacing w:val="21"/>
                <w:sz w:val="21"/>
                <w:szCs w:val="21"/>
              </w:rPr>
              <w:t>排放口</w:t>
            </w:r>
          </w:p>
        </w:tc>
        <w:tc>
          <w:tcPr>
            <w:tcW w:w="1016" w:type="pct"/>
            <w:vAlign w:val="center"/>
          </w:tcPr>
          <w:p w:rsidR="00DB7CC8" w:rsidRDefault="002B5250">
            <w:pPr>
              <w:pStyle w:val="af2"/>
              <w:spacing w:after="0" w:line="240" w:lineRule="auto"/>
              <w:ind w:firstLineChars="0" w:firstLine="0"/>
              <w:jc w:val="center"/>
              <w:rPr>
                <w:spacing w:val="21"/>
                <w:sz w:val="21"/>
                <w:szCs w:val="21"/>
              </w:rPr>
            </w:pPr>
            <w:r>
              <w:rPr>
                <w:spacing w:val="21"/>
                <w:sz w:val="21"/>
                <w:szCs w:val="21"/>
              </w:rPr>
              <w:t>噪声源</w:t>
            </w:r>
          </w:p>
        </w:tc>
        <w:tc>
          <w:tcPr>
            <w:tcW w:w="1010" w:type="pct"/>
            <w:vAlign w:val="center"/>
          </w:tcPr>
          <w:p w:rsidR="00DB7CC8" w:rsidRDefault="002B5250">
            <w:pPr>
              <w:pStyle w:val="af2"/>
              <w:spacing w:after="0" w:line="240" w:lineRule="auto"/>
              <w:ind w:leftChars="-25" w:left="-70" w:rightChars="-25" w:right="-70" w:firstLineChars="0" w:firstLine="0"/>
              <w:jc w:val="center"/>
              <w:rPr>
                <w:spacing w:val="21"/>
                <w:sz w:val="21"/>
                <w:szCs w:val="21"/>
              </w:rPr>
            </w:pPr>
            <w:r>
              <w:rPr>
                <w:spacing w:val="21"/>
                <w:sz w:val="21"/>
                <w:szCs w:val="21"/>
              </w:rPr>
              <w:t>废气排放口</w:t>
            </w:r>
          </w:p>
        </w:tc>
        <w:tc>
          <w:tcPr>
            <w:tcW w:w="1097" w:type="pct"/>
            <w:gridSpan w:val="2"/>
            <w:vAlign w:val="center"/>
          </w:tcPr>
          <w:p w:rsidR="00DB7CC8" w:rsidRDefault="002B5250">
            <w:pPr>
              <w:pStyle w:val="af2"/>
              <w:spacing w:after="0" w:line="240" w:lineRule="auto"/>
              <w:ind w:firstLineChars="0" w:firstLine="0"/>
              <w:jc w:val="center"/>
              <w:rPr>
                <w:spacing w:val="21"/>
                <w:sz w:val="21"/>
                <w:szCs w:val="21"/>
              </w:rPr>
            </w:pPr>
            <w:r>
              <w:rPr>
                <w:spacing w:val="21"/>
                <w:sz w:val="21"/>
                <w:szCs w:val="21"/>
              </w:rPr>
              <w:t>固体废物</w:t>
            </w:r>
          </w:p>
          <w:p w:rsidR="00DB7CC8" w:rsidRDefault="002B5250">
            <w:pPr>
              <w:pStyle w:val="af2"/>
              <w:spacing w:after="0" w:line="240" w:lineRule="auto"/>
              <w:ind w:firstLineChars="0" w:firstLine="0"/>
              <w:jc w:val="center"/>
              <w:rPr>
                <w:spacing w:val="21"/>
                <w:sz w:val="21"/>
                <w:szCs w:val="21"/>
              </w:rPr>
            </w:pPr>
            <w:r>
              <w:rPr>
                <w:spacing w:val="21"/>
                <w:sz w:val="21"/>
                <w:szCs w:val="21"/>
              </w:rPr>
              <w:t>堆放场</w:t>
            </w:r>
          </w:p>
        </w:tc>
        <w:tc>
          <w:tcPr>
            <w:tcW w:w="1021" w:type="pct"/>
            <w:gridSpan w:val="2"/>
            <w:vAlign w:val="center"/>
          </w:tcPr>
          <w:p w:rsidR="00DB7CC8" w:rsidRDefault="002B5250">
            <w:pPr>
              <w:pStyle w:val="af2"/>
              <w:spacing w:after="0" w:line="240" w:lineRule="auto"/>
              <w:ind w:firstLineChars="0" w:firstLine="0"/>
              <w:jc w:val="center"/>
              <w:rPr>
                <w:spacing w:val="21"/>
                <w:sz w:val="21"/>
                <w:szCs w:val="21"/>
              </w:rPr>
            </w:pPr>
            <w:r>
              <w:rPr>
                <w:rFonts w:hint="eastAsia"/>
                <w:spacing w:val="21"/>
                <w:sz w:val="21"/>
                <w:szCs w:val="21"/>
              </w:rPr>
              <w:t>危险废物</w:t>
            </w:r>
          </w:p>
          <w:p w:rsidR="00DB7CC8" w:rsidRDefault="002B5250">
            <w:pPr>
              <w:pStyle w:val="af2"/>
              <w:spacing w:after="0" w:line="240" w:lineRule="auto"/>
              <w:ind w:firstLineChars="0" w:firstLine="0"/>
              <w:jc w:val="center"/>
              <w:rPr>
                <w:spacing w:val="21"/>
                <w:sz w:val="21"/>
                <w:szCs w:val="21"/>
              </w:rPr>
            </w:pPr>
            <w:r>
              <w:rPr>
                <w:rFonts w:hint="eastAsia"/>
                <w:spacing w:val="21"/>
                <w:sz w:val="21"/>
                <w:szCs w:val="21"/>
              </w:rPr>
              <w:t>暂存间</w:t>
            </w:r>
          </w:p>
        </w:tc>
      </w:tr>
      <w:tr w:rsidR="00DB7CC8">
        <w:trPr>
          <w:trHeight w:val="1521"/>
          <w:jc w:val="center"/>
        </w:trPr>
        <w:tc>
          <w:tcPr>
            <w:tcW w:w="851" w:type="pct"/>
            <w:vAlign w:val="center"/>
          </w:tcPr>
          <w:p w:rsidR="00DB7CC8" w:rsidRDefault="002B5250">
            <w:pPr>
              <w:pStyle w:val="af2"/>
              <w:spacing w:after="0" w:line="240" w:lineRule="auto"/>
              <w:ind w:firstLineChars="0" w:firstLine="0"/>
              <w:jc w:val="center"/>
              <w:rPr>
                <w:spacing w:val="21"/>
                <w:sz w:val="21"/>
                <w:szCs w:val="21"/>
              </w:rPr>
            </w:pPr>
            <w:r>
              <w:rPr>
                <w:spacing w:val="21"/>
                <w:sz w:val="21"/>
                <w:szCs w:val="21"/>
              </w:rPr>
              <w:t>图形</w:t>
            </w:r>
          </w:p>
          <w:p w:rsidR="00DB7CC8" w:rsidRDefault="002B5250">
            <w:pPr>
              <w:pStyle w:val="af2"/>
              <w:spacing w:after="0" w:line="240" w:lineRule="auto"/>
              <w:ind w:firstLineChars="0" w:firstLine="0"/>
              <w:jc w:val="center"/>
              <w:rPr>
                <w:spacing w:val="21"/>
                <w:sz w:val="21"/>
                <w:szCs w:val="21"/>
              </w:rPr>
            </w:pPr>
            <w:r>
              <w:rPr>
                <w:spacing w:val="21"/>
                <w:sz w:val="21"/>
                <w:szCs w:val="21"/>
              </w:rPr>
              <w:t>符号</w:t>
            </w:r>
          </w:p>
        </w:tc>
        <w:tc>
          <w:tcPr>
            <w:tcW w:w="1016" w:type="pct"/>
            <w:vAlign w:val="center"/>
          </w:tcPr>
          <w:p w:rsidR="00DB7CC8" w:rsidRDefault="002B5250">
            <w:pPr>
              <w:pStyle w:val="af2"/>
              <w:adjustRightInd w:val="0"/>
              <w:spacing w:after="0" w:line="240" w:lineRule="auto"/>
              <w:ind w:firstLineChars="0" w:firstLine="0"/>
              <w:jc w:val="center"/>
              <w:rPr>
                <w:spacing w:val="21"/>
                <w:sz w:val="21"/>
                <w:szCs w:val="21"/>
              </w:rPr>
            </w:pPr>
            <w:r>
              <w:rPr>
                <w:noProof/>
                <w:spacing w:val="21"/>
                <w:sz w:val="21"/>
                <w:szCs w:val="21"/>
              </w:rPr>
              <w:drawing>
                <wp:inline distT="0" distB="0" distL="0" distR="0">
                  <wp:extent cx="933450" cy="87630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933580" cy="876422"/>
                          </a:xfrm>
                          <a:prstGeom prst="rect">
                            <a:avLst/>
                          </a:prstGeom>
                        </pic:spPr>
                      </pic:pic>
                    </a:graphicData>
                  </a:graphic>
                </wp:inline>
              </w:drawing>
            </w:r>
          </w:p>
        </w:tc>
        <w:tc>
          <w:tcPr>
            <w:tcW w:w="1010" w:type="pct"/>
            <w:vAlign w:val="center"/>
          </w:tcPr>
          <w:p w:rsidR="00DB7CC8" w:rsidRDefault="002B5250">
            <w:pPr>
              <w:pStyle w:val="af2"/>
              <w:adjustRightInd w:val="0"/>
              <w:spacing w:after="0" w:line="240" w:lineRule="auto"/>
              <w:ind w:firstLineChars="0" w:firstLine="0"/>
              <w:jc w:val="center"/>
              <w:rPr>
                <w:spacing w:val="21"/>
                <w:sz w:val="21"/>
                <w:szCs w:val="21"/>
              </w:rPr>
            </w:pPr>
            <w:r>
              <w:rPr>
                <w:noProof/>
                <w:spacing w:val="21"/>
                <w:sz w:val="21"/>
                <w:szCs w:val="21"/>
              </w:rPr>
              <w:drawing>
                <wp:inline distT="0" distB="0" distL="0" distR="0">
                  <wp:extent cx="895350" cy="828675"/>
                  <wp:effectExtent l="0" t="0" r="0" b="952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895475" cy="828791"/>
                          </a:xfrm>
                          <a:prstGeom prst="rect">
                            <a:avLst/>
                          </a:prstGeom>
                        </pic:spPr>
                      </pic:pic>
                    </a:graphicData>
                  </a:graphic>
                </wp:inline>
              </w:drawing>
            </w:r>
          </w:p>
        </w:tc>
        <w:tc>
          <w:tcPr>
            <w:tcW w:w="1097" w:type="pct"/>
            <w:gridSpan w:val="2"/>
            <w:vAlign w:val="center"/>
          </w:tcPr>
          <w:p w:rsidR="00DB7CC8" w:rsidRDefault="002B5250">
            <w:pPr>
              <w:pStyle w:val="af2"/>
              <w:adjustRightInd w:val="0"/>
              <w:spacing w:after="0" w:line="240" w:lineRule="auto"/>
              <w:ind w:firstLineChars="0" w:firstLine="0"/>
              <w:jc w:val="center"/>
              <w:rPr>
                <w:spacing w:val="21"/>
                <w:sz w:val="21"/>
                <w:szCs w:val="21"/>
              </w:rPr>
            </w:pPr>
            <w:r>
              <w:rPr>
                <w:noProof/>
                <w:spacing w:val="21"/>
                <w:sz w:val="21"/>
                <w:szCs w:val="21"/>
              </w:rPr>
              <w:drawing>
                <wp:inline distT="0" distB="0" distL="0" distR="0">
                  <wp:extent cx="857250" cy="828675"/>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857370" cy="828791"/>
                          </a:xfrm>
                          <a:prstGeom prst="rect">
                            <a:avLst/>
                          </a:prstGeom>
                        </pic:spPr>
                      </pic:pic>
                    </a:graphicData>
                  </a:graphic>
                </wp:inline>
              </w:drawing>
            </w:r>
          </w:p>
        </w:tc>
        <w:tc>
          <w:tcPr>
            <w:tcW w:w="1021" w:type="pct"/>
            <w:gridSpan w:val="2"/>
            <w:vAlign w:val="center"/>
          </w:tcPr>
          <w:p w:rsidR="00DB7CC8" w:rsidRDefault="002B5250">
            <w:pPr>
              <w:pStyle w:val="af2"/>
              <w:adjustRightInd w:val="0"/>
              <w:spacing w:after="0" w:line="240" w:lineRule="auto"/>
              <w:ind w:firstLineChars="0" w:firstLine="0"/>
              <w:jc w:val="center"/>
              <w:rPr>
                <w:spacing w:val="21"/>
                <w:sz w:val="21"/>
                <w:szCs w:val="21"/>
              </w:rPr>
            </w:pPr>
            <w:r>
              <w:rPr>
                <w:noProof/>
              </w:rPr>
              <w:drawing>
                <wp:inline distT="0" distB="0" distL="114300" distR="114300">
                  <wp:extent cx="1562735" cy="984885"/>
                  <wp:effectExtent l="0" t="0" r="18415" b="5715"/>
                  <wp:docPr id="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9"/>
                          <pic:cNvPicPr>
                            <a:picLocks noChangeAspect="1"/>
                          </pic:cNvPicPr>
                        </pic:nvPicPr>
                        <pic:blipFill>
                          <a:blip r:embed="rId123"/>
                          <a:stretch>
                            <a:fillRect/>
                          </a:stretch>
                        </pic:blipFill>
                        <pic:spPr>
                          <a:xfrm>
                            <a:off x="0" y="0"/>
                            <a:ext cx="1562735" cy="984885"/>
                          </a:xfrm>
                          <a:prstGeom prst="rect">
                            <a:avLst/>
                          </a:prstGeom>
                          <a:noFill/>
                          <a:ln>
                            <a:noFill/>
                          </a:ln>
                        </pic:spPr>
                      </pic:pic>
                    </a:graphicData>
                  </a:graphic>
                </wp:inline>
              </w:drawing>
            </w:r>
          </w:p>
        </w:tc>
      </w:tr>
      <w:tr w:rsidR="00DB7CC8">
        <w:trPr>
          <w:gridAfter w:val="1"/>
          <w:wAfter w:w="4" w:type="pct"/>
          <w:jc w:val="center"/>
        </w:trPr>
        <w:tc>
          <w:tcPr>
            <w:tcW w:w="851" w:type="pct"/>
            <w:vAlign w:val="center"/>
          </w:tcPr>
          <w:p w:rsidR="00DB7CC8" w:rsidRDefault="002B5250">
            <w:pPr>
              <w:pStyle w:val="af2"/>
              <w:spacing w:after="0" w:line="240" w:lineRule="auto"/>
              <w:ind w:leftChars="-25" w:left="-70" w:rightChars="-25" w:right="-70" w:firstLineChars="0" w:firstLine="0"/>
              <w:jc w:val="center"/>
              <w:rPr>
                <w:spacing w:val="21"/>
                <w:sz w:val="21"/>
                <w:szCs w:val="21"/>
              </w:rPr>
            </w:pPr>
            <w:r>
              <w:rPr>
                <w:spacing w:val="21"/>
                <w:sz w:val="21"/>
                <w:szCs w:val="21"/>
              </w:rPr>
              <w:t>背景颜色</w:t>
            </w:r>
          </w:p>
        </w:tc>
        <w:tc>
          <w:tcPr>
            <w:tcW w:w="3119" w:type="pct"/>
            <w:gridSpan w:val="3"/>
            <w:vAlign w:val="center"/>
          </w:tcPr>
          <w:p w:rsidR="00DB7CC8" w:rsidRDefault="002B5250">
            <w:pPr>
              <w:pStyle w:val="af2"/>
              <w:spacing w:after="0" w:line="240" w:lineRule="auto"/>
              <w:ind w:firstLine="504"/>
              <w:jc w:val="center"/>
              <w:rPr>
                <w:spacing w:val="21"/>
                <w:sz w:val="21"/>
                <w:szCs w:val="21"/>
              </w:rPr>
            </w:pPr>
            <w:r>
              <w:rPr>
                <w:spacing w:val="21"/>
                <w:sz w:val="21"/>
                <w:szCs w:val="21"/>
              </w:rPr>
              <w:t>绿色</w:t>
            </w:r>
          </w:p>
        </w:tc>
        <w:tc>
          <w:tcPr>
            <w:tcW w:w="1021" w:type="pct"/>
            <w:gridSpan w:val="2"/>
            <w:vAlign w:val="center"/>
          </w:tcPr>
          <w:p w:rsidR="00DB7CC8" w:rsidRDefault="002B5250">
            <w:pPr>
              <w:pStyle w:val="af2"/>
              <w:spacing w:after="0" w:line="240" w:lineRule="auto"/>
              <w:ind w:firstLineChars="0" w:firstLine="0"/>
              <w:jc w:val="center"/>
              <w:rPr>
                <w:spacing w:val="21"/>
                <w:sz w:val="21"/>
                <w:szCs w:val="21"/>
              </w:rPr>
            </w:pPr>
            <w:r>
              <w:rPr>
                <w:spacing w:val="21"/>
                <w:sz w:val="21"/>
                <w:szCs w:val="21"/>
              </w:rPr>
              <w:t>黄色</w:t>
            </w:r>
          </w:p>
        </w:tc>
      </w:tr>
      <w:tr w:rsidR="00DB7CC8">
        <w:trPr>
          <w:gridAfter w:val="1"/>
          <w:wAfter w:w="4" w:type="pct"/>
          <w:jc w:val="center"/>
        </w:trPr>
        <w:tc>
          <w:tcPr>
            <w:tcW w:w="851" w:type="pct"/>
            <w:vAlign w:val="center"/>
          </w:tcPr>
          <w:p w:rsidR="00DB7CC8" w:rsidRDefault="002B5250">
            <w:pPr>
              <w:pStyle w:val="af2"/>
              <w:spacing w:after="0" w:line="240" w:lineRule="auto"/>
              <w:ind w:leftChars="-25" w:left="-70" w:rightChars="-25" w:right="-70" w:firstLineChars="0" w:firstLine="0"/>
              <w:jc w:val="center"/>
              <w:rPr>
                <w:spacing w:val="21"/>
                <w:sz w:val="21"/>
                <w:szCs w:val="21"/>
              </w:rPr>
            </w:pPr>
            <w:r>
              <w:rPr>
                <w:spacing w:val="21"/>
                <w:sz w:val="21"/>
                <w:szCs w:val="21"/>
              </w:rPr>
              <w:t>图形颜色</w:t>
            </w:r>
          </w:p>
        </w:tc>
        <w:tc>
          <w:tcPr>
            <w:tcW w:w="3119" w:type="pct"/>
            <w:gridSpan w:val="3"/>
            <w:vAlign w:val="center"/>
          </w:tcPr>
          <w:p w:rsidR="00DB7CC8" w:rsidRDefault="002B5250">
            <w:pPr>
              <w:pStyle w:val="af2"/>
              <w:spacing w:after="0" w:line="240" w:lineRule="auto"/>
              <w:ind w:firstLine="504"/>
              <w:jc w:val="center"/>
              <w:rPr>
                <w:spacing w:val="21"/>
                <w:sz w:val="21"/>
                <w:szCs w:val="21"/>
              </w:rPr>
            </w:pPr>
            <w:r>
              <w:rPr>
                <w:spacing w:val="21"/>
                <w:sz w:val="21"/>
                <w:szCs w:val="21"/>
              </w:rPr>
              <w:t>白色</w:t>
            </w:r>
          </w:p>
        </w:tc>
        <w:tc>
          <w:tcPr>
            <w:tcW w:w="1021" w:type="pct"/>
            <w:gridSpan w:val="2"/>
            <w:vAlign w:val="center"/>
          </w:tcPr>
          <w:p w:rsidR="00DB7CC8" w:rsidRDefault="002B5250">
            <w:pPr>
              <w:pStyle w:val="af2"/>
              <w:spacing w:after="0" w:line="240" w:lineRule="auto"/>
              <w:ind w:firstLineChars="0" w:firstLine="0"/>
              <w:jc w:val="center"/>
              <w:rPr>
                <w:spacing w:val="21"/>
                <w:sz w:val="21"/>
                <w:szCs w:val="21"/>
              </w:rPr>
            </w:pPr>
            <w:r>
              <w:rPr>
                <w:rFonts w:hint="eastAsia"/>
                <w:spacing w:val="21"/>
                <w:sz w:val="21"/>
                <w:szCs w:val="21"/>
              </w:rPr>
              <w:t>黑色</w:t>
            </w:r>
          </w:p>
        </w:tc>
      </w:tr>
    </w:tbl>
    <w:bookmarkEnd w:id="636"/>
    <w:p w:rsidR="00DB7CC8" w:rsidRDefault="002B5250">
      <w:pPr>
        <w:ind w:firstLineChars="0" w:firstLine="0"/>
        <w:jc w:val="center"/>
        <w:rPr>
          <w:rFonts w:eastAsia="黑体"/>
          <w:sz w:val="21"/>
          <w:szCs w:val="21"/>
        </w:rPr>
      </w:pPr>
      <w:r>
        <w:rPr>
          <w:rFonts w:eastAsia="黑体"/>
          <w:bCs/>
          <w:kern w:val="2"/>
          <w:sz w:val="21"/>
          <w:szCs w:val="21"/>
        </w:rPr>
        <w:t>图</w:t>
      </w:r>
      <w:r>
        <w:rPr>
          <w:rFonts w:eastAsia="黑体"/>
          <w:bCs/>
          <w:kern w:val="2"/>
          <w:sz w:val="21"/>
          <w:szCs w:val="21"/>
        </w:rPr>
        <w:t>8.</w:t>
      </w:r>
      <w:r>
        <w:rPr>
          <w:rFonts w:eastAsia="黑体" w:hint="eastAsia"/>
          <w:bCs/>
          <w:kern w:val="2"/>
          <w:sz w:val="21"/>
          <w:szCs w:val="21"/>
        </w:rPr>
        <w:t>2</w:t>
      </w:r>
      <w:r>
        <w:rPr>
          <w:rFonts w:eastAsia="黑体"/>
          <w:bCs/>
          <w:kern w:val="2"/>
          <w:sz w:val="21"/>
          <w:szCs w:val="21"/>
        </w:rPr>
        <w:t xml:space="preserve">-1  </w:t>
      </w:r>
      <w:r>
        <w:rPr>
          <w:rFonts w:eastAsia="黑体"/>
          <w:bCs/>
          <w:kern w:val="2"/>
          <w:sz w:val="21"/>
          <w:szCs w:val="21"/>
        </w:rPr>
        <w:t>排放口图形标志</w:t>
      </w:r>
    </w:p>
    <w:p w:rsidR="00DB7CC8" w:rsidRDefault="002B5250">
      <w:pPr>
        <w:ind w:firstLine="480"/>
        <w:jc w:val="both"/>
        <w:rPr>
          <w:sz w:val="24"/>
        </w:rPr>
      </w:pPr>
      <w:r>
        <w:rPr>
          <w:sz w:val="24"/>
        </w:rPr>
        <w:t>（</w:t>
      </w:r>
      <w:r>
        <w:rPr>
          <w:sz w:val="24"/>
        </w:rPr>
        <w:t>2</w:t>
      </w:r>
      <w:r>
        <w:rPr>
          <w:sz w:val="24"/>
        </w:rPr>
        <w:t>）列入总量控制污染物、排污口列为管理重点；</w:t>
      </w:r>
    </w:p>
    <w:p w:rsidR="00DB7CC8" w:rsidRDefault="002B5250">
      <w:pPr>
        <w:ind w:firstLine="480"/>
        <w:jc w:val="both"/>
        <w:rPr>
          <w:sz w:val="24"/>
        </w:rPr>
      </w:pPr>
      <w:r>
        <w:rPr>
          <w:sz w:val="24"/>
        </w:rPr>
        <w:t>（</w:t>
      </w:r>
      <w:r>
        <w:rPr>
          <w:sz w:val="24"/>
        </w:rPr>
        <w:t>3</w:t>
      </w:r>
      <w:r>
        <w:rPr>
          <w:sz w:val="24"/>
        </w:rPr>
        <w:t>）排污口应便于采样与计量监测，便于日常现场监督检查。</w:t>
      </w:r>
    </w:p>
    <w:p w:rsidR="00DB7CC8" w:rsidRDefault="002B5250">
      <w:pPr>
        <w:ind w:firstLine="480"/>
        <w:jc w:val="both"/>
        <w:rPr>
          <w:sz w:val="24"/>
        </w:rPr>
      </w:pPr>
      <w:r>
        <w:rPr>
          <w:sz w:val="24"/>
        </w:rPr>
        <w:t>（</w:t>
      </w:r>
      <w:r>
        <w:rPr>
          <w:sz w:val="24"/>
        </w:rPr>
        <w:t>4</w:t>
      </w:r>
      <w:r>
        <w:rPr>
          <w:sz w:val="24"/>
        </w:rPr>
        <w:t>）如实向环保管理部门申报排污口数量、位置及所排放的主要污染物种类、数量、浓度、排放去向等情况；</w:t>
      </w:r>
    </w:p>
    <w:p w:rsidR="00DB7CC8" w:rsidRDefault="002B5250">
      <w:pPr>
        <w:ind w:firstLine="480"/>
        <w:jc w:val="both"/>
        <w:rPr>
          <w:sz w:val="24"/>
        </w:rPr>
      </w:pPr>
      <w:r>
        <w:rPr>
          <w:sz w:val="24"/>
        </w:rPr>
        <w:lastRenderedPageBreak/>
        <w:t>（</w:t>
      </w:r>
      <w:r>
        <w:rPr>
          <w:sz w:val="24"/>
        </w:rPr>
        <w:t>5</w:t>
      </w:r>
      <w:r>
        <w:rPr>
          <w:sz w:val="24"/>
        </w:rPr>
        <w:t>）废气排气装置应设置便于采样、监测的采样孔和采样平台，设置应符合《污染源监测技术规范》</w:t>
      </w:r>
      <w:r>
        <w:rPr>
          <w:rFonts w:hint="eastAsia"/>
          <w:sz w:val="24"/>
        </w:rPr>
        <w:t>；</w:t>
      </w:r>
    </w:p>
    <w:p w:rsidR="00DB7CC8" w:rsidRDefault="002B5250">
      <w:pPr>
        <w:ind w:firstLine="480"/>
        <w:jc w:val="both"/>
        <w:rPr>
          <w:sz w:val="24"/>
        </w:rPr>
      </w:pPr>
      <w:r>
        <w:rPr>
          <w:rFonts w:hint="eastAsia"/>
          <w:sz w:val="24"/>
        </w:rPr>
        <w:t>（</w:t>
      </w:r>
      <w:r>
        <w:rPr>
          <w:rFonts w:hint="eastAsia"/>
          <w:sz w:val="24"/>
        </w:rPr>
        <w:t>6</w:t>
      </w:r>
      <w:r>
        <w:rPr>
          <w:rFonts w:hint="eastAsia"/>
          <w:sz w:val="24"/>
        </w:rPr>
        <w:t>）危险废物暂存间应张贴危险废物标识</w:t>
      </w:r>
      <w:r>
        <w:rPr>
          <w:sz w:val="24"/>
        </w:rPr>
        <w:t>。</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637" w:name="_Toc482171393"/>
      <w:bookmarkStart w:id="638" w:name="_Toc524285124"/>
      <w:bookmarkStart w:id="639" w:name="_Toc10112"/>
      <w:bookmarkStart w:id="640" w:name="_Toc11774"/>
      <w:bookmarkStart w:id="641" w:name="_Toc521591836"/>
      <w:bookmarkStart w:id="642" w:name="_Toc6617"/>
      <w:bookmarkStart w:id="643" w:name="_Toc503218131"/>
      <w:bookmarkStart w:id="644" w:name="_Toc499651432"/>
      <w:bookmarkStart w:id="645" w:name="_Toc26087"/>
      <w:bookmarkStart w:id="646" w:name="_Toc176578297"/>
      <w:bookmarkStart w:id="647" w:name="_Toc186367931"/>
      <w:bookmarkStart w:id="648" w:name="_Toc321984022"/>
      <w:bookmarkStart w:id="649" w:name="_Toc477175441"/>
      <w:r>
        <w:rPr>
          <w:rFonts w:ascii="Times New Roman" w:eastAsia="宋体" w:hAnsi="Times New Roman"/>
          <w:bCs w:val="0"/>
          <w:snapToGrid w:val="0"/>
          <w:kern w:val="0"/>
          <w:sz w:val="28"/>
          <w:szCs w:val="28"/>
        </w:rPr>
        <w:t>污染物排放清单</w:t>
      </w:r>
      <w:bookmarkEnd w:id="637"/>
      <w:bookmarkEnd w:id="638"/>
      <w:bookmarkEnd w:id="639"/>
      <w:bookmarkEnd w:id="640"/>
      <w:bookmarkEnd w:id="641"/>
      <w:bookmarkEnd w:id="642"/>
      <w:bookmarkEnd w:id="643"/>
      <w:bookmarkEnd w:id="644"/>
      <w:bookmarkEnd w:id="645"/>
    </w:p>
    <w:p w:rsidR="00DB7CC8" w:rsidRDefault="002B5250">
      <w:pPr>
        <w:ind w:firstLine="480"/>
        <w:rPr>
          <w:sz w:val="24"/>
          <w:szCs w:val="24"/>
        </w:rPr>
      </w:pPr>
      <w:r>
        <w:rPr>
          <w:sz w:val="24"/>
          <w:szCs w:val="24"/>
        </w:rPr>
        <w:t>本项目建成后，主要污染物排放量统计情况见表</w:t>
      </w:r>
      <w:r>
        <w:rPr>
          <w:sz w:val="24"/>
          <w:szCs w:val="24"/>
        </w:rPr>
        <w:t>8.</w:t>
      </w:r>
      <w:r>
        <w:rPr>
          <w:rFonts w:hint="eastAsia"/>
          <w:sz w:val="24"/>
          <w:szCs w:val="24"/>
        </w:rPr>
        <w:t>3</w:t>
      </w:r>
      <w:r>
        <w:rPr>
          <w:sz w:val="24"/>
          <w:szCs w:val="24"/>
        </w:rPr>
        <w:t>-1</w:t>
      </w:r>
      <w:r>
        <w:rPr>
          <w:sz w:val="24"/>
          <w:szCs w:val="24"/>
        </w:rPr>
        <w:t>。</w:t>
      </w:r>
    </w:p>
    <w:p w:rsidR="00DB7CC8" w:rsidRDefault="00DB7CC8">
      <w:pPr>
        <w:autoSpaceDE w:val="0"/>
        <w:autoSpaceDN w:val="0"/>
        <w:ind w:firstLine="480"/>
        <w:textAlignment w:val="auto"/>
        <w:rPr>
          <w:sz w:val="24"/>
          <w:szCs w:val="24"/>
        </w:rPr>
      </w:pPr>
    </w:p>
    <w:p w:rsidR="00DB7CC8" w:rsidRDefault="00DB7CC8">
      <w:pPr>
        <w:spacing w:line="460" w:lineRule="exact"/>
        <w:ind w:firstLine="480"/>
        <w:rPr>
          <w:sz w:val="24"/>
          <w:szCs w:val="24"/>
        </w:rPr>
      </w:pPr>
    </w:p>
    <w:p w:rsidR="00DB7CC8" w:rsidRDefault="00DB7CC8">
      <w:pPr>
        <w:ind w:left="560" w:firstLineChars="0" w:firstLine="0"/>
        <w:sectPr w:rsidR="00DB7CC8">
          <w:pgSz w:w="11905" w:h="16838"/>
          <w:pgMar w:top="1440" w:right="1803" w:bottom="1134" w:left="1803" w:header="850" w:footer="992" w:gutter="0"/>
          <w:cols w:space="0"/>
          <w:docGrid w:linePitch="312"/>
        </w:sectPr>
      </w:pPr>
    </w:p>
    <w:p w:rsidR="00DB7CC8" w:rsidRDefault="002B5250">
      <w:pPr>
        <w:spacing w:line="240" w:lineRule="auto"/>
        <w:ind w:firstLineChars="0" w:firstLine="420"/>
        <w:jc w:val="center"/>
        <w:textAlignment w:val="baseline"/>
        <w:rPr>
          <w:rFonts w:eastAsia="黑体"/>
          <w:bCs/>
          <w:kern w:val="2"/>
          <w:sz w:val="21"/>
          <w:szCs w:val="21"/>
        </w:rPr>
      </w:pPr>
      <w:r>
        <w:rPr>
          <w:rFonts w:eastAsia="黑体"/>
          <w:bCs/>
          <w:kern w:val="2"/>
          <w:sz w:val="21"/>
          <w:szCs w:val="21"/>
        </w:rPr>
        <w:lastRenderedPageBreak/>
        <w:t>表</w:t>
      </w:r>
      <w:r>
        <w:rPr>
          <w:rFonts w:eastAsia="黑体"/>
          <w:bCs/>
          <w:kern w:val="2"/>
          <w:sz w:val="21"/>
          <w:szCs w:val="21"/>
        </w:rPr>
        <w:t>8.</w:t>
      </w:r>
      <w:r>
        <w:rPr>
          <w:rFonts w:eastAsia="黑体" w:hint="eastAsia"/>
          <w:bCs/>
          <w:kern w:val="2"/>
          <w:sz w:val="21"/>
          <w:szCs w:val="21"/>
        </w:rPr>
        <w:t>3</w:t>
      </w:r>
      <w:r>
        <w:rPr>
          <w:rFonts w:eastAsia="黑体"/>
          <w:bCs/>
          <w:kern w:val="2"/>
          <w:sz w:val="21"/>
          <w:szCs w:val="21"/>
        </w:rPr>
        <w:t>-1</w:t>
      </w:r>
      <w:r>
        <w:rPr>
          <w:rFonts w:eastAsia="黑体"/>
          <w:bCs/>
          <w:kern w:val="2"/>
          <w:sz w:val="21"/>
          <w:szCs w:val="21"/>
        </w:rPr>
        <w:t>污染物排放清单</w:t>
      </w:r>
    </w:p>
    <w:tbl>
      <w:tblPr>
        <w:tblW w:w="136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2"/>
        <w:gridCol w:w="903"/>
        <w:gridCol w:w="917"/>
        <w:gridCol w:w="1636"/>
        <w:gridCol w:w="2572"/>
        <w:gridCol w:w="1333"/>
        <w:gridCol w:w="1134"/>
        <w:gridCol w:w="1130"/>
        <w:gridCol w:w="997"/>
        <w:gridCol w:w="1842"/>
        <w:gridCol w:w="772"/>
      </w:tblGrid>
      <w:tr w:rsidR="00DB7CC8">
        <w:trPr>
          <w:trHeight w:val="283"/>
          <w:jc w:val="center"/>
        </w:trPr>
        <w:tc>
          <w:tcPr>
            <w:tcW w:w="2252" w:type="dxa"/>
            <w:gridSpan w:val="3"/>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工程类别</w:t>
            </w:r>
          </w:p>
        </w:tc>
        <w:tc>
          <w:tcPr>
            <w:tcW w:w="1636"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工程名称</w:t>
            </w:r>
          </w:p>
        </w:tc>
        <w:tc>
          <w:tcPr>
            <w:tcW w:w="9780" w:type="dxa"/>
            <w:gridSpan w:val="7"/>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工程内容</w:t>
            </w:r>
          </w:p>
        </w:tc>
      </w:tr>
      <w:tr w:rsidR="00DB7CC8">
        <w:trPr>
          <w:trHeight w:val="283"/>
          <w:jc w:val="center"/>
        </w:trPr>
        <w:tc>
          <w:tcPr>
            <w:tcW w:w="2252" w:type="dxa"/>
            <w:gridSpan w:val="3"/>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主体工程</w:t>
            </w:r>
          </w:p>
        </w:tc>
        <w:tc>
          <w:tcPr>
            <w:tcW w:w="1636"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年</w:t>
            </w:r>
            <w:r>
              <w:rPr>
                <w:rFonts w:hint="eastAsia"/>
                <w:sz w:val="21"/>
                <w:szCs w:val="21"/>
              </w:rPr>
              <w:t>处理</w:t>
            </w:r>
            <w:r>
              <w:rPr>
                <w:rFonts w:hint="eastAsia"/>
                <w:sz w:val="21"/>
                <w:szCs w:val="21"/>
              </w:rPr>
              <w:t>110</w:t>
            </w:r>
            <w:r>
              <w:rPr>
                <w:sz w:val="21"/>
                <w:szCs w:val="21"/>
              </w:rPr>
              <w:t>万吨铁矿石</w:t>
            </w:r>
            <w:r>
              <w:rPr>
                <w:rFonts w:hint="eastAsia"/>
                <w:sz w:val="21"/>
                <w:szCs w:val="21"/>
              </w:rPr>
              <w:t>、</w:t>
            </w:r>
            <w:r>
              <w:rPr>
                <w:rFonts w:hint="eastAsia"/>
                <w:sz w:val="21"/>
                <w:szCs w:val="21"/>
              </w:rPr>
              <w:t>40</w:t>
            </w:r>
            <w:r>
              <w:rPr>
                <w:rFonts w:hint="eastAsia"/>
                <w:sz w:val="21"/>
                <w:szCs w:val="21"/>
              </w:rPr>
              <w:t>万吨粗精矿改扩建项目</w:t>
            </w:r>
          </w:p>
        </w:tc>
        <w:tc>
          <w:tcPr>
            <w:tcW w:w="9780" w:type="dxa"/>
            <w:gridSpan w:val="7"/>
            <w:tcBorders>
              <w:tl2br w:val="nil"/>
              <w:tr2bl w:val="nil"/>
            </w:tcBorders>
            <w:vAlign w:val="center"/>
          </w:tcPr>
          <w:p w:rsidR="00DB7CC8" w:rsidRDefault="002B5250">
            <w:pPr>
              <w:spacing w:line="240" w:lineRule="auto"/>
              <w:ind w:firstLineChars="0" w:firstLine="0"/>
              <w:jc w:val="both"/>
              <w:rPr>
                <w:sz w:val="21"/>
                <w:szCs w:val="21"/>
              </w:rPr>
            </w:pPr>
            <w:r>
              <w:rPr>
                <w:rFonts w:hint="eastAsia"/>
                <w:sz w:val="21"/>
                <w:szCs w:val="21"/>
              </w:rPr>
              <w:t>主要建设破碎粗选车间、精选车间，新增</w:t>
            </w:r>
            <w:r>
              <w:rPr>
                <w:rFonts w:hint="eastAsia"/>
                <w:sz w:val="21"/>
                <w:szCs w:val="21"/>
              </w:rPr>
              <w:t>1</w:t>
            </w:r>
            <w:r>
              <w:rPr>
                <w:rFonts w:hint="eastAsia"/>
                <w:sz w:val="21"/>
                <w:szCs w:val="21"/>
              </w:rPr>
              <w:t>条破碎粗选生产线，</w:t>
            </w:r>
            <w:r>
              <w:rPr>
                <w:rFonts w:hint="eastAsia"/>
                <w:sz w:val="21"/>
                <w:szCs w:val="21"/>
              </w:rPr>
              <w:t>2</w:t>
            </w:r>
            <w:r>
              <w:rPr>
                <w:rFonts w:hint="eastAsia"/>
                <w:sz w:val="21"/>
                <w:szCs w:val="21"/>
              </w:rPr>
              <w:t>条精选生产线，购置安装球磨、磁选等设备，配套建设辅助生产设施办公室、配电室、库房。</w:t>
            </w:r>
          </w:p>
        </w:tc>
      </w:tr>
      <w:tr w:rsidR="00DB7CC8">
        <w:trPr>
          <w:trHeight w:val="283"/>
          <w:jc w:val="center"/>
        </w:trPr>
        <w:tc>
          <w:tcPr>
            <w:tcW w:w="13668" w:type="dxa"/>
            <w:gridSpan w:val="11"/>
            <w:tcBorders>
              <w:tl2br w:val="nil"/>
              <w:tr2bl w:val="nil"/>
            </w:tcBorders>
            <w:vAlign w:val="center"/>
          </w:tcPr>
          <w:p w:rsidR="00DB7CC8" w:rsidRDefault="002B5250">
            <w:pPr>
              <w:spacing w:line="240" w:lineRule="auto"/>
              <w:ind w:firstLineChars="0" w:firstLine="0"/>
              <w:jc w:val="center"/>
              <w:rPr>
                <w:sz w:val="21"/>
                <w:szCs w:val="21"/>
              </w:rPr>
            </w:pPr>
            <w:r>
              <w:rPr>
                <w:sz w:val="21"/>
                <w:szCs w:val="21"/>
                <w:lang w:val="zh-CN"/>
              </w:rPr>
              <w:t>产品及产能</w:t>
            </w:r>
          </w:p>
        </w:tc>
      </w:tr>
      <w:tr w:rsidR="00DB7CC8">
        <w:trPr>
          <w:trHeight w:val="283"/>
          <w:jc w:val="center"/>
        </w:trPr>
        <w:tc>
          <w:tcPr>
            <w:tcW w:w="2252" w:type="dxa"/>
            <w:gridSpan w:val="3"/>
            <w:tcBorders>
              <w:tl2br w:val="nil"/>
              <w:tr2bl w:val="nil"/>
            </w:tcBorders>
            <w:vAlign w:val="center"/>
          </w:tcPr>
          <w:p w:rsidR="00DB7CC8" w:rsidRDefault="002B5250">
            <w:pPr>
              <w:spacing w:line="240" w:lineRule="auto"/>
              <w:ind w:firstLineChars="0" w:firstLine="0"/>
              <w:jc w:val="center"/>
              <w:rPr>
                <w:sz w:val="21"/>
                <w:szCs w:val="21"/>
              </w:rPr>
            </w:pPr>
            <w:r>
              <w:rPr>
                <w:sz w:val="21"/>
                <w:szCs w:val="21"/>
                <w:lang w:val="zh-CN"/>
              </w:rPr>
              <w:t>产品名称</w:t>
            </w:r>
          </w:p>
        </w:tc>
        <w:tc>
          <w:tcPr>
            <w:tcW w:w="4208" w:type="dxa"/>
            <w:gridSpan w:val="2"/>
            <w:tcBorders>
              <w:tl2br w:val="nil"/>
              <w:tr2bl w:val="nil"/>
            </w:tcBorders>
            <w:vAlign w:val="center"/>
          </w:tcPr>
          <w:p w:rsidR="00DB7CC8" w:rsidRDefault="002B5250">
            <w:pPr>
              <w:spacing w:line="240" w:lineRule="auto"/>
              <w:ind w:firstLineChars="0" w:firstLine="0"/>
              <w:jc w:val="center"/>
              <w:rPr>
                <w:sz w:val="21"/>
                <w:szCs w:val="21"/>
              </w:rPr>
            </w:pPr>
            <w:r>
              <w:rPr>
                <w:sz w:val="21"/>
                <w:szCs w:val="21"/>
                <w:lang w:val="zh-CN"/>
              </w:rPr>
              <w:t>产量</w:t>
            </w:r>
          </w:p>
        </w:tc>
        <w:tc>
          <w:tcPr>
            <w:tcW w:w="4594" w:type="dxa"/>
            <w:gridSpan w:val="4"/>
            <w:tcBorders>
              <w:tl2br w:val="nil"/>
              <w:tr2bl w:val="nil"/>
            </w:tcBorders>
            <w:vAlign w:val="center"/>
          </w:tcPr>
          <w:p w:rsidR="00DB7CC8" w:rsidRDefault="002B5250">
            <w:pPr>
              <w:spacing w:line="240" w:lineRule="auto"/>
              <w:ind w:firstLineChars="0" w:firstLine="0"/>
              <w:jc w:val="center"/>
              <w:rPr>
                <w:sz w:val="21"/>
                <w:szCs w:val="21"/>
              </w:rPr>
            </w:pPr>
            <w:r>
              <w:rPr>
                <w:sz w:val="21"/>
                <w:szCs w:val="21"/>
                <w:lang w:val="zh-CN"/>
              </w:rPr>
              <w:t>设计年生产的时间（</w:t>
            </w:r>
            <w:r>
              <w:rPr>
                <w:sz w:val="21"/>
                <w:szCs w:val="21"/>
              </w:rPr>
              <w:t>h</w:t>
            </w:r>
            <w:r>
              <w:rPr>
                <w:sz w:val="21"/>
                <w:szCs w:val="21"/>
                <w:lang w:val="zh-CN"/>
              </w:rPr>
              <w:t>）</w:t>
            </w:r>
          </w:p>
        </w:tc>
        <w:tc>
          <w:tcPr>
            <w:tcW w:w="2614" w:type="dxa"/>
            <w:gridSpan w:val="2"/>
            <w:tcBorders>
              <w:tl2br w:val="nil"/>
              <w:tr2bl w:val="nil"/>
            </w:tcBorders>
            <w:vAlign w:val="center"/>
          </w:tcPr>
          <w:p w:rsidR="00DB7CC8" w:rsidRDefault="002B5250">
            <w:pPr>
              <w:spacing w:line="240" w:lineRule="auto"/>
              <w:ind w:firstLineChars="0" w:firstLine="0"/>
              <w:jc w:val="center"/>
              <w:rPr>
                <w:sz w:val="21"/>
                <w:szCs w:val="21"/>
              </w:rPr>
            </w:pPr>
            <w:r>
              <w:rPr>
                <w:sz w:val="21"/>
                <w:szCs w:val="21"/>
                <w:lang w:val="zh-CN"/>
              </w:rPr>
              <w:t>其他</w:t>
            </w:r>
          </w:p>
        </w:tc>
      </w:tr>
      <w:tr w:rsidR="00DB7CC8">
        <w:trPr>
          <w:trHeight w:val="283"/>
          <w:jc w:val="center"/>
        </w:trPr>
        <w:tc>
          <w:tcPr>
            <w:tcW w:w="2252" w:type="dxa"/>
            <w:gridSpan w:val="3"/>
            <w:tcBorders>
              <w:tl2br w:val="nil"/>
              <w:tr2bl w:val="nil"/>
            </w:tcBorders>
            <w:vAlign w:val="center"/>
          </w:tcPr>
          <w:p w:rsidR="00DB7CC8" w:rsidRDefault="002B5250">
            <w:pPr>
              <w:spacing w:line="240" w:lineRule="auto"/>
              <w:ind w:firstLineChars="0" w:firstLine="0"/>
              <w:jc w:val="center"/>
              <w:rPr>
                <w:sz w:val="21"/>
                <w:szCs w:val="21"/>
              </w:rPr>
            </w:pPr>
            <w:r>
              <w:rPr>
                <w:sz w:val="21"/>
                <w:szCs w:val="21"/>
                <w:lang w:val="zh-CN"/>
              </w:rPr>
              <w:t>铁精粉</w:t>
            </w:r>
          </w:p>
        </w:tc>
        <w:tc>
          <w:tcPr>
            <w:tcW w:w="4208" w:type="dxa"/>
            <w:gridSpan w:val="2"/>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年产品位</w:t>
            </w:r>
            <w:r>
              <w:rPr>
                <w:rFonts w:hint="eastAsia"/>
                <w:sz w:val="21"/>
                <w:szCs w:val="21"/>
              </w:rPr>
              <w:t>66</w:t>
            </w:r>
            <w:r>
              <w:rPr>
                <w:sz w:val="21"/>
                <w:szCs w:val="21"/>
              </w:rPr>
              <w:t>%</w:t>
            </w:r>
            <w:r>
              <w:rPr>
                <w:sz w:val="21"/>
                <w:szCs w:val="21"/>
              </w:rPr>
              <w:t>铁精粉</w:t>
            </w:r>
            <w:r>
              <w:rPr>
                <w:rFonts w:hint="eastAsia"/>
                <w:sz w:val="21"/>
                <w:szCs w:val="21"/>
              </w:rPr>
              <w:t>35</w:t>
            </w:r>
            <w:r>
              <w:rPr>
                <w:sz w:val="21"/>
                <w:szCs w:val="21"/>
              </w:rPr>
              <w:t>万吨</w:t>
            </w:r>
          </w:p>
        </w:tc>
        <w:tc>
          <w:tcPr>
            <w:tcW w:w="4594" w:type="dxa"/>
            <w:gridSpan w:val="4"/>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7200</w:t>
            </w:r>
          </w:p>
        </w:tc>
        <w:tc>
          <w:tcPr>
            <w:tcW w:w="2614" w:type="dxa"/>
            <w:gridSpan w:val="2"/>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r>
      <w:tr w:rsidR="00DB7CC8">
        <w:trPr>
          <w:trHeight w:val="283"/>
          <w:jc w:val="center"/>
        </w:trPr>
        <w:tc>
          <w:tcPr>
            <w:tcW w:w="43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类别</w:t>
            </w:r>
          </w:p>
        </w:tc>
        <w:tc>
          <w:tcPr>
            <w:tcW w:w="90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工程</w:t>
            </w:r>
          </w:p>
          <w:p w:rsidR="00DB7CC8" w:rsidRDefault="002B5250">
            <w:pPr>
              <w:spacing w:line="240" w:lineRule="auto"/>
              <w:ind w:firstLineChars="0" w:firstLine="0"/>
              <w:jc w:val="center"/>
              <w:rPr>
                <w:sz w:val="21"/>
                <w:szCs w:val="21"/>
              </w:rPr>
            </w:pPr>
            <w:r>
              <w:rPr>
                <w:sz w:val="21"/>
                <w:szCs w:val="21"/>
              </w:rPr>
              <w:t>组成</w:t>
            </w:r>
          </w:p>
        </w:tc>
        <w:tc>
          <w:tcPr>
            <w:tcW w:w="91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原辅材料组分</w:t>
            </w:r>
          </w:p>
        </w:tc>
        <w:tc>
          <w:tcPr>
            <w:tcW w:w="1636"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污染物</w:t>
            </w:r>
          </w:p>
        </w:tc>
        <w:tc>
          <w:tcPr>
            <w:tcW w:w="257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环保措施</w:t>
            </w:r>
          </w:p>
        </w:tc>
        <w:tc>
          <w:tcPr>
            <w:tcW w:w="133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产生量</w:t>
            </w:r>
          </w:p>
        </w:tc>
        <w:tc>
          <w:tcPr>
            <w:tcW w:w="11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排放浓度</w:t>
            </w:r>
          </w:p>
        </w:tc>
        <w:tc>
          <w:tcPr>
            <w:tcW w:w="113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排放速率</w:t>
            </w:r>
          </w:p>
        </w:tc>
        <w:tc>
          <w:tcPr>
            <w:tcW w:w="9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排放量</w:t>
            </w:r>
          </w:p>
        </w:tc>
        <w:tc>
          <w:tcPr>
            <w:tcW w:w="184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执行标准</w:t>
            </w:r>
          </w:p>
        </w:tc>
        <w:tc>
          <w:tcPr>
            <w:tcW w:w="77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备注</w:t>
            </w:r>
          </w:p>
        </w:tc>
      </w:tr>
      <w:tr w:rsidR="00DB7CC8">
        <w:trPr>
          <w:trHeight w:val="283"/>
          <w:jc w:val="center"/>
        </w:trPr>
        <w:tc>
          <w:tcPr>
            <w:tcW w:w="432" w:type="dxa"/>
            <w:vMerge w:val="restart"/>
            <w:tcBorders>
              <w:tl2br w:val="nil"/>
              <w:tr2bl w:val="nil"/>
            </w:tcBorders>
            <w:vAlign w:val="center"/>
          </w:tcPr>
          <w:p w:rsidR="00DB7CC8" w:rsidRDefault="002B5250">
            <w:pPr>
              <w:spacing w:line="240" w:lineRule="auto"/>
              <w:ind w:firstLine="420"/>
              <w:jc w:val="center"/>
              <w:rPr>
                <w:sz w:val="21"/>
                <w:szCs w:val="21"/>
              </w:rPr>
            </w:pPr>
            <w:r>
              <w:rPr>
                <w:sz w:val="21"/>
                <w:szCs w:val="21"/>
              </w:rPr>
              <w:t>废废气</w:t>
            </w:r>
          </w:p>
        </w:tc>
        <w:tc>
          <w:tcPr>
            <w:tcW w:w="903"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3</w:t>
            </w:r>
            <w:r>
              <w:rPr>
                <w:sz w:val="21"/>
                <w:szCs w:val="21"/>
              </w:rPr>
              <w:t>#</w:t>
            </w:r>
            <w:r>
              <w:rPr>
                <w:sz w:val="21"/>
                <w:szCs w:val="21"/>
              </w:rPr>
              <w:t>破碎</w:t>
            </w:r>
            <w:r>
              <w:rPr>
                <w:rFonts w:hint="eastAsia"/>
                <w:sz w:val="21"/>
                <w:szCs w:val="21"/>
              </w:rPr>
              <w:t>粗选</w:t>
            </w:r>
            <w:r>
              <w:rPr>
                <w:sz w:val="21"/>
                <w:szCs w:val="21"/>
              </w:rPr>
              <w:t>生产线</w:t>
            </w:r>
          </w:p>
        </w:tc>
        <w:tc>
          <w:tcPr>
            <w:tcW w:w="917"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铁矿石</w:t>
            </w:r>
          </w:p>
        </w:tc>
        <w:tc>
          <w:tcPr>
            <w:tcW w:w="1636"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颗粒物</w:t>
            </w:r>
          </w:p>
        </w:tc>
        <w:tc>
          <w:tcPr>
            <w:tcW w:w="257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封闭厂房</w:t>
            </w:r>
            <w:r>
              <w:rPr>
                <w:sz w:val="21"/>
                <w:szCs w:val="21"/>
              </w:rPr>
              <w:t>+</w:t>
            </w:r>
            <w:r>
              <w:rPr>
                <w:sz w:val="21"/>
                <w:szCs w:val="21"/>
              </w:rPr>
              <w:t>集气罩</w:t>
            </w:r>
            <w:r>
              <w:rPr>
                <w:sz w:val="21"/>
                <w:szCs w:val="21"/>
              </w:rPr>
              <w:t>+</w:t>
            </w:r>
            <w:r>
              <w:rPr>
                <w:sz w:val="21"/>
                <w:szCs w:val="21"/>
              </w:rPr>
              <w:t>布袋除尘器</w:t>
            </w:r>
            <w:r>
              <w:rPr>
                <w:sz w:val="21"/>
                <w:szCs w:val="21"/>
              </w:rPr>
              <w:t>+1</w:t>
            </w:r>
            <w:r>
              <w:rPr>
                <w:rFonts w:hint="eastAsia"/>
                <w:sz w:val="21"/>
                <w:szCs w:val="21"/>
              </w:rPr>
              <w:t>8</w:t>
            </w:r>
            <w:r>
              <w:rPr>
                <w:sz w:val="21"/>
                <w:szCs w:val="21"/>
              </w:rPr>
              <w:t>m</w:t>
            </w:r>
            <w:r>
              <w:rPr>
                <w:sz w:val="21"/>
                <w:szCs w:val="21"/>
              </w:rPr>
              <w:t>高排气筒</w:t>
            </w:r>
          </w:p>
        </w:tc>
        <w:tc>
          <w:tcPr>
            <w:tcW w:w="1333"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540</w:t>
            </w:r>
            <w:r>
              <w:rPr>
                <w:sz w:val="21"/>
                <w:szCs w:val="21"/>
              </w:rPr>
              <w:t>t/a</w:t>
            </w:r>
          </w:p>
        </w:tc>
        <w:tc>
          <w:tcPr>
            <w:tcW w:w="1134"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5.7</w:t>
            </w:r>
            <w:r>
              <w:rPr>
                <w:sz w:val="21"/>
                <w:szCs w:val="21"/>
              </w:rPr>
              <w:t>mg/m</w:t>
            </w:r>
            <w:r>
              <w:rPr>
                <w:rStyle w:val="font21"/>
                <w:color w:val="auto"/>
                <w:vertAlign w:val="superscript"/>
              </w:rPr>
              <w:t>3</w:t>
            </w:r>
          </w:p>
        </w:tc>
        <w:tc>
          <w:tcPr>
            <w:tcW w:w="1130"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0.285</w:t>
            </w:r>
            <w:r>
              <w:rPr>
                <w:sz w:val="21"/>
                <w:szCs w:val="21"/>
              </w:rPr>
              <w:t>kg/h</w:t>
            </w:r>
          </w:p>
        </w:tc>
        <w:tc>
          <w:tcPr>
            <w:tcW w:w="9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2.052</w:t>
            </w:r>
            <w:r>
              <w:rPr>
                <w:sz w:val="21"/>
                <w:szCs w:val="21"/>
              </w:rPr>
              <w:t>t/a</w:t>
            </w:r>
          </w:p>
        </w:tc>
        <w:tc>
          <w:tcPr>
            <w:tcW w:w="1842"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《铁矿采选工业污染物排放标准》（</w:t>
            </w:r>
            <w:r>
              <w:rPr>
                <w:sz w:val="21"/>
                <w:szCs w:val="21"/>
              </w:rPr>
              <w:t>GB28661-2012</w:t>
            </w:r>
            <w:r>
              <w:rPr>
                <w:sz w:val="21"/>
                <w:szCs w:val="21"/>
              </w:rPr>
              <w:t>）</w:t>
            </w:r>
          </w:p>
        </w:tc>
        <w:tc>
          <w:tcPr>
            <w:tcW w:w="772"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排至环境空气中</w:t>
            </w:r>
          </w:p>
        </w:tc>
      </w:tr>
      <w:tr w:rsidR="00DB7CC8">
        <w:trPr>
          <w:trHeight w:val="283"/>
          <w:jc w:val="center"/>
        </w:trPr>
        <w:tc>
          <w:tcPr>
            <w:tcW w:w="432" w:type="dxa"/>
            <w:vMerge/>
            <w:tcBorders>
              <w:tl2br w:val="nil"/>
              <w:tr2bl w:val="nil"/>
            </w:tcBorders>
            <w:vAlign w:val="center"/>
          </w:tcPr>
          <w:p w:rsidR="00DB7CC8" w:rsidRDefault="00DB7CC8">
            <w:pPr>
              <w:spacing w:line="240" w:lineRule="auto"/>
              <w:ind w:firstLine="420"/>
              <w:jc w:val="center"/>
              <w:rPr>
                <w:sz w:val="21"/>
                <w:szCs w:val="21"/>
              </w:rPr>
            </w:pPr>
          </w:p>
        </w:tc>
        <w:tc>
          <w:tcPr>
            <w:tcW w:w="903"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917"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636" w:type="dxa"/>
            <w:tcBorders>
              <w:tl2br w:val="nil"/>
              <w:tr2bl w:val="nil"/>
            </w:tcBorders>
            <w:vAlign w:val="center"/>
          </w:tcPr>
          <w:p w:rsidR="00DB7CC8" w:rsidRDefault="002B5250">
            <w:pPr>
              <w:spacing w:line="240" w:lineRule="auto"/>
              <w:ind w:firstLineChars="0" w:firstLine="0"/>
              <w:jc w:val="center"/>
              <w:rPr>
                <w:sz w:val="21"/>
                <w:szCs w:val="21"/>
              </w:rPr>
            </w:pPr>
            <w:r>
              <w:rPr>
                <w:snapToGrid w:val="0"/>
                <w:sz w:val="21"/>
                <w:szCs w:val="21"/>
              </w:rPr>
              <w:t>颗粒物</w:t>
            </w:r>
          </w:p>
        </w:tc>
        <w:tc>
          <w:tcPr>
            <w:tcW w:w="257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车间进出口逸散</w:t>
            </w:r>
          </w:p>
        </w:tc>
        <w:tc>
          <w:tcPr>
            <w:tcW w:w="1333"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11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c>
          <w:tcPr>
            <w:tcW w:w="113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c>
          <w:tcPr>
            <w:tcW w:w="9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w:t>
            </w:r>
            <w:r>
              <w:rPr>
                <w:rFonts w:hint="eastAsia"/>
                <w:sz w:val="21"/>
                <w:szCs w:val="21"/>
              </w:rPr>
              <w:t>54</w:t>
            </w:r>
            <w:r>
              <w:rPr>
                <w:sz w:val="21"/>
                <w:szCs w:val="21"/>
              </w:rPr>
              <w:t>t/a</w:t>
            </w:r>
          </w:p>
        </w:tc>
        <w:tc>
          <w:tcPr>
            <w:tcW w:w="1842"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772" w:type="dxa"/>
            <w:vMerge/>
            <w:tcBorders>
              <w:tl2br w:val="nil"/>
              <w:tr2bl w:val="nil"/>
            </w:tcBorders>
            <w:vAlign w:val="center"/>
          </w:tcPr>
          <w:p w:rsidR="00DB7CC8" w:rsidRDefault="00DB7CC8">
            <w:pPr>
              <w:spacing w:line="240" w:lineRule="auto"/>
              <w:ind w:firstLine="420"/>
              <w:jc w:val="center"/>
              <w:rPr>
                <w:sz w:val="21"/>
                <w:szCs w:val="21"/>
              </w:rPr>
            </w:pPr>
          </w:p>
        </w:tc>
      </w:tr>
      <w:tr w:rsidR="00DB7CC8">
        <w:trPr>
          <w:trHeight w:val="283"/>
          <w:jc w:val="center"/>
        </w:trPr>
        <w:tc>
          <w:tcPr>
            <w:tcW w:w="432" w:type="dxa"/>
            <w:vMerge/>
            <w:tcBorders>
              <w:tl2br w:val="nil"/>
              <w:tr2bl w:val="nil"/>
            </w:tcBorders>
            <w:vAlign w:val="center"/>
          </w:tcPr>
          <w:p w:rsidR="00DB7CC8" w:rsidRDefault="00DB7CC8">
            <w:pPr>
              <w:spacing w:line="240" w:lineRule="auto"/>
              <w:ind w:firstLine="420"/>
              <w:jc w:val="center"/>
              <w:rPr>
                <w:sz w:val="21"/>
                <w:szCs w:val="21"/>
              </w:rPr>
            </w:pPr>
          </w:p>
        </w:tc>
        <w:tc>
          <w:tcPr>
            <w:tcW w:w="903"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物料</w:t>
            </w:r>
          </w:p>
          <w:p w:rsidR="00DB7CC8" w:rsidRDefault="002B5250">
            <w:pPr>
              <w:spacing w:line="240" w:lineRule="auto"/>
              <w:ind w:firstLineChars="0" w:firstLine="0"/>
              <w:jc w:val="center"/>
              <w:rPr>
                <w:sz w:val="21"/>
                <w:szCs w:val="21"/>
              </w:rPr>
            </w:pPr>
            <w:r>
              <w:rPr>
                <w:rFonts w:hint="eastAsia"/>
                <w:sz w:val="21"/>
                <w:szCs w:val="21"/>
              </w:rPr>
              <w:t>装卸、堆存</w:t>
            </w:r>
          </w:p>
        </w:tc>
        <w:tc>
          <w:tcPr>
            <w:tcW w:w="91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c>
          <w:tcPr>
            <w:tcW w:w="1636" w:type="dxa"/>
            <w:tcBorders>
              <w:tl2br w:val="nil"/>
              <w:tr2bl w:val="nil"/>
            </w:tcBorders>
            <w:vAlign w:val="center"/>
          </w:tcPr>
          <w:p w:rsidR="00DB7CC8" w:rsidRDefault="002B5250">
            <w:pPr>
              <w:spacing w:line="240" w:lineRule="auto"/>
              <w:ind w:firstLineChars="0" w:firstLine="0"/>
              <w:jc w:val="center"/>
              <w:rPr>
                <w:snapToGrid w:val="0"/>
                <w:sz w:val="21"/>
                <w:szCs w:val="21"/>
              </w:rPr>
            </w:pPr>
            <w:r>
              <w:rPr>
                <w:snapToGrid w:val="0"/>
                <w:sz w:val="21"/>
                <w:szCs w:val="21"/>
              </w:rPr>
              <w:t>颗粒物</w:t>
            </w:r>
          </w:p>
        </w:tc>
        <w:tc>
          <w:tcPr>
            <w:tcW w:w="257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封闭，喷淋系统</w:t>
            </w:r>
          </w:p>
        </w:tc>
        <w:tc>
          <w:tcPr>
            <w:tcW w:w="1333"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1.505</w:t>
            </w:r>
            <w:r>
              <w:rPr>
                <w:sz w:val="21"/>
                <w:szCs w:val="21"/>
              </w:rPr>
              <w:t>t/a</w:t>
            </w:r>
          </w:p>
        </w:tc>
        <w:tc>
          <w:tcPr>
            <w:tcW w:w="1134"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c>
          <w:tcPr>
            <w:tcW w:w="1130"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c>
          <w:tcPr>
            <w:tcW w:w="997"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1.505</w:t>
            </w:r>
            <w:r>
              <w:rPr>
                <w:sz w:val="21"/>
                <w:szCs w:val="21"/>
              </w:rPr>
              <w:t>t/a</w:t>
            </w:r>
          </w:p>
        </w:tc>
        <w:tc>
          <w:tcPr>
            <w:tcW w:w="1842"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772" w:type="dxa"/>
            <w:vMerge/>
            <w:tcBorders>
              <w:tl2br w:val="nil"/>
              <w:tr2bl w:val="nil"/>
            </w:tcBorders>
            <w:vAlign w:val="center"/>
          </w:tcPr>
          <w:p w:rsidR="00DB7CC8" w:rsidRDefault="00DB7CC8">
            <w:pPr>
              <w:spacing w:line="240" w:lineRule="auto"/>
              <w:ind w:firstLine="420"/>
              <w:jc w:val="center"/>
              <w:rPr>
                <w:sz w:val="21"/>
                <w:szCs w:val="21"/>
              </w:rPr>
            </w:pPr>
          </w:p>
        </w:tc>
      </w:tr>
      <w:tr w:rsidR="00DB7CC8">
        <w:trPr>
          <w:trHeight w:val="283"/>
          <w:jc w:val="center"/>
        </w:trPr>
        <w:tc>
          <w:tcPr>
            <w:tcW w:w="432"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废水</w:t>
            </w:r>
          </w:p>
        </w:tc>
        <w:tc>
          <w:tcPr>
            <w:tcW w:w="903" w:type="dxa"/>
            <w:tcBorders>
              <w:tl2br w:val="nil"/>
              <w:tr2bl w:val="nil"/>
            </w:tcBorders>
            <w:vAlign w:val="center"/>
          </w:tcPr>
          <w:p w:rsidR="00DB7CC8" w:rsidRDefault="002B5250">
            <w:pPr>
              <w:spacing w:line="240" w:lineRule="auto"/>
              <w:ind w:firstLineChars="0" w:firstLine="0"/>
              <w:jc w:val="center"/>
              <w:rPr>
                <w:sz w:val="21"/>
                <w:szCs w:val="21"/>
                <w:lang w:val="zh-CN"/>
              </w:rPr>
            </w:pPr>
            <w:r>
              <w:rPr>
                <w:sz w:val="21"/>
                <w:szCs w:val="21"/>
                <w:lang w:val="zh-CN"/>
              </w:rPr>
              <w:t>球磨、磁选</w:t>
            </w:r>
          </w:p>
        </w:tc>
        <w:tc>
          <w:tcPr>
            <w:tcW w:w="2553" w:type="dxa"/>
            <w:gridSpan w:val="2"/>
            <w:tcBorders>
              <w:tl2br w:val="nil"/>
              <w:tr2bl w:val="nil"/>
            </w:tcBorders>
            <w:vAlign w:val="center"/>
          </w:tcPr>
          <w:p w:rsidR="00DB7CC8" w:rsidRDefault="002B5250">
            <w:pPr>
              <w:spacing w:line="240" w:lineRule="auto"/>
              <w:ind w:firstLineChars="0" w:firstLine="0"/>
              <w:jc w:val="center"/>
              <w:rPr>
                <w:sz w:val="21"/>
                <w:szCs w:val="21"/>
              </w:rPr>
            </w:pPr>
            <w:r>
              <w:rPr>
                <w:sz w:val="21"/>
                <w:szCs w:val="21"/>
                <w:lang w:val="zh-CN"/>
              </w:rPr>
              <w:t>选矿废水</w:t>
            </w:r>
          </w:p>
        </w:tc>
        <w:tc>
          <w:tcPr>
            <w:tcW w:w="2572" w:type="dxa"/>
            <w:tcBorders>
              <w:tl2br w:val="nil"/>
              <w:tr2bl w:val="nil"/>
            </w:tcBorders>
            <w:vAlign w:val="center"/>
          </w:tcPr>
          <w:p w:rsidR="00DB7CC8" w:rsidRDefault="002B5250">
            <w:pPr>
              <w:spacing w:line="240" w:lineRule="auto"/>
              <w:ind w:firstLineChars="0" w:firstLine="0"/>
              <w:rPr>
                <w:bCs/>
                <w:sz w:val="21"/>
                <w:szCs w:val="21"/>
              </w:rPr>
            </w:pPr>
            <w:r>
              <w:rPr>
                <w:sz w:val="21"/>
                <w:szCs w:val="21"/>
              </w:rPr>
              <w:t>选矿废水经沉淀、过滤、脱水等处理后回用于选矿，不外排</w:t>
            </w:r>
          </w:p>
        </w:tc>
        <w:tc>
          <w:tcPr>
            <w:tcW w:w="1333"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4800.6</w:t>
            </w:r>
            <w:r>
              <w:rPr>
                <w:sz w:val="21"/>
                <w:szCs w:val="21"/>
              </w:rPr>
              <w:t>m</w:t>
            </w:r>
            <w:r>
              <w:rPr>
                <w:sz w:val="21"/>
                <w:szCs w:val="21"/>
                <w:vertAlign w:val="superscript"/>
              </w:rPr>
              <w:t>3</w:t>
            </w:r>
            <w:r>
              <w:rPr>
                <w:sz w:val="21"/>
                <w:szCs w:val="21"/>
              </w:rPr>
              <w:t>/</w:t>
            </w:r>
            <w:r>
              <w:rPr>
                <w:rFonts w:hint="eastAsia"/>
                <w:sz w:val="21"/>
                <w:szCs w:val="21"/>
              </w:rPr>
              <w:t>a</w:t>
            </w:r>
          </w:p>
        </w:tc>
        <w:tc>
          <w:tcPr>
            <w:tcW w:w="2264" w:type="dxa"/>
            <w:gridSpan w:val="2"/>
            <w:tcBorders>
              <w:tl2br w:val="nil"/>
              <w:tr2bl w:val="nil"/>
            </w:tcBorders>
            <w:vAlign w:val="center"/>
          </w:tcPr>
          <w:p w:rsidR="00DB7CC8" w:rsidRDefault="002B5250">
            <w:pPr>
              <w:spacing w:line="240" w:lineRule="auto"/>
              <w:ind w:firstLineChars="0" w:firstLine="0"/>
              <w:jc w:val="center"/>
              <w:rPr>
                <w:sz w:val="21"/>
                <w:szCs w:val="21"/>
                <w:lang w:val="zh-CN"/>
              </w:rPr>
            </w:pPr>
            <w:r>
              <w:rPr>
                <w:sz w:val="21"/>
                <w:szCs w:val="21"/>
                <w:lang w:val="zh-CN"/>
              </w:rPr>
              <w:t>/</w:t>
            </w:r>
          </w:p>
        </w:tc>
        <w:tc>
          <w:tcPr>
            <w:tcW w:w="9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0t/a</w:t>
            </w:r>
          </w:p>
        </w:tc>
        <w:tc>
          <w:tcPr>
            <w:tcW w:w="1842" w:type="dxa"/>
            <w:tcBorders>
              <w:tl2br w:val="nil"/>
              <w:tr2bl w:val="nil"/>
            </w:tcBorders>
            <w:vAlign w:val="center"/>
          </w:tcPr>
          <w:p w:rsidR="00DB7CC8" w:rsidRDefault="002B5250">
            <w:pPr>
              <w:spacing w:line="240" w:lineRule="auto"/>
              <w:ind w:firstLineChars="0" w:firstLine="0"/>
              <w:jc w:val="center"/>
              <w:rPr>
                <w:sz w:val="21"/>
                <w:szCs w:val="21"/>
              </w:rPr>
            </w:pPr>
            <w:r>
              <w:rPr>
                <w:kern w:val="24"/>
                <w:sz w:val="21"/>
                <w:szCs w:val="21"/>
              </w:rPr>
              <w:t>/</w:t>
            </w:r>
          </w:p>
        </w:tc>
        <w:tc>
          <w:tcPr>
            <w:tcW w:w="77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不外排</w:t>
            </w:r>
          </w:p>
        </w:tc>
      </w:tr>
      <w:tr w:rsidR="00DB7CC8">
        <w:trPr>
          <w:trHeight w:val="283"/>
          <w:jc w:val="center"/>
        </w:trPr>
        <w:tc>
          <w:tcPr>
            <w:tcW w:w="432"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903" w:type="dxa"/>
            <w:tcBorders>
              <w:tl2br w:val="nil"/>
              <w:tr2bl w:val="nil"/>
            </w:tcBorders>
            <w:vAlign w:val="center"/>
          </w:tcPr>
          <w:p w:rsidR="00DB7CC8" w:rsidRDefault="002B5250">
            <w:pPr>
              <w:spacing w:line="240" w:lineRule="auto"/>
              <w:ind w:firstLineChars="0" w:firstLine="0"/>
              <w:jc w:val="center"/>
              <w:rPr>
                <w:sz w:val="21"/>
                <w:szCs w:val="21"/>
                <w:lang w:val="zh-CN"/>
              </w:rPr>
            </w:pPr>
            <w:r>
              <w:rPr>
                <w:sz w:val="21"/>
                <w:szCs w:val="21"/>
                <w:lang w:val="zh-CN"/>
              </w:rPr>
              <w:t>车间冲洗</w:t>
            </w:r>
          </w:p>
        </w:tc>
        <w:tc>
          <w:tcPr>
            <w:tcW w:w="2553" w:type="dxa"/>
            <w:gridSpan w:val="2"/>
            <w:tcBorders>
              <w:tl2br w:val="nil"/>
              <w:tr2bl w:val="nil"/>
            </w:tcBorders>
            <w:vAlign w:val="center"/>
          </w:tcPr>
          <w:p w:rsidR="00DB7CC8" w:rsidRDefault="002B5250">
            <w:pPr>
              <w:spacing w:line="240" w:lineRule="auto"/>
              <w:ind w:firstLineChars="0" w:firstLine="0"/>
              <w:jc w:val="center"/>
              <w:rPr>
                <w:sz w:val="21"/>
                <w:szCs w:val="21"/>
                <w:lang w:val="zh-CN"/>
              </w:rPr>
            </w:pPr>
            <w:r>
              <w:rPr>
                <w:rFonts w:hint="eastAsia"/>
                <w:sz w:val="21"/>
                <w:szCs w:val="21"/>
                <w:lang w:val="zh-CN"/>
              </w:rPr>
              <w:t>冲洗废水</w:t>
            </w:r>
          </w:p>
        </w:tc>
        <w:tc>
          <w:tcPr>
            <w:tcW w:w="2572" w:type="dxa"/>
            <w:tcBorders>
              <w:tl2br w:val="nil"/>
              <w:tr2bl w:val="nil"/>
            </w:tcBorders>
            <w:vAlign w:val="center"/>
          </w:tcPr>
          <w:p w:rsidR="00DB7CC8" w:rsidRDefault="002B5250">
            <w:pPr>
              <w:spacing w:line="240" w:lineRule="auto"/>
              <w:ind w:firstLineChars="0" w:firstLine="0"/>
              <w:rPr>
                <w:sz w:val="21"/>
                <w:szCs w:val="21"/>
              </w:rPr>
            </w:pPr>
            <w:r>
              <w:rPr>
                <w:rFonts w:hint="eastAsia"/>
                <w:sz w:val="21"/>
                <w:szCs w:val="21"/>
              </w:rPr>
              <w:t>进入浓密池处理后回用于生产</w:t>
            </w:r>
          </w:p>
        </w:tc>
        <w:tc>
          <w:tcPr>
            <w:tcW w:w="1333"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2.4</w:t>
            </w:r>
            <w:r>
              <w:rPr>
                <w:sz w:val="21"/>
                <w:szCs w:val="21"/>
              </w:rPr>
              <w:t xml:space="preserve"> m</w:t>
            </w:r>
            <w:r>
              <w:rPr>
                <w:sz w:val="21"/>
                <w:szCs w:val="21"/>
                <w:vertAlign w:val="superscript"/>
              </w:rPr>
              <w:t>3</w:t>
            </w:r>
            <w:r>
              <w:rPr>
                <w:sz w:val="21"/>
                <w:szCs w:val="21"/>
              </w:rPr>
              <w:t>/d</w:t>
            </w:r>
          </w:p>
        </w:tc>
        <w:tc>
          <w:tcPr>
            <w:tcW w:w="2264" w:type="dxa"/>
            <w:gridSpan w:val="2"/>
            <w:tcBorders>
              <w:tl2br w:val="nil"/>
              <w:tr2bl w:val="nil"/>
            </w:tcBorders>
            <w:vAlign w:val="center"/>
          </w:tcPr>
          <w:p w:rsidR="00DB7CC8" w:rsidRDefault="002B5250">
            <w:pPr>
              <w:spacing w:line="240" w:lineRule="auto"/>
              <w:ind w:firstLineChars="0" w:firstLine="0"/>
              <w:jc w:val="center"/>
              <w:rPr>
                <w:sz w:val="21"/>
                <w:szCs w:val="21"/>
                <w:lang w:val="zh-CN"/>
              </w:rPr>
            </w:pPr>
            <w:r>
              <w:rPr>
                <w:sz w:val="21"/>
                <w:szCs w:val="21"/>
                <w:lang w:val="zh-CN"/>
              </w:rPr>
              <w:t>/</w:t>
            </w:r>
          </w:p>
        </w:tc>
        <w:tc>
          <w:tcPr>
            <w:tcW w:w="9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0t/a</w:t>
            </w:r>
          </w:p>
        </w:tc>
        <w:tc>
          <w:tcPr>
            <w:tcW w:w="1842" w:type="dxa"/>
            <w:tcBorders>
              <w:tl2br w:val="nil"/>
              <w:tr2bl w:val="nil"/>
            </w:tcBorders>
            <w:vAlign w:val="center"/>
          </w:tcPr>
          <w:p w:rsidR="00DB7CC8" w:rsidRDefault="002B5250">
            <w:pPr>
              <w:spacing w:line="240" w:lineRule="auto"/>
              <w:ind w:firstLineChars="0" w:firstLine="0"/>
              <w:jc w:val="center"/>
              <w:rPr>
                <w:kern w:val="24"/>
                <w:sz w:val="21"/>
                <w:szCs w:val="21"/>
              </w:rPr>
            </w:pPr>
            <w:r>
              <w:rPr>
                <w:kern w:val="24"/>
                <w:sz w:val="21"/>
                <w:szCs w:val="21"/>
              </w:rPr>
              <w:t>/</w:t>
            </w:r>
          </w:p>
        </w:tc>
        <w:tc>
          <w:tcPr>
            <w:tcW w:w="77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不外排</w:t>
            </w:r>
          </w:p>
        </w:tc>
      </w:tr>
      <w:tr w:rsidR="00DB7CC8">
        <w:trPr>
          <w:trHeight w:val="283"/>
          <w:jc w:val="center"/>
        </w:trPr>
        <w:tc>
          <w:tcPr>
            <w:tcW w:w="432"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903" w:type="dxa"/>
            <w:tcBorders>
              <w:tl2br w:val="nil"/>
              <w:tr2bl w:val="nil"/>
            </w:tcBorders>
            <w:vAlign w:val="center"/>
          </w:tcPr>
          <w:p w:rsidR="00DB7CC8" w:rsidRDefault="002B5250">
            <w:pPr>
              <w:spacing w:line="240" w:lineRule="auto"/>
              <w:ind w:firstLineChars="0" w:firstLine="0"/>
              <w:jc w:val="center"/>
              <w:rPr>
                <w:sz w:val="21"/>
                <w:szCs w:val="21"/>
                <w:lang w:val="zh-CN"/>
              </w:rPr>
            </w:pPr>
            <w:r>
              <w:rPr>
                <w:sz w:val="21"/>
                <w:szCs w:val="21"/>
                <w:lang w:val="zh-CN"/>
              </w:rPr>
              <w:t>车辆</w:t>
            </w:r>
          </w:p>
          <w:p w:rsidR="00DB7CC8" w:rsidRDefault="002B5250">
            <w:pPr>
              <w:spacing w:line="240" w:lineRule="auto"/>
              <w:ind w:firstLineChars="0" w:firstLine="0"/>
              <w:jc w:val="center"/>
              <w:rPr>
                <w:sz w:val="21"/>
                <w:szCs w:val="21"/>
                <w:lang w:val="zh-CN"/>
              </w:rPr>
            </w:pPr>
            <w:r>
              <w:rPr>
                <w:sz w:val="21"/>
                <w:szCs w:val="21"/>
                <w:lang w:val="zh-CN"/>
              </w:rPr>
              <w:t>清洗</w:t>
            </w:r>
          </w:p>
        </w:tc>
        <w:tc>
          <w:tcPr>
            <w:tcW w:w="2553" w:type="dxa"/>
            <w:gridSpan w:val="2"/>
            <w:tcBorders>
              <w:tl2br w:val="nil"/>
              <w:tr2bl w:val="nil"/>
            </w:tcBorders>
            <w:vAlign w:val="center"/>
          </w:tcPr>
          <w:p w:rsidR="00DB7CC8" w:rsidRDefault="002B5250">
            <w:pPr>
              <w:spacing w:line="240" w:lineRule="auto"/>
              <w:ind w:firstLineChars="0" w:firstLine="0"/>
              <w:jc w:val="center"/>
              <w:rPr>
                <w:sz w:val="21"/>
                <w:szCs w:val="21"/>
                <w:lang w:val="zh-CN"/>
              </w:rPr>
            </w:pPr>
            <w:r>
              <w:rPr>
                <w:sz w:val="21"/>
                <w:szCs w:val="21"/>
                <w:lang w:val="zh-CN"/>
              </w:rPr>
              <w:t>洗车废水</w:t>
            </w:r>
          </w:p>
        </w:tc>
        <w:tc>
          <w:tcPr>
            <w:tcW w:w="257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洗车废水经沉淀池沉淀后回用，不外排；</w:t>
            </w:r>
          </w:p>
        </w:tc>
        <w:tc>
          <w:tcPr>
            <w:tcW w:w="1333"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2.4</w:t>
            </w:r>
            <w:r>
              <w:rPr>
                <w:sz w:val="21"/>
                <w:szCs w:val="21"/>
              </w:rPr>
              <w:t>m</w:t>
            </w:r>
            <w:r>
              <w:rPr>
                <w:sz w:val="21"/>
                <w:szCs w:val="21"/>
                <w:vertAlign w:val="superscript"/>
              </w:rPr>
              <w:t>3</w:t>
            </w:r>
            <w:r>
              <w:rPr>
                <w:sz w:val="21"/>
                <w:szCs w:val="21"/>
              </w:rPr>
              <w:t>/d</w:t>
            </w:r>
          </w:p>
        </w:tc>
        <w:tc>
          <w:tcPr>
            <w:tcW w:w="2264" w:type="dxa"/>
            <w:gridSpan w:val="2"/>
            <w:tcBorders>
              <w:tl2br w:val="nil"/>
              <w:tr2bl w:val="nil"/>
            </w:tcBorders>
            <w:vAlign w:val="center"/>
          </w:tcPr>
          <w:p w:rsidR="00DB7CC8" w:rsidRDefault="002B5250">
            <w:pPr>
              <w:spacing w:line="240" w:lineRule="auto"/>
              <w:ind w:firstLineChars="0" w:firstLine="0"/>
              <w:jc w:val="center"/>
              <w:rPr>
                <w:sz w:val="21"/>
                <w:szCs w:val="21"/>
                <w:lang w:val="zh-CN"/>
              </w:rPr>
            </w:pPr>
            <w:r>
              <w:rPr>
                <w:sz w:val="21"/>
                <w:szCs w:val="21"/>
                <w:lang w:val="zh-CN"/>
              </w:rPr>
              <w:t>/</w:t>
            </w:r>
          </w:p>
        </w:tc>
        <w:tc>
          <w:tcPr>
            <w:tcW w:w="9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0t/a</w:t>
            </w:r>
          </w:p>
        </w:tc>
        <w:tc>
          <w:tcPr>
            <w:tcW w:w="1842" w:type="dxa"/>
            <w:tcBorders>
              <w:tl2br w:val="nil"/>
              <w:tr2bl w:val="nil"/>
            </w:tcBorders>
            <w:vAlign w:val="center"/>
          </w:tcPr>
          <w:p w:rsidR="00DB7CC8" w:rsidRDefault="002B5250">
            <w:pPr>
              <w:spacing w:line="240" w:lineRule="auto"/>
              <w:ind w:firstLineChars="0" w:firstLine="0"/>
              <w:jc w:val="center"/>
              <w:rPr>
                <w:kern w:val="24"/>
                <w:sz w:val="21"/>
                <w:szCs w:val="21"/>
              </w:rPr>
            </w:pPr>
            <w:r>
              <w:rPr>
                <w:kern w:val="24"/>
                <w:sz w:val="21"/>
                <w:szCs w:val="21"/>
              </w:rPr>
              <w:t>/</w:t>
            </w:r>
          </w:p>
        </w:tc>
        <w:tc>
          <w:tcPr>
            <w:tcW w:w="77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不外排</w:t>
            </w:r>
          </w:p>
        </w:tc>
      </w:tr>
      <w:tr w:rsidR="00DB7CC8">
        <w:trPr>
          <w:trHeight w:val="283"/>
          <w:jc w:val="center"/>
        </w:trPr>
        <w:tc>
          <w:tcPr>
            <w:tcW w:w="432"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固废</w:t>
            </w:r>
          </w:p>
        </w:tc>
        <w:tc>
          <w:tcPr>
            <w:tcW w:w="903" w:type="dxa"/>
            <w:vMerge w:val="restart"/>
            <w:tcBorders>
              <w:tl2br w:val="nil"/>
              <w:tr2bl w:val="nil"/>
            </w:tcBorders>
            <w:vAlign w:val="center"/>
          </w:tcPr>
          <w:p w:rsidR="00DB7CC8" w:rsidRDefault="002B5250">
            <w:pPr>
              <w:spacing w:line="240" w:lineRule="auto"/>
              <w:ind w:firstLineChars="0" w:firstLine="0"/>
              <w:jc w:val="center"/>
              <w:rPr>
                <w:sz w:val="21"/>
                <w:szCs w:val="21"/>
                <w:lang w:val="zh-CN"/>
              </w:rPr>
            </w:pPr>
            <w:r>
              <w:rPr>
                <w:sz w:val="21"/>
                <w:szCs w:val="21"/>
                <w:lang w:val="zh-CN"/>
              </w:rPr>
              <w:t>选矿</w:t>
            </w:r>
          </w:p>
        </w:tc>
        <w:tc>
          <w:tcPr>
            <w:tcW w:w="2553" w:type="dxa"/>
            <w:gridSpan w:val="2"/>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尾矿砂</w:t>
            </w:r>
          </w:p>
        </w:tc>
        <w:tc>
          <w:tcPr>
            <w:tcW w:w="2572" w:type="dxa"/>
            <w:tcBorders>
              <w:tl2br w:val="nil"/>
              <w:tr2bl w:val="nil"/>
            </w:tcBorders>
            <w:vAlign w:val="center"/>
          </w:tcPr>
          <w:p w:rsidR="00DB7CC8" w:rsidRDefault="002B5250">
            <w:pPr>
              <w:spacing w:line="240" w:lineRule="auto"/>
              <w:ind w:firstLineChars="0" w:firstLine="0"/>
              <w:rPr>
                <w:bCs/>
                <w:sz w:val="21"/>
                <w:szCs w:val="21"/>
              </w:rPr>
            </w:pPr>
            <w:r>
              <w:rPr>
                <w:bCs/>
                <w:sz w:val="21"/>
                <w:szCs w:val="21"/>
              </w:rPr>
              <w:t>粗砂作为建筑材料外售综合利用，细砂</w:t>
            </w:r>
            <w:r>
              <w:rPr>
                <w:rFonts w:hint="eastAsia"/>
                <w:bCs/>
                <w:sz w:val="21"/>
                <w:szCs w:val="21"/>
              </w:rPr>
              <w:t>外运</w:t>
            </w:r>
            <w:r>
              <w:rPr>
                <w:bCs/>
                <w:sz w:val="21"/>
                <w:szCs w:val="21"/>
              </w:rPr>
              <w:t>填坑造地</w:t>
            </w:r>
          </w:p>
        </w:tc>
        <w:tc>
          <w:tcPr>
            <w:tcW w:w="1333" w:type="dxa"/>
            <w:tcBorders>
              <w:tl2br w:val="nil"/>
              <w:tr2bl w:val="nil"/>
            </w:tcBorders>
            <w:vAlign w:val="center"/>
          </w:tcPr>
          <w:p w:rsidR="00DB7CC8" w:rsidRDefault="002B5250">
            <w:pPr>
              <w:widowControl/>
              <w:spacing w:line="240" w:lineRule="auto"/>
              <w:ind w:firstLineChars="0" w:firstLine="0"/>
              <w:jc w:val="center"/>
              <w:textAlignment w:val="auto"/>
              <w:rPr>
                <w:sz w:val="21"/>
                <w:szCs w:val="21"/>
              </w:rPr>
            </w:pPr>
            <w:r>
              <w:rPr>
                <w:rFonts w:hint="eastAsia"/>
                <w:sz w:val="21"/>
                <w:szCs w:val="21"/>
              </w:rPr>
              <w:t>349997.948</w:t>
            </w:r>
            <w:r>
              <w:rPr>
                <w:sz w:val="21"/>
                <w:szCs w:val="21"/>
              </w:rPr>
              <w:t>t/a</w:t>
            </w:r>
          </w:p>
        </w:tc>
        <w:tc>
          <w:tcPr>
            <w:tcW w:w="2264" w:type="dxa"/>
            <w:gridSpan w:val="2"/>
            <w:tcBorders>
              <w:tl2br w:val="nil"/>
              <w:tr2bl w:val="nil"/>
            </w:tcBorders>
            <w:vAlign w:val="center"/>
          </w:tcPr>
          <w:p w:rsidR="00DB7CC8" w:rsidRDefault="002B5250">
            <w:pPr>
              <w:spacing w:line="240" w:lineRule="auto"/>
              <w:ind w:firstLineChars="18" w:firstLine="38"/>
              <w:jc w:val="center"/>
              <w:rPr>
                <w:bCs/>
                <w:sz w:val="21"/>
                <w:szCs w:val="21"/>
              </w:rPr>
            </w:pPr>
            <w:r>
              <w:rPr>
                <w:bCs/>
                <w:sz w:val="21"/>
                <w:szCs w:val="21"/>
              </w:rPr>
              <w:t>/</w:t>
            </w:r>
          </w:p>
        </w:tc>
        <w:tc>
          <w:tcPr>
            <w:tcW w:w="9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0t/a</w:t>
            </w:r>
          </w:p>
        </w:tc>
        <w:tc>
          <w:tcPr>
            <w:tcW w:w="1842" w:type="dxa"/>
            <w:tcBorders>
              <w:tl2br w:val="nil"/>
              <w:tr2bl w:val="nil"/>
            </w:tcBorders>
            <w:vAlign w:val="center"/>
          </w:tcPr>
          <w:p w:rsidR="00DB7CC8" w:rsidRDefault="002B5250">
            <w:pPr>
              <w:spacing w:line="240" w:lineRule="auto"/>
              <w:ind w:firstLineChars="0" w:firstLine="0"/>
              <w:jc w:val="center"/>
              <w:rPr>
                <w:sz w:val="21"/>
                <w:szCs w:val="21"/>
              </w:rPr>
            </w:pPr>
            <w:r>
              <w:rPr>
                <w:bCs/>
                <w:sz w:val="21"/>
                <w:szCs w:val="21"/>
              </w:rPr>
              <w:t>/</w:t>
            </w:r>
          </w:p>
        </w:tc>
        <w:tc>
          <w:tcPr>
            <w:tcW w:w="772" w:type="dxa"/>
            <w:vMerge w:val="restart"/>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不外排</w:t>
            </w:r>
          </w:p>
        </w:tc>
      </w:tr>
      <w:tr w:rsidR="00DB7CC8">
        <w:trPr>
          <w:trHeight w:val="283"/>
          <w:jc w:val="center"/>
        </w:trPr>
        <w:tc>
          <w:tcPr>
            <w:tcW w:w="432"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903" w:type="dxa"/>
            <w:vMerge/>
            <w:tcBorders>
              <w:tl2br w:val="nil"/>
              <w:tr2bl w:val="nil"/>
            </w:tcBorders>
            <w:vAlign w:val="center"/>
          </w:tcPr>
          <w:p w:rsidR="00DB7CC8" w:rsidRDefault="00DB7CC8">
            <w:pPr>
              <w:spacing w:line="240" w:lineRule="auto"/>
              <w:ind w:firstLineChars="0" w:firstLine="0"/>
              <w:jc w:val="center"/>
              <w:rPr>
                <w:sz w:val="21"/>
                <w:szCs w:val="21"/>
                <w:lang w:val="zh-CN"/>
              </w:rPr>
            </w:pPr>
          </w:p>
        </w:tc>
        <w:tc>
          <w:tcPr>
            <w:tcW w:w="2553" w:type="dxa"/>
            <w:gridSpan w:val="2"/>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除尘器收尘</w:t>
            </w:r>
          </w:p>
        </w:tc>
        <w:tc>
          <w:tcPr>
            <w:tcW w:w="257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返回球磨系统</w:t>
            </w:r>
          </w:p>
        </w:tc>
        <w:tc>
          <w:tcPr>
            <w:tcW w:w="1333" w:type="dxa"/>
            <w:tcBorders>
              <w:tl2br w:val="nil"/>
              <w:tr2bl w:val="nil"/>
            </w:tcBorders>
            <w:vAlign w:val="center"/>
          </w:tcPr>
          <w:p w:rsidR="00DB7CC8" w:rsidRDefault="002B5250">
            <w:pPr>
              <w:spacing w:line="240" w:lineRule="auto"/>
              <w:ind w:firstLineChars="0" w:firstLine="0"/>
              <w:jc w:val="center"/>
              <w:rPr>
                <w:sz w:val="21"/>
                <w:szCs w:val="21"/>
              </w:rPr>
            </w:pPr>
            <w:r>
              <w:rPr>
                <w:rFonts w:hint="eastAsia"/>
                <w:sz w:val="21"/>
                <w:szCs w:val="21"/>
              </w:rPr>
              <w:t>510.948</w:t>
            </w:r>
            <w:r>
              <w:rPr>
                <w:sz w:val="21"/>
                <w:szCs w:val="21"/>
              </w:rPr>
              <w:t xml:space="preserve"> t/a</w:t>
            </w:r>
          </w:p>
        </w:tc>
        <w:tc>
          <w:tcPr>
            <w:tcW w:w="2264" w:type="dxa"/>
            <w:gridSpan w:val="2"/>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p>
        </w:tc>
        <w:tc>
          <w:tcPr>
            <w:tcW w:w="9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0t/a</w:t>
            </w:r>
          </w:p>
        </w:tc>
        <w:tc>
          <w:tcPr>
            <w:tcW w:w="1842" w:type="dxa"/>
            <w:tcBorders>
              <w:tl2br w:val="nil"/>
              <w:tr2bl w:val="nil"/>
            </w:tcBorders>
            <w:vAlign w:val="center"/>
          </w:tcPr>
          <w:p w:rsidR="00DB7CC8" w:rsidRDefault="002B5250">
            <w:pPr>
              <w:spacing w:line="240" w:lineRule="auto"/>
              <w:ind w:firstLineChars="0" w:firstLine="0"/>
              <w:jc w:val="center"/>
              <w:rPr>
                <w:sz w:val="21"/>
                <w:szCs w:val="21"/>
              </w:rPr>
            </w:pPr>
            <w:r>
              <w:rPr>
                <w:bCs/>
                <w:sz w:val="21"/>
                <w:szCs w:val="21"/>
              </w:rPr>
              <w:t>/</w:t>
            </w:r>
          </w:p>
        </w:tc>
        <w:tc>
          <w:tcPr>
            <w:tcW w:w="772"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trHeight w:val="283"/>
          <w:jc w:val="center"/>
        </w:trPr>
        <w:tc>
          <w:tcPr>
            <w:tcW w:w="432"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903" w:type="dxa"/>
            <w:vMerge/>
            <w:tcBorders>
              <w:tl2br w:val="nil"/>
              <w:tr2bl w:val="nil"/>
            </w:tcBorders>
            <w:vAlign w:val="center"/>
          </w:tcPr>
          <w:p w:rsidR="00DB7CC8" w:rsidRDefault="00DB7CC8">
            <w:pPr>
              <w:spacing w:line="240" w:lineRule="auto"/>
              <w:ind w:firstLineChars="0" w:firstLine="0"/>
              <w:jc w:val="center"/>
              <w:rPr>
                <w:sz w:val="21"/>
                <w:szCs w:val="21"/>
                <w:lang w:val="zh-CN"/>
              </w:rPr>
            </w:pPr>
          </w:p>
        </w:tc>
        <w:tc>
          <w:tcPr>
            <w:tcW w:w="2553" w:type="dxa"/>
            <w:gridSpan w:val="2"/>
            <w:tcBorders>
              <w:tl2br w:val="nil"/>
              <w:tr2bl w:val="nil"/>
            </w:tcBorders>
            <w:vAlign w:val="center"/>
          </w:tcPr>
          <w:p w:rsidR="00DB7CC8" w:rsidRDefault="002B5250">
            <w:pPr>
              <w:spacing w:line="240" w:lineRule="auto"/>
              <w:ind w:firstLineChars="0" w:firstLine="0"/>
              <w:jc w:val="center"/>
              <w:rPr>
                <w:sz w:val="21"/>
                <w:szCs w:val="21"/>
              </w:rPr>
            </w:pPr>
            <w:r>
              <w:rPr>
                <w:sz w:val="21"/>
                <w:szCs w:val="21"/>
                <w:lang w:val="zh-CN"/>
              </w:rPr>
              <w:t>废钢球</w:t>
            </w:r>
          </w:p>
        </w:tc>
        <w:tc>
          <w:tcPr>
            <w:tcW w:w="257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由供应厂家回收利用</w:t>
            </w:r>
          </w:p>
        </w:tc>
        <w:tc>
          <w:tcPr>
            <w:tcW w:w="133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10.5 t/a</w:t>
            </w:r>
          </w:p>
        </w:tc>
        <w:tc>
          <w:tcPr>
            <w:tcW w:w="2264" w:type="dxa"/>
            <w:gridSpan w:val="2"/>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p>
        </w:tc>
        <w:tc>
          <w:tcPr>
            <w:tcW w:w="9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0t/a</w:t>
            </w:r>
          </w:p>
        </w:tc>
        <w:tc>
          <w:tcPr>
            <w:tcW w:w="184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c>
          <w:tcPr>
            <w:tcW w:w="772"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trHeight w:val="283"/>
          <w:jc w:val="center"/>
        </w:trPr>
        <w:tc>
          <w:tcPr>
            <w:tcW w:w="432" w:type="dxa"/>
            <w:vMerge/>
            <w:tcBorders>
              <w:tl2br w:val="nil"/>
              <w:tr2bl w:val="nil"/>
            </w:tcBorders>
            <w:vAlign w:val="center"/>
          </w:tcPr>
          <w:p w:rsidR="00DB7CC8" w:rsidRDefault="00DB7CC8">
            <w:pPr>
              <w:spacing w:line="240" w:lineRule="auto"/>
              <w:ind w:firstLineChars="0" w:firstLine="0"/>
              <w:jc w:val="center"/>
              <w:rPr>
                <w:sz w:val="21"/>
                <w:szCs w:val="21"/>
              </w:rPr>
            </w:pPr>
          </w:p>
        </w:tc>
        <w:tc>
          <w:tcPr>
            <w:tcW w:w="903" w:type="dxa"/>
            <w:vMerge/>
            <w:tcBorders>
              <w:tl2br w:val="nil"/>
              <w:tr2bl w:val="nil"/>
            </w:tcBorders>
            <w:vAlign w:val="center"/>
          </w:tcPr>
          <w:p w:rsidR="00DB7CC8" w:rsidRDefault="00DB7CC8">
            <w:pPr>
              <w:spacing w:line="240" w:lineRule="auto"/>
              <w:ind w:firstLineChars="0" w:firstLine="0"/>
              <w:jc w:val="center"/>
              <w:rPr>
                <w:sz w:val="21"/>
                <w:szCs w:val="21"/>
                <w:lang w:val="zh-CN"/>
              </w:rPr>
            </w:pPr>
          </w:p>
        </w:tc>
        <w:tc>
          <w:tcPr>
            <w:tcW w:w="2553" w:type="dxa"/>
            <w:gridSpan w:val="2"/>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废机油、废油桶</w:t>
            </w:r>
          </w:p>
        </w:tc>
        <w:tc>
          <w:tcPr>
            <w:tcW w:w="2572" w:type="dxa"/>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危废暂存间暂存，定期送危废处理单位处理</w:t>
            </w:r>
          </w:p>
        </w:tc>
        <w:tc>
          <w:tcPr>
            <w:tcW w:w="1333"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0.3t/a</w:t>
            </w:r>
          </w:p>
        </w:tc>
        <w:tc>
          <w:tcPr>
            <w:tcW w:w="2264" w:type="dxa"/>
            <w:gridSpan w:val="2"/>
            <w:tcBorders>
              <w:tl2br w:val="nil"/>
              <w:tr2bl w:val="nil"/>
            </w:tcBorders>
            <w:vAlign w:val="center"/>
          </w:tcPr>
          <w:p w:rsidR="00DB7CC8" w:rsidRDefault="002B5250">
            <w:pPr>
              <w:spacing w:line="240" w:lineRule="auto"/>
              <w:ind w:firstLineChars="0" w:firstLine="0"/>
              <w:jc w:val="center"/>
              <w:rPr>
                <w:bCs/>
                <w:sz w:val="21"/>
                <w:szCs w:val="21"/>
              </w:rPr>
            </w:pPr>
            <w:r>
              <w:rPr>
                <w:bCs/>
                <w:sz w:val="21"/>
                <w:szCs w:val="21"/>
              </w:rPr>
              <w:t>/</w:t>
            </w:r>
          </w:p>
        </w:tc>
        <w:tc>
          <w:tcPr>
            <w:tcW w:w="997"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0t/a</w:t>
            </w:r>
          </w:p>
        </w:tc>
        <w:tc>
          <w:tcPr>
            <w:tcW w:w="184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c>
          <w:tcPr>
            <w:tcW w:w="772" w:type="dxa"/>
            <w:vMerge/>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trHeight w:val="283"/>
          <w:jc w:val="center"/>
        </w:trPr>
        <w:tc>
          <w:tcPr>
            <w:tcW w:w="2252" w:type="dxa"/>
            <w:gridSpan w:val="3"/>
            <w:tcBorders>
              <w:tl2br w:val="nil"/>
              <w:tr2bl w:val="nil"/>
            </w:tcBorders>
            <w:vAlign w:val="center"/>
          </w:tcPr>
          <w:p w:rsidR="00DB7CC8" w:rsidRDefault="002B5250">
            <w:pPr>
              <w:pStyle w:val="afffffffc"/>
              <w:spacing w:line="240" w:lineRule="auto"/>
              <w:rPr>
                <w:lang w:val="zh-CN"/>
              </w:rPr>
            </w:pPr>
            <w:r>
              <w:rPr>
                <w:rFonts w:hint="eastAsia"/>
                <w:lang w:val="zh-CN" w:bidi="zh-CN"/>
              </w:rPr>
              <w:t>风险防范措施</w:t>
            </w:r>
          </w:p>
        </w:tc>
        <w:tc>
          <w:tcPr>
            <w:tcW w:w="10644" w:type="dxa"/>
            <w:gridSpan w:val="7"/>
            <w:tcBorders>
              <w:tl2br w:val="nil"/>
              <w:tr2bl w:val="nil"/>
            </w:tcBorders>
            <w:vAlign w:val="center"/>
          </w:tcPr>
          <w:p w:rsidR="00DB7CC8" w:rsidRDefault="002B5250">
            <w:pPr>
              <w:pStyle w:val="afffffffc"/>
              <w:spacing w:line="240" w:lineRule="auto"/>
            </w:pPr>
            <w:r>
              <w:rPr>
                <w:rFonts w:hint="eastAsia"/>
                <w:lang w:val="zh-CN" w:bidi="zh-CN"/>
              </w:rPr>
              <w:t>1</w:t>
            </w:r>
            <w:r>
              <w:rPr>
                <w:rFonts w:hint="eastAsia"/>
                <w:lang w:val="zh-CN" w:bidi="zh-CN"/>
              </w:rPr>
              <w:t>、如发现废矿物油桶发生泄漏，立即对废矿物没进行倒桶处理，更换完好不泄漏的容器进行储存；</w:t>
            </w:r>
            <w:r>
              <w:rPr>
                <w:rFonts w:hint="eastAsia"/>
                <w:lang w:val="zh-CN" w:bidi="zh-CN"/>
              </w:rPr>
              <w:t>2</w:t>
            </w:r>
            <w:r>
              <w:rPr>
                <w:rFonts w:hint="eastAsia"/>
                <w:lang w:val="zh-CN" w:bidi="zh-CN"/>
              </w:rPr>
              <w:t>、地面及裙角均采取抗渗水泥防渗，地面水泥厚度为</w:t>
            </w:r>
            <w:r>
              <w:rPr>
                <w:rFonts w:hint="eastAsia"/>
                <w:lang w:val="zh-CN" w:bidi="zh-CN"/>
              </w:rPr>
              <w:t>20cm</w:t>
            </w:r>
            <w:r>
              <w:rPr>
                <w:rFonts w:hint="eastAsia"/>
                <w:lang w:val="zh-CN" w:bidi="zh-CN"/>
              </w:rPr>
              <w:t>；裙角高度</w:t>
            </w:r>
            <w:r>
              <w:rPr>
                <w:rFonts w:hint="eastAsia"/>
                <w:lang w:val="zh-CN" w:bidi="zh-CN"/>
              </w:rPr>
              <w:t>1.5m</w:t>
            </w:r>
            <w:r>
              <w:rPr>
                <w:rFonts w:hint="eastAsia"/>
                <w:lang w:val="zh-CN" w:bidi="zh-CN"/>
              </w:rPr>
              <w:t>，厚度</w:t>
            </w:r>
            <w:r>
              <w:rPr>
                <w:rFonts w:hint="eastAsia"/>
                <w:lang w:val="zh-CN" w:bidi="zh-CN"/>
              </w:rPr>
              <w:t>20cm</w:t>
            </w:r>
            <w:r>
              <w:rPr>
                <w:rFonts w:hint="eastAsia"/>
                <w:lang w:val="zh-CN" w:bidi="zh-CN"/>
              </w:rPr>
              <w:t>，地面及四周裙脚均应耐腐蚀，耐热且表面无裂隙，同时设置泄漏液体的收集装置。防渗层渗透系数小于</w:t>
            </w:r>
            <w:r>
              <w:rPr>
                <w:rFonts w:hint="eastAsia"/>
                <w:lang w:val="zh-CN" w:bidi="zh-CN"/>
              </w:rPr>
              <w:t>10</w:t>
            </w:r>
            <w:r>
              <w:rPr>
                <w:rFonts w:hint="eastAsia"/>
                <w:vertAlign w:val="superscript"/>
                <w:lang w:val="zh-CN" w:bidi="zh-CN"/>
              </w:rPr>
              <w:t>-10</w:t>
            </w:r>
            <w:r>
              <w:rPr>
                <w:rFonts w:hint="eastAsia"/>
                <w:lang w:val="zh-CN" w:bidi="zh-CN"/>
              </w:rPr>
              <w:t>cm/s</w:t>
            </w:r>
            <w:r>
              <w:rPr>
                <w:rFonts w:hint="eastAsia"/>
                <w:lang w:val="zh-CN" w:bidi="zh-CN"/>
              </w:rPr>
              <w:t>。</w:t>
            </w:r>
            <w:r>
              <w:rPr>
                <w:rFonts w:hint="eastAsia"/>
                <w:lang w:val="zh-CN" w:bidi="zh-CN"/>
              </w:rPr>
              <w:t>3</w:t>
            </w:r>
            <w:r>
              <w:rPr>
                <w:rFonts w:hint="eastAsia"/>
                <w:lang w:val="zh-CN" w:bidi="zh-CN"/>
              </w:rPr>
              <w:t>、如发现废矿物油泄漏已对厂区土壤和地下水造成的污染，立即启动应急预案，报当地环保部门。</w:t>
            </w:r>
          </w:p>
        </w:tc>
        <w:tc>
          <w:tcPr>
            <w:tcW w:w="772" w:type="dxa"/>
            <w:tcBorders>
              <w:tl2br w:val="nil"/>
              <w:tr2bl w:val="nil"/>
            </w:tcBorders>
            <w:vAlign w:val="center"/>
          </w:tcPr>
          <w:p w:rsidR="00DB7CC8" w:rsidRDefault="002B5250">
            <w:pPr>
              <w:pStyle w:val="afffffffc"/>
              <w:spacing w:line="240" w:lineRule="auto"/>
            </w:pPr>
            <w:r>
              <w:rPr>
                <w:rFonts w:hint="eastAsia"/>
                <w:lang w:bidi="zh-CN"/>
              </w:rPr>
              <w:t>/</w:t>
            </w:r>
          </w:p>
        </w:tc>
      </w:tr>
      <w:tr w:rsidR="00DB7CC8">
        <w:trPr>
          <w:trHeight w:val="283"/>
          <w:jc w:val="center"/>
        </w:trPr>
        <w:tc>
          <w:tcPr>
            <w:tcW w:w="2252" w:type="dxa"/>
            <w:gridSpan w:val="3"/>
            <w:tcBorders>
              <w:tl2br w:val="nil"/>
              <w:tr2bl w:val="nil"/>
            </w:tcBorders>
            <w:vAlign w:val="center"/>
          </w:tcPr>
          <w:p w:rsidR="00DB7CC8" w:rsidRDefault="002B5250">
            <w:pPr>
              <w:autoSpaceDE w:val="0"/>
              <w:autoSpaceDN w:val="0"/>
              <w:adjustRightInd w:val="0"/>
              <w:spacing w:line="240" w:lineRule="auto"/>
              <w:ind w:firstLineChars="0" w:firstLine="0"/>
              <w:jc w:val="center"/>
              <w:rPr>
                <w:snapToGrid w:val="0"/>
                <w:sz w:val="21"/>
                <w:szCs w:val="21"/>
                <w:lang w:val="zh-CN"/>
              </w:rPr>
            </w:pPr>
            <w:r>
              <w:rPr>
                <w:snapToGrid w:val="0"/>
                <w:sz w:val="21"/>
                <w:szCs w:val="21"/>
                <w:lang w:val="zh-CN"/>
              </w:rPr>
              <w:t>绿化、硬化</w:t>
            </w:r>
          </w:p>
        </w:tc>
        <w:tc>
          <w:tcPr>
            <w:tcW w:w="10644" w:type="dxa"/>
            <w:gridSpan w:val="7"/>
            <w:tcBorders>
              <w:tl2br w:val="nil"/>
              <w:tr2bl w:val="nil"/>
            </w:tcBorders>
            <w:vAlign w:val="center"/>
          </w:tcPr>
          <w:p w:rsidR="00DB7CC8" w:rsidRDefault="002B5250">
            <w:pPr>
              <w:autoSpaceDE w:val="0"/>
              <w:autoSpaceDN w:val="0"/>
              <w:adjustRightInd w:val="0"/>
              <w:spacing w:line="240" w:lineRule="auto"/>
              <w:ind w:firstLineChars="0" w:firstLine="0"/>
              <w:jc w:val="center"/>
              <w:rPr>
                <w:snapToGrid w:val="0"/>
                <w:sz w:val="21"/>
                <w:szCs w:val="21"/>
              </w:rPr>
            </w:pPr>
            <w:r>
              <w:rPr>
                <w:sz w:val="21"/>
                <w:szCs w:val="21"/>
              </w:rPr>
              <w:t>厂区内地面进行硬化或绿化，无裸露地面</w:t>
            </w:r>
          </w:p>
        </w:tc>
        <w:tc>
          <w:tcPr>
            <w:tcW w:w="77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r>
      <w:tr w:rsidR="00DB7CC8">
        <w:trPr>
          <w:trHeight w:val="283"/>
          <w:jc w:val="center"/>
        </w:trPr>
        <w:tc>
          <w:tcPr>
            <w:tcW w:w="2252" w:type="dxa"/>
            <w:gridSpan w:val="3"/>
            <w:tcBorders>
              <w:tl2br w:val="nil"/>
              <w:tr2bl w:val="nil"/>
            </w:tcBorders>
            <w:vAlign w:val="center"/>
          </w:tcPr>
          <w:p w:rsidR="00DB7CC8" w:rsidRDefault="002B5250">
            <w:pPr>
              <w:autoSpaceDE w:val="0"/>
              <w:autoSpaceDN w:val="0"/>
              <w:adjustRightInd w:val="0"/>
              <w:snapToGrid w:val="0"/>
              <w:spacing w:line="240" w:lineRule="auto"/>
              <w:ind w:firstLineChars="0" w:firstLine="0"/>
              <w:jc w:val="center"/>
              <w:rPr>
                <w:snapToGrid w:val="0"/>
                <w:sz w:val="21"/>
                <w:szCs w:val="21"/>
              </w:rPr>
            </w:pPr>
            <w:r>
              <w:rPr>
                <w:snapToGrid w:val="0"/>
                <w:sz w:val="21"/>
                <w:szCs w:val="21"/>
              </w:rPr>
              <w:t>厂区抑尘</w:t>
            </w:r>
          </w:p>
        </w:tc>
        <w:tc>
          <w:tcPr>
            <w:tcW w:w="10644" w:type="dxa"/>
            <w:gridSpan w:val="7"/>
            <w:tcBorders>
              <w:tl2br w:val="nil"/>
              <w:tr2bl w:val="nil"/>
            </w:tcBorders>
            <w:vAlign w:val="center"/>
          </w:tcPr>
          <w:p w:rsidR="00DB7CC8" w:rsidRDefault="002B5250">
            <w:pPr>
              <w:autoSpaceDE w:val="0"/>
              <w:autoSpaceDN w:val="0"/>
              <w:adjustRightInd w:val="0"/>
              <w:spacing w:line="240" w:lineRule="auto"/>
              <w:ind w:firstLineChars="0" w:firstLine="0"/>
              <w:jc w:val="center"/>
              <w:rPr>
                <w:sz w:val="21"/>
                <w:szCs w:val="21"/>
              </w:rPr>
            </w:pPr>
            <w:r>
              <w:rPr>
                <w:sz w:val="21"/>
                <w:szCs w:val="21"/>
              </w:rPr>
              <w:t>定期洒水，大风天气增加洒水次数</w:t>
            </w:r>
          </w:p>
        </w:tc>
        <w:tc>
          <w:tcPr>
            <w:tcW w:w="77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r>
      <w:tr w:rsidR="00DB7CC8">
        <w:trPr>
          <w:trHeight w:val="283"/>
          <w:jc w:val="center"/>
        </w:trPr>
        <w:tc>
          <w:tcPr>
            <w:tcW w:w="2252" w:type="dxa"/>
            <w:gridSpan w:val="3"/>
            <w:tcBorders>
              <w:tl2br w:val="nil"/>
              <w:tr2bl w:val="nil"/>
            </w:tcBorders>
            <w:vAlign w:val="center"/>
          </w:tcPr>
          <w:p w:rsidR="00DB7CC8" w:rsidRDefault="002B5250">
            <w:pPr>
              <w:autoSpaceDE w:val="0"/>
              <w:autoSpaceDN w:val="0"/>
              <w:adjustRightInd w:val="0"/>
              <w:snapToGrid w:val="0"/>
              <w:spacing w:line="240" w:lineRule="auto"/>
              <w:ind w:firstLine="420"/>
              <w:jc w:val="center"/>
              <w:rPr>
                <w:snapToGrid w:val="0"/>
                <w:sz w:val="21"/>
                <w:szCs w:val="21"/>
              </w:rPr>
            </w:pPr>
            <w:r>
              <w:rPr>
                <w:snapToGrid w:val="0"/>
                <w:sz w:val="21"/>
                <w:szCs w:val="21"/>
              </w:rPr>
              <w:t>视频监控</w:t>
            </w:r>
          </w:p>
        </w:tc>
        <w:tc>
          <w:tcPr>
            <w:tcW w:w="10644" w:type="dxa"/>
            <w:gridSpan w:val="7"/>
            <w:tcBorders>
              <w:tl2br w:val="nil"/>
              <w:tr2bl w:val="nil"/>
            </w:tcBorders>
            <w:vAlign w:val="center"/>
          </w:tcPr>
          <w:p w:rsidR="00DB7CC8" w:rsidRDefault="002B5250">
            <w:pPr>
              <w:autoSpaceDE w:val="0"/>
              <w:autoSpaceDN w:val="0"/>
              <w:adjustRightInd w:val="0"/>
              <w:spacing w:line="240" w:lineRule="auto"/>
              <w:ind w:firstLine="420"/>
              <w:jc w:val="center"/>
              <w:rPr>
                <w:sz w:val="21"/>
                <w:szCs w:val="21"/>
              </w:rPr>
            </w:pPr>
            <w:r>
              <w:rPr>
                <w:sz w:val="21"/>
                <w:szCs w:val="21"/>
              </w:rPr>
              <w:t>在成品库门口、</w:t>
            </w:r>
            <w:r>
              <w:rPr>
                <w:rFonts w:hint="eastAsia"/>
                <w:sz w:val="21"/>
                <w:szCs w:val="21"/>
              </w:rPr>
              <w:t>精选车间</w:t>
            </w:r>
            <w:r>
              <w:rPr>
                <w:sz w:val="21"/>
                <w:szCs w:val="21"/>
              </w:rPr>
              <w:t>门口</w:t>
            </w:r>
            <w:r>
              <w:rPr>
                <w:rFonts w:hint="eastAsia"/>
                <w:sz w:val="21"/>
                <w:szCs w:val="21"/>
              </w:rPr>
              <w:t>、</w:t>
            </w:r>
            <w:r>
              <w:rPr>
                <w:rFonts w:hint="eastAsia"/>
                <w:sz w:val="21"/>
                <w:szCs w:val="21"/>
              </w:rPr>
              <w:t>3#</w:t>
            </w:r>
            <w:r>
              <w:rPr>
                <w:rFonts w:hint="eastAsia"/>
                <w:sz w:val="21"/>
                <w:szCs w:val="21"/>
              </w:rPr>
              <w:t>破碎粗选生产车间门口</w:t>
            </w:r>
            <w:r>
              <w:rPr>
                <w:rFonts w:hint="eastAsia"/>
                <w:sz w:val="21"/>
                <w:szCs w:val="21"/>
              </w:rPr>
              <w:t>，</w:t>
            </w:r>
            <w:r>
              <w:rPr>
                <w:sz w:val="21"/>
                <w:szCs w:val="21"/>
              </w:rPr>
              <w:t>生产车间内、布袋除尘器、厂区道路设置视频监控，并与唐山市</w:t>
            </w:r>
            <w:r>
              <w:rPr>
                <w:rFonts w:hint="eastAsia"/>
                <w:sz w:val="21"/>
                <w:szCs w:val="21"/>
              </w:rPr>
              <w:t>生态环境</w:t>
            </w:r>
            <w:r>
              <w:rPr>
                <w:sz w:val="21"/>
                <w:szCs w:val="21"/>
              </w:rPr>
              <w:t>局遵化市分局联网，实现</w:t>
            </w:r>
            <w:r>
              <w:rPr>
                <w:sz w:val="21"/>
                <w:szCs w:val="21"/>
              </w:rPr>
              <w:t>24</w:t>
            </w:r>
            <w:r>
              <w:rPr>
                <w:sz w:val="21"/>
                <w:szCs w:val="21"/>
              </w:rPr>
              <w:t>小时视频监控。</w:t>
            </w:r>
          </w:p>
        </w:tc>
        <w:tc>
          <w:tcPr>
            <w:tcW w:w="772" w:type="dxa"/>
            <w:tcBorders>
              <w:tl2br w:val="nil"/>
              <w:tr2bl w:val="nil"/>
            </w:tcBorders>
            <w:vAlign w:val="center"/>
          </w:tcPr>
          <w:p w:rsidR="00DB7CC8" w:rsidRDefault="00DB7CC8">
            <w:pPr>
              <w:spacing w:line="240" w:lineRule="auto"/>
              <w:ind w:firstLineChars="0" w:firstLine="0"/>
              <w:jc w:val="center"/>
              <w:rPr>
                <w:sz w:val="21"/>
                <w:szCs w:val="21"/>
              </w:rPr>
            </w:pPr>
          </w:p>
        </w:tc>
      </w:tr>
      <w:tr w:rsidR="00DB7CC8">
        <w:trPr>
          <w:trHeight w:val="283"/>
          <w:jc w:val="center"/>
        </w:trPr>
        <w:tc>
          <w:tcPr>
            <w:tcW w:w="2252" w:type="dxa"/>
            <w:gridSpan w:val="3"/>
            <w:vMerge w:val="restart"/>
            <w:tcBorders>
              <w:tl2br w:val="nil"/>
              <w:tr2bl w:val="nil"/>
            </w:tcBorders>
            <w:vAlign w:val="center"/>
          </w:tcPr>
          <w:p w:rsidR="00DB7CC8" w:rsidRDefault="002B5250">
            <w:pPr>
              <w:autoSpaceDE w:val="0"/>
              <w:autoSpaceDN w:val="0"/>
              <w:adjustRightInd w:val="0"/>
              <w:snapToGrid w:val="0"/>
              <w:spacing w:line="240" w:lineRule="auto"/>
              <w:ind w:firstLineChars="0" w:firstLine="0"/>
              <w:jc w:val="center"/>
              <w:rPr>
                <w:snapToGrid w:val="0"/>
                <w:sz w:val="21"/>
                <w:szCs w:val="21"/>
              </w:rPr>
            </w:pPr>
            <w:r>
              <w:rPr>
                <w:snapToGrid w:val="0"/>
                <w:sz w:val="21"/>
                <w:szCs w:val="21"/>
              </w:rPr>
              <w:t>环境管理内容</w:t>
            </w:r>
          </w:p>
        </w:tc>
        <w:tc>
          <w:tcPr>
            <w:tcW w:w="10644" w:type="dxa"/>
            <w:gridSpan w:val="7"/>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公司设有专职环保管理人员，熟悉环保业务，具备相关管理经验</w:t>
            </w:r>
          </w:p>
        </w:tc>
        <w:tc>
          <w:tcPr>
            <w:tcW w:w="77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r>
      <w:tr w:rsidR="00DB7CC8">
        <w:trPr>
          <w:trHeight w:val="283"/>
          <w:jc w:val="center"/>
        </w:trPr>
        <w:tc>
          <w:tcPr>
            <w:tcW w:w="2252" w:type="dxa"/>
            <w:gridSpan w:val="3"/>
            <w:vMerge/>
            <w:tcBorders>
              <w:tl2br w:val="nil"/>
              <w:tr2bl w:val="nil"/>
            </w:tcBorders>
            <w:vAlign w:val="center"/>
          </w:tcPr>
          <w:p w:rsidR="00DB7CC8" w:rsidRDefault="00DB7CC8">
            <w:pPr>
              <w:autoSpaceDE w:val="0"/>
              <w:autoSpaceDN w:val="0"/>
              <w:adjustRightInd w:val="0"/>
              <w:snapToGrid w:val="0"/>
              <w:spacing w:line="240" w:lineRule="auto"/>
              <w:ind w:firstLineChars="0" w:firstLine="0"/>
              <w:jc w:val="center"/>
              <w:rPr>
                <w:snapToGrid w:val="0"/>
                <w:sz w:val="21"/>
                <w:szCs w:val="21"/>
              </w:rPr>
            </w:pPr>
          </w:p>
        </w:tc>
        <w:tc>
          <w:tcPr>
            <w:tcW w:w="10644" w:type="dxa"/>
            <w:gridSpan w:val="7"/>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制定企业环境管理制度，明确了岗位环保职责和日常环保行为规范、建立和落实环保岗位考核制度</w:t>
            </w:r>
          </w:p>
        </w:tc>
        <w:tc>
          <w:tcPr>
            <w:tcW w:w="77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r>
      <w:tr w:rsidR="00DB7CC8">
        <w:trPr>
          <w:trHeight w:val="283"/>
          <w:jc w:val="center"/>
        </w:trPr>
        <w:tc>
          <w:tcPr>
            <w:tcW w:w="2252" w:type="dxa"/>
            <w:gridSpan w:val="3"/>
            <w:vMerge/>
            <w:tcBorders>
              <w:tl2br w:val="nil"/>
              <w:tr2bl w:val="nil"/>
            </w:tcBorders>
            <w:vAlign w:val="center"/>
          </w:tcPr>
          <w:p w:rsidR="00DB7CC8" w:rsidRDefault="00DB7CC8">
            <w:pPr>
              <w:autoSpaceDE w:val="0"/>
              <w:autoSpaceDN w:val="0"/>
              <w:adjustRightInd w:val="0"/>
              <w:snapToGrid w:val="0"/>
              <w:spacing w:line="240" w:lineRule="auto"/>
              <w:ind w:firstLineChars="0" w:firstLine="0"/>
              <w:jc w:val="center"/>
              <w:rPr>
                <w:snapToGrid w:val="0"/>
                <w:sz w:val="21"/>
                <w:szCs w:val="21"/>
              </w:rPr>
            </w:pPr>
          </w:p>
        </w:tc>
        <w:tc>
          <w:tcPr>
            <w:tcW w:w="10644" w:type="dxa"/>
            <w:gridSpan w:val="7"/>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制定《环保管理制度》、《环保岗位考核制度》、《环保设备管理制度》、《污染防治设施运行管理制度》，建立环保设施运行台账，各项设备设施稳定、正常运行</w:t>
            </w:r>
          </w:p>
        </w:tc>
        <w:tc>
          <w:tcPr>
            <w:tcW w:w="772" w:type="dxa"/>
            <w:tcBorders>
              <w:tl2br w:val="nil"/>
              <w:tr2bl w:val="nil"/>
            </w:tcBorders>
            <w:vAlign w:val="center"/>
          </w:tcPr>
          <w:p w:rsidR="00DB7CC8" w:rsidRDefault="002B5250">
            <w:pPr>
              <w:spacing w:line="240" w:lineRule="auto"/>
              <w:ind w:firstLineChars="0" w:firstLine="0"/>
              <w:jc w:val="center"/>
              <w:rPr>
                <w:sz w:val="21"/>
                <w:szCs w:val="21"/>
              </w:rPr>
            </w:pPr>
            <w:r>
              <w:rPr>
                <w:sz w:val="21"/>
                <w:szCs w:val="21"/>
              </w:rPr>
              <w:t>/</w:t>
            </w:r>
          </w:p>
        </w:tc>
      </w:tr>
    </w:tbl>
    <w:p w:rsidR="00DB7CC8" w:rsidRDefault="00DB7CC8">
      <w:pPr>
        <w:spacing w:line="240" w:lineRule="auto"/>
        <w:ind w:firstLineChars="0" w:firstLine="420"/>
        <w:jc w:val="center"/>
        <w:textAlignment w:val="baseline"/>
        <w:rPr>
          <w:b/>
          <w:bCs/>
          <w:kern w:val="2"/>
          <w:sz w:val="24"/>
          <w:szCs w:val="24"/>
        </w:rPr>
      </w:pPr>
    </w:p>
    <w:p w:rsidR="00DB7CC8" w:rsidRDefault="00DB7CC8">
      <w:pPr>
        <w:ind w:left="560" w:firstLineChars="0" w:firstLine="0"/>
        <w:sectPr w:rsidR="00DB7CC8">
          <w:pgSz w:w="16838" w:h="11905" w:orient="landscape"/>
          <w:pgMar w:top="1803" w:right="1440" w:bottom="1803" w:left="1134" w:header="850" w:footer="992" w:gutter="0"/>
          <w:cols w:space="0"/>
          <w:docGrid w:linePitch="312"/>
        </w:sectPr>
      </w:pP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650" w:name="_Toc524285125"/>
      <w:bookmarkStart w:id="651" w:name="_Toc5796"/>
      <w:bookmarkStart w:id="652" w:name="_Toc551"/>
      <w:bookmarkStart w:id="653" w:name="_Toc12834"/>
      <w:bookmarkStart w:id="654" w:name="_Toc503218132"/>
      <w:bookmarkStart w:id="655" w:name="_Toc499651433"/>
      <w:bookmarkStart w:id="656" w:name="_Toc2957"/>
      <w:bookmarkStart w:id="657" w:name="_Toc521591837"/>
      <w:r>
        <w:rPr>
          <w:rFonts w:ascii="Times New Roman" w:eastAsia="宋体" w:hAnsi="Times New Roman"/>
          <w:bCs w:val="0"/>
          <w:snapToGrid w:val="0"/>
          <w:kern w:val="0"/>
          <w:sz w:val="28"/>
          <w:szCs w:val="28"/>
        </w:rPr>
        <w:lastRenderedPageBreak/>
        <w:t>环境监测</w:t>
      </w:r>
      <w:bookmarkEnd w:id="646"/>
      <w:bookmarkEnd w:id="647"/>
      <w:bookmarkEnd w:id="648"/>
      <w:bookmarkEnd w:id="649"/>
      <w:bookmarkEnd w:id="650"/>
      <w:bookmarkEnd w:id="651"/>
      <w:bookmarkEnd w:id="652"/>
      <w:bookmarkEnd w:id="653"/>
      <w:bookmarkEnd w:id="654"/>
      <w:bookmarkEnd w:id="655"/>
      <w:bookmarkEnd w:id="656"/>
      <w:bookmarkEnd w:id="657"/>
    </w:p>
    <w:p w:rsidR="00DB7CC8" w:rsidRDefault="002B5250">
      <w:pPr>
        <w:pStyle w:val="3"/>
        <w:numPr>
          <w:ilvl w:val="2"/>
          <w:numId w:val="1"/>
        </w:numPr>
        <w:rPr>
          <w:szCs w:val="28"/>
        </w:rPr>
      </w:pPr>
      <w:bookmarkStart w:id="658" w:name="_Toc521591838"/>
      <w:bookmarkStart w:id="659" w:name="_Toc28879"/>
      <w:r>
        <w:rPr>
          <w:szCs w:val="28"/>
        </w:rPr>
        <w:t>环境监测目的</w:t>
      </w:r>
      <w:bookmarkEnd w:id="658"/>
      <w:bookmarkEnd w:id="659"/>
    </w:p>
    <w:p w:rsidR="00DB7CC8" w:rsidRDefault="002B5250">
      <w:pPr>
        <w:autoSpaceDE w:val="0"/>
        <w:autoSpaceDN w:val="0"/>
        <w:ind w:firstLine="480"/>
        <w:jc w:val="both"/>
        <w:textAlignment w:val="auto"/>
        <w:rPr>
          <w:sz w:val="24"/>
          <w:szCs w:val="24"/>
        </w:rPr>
      </w:pPr>
      <w:r>
        <w:rPr>
          <w:sz w:val="24"/>
          <w:szCs w:val="24"/>
        </w:rPr>
        <w:t>环境监测是环境管理技术的支持。同时，环境监测还是企业搞好环境管理，促进污染治理设施正常运行的主要保障。通过定期的环境监测，了解当地的环境质量状况，可以及时发现问题、解决问题，从而有利于监督各项环保措施的落实，并根据监测结果适时调整环境保护计划。</w:t>
      </w:r>
    </w:p>
    <w:p w:rsidR="00DB7CC8" w:rsidRDefault="002B5250">
      <w:pPr>
        <w:pStyle w:val="3"/>
        <w:numPr>
          <w:ilvl w:val="2"/>
          <w:numId w:val="1"/>
        </w:numPr>
        <w:rPr>
          <w:szCs w:val="28"/>
        </w:rPr>
      </w:pPr>
      <w:bookmarkStart w:id="660" w:name="_Toc521591839"/>
      <w:bookmarkStart w:id="661" w:name="_Toc9752"/>
      <w:r>
        <w:rPr>
          <w:szCs w:val="28"/>
        </w:rPr>
        <w:t>环境监测机构</w:t>
      </w:r>
      <w:bookmarkEnd w:id="660"/>
      <w:bookmarkEnd w:id="661"/>
    </w:p>
    <w:p w:rsidR="00DB7CC8" w:rsidRDefault="002B5250">
      <w:pPr>
        <w:autoSpaceDE w:val="0"/>
        <w:autoSpaceDN w:val="0"/>
        <w:ind w:firstLine="480"/>
        <w:jc w:val="both"/>
        <w:textAlignment w:val="auto"/>
        <w:rPr>
          <w:sz w:val="24"/>
          <w:szCs w:val="24"/>
        </w:rPr>
      </w:pPr>
      <w:r>
        <w:rPr>
          <w:sz w:val="24"/>
          <w:szCs w:val="24"/>
        </w:rPr>
        <w:t>环境监测为企业自行监测行为，监测方式由建设单位决定，可委托有资质的监测单位，也可由公司内部执行。</w:t>
      </w:r>
    </w:p>
    <w:p w:rsidR="00DB7CC8" w:rsidRDefault="002B5250">
      <w:pPr>
        <w:pStyle w:val="3"/>
        <w:numPr>
          <w:ilvl w:val="2"/>
          <w:numId w:val="1"/>
        </w:numPr>
        <w:rPr>
          <w:szCs w:val="28"/>
        </w:rPr>
      </w:pPr>
      <w:bookmarkStart w:id="662" w:name="_Toc521591840"/>
      <w:bookmarkStart w:id="663" w:name="_Toc24574"/>
      <w:r>
        <w:rPr>
          <w:szCs w:val="28"/>
        </w:rPr>
        <w:t>监测项目及监测计划</w:t>
      </w:r>
      <w:bookmarkEnd w:id="662"/>
      <w:bookmarkEnd w:id="663"/>
    </w:p>
    <w:p w:rsidR="00DB7CC8" w:rsidRDefault="002B5250">
      <w:pPr>
        <w:widowControl/>
        <w:ind w:firstLine="480"/>
        <w:textAlignment w:val="auto"/>
        <w:rPr>
          <w:kern w:val="2"/>
          <w:sz w:val="24"/>
          <w:szCs w:val="24"/>
        </w:rPr>
      </w:pPr>
      <w:bookmarkStart w:id="664" w:name="_Toc450148608"/>
      <w:bookmarkStart w:id="665" w:name="_Toc454955463"/>
      <w:bookmarkStart w:id="666" w:name="_Toc499651434"/>
      <w:bookmarkStart w:id="667" w:name="_Toc503218133"/>
      <w:r>
        <w:rPr>
          <w:kern w:val="2"/>
          <w:sz w:val="24"/>
          <w:szCs w:val="24"/>
        </w:rPr>
        <w:t>根据《排污单位自行监测技术指南总则》（</w:t>
      </w:r>
      <w:r>
        <w:rPr>
          <w:kern w:val="2"/>
          <w:sz w:val="24"/>
          <w:szCs w:val="24"/>
        </w:rPr>
        <w:t>HJ819-2017</w:t>
      </w:r>
      <w:r>
        <w:rPr>
          <w:kern w:val="2"/>
          <w:sz w:val="24"/>
          <w:szCs w:val="24"/>
        </w:rPr>
        <w:t>），本项目属于非重点排污单位，本项目主要排放口为破碎车间排气筒、厂界无组织废气、厂界噪声，主要监测指标为颗粒物，</w:t>
      </w:r>
      <w:r>
        <w:rPr>
          <w:rFonts w:hint="eastAsia"/>
          <w:kern w:val="2"/>
          <w:sz w:val="24"/>
          <w:szCs w:val="24"/>
        </w:rPr>
        <w:t>本项目建设完成后全厂</w:t>
      </w:r>
      <w:r>
        <w:rPr>
          <w:kern w:val="2"/>
          <w:sz w:val="24"/>
          <w:szCs w:val="24"/>
        </w:rPr>
        <w:t>具体监测计划详见表</w:t>
      </w:r>
      <w:r>
        <w:rPr>
          <w:kern w:val="2"/>
          <w:sz w:val="24"/>
          <w:szCs w:val="24"/>
        </w:rPr>
        <w:t>8.</w:t>
      </w:r>
      <w:r>
        <w:rPr>
          <w:rFonts w:hint="eastAsia"/>
          <w:kern w:val="2"/>
          <w:sz w:val="24"/>
          <w:szCs w:val="24"/>
        </w:rPr>
        <w:t>4</w:t>
      </w:r>
      <w:r>
        <w:rPr>
          <w:kern w:val="2"/>
          <w:sz w:val="24"/>
          <w:szCs w:val="24"/>
        </w:rPr>
        <w:t>-1</w:t>
      </w:r>
      <w:r>
        <w:rPr>
          <w:kern w:val="2"/>
          <w:sz w:val="24"/>
          <w:szCs w:val="24"/>
        </w:rPr>
        <w:t>。</w:t>
      </w:r>
    </w:p>
    <w:p w:rsidR="00DB7CC8" w:rsidRDefault="002B5250">
      <w:pPr>
        <w:widowControl/>
        <w:spacing w:line="240" w:lineRule="auto"/>
        <w:ind w:firstLineChars="0" w:firstLine="0"/>
        <w:jc w:val="center"/>
        <w:textAlignment w:val="auto"/>
        <w:rPr>
          <w:rFonts w:eastAsia="黑体"/>
          <w:kern w:val="24"/>
          <w:sz w:val="21"/>
          <w:szCs w:val="21"/>
        </w:rPr>
      </w:pPr>
      <w:r>
        <w:rPr>
          <w:rFonts w:eastAsia="黑体"/>
          <w:kern w:val="24"/>
          <w:sz w:val="21"/>
          <w:szCs w:val="21"/>
        </w:rPr>
        <w:t>表</w:t>
      </w:r>
      <w:r>
        <w:rPr>
          <w:rFonts w:eastAsia="黑体"/>
          <w:kern w:val="24"/>
          <w:sz w:val="21"/>
          <w:szCs w:val="21"/>
        </w:rPr>
        <w:t>8.</w:t>
      </w:r>
      <w:r>
        <w:rPr>
          <w:rFonts w:eastAsia="黑体" w:hint="eastAsia"/>
          <w:kern w:val="24"/>
          <w:sz w:val="21"/>
          <w:szCs w:val="21"/>
        </w:rPr>
        <w:t>4</w:t>
      </w:r>
      <w:r>
        <w:rPr>
          <w:rFonts w:eastAsia="黑体"/>
          <w:kern w:val="24"/>
          <w:sz w:val="21"/>
          <w:szCs w:val="21"/>
        </w:rPr>
        <w:t xml:space="preserve">-1   </w:t>
      </w:r>
      <w:r>
        <w:rPr>
          <w:rFonts w:eastAsia="黑体" w:hint="eastAsia"/>
          <w:kern w:val="24"/>
          <w:sz w:val="21"/>
          <w:szCs w:val="21"/>
        </w:rPr>
        <w:t>全厂</w:t>
      </w:r>
      <w:r>
        <w:rPr>
          <w:rFonts w:eastAsia="黑体"/>
          <w:kern w:val="24"/>
          <w:sz w:val="21"/>
          <w:szCs w:val="21"/>
        </w:rPr>
        <w:t>环境监测计划一览表</w:t>
      </w:r>
    </w:p>
    <w:tbl>
      <w:tblPr>
        <w:tblW w:w="8368" w:type="dxa"/>
        <w:tblBorders>
          <w:top w:val="single" w:sz="6" w:space="0" w:color="auto"/>
          <w:bottom w:val="single" w:sz="6" w:space="0" w:color="auto"/>
          <w:insideH w:val="single" w:sz="6" w:space="0" w:color="auto"/>
          <w:insideV w:val="single" w:sz="6" w:space="0" w:color="auto"/>
        </w:tblBorders>
        <w:tblLayout w:type="fixed"/>
        <w:tblLook w:val="04A0" w:firstRow="1" w:lastRow="0" w:firstColumn="1" w:lastColumn="0" w:noHBand="0" w:noVBand="1"/>
      </w:tblPr>
      <w:tblGrid>
        <w:gridCol w:w="1265"/>
        <w:gridCol w:w="1608"/>
        <w:gridCol w:w="2370"/>
        <w:gridCol w:w="1490"/>
        <w:gridCol w:w="1635"/>
      </w:tblGrid>
      <w:tr w:rsidR="00DB7CC8">
        <w:trPr>
          <w:trHeight w:val="340"/>
        </w:trPr>
        <w:tc>
          <w:tcPr>
            <w:tcW w:w="1265" w:type="dxa"/>
            <w:tcBorders>
              <w:left w:val="single" w:sz="6" w:space="0" w:color="auto"/>
            </w:tcBorders>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类别</w:t>
            </w:r>
          </w:p>
        </w:tc>
        <w:tc>
          <w:tcPr>
            <w:tcW w:w="1608"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监测位置</w:t>
            </w:r>
          </w:p>
        </w:tc>
        <w:tc>
          <w:tcPr>
            <w:tcW w:w="2370"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监测项目</w:t>
            </w:r>
          </w:p>
        </w:tc>
        <w:tc>
          <w:tcPr>
            <w:tcW w:w="1490"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监测频率</w:t>
            </w:r>
          </w:p>
        </w:tc>
        <w:tc>
          <w:tcPr>
            <w:tcW w:w="1635" w:type="dxa"/>
            <w:tcBorders>
              <w:right w:val="single" w:sz="6" w:space="0" w:color="auto"/>
            </w:tcBorders>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实施单位</w:t>
            </w:r>
          </w:p>
        </w:tc>
      </w:tr>
      <w:tr w:rsidR="00DB7CC8">
        <w:trPr>
          <w:trHeight w:val="340"/>
        </w:trPr>
        <w:tc>
          <w:tcPr>
            <w:tcW w:w="1265" w:type="dxa"/>
            <w:vMerge w:val="restart"/>
            <w:tcBorders>
              <w:left w:val="single" w:sz="6" w:space="0" w:color="auto"/>
            </w:tcBorders>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废</w:t>
            </w:r>
          </w:p>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气</w:t>
            </w:r>
          </w:p>
        </w:tc>
        <w:tc>
          <w:tcPr>
            <w:tcW w:w="1608"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1#</w:t>
            </w:r>
            <w:r>
              <w:rPr>
                <w:kern w:val="2"/>
                <w:sz w:val="21"/>
                <w:szCs w:val="21"/>
              </w:rPr>
              <w:t>破碎车间</w:t>
            </w:r>
          </w:p>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排气筒</w:t>
            </w:r>
          </w:p>
        </w:tc>
        <w:tc>
          <w:tcPr>
            <w:tcW w:w="2370"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颗粒物</w:t>
            </w:r>
          </w:p>
        </w:tc>
        <w:tc>
          <w:tcPr>
            <w:tcW w:w="1490"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rFonts w:hint="eastAsia"/>
                <w:kern w:val="2"/>
                <w:sz w:val="21"/>
                <w:szCs w:val="21"/>
              </w:rPr>
              <w:t>每年</w:t>
            </w:r>
            <w:r>
              <w:rPr>
                <w:kern w:val="2"/>
                <w:sz w:val="21"/>
                <w:szCs w:val="21"/>
              </w:rPr>
              <w:t>1</w:t>
            </w:r>
            <w:r>
              <w:rPr>
                <w:kern w:val="2"/>
                <w:sz w:val="21"/>
                <w:szCs w:val="21"/>
              </w:rPr>
              <w:t>次</w:t>
            </w:r>
          </w:p>
        </w:tc>
        <w:tc>
          <w:tcPr>
            <w:tcW w:w="1635" w:type="dxa"/>
            <w:vMerge w:val="restart"/>
            <w:tcBorders>
              <w:right w:val="single" w:sz="6" w:space="0" w:color="auto"/>
            </w:tcBorders>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委托当地环境</w:t>
            </w:r>
          </w:p>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监测站或有资质</w:t>
            </w:r>
          </w:p>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的检测单位</w:t>
            </w:r>
          </w:p>
        </w:tc>
      </w:tr>
      <w:tr w:rsidR="00DB7CC8">
        <w:trPr>
          <w:trHeight w:val="340"/>
        </w:trPr>
        <w:tc>
          <w:tcPr>
            <w:tcW w:w="1265" w:type="dxa"/>
            <w:vMerge/>
            <w:tcBorders>
              <w:left w:val="single" w:sz="6" w:space="0" w:color="auto"/>
            </w:tcBorders>
            <w:tcMar>
              <w:left w:w="28" w:type="dxa"/>
              <w:right w:w="28" w:type="dxa"/>
            </w:tcMar>
            <w:vAlign w:val="center"/>
          </w:tcPr>
          <w:p w:rsidR="00DB7CC8" w:rsidRDefault="00DB7CC8">
            <w:pPr>
              <w:widowControl/>
              <w:adjustRightInd w:val="0"/>
              <w:spacing w:line="240" w:lineRule="auto"/>
              <w:ind w:firstLineChars="0" w:firstLine="0"/>
              <w:jc w:val="center"/>
              <w:textAlignment w:val="baseline"/>
              <w:rPr>
                <w:kern w:val="2"/>
                <w:sz w:val="21"/>
                <w:szCs w:val="21"/>
              </w:rPr>
            </w:pPr>
          </w:p>
        </w:tc>
        <w:tc>
          <w:tcPr>
            <w:tcW w:w="1608"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2#</w:t>
            </w:r>
            <w:r>
              <w:rPr>
                <w:kern w:val="2"/>
                <w:sz w:val="21"/>
                <w:szCs w:val="21"/>
              </w:rPr>
              <w:t>破碎车间</w:t>
            </w:r>
          </w:p>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排气筒</w:t>
            </w:r>
          </w:p>
        </w:tc>
        <w:tc>
          <w:tcPr>
            <w:tcW w:w="2370"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颗粒物</w:t>
            </w:r>
          </w:p>
        </w:tc>
        <w:tc>
          <w:tcPr>
            <w:tcW w:w="1490"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rFonts w:hint="eastAsia"/>
                <w:kern w:val="2"/>
                <w:sz w:val="21"/>
                <w:szCs w:val="21"/>
              </w:rPr>
              <w:t>每</w:t>
            </w:r>
            <w:r>
              <w:rPr>
                <w:kern w:val="2"/>
                <w:sz w:val="21"/>
                <w:szCs w:val="21"/>
              </w:rPr>
              <w:t>年</w:t>
            </w:r>
            <w:r>
              <w:rPr>
                <w:kern w:val="2"/>
                <w:sz w:val="21"/>
                <w:szCs w:val="21"/>
              </w:rPr>
              <w:t>1</w:t>
            </w:r>
            <w:r>
              <w:rPr>
                <w:kern w:val="2"/>
                <w:sz w:val="21"/>
                <w:szCs w:val="21"/>
              </w:rPr>
              <w:t>次</w:t>
            </w:r>
          </w:p>
        </w:tc>
        <w:tc>
          <w:tcPr>
            <w:tcW w:w="1635" w:type="dxa"/>
            <w:vMerge/>
            <w:tcBorders>
              <w:right w:val="single" w:sz="6" w:space="0" w:color="auto"/>
            </w:tcBorders>
            <w:tcMar>
              <w:left w:w="28" w:type="dxa"/>
              <w:right w:w="28" w:type="dxa"/>
            </w:tcMar>
            <w:vAlign w:val="center"/>
          </w:tcPr>
          <w:p w:rsidR="00DB7CC8" w:rsidRDefault="00DB7CC8">
            <w:pPr>
              <w:widowControl/>
              <w:adjustRightInd w:val="0"/>
              <w:spacing w:line="240" w:lineRule="auto"/>
              <w:ind w:firstLineChars="0" w:firstLine="0"/>
              <w:jc w:val="center"/>
              <w:textAlignment w:val="baseline"/>
              <w:rPr>
                <w:kern w:val="2"/>
                <w:sz w:val="21"/>
                <w:szCs w:val="21"/>
              </w:rPr>
            </w:pPr>
          </w:p>
        </w:tc>
      </w:tr>
      <w:tr w:rsidR="00DB7CC8">
        <w:trPr>
          <w:trHeight w:val="340"/>
        </w:trPr>
        <w:tc>
          <w:tcPr>
            <w:tcW w:w="1265" w:type="dxa"/>
            <w:vMerge/>
            <w:tcBorders>
              <w:left w:val="single" w:sz="6" w:space="0" w:color="auto"/>
            </w:tcBorders>
            <w:tcMar>
              <w:left w:w="28" w:type="dxa"/>
              <w:right w:w="28" w:type="dxa"/>
            </w:tcMar>
            <w:vAlign w:val="center"/>
          </w:tcPr>
          <w:p w:rsidR="00DB7CC8" w:rsidRDefault="00DB7CC8">
            <w:pPr>
              <w:widowControl/>
              <w:adjustRightInd w:val="0"/>
              <w:spacing w:line="240" w:lineRule="auto"/>
              <w:ind w:firstLineChars="0" w:firstLine="0"/>
              <w:jc w:val="center"/>
              <w:textAlignment w:val="baseline"/>
              <w:rPr>
                <w:kern w:val="2"/>
                <w:sz w:val="21"/>
                <w:szCs w:val="21"/>
              </w:rPr>
            </w:pPr>
          </w:p>
        </w:tc>
        <w:tc>
          <w:tcPr>
            <w:tcW w:w="1608"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rFonts w:hint="eastAsia"/>
                <w:kern w:val="2"/>
                <w:sz w:val="21"/>
                <w:szCs w:val="21"/>
              </w:rPr>
              <w:t>3</w:t>
            </w:r>
            <w:r>
              <w:rPr>
                <w:kern w:val="2"/>
                <w:sz w:val="21"/>
                <w:szCs w:val="21"/>
              </w:rPr>
              <w:t>#</w:t>
            </w:r>
            <w:r>
              <w:rPr>
                <w:kern w:val="2"/>
                <w:sz w:val="21"/>
                <w:szCs w:val="21"/>
              </w:rPr>
              <w:t>破碎</w:t>
            </w:r>
            <w:r>
              <w:rPr>
                <w:rFonts w:hint="eastAsia"/>
                <w:kern w:val="2"/>
                <w:sz w:val="21"/>
                <w:szCs w:val="21"/>
              </w:rPr>
              <w:t>粗选</w:t>
            </w:r>
            <w:r>
              <w:rPr>
                <w:kern w:val="2"/>
                <w:sz w:val="21"/>
                <w:szCs w:val="21"/>
              </w:rPr>
              <w:t>车间</w:t>
            </w:r>
          </w:p>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排气筒</w:t>
            </w:r>
          </w:p>
        </w:tc>
        <w:tc>
          <w:tcPr>
            <w:tcW w:w="2370"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颗粒物</w:t>
            </w:r>
          </w:p>
        </w:tc>
        <w:tc>
          <w:tcPr>
            <w:tcW w:w="1490"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rFonts w:hint="eastAsia"/>
                <w:kern w:val="2"/>
                <w:sz w:val="21"/>
                <w:szCs w:val="21"/>
              </w:rPr>
              <w:t>每</w:t>
            </w:r>
            <w:r>
              <w:rPr>
                <w:kern w:val="2"/>
                <w:sz w:val="21"/>
                <w:szCs w:val="21"/>
              </w:rPr>
              <w:t>年</w:t>
            </w:r>
            <w:r>
              <w:rPr>
                <w:kern w:val="2"/>
                <w:sz w:val="21"/>
                <w:szCs w:val="21"/>
              </w:rPr>
              <w:t>1</w:t>
            </w:r>
            <w:r>
              <w:rPr>
                <w:kern w:val="2"/>
                <w:sz w:val="21"/>
                <w:szCs w:val="21"/>
              </w:rPr>
              <w:t>次</w:t>
            </w:r>
          </w:p>
        </w:tc>
        <w:tc>
          <w:tcPr>
            <w:tcW w:w="1635" w:type="dxa"/>
            <w:vMerge/>
            <w:tcBorders>
              <w:right w:val="single" w:sz="6" w:space="0" w:color="auto"/>
            </w:tcBorders>
            <w:tcMar>
              <w:left w:w="28" w:type="dxa"/>
              <w:right w:w="28" w:type="dxa"/>
            </w:tcMar>
            <w:vAlign w:val="center"/>
          </w:tcPr>
          <w:p w:rsidR="00DB7CC8" w:rsidRDefault="00DB7CC8">
            <w:pPr>
              <w:widowControl/>
              <w:adjustRightInd w:val="0"/>
              <w:spacing w:line="240" w:lineRule="auto"/>
              <w:ind w:firstLineChars="0" w:firstLine="0"/>
              <w:jc w:val="center"/>
              <w:textAlignment w:val="baseline"/>
              <w:rPr>
                <w:kern w:val="2"/>
                <w:sz w:val="21"/>
                <w:szCs w:val="21"/>
              </w:rPr>
            </w:pPr>
          </w:p>
        </w:tc>
      </w:tr>
      <w:tr w:rsidR="00DB7CC8">
        <w:trPr>
          <w:trHeight w:val="340"/>
        </w:trPr>
        <w:tc>
          <w:tcPr>
            <w:tcW w:w="1265" w:type="dxa"/>
            <w:vMerge/>
            <w:tcBorders>
              <w:left w:val="single" w:sz="6" w:space="0" w:color="auto"/>
            </w:tcBorders>
            <w:tcMar>
              <w:left w:w="28" w:type="dxa"/>
              <w:right w:w="28" w:type="dxa"/>
            </w:tcMar>
            <w:vAlign w:val="center"/>
          </w:tcPr>
          <w:p w:rsidR="00DB7CC8" w:rsidRDefault="00DB7CC8">
            <w:pPr>
              <w:widowControl/>
              <w:adjustRightInd w:val="0"/>
              <w:spacing w:line="240" w:lineRule="auto"/>
              <w:ind w:firstLineChars="0" w:firstLine="0"/>
              <w:jc w:val="center"/>
              <w:textAlignment w:val="baseline"/>
              <w:rPr>
                <w:kern w:val="2"/>
                <w:sz w:val="21"/>
                <w:szCs w:val="21"/>
              </w:rPr>
            </w:pPr>
          </w:p>
        </w:tc>
        <w:tc>
          <w:tcPr>
            <w:tcW w:w="1608"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厂界外无组织浓度监控点</w:t>
            </w:r>
          </w:p>
        </w:tc>
        <w:tc>
          <w:tcPr>
            <w:tcW w:w="2370"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颗粒物</w:t>
            </w:r>
          </w:p>
        </w:tc>
        <w:tc>
          <w:tcPr>
            <w:tcW w:w="1490"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rFonts w:hint="eastAsia"/>
                <w:kern w:val="2"/>
                <w:sz w:val="21"/>
                <w:szCs w:val="21"/>
              </w:rPr>
              <w:t>每</w:t>
            </w:r>
            <w:r>
              <w:rPr>
                <w:kern w:val="2"/>
                <w:sz w:val="21"/>
                <w:szCs w:val="21"/>
              </w:rPr>
              <w:t>年</w:t>
            </w:r>
            <w:r>
              <w:rPr>
                <w:kern w:val="2"/>
                <w:sz w:val="21"/>
                <w:szCs w:val="21"/>
              </w:rPr>
              <w:t>1</w:t>
            </w:r>
            <w:r>
              <w:rPr>
                <w:kern w:val="2"/>
                <w:sz w:val="21"/>
                <w:szCs w:val="21"/>
              </w:rPr>
              <w:t>次</w:t>
            </w:r>
          </w:p>
        </w:tc>
        <w:tc>
          <w:tcPr>
            <w:tcW w:w="1635" w:type="dxa"/>
            <w:vMerge/>
            <w:tcBorders>
              <w:right w:val="single" w:sz="6" w:space="0" w:color="auto"/>
            </w:tcBorders>
            <w:tcMar>
              <w:left w:w="28" w:type="dxa"/>
              <w:right w:w="28" w:type="dxa"/>
            </w:tcMar>
            <w:vAlign w:val="center"/>
          </w:tcPr>
          <w:p w:rsidR="00DB7CC8" w:rsidRDefault="00DB7CC8">
            <w:pPr>
              <w:widowControl/>
              <w:spacing w:line="240" w:lineRule="auto"/>
              <w:ind w:firstLineChars="0" w:firstLine="0"/>
              <w:jc w:val="center"/>
              <w:textAlignment w:val="auto"/>
              <w:rPr>
                <w:rFonts w:eastAsia="等线"/>
                <w:b/>
                <w:bCs/>
                <w:kern w:val="2"/>
                <w:sz w:val="21"/>
                <w:szCs w:val="21"/>
              </w:rPr>
            </w:pPr>
          </w:p>
        </w:tc>
      </w:tr>
      <w:tr w:rsidR="00DB7CC8">
        <w:trPr>
          <w:trHeight w:val="340"/>
        </w:trPr>
        <w:tc>
          <w:tcPr>
            <w:tcW w:w="1265" w:type="dxa"/>
            <w:tcBorders>
              <w:left w:val="single" w:sz="6" w:space="0" w:color="auto"/>
            </w:tcBorders>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噪</w:t>
            </w:r>
          </w:p>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声</w:t>
            </w:r>
          </w:p>
        </w:tc>
        <w:tc>
          <w:tcPr>
            <w:tcW w:w="1608"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四周厂界外</w:t>
            </w:r>
            <w:r>
              <w:rPr>
                <w:kern w:val="2"/>
                <w:sz w:val="21"/>
                <w:szCs w:val="21"/>
              </w:rPr>
              <w:t>1m</w:t>
            </w:r>
          </w:p>
        </w:tc>
        <w:tc>
          <w:tcPr>
            <w:tcW w:w="2370"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等效</w:t>
            </w:r>
            <w:r>
              <w:rPr>
                <w:kern w:val="2"/>
                <w:sz w:val="21"/>
                <w:szCs w:val="21"/>
              </w:rPr>
              <w:t>A</w:t>
            </w:r>
            <w:r>
              <w:rPr>
                <w:kern w:val="2"/>
                <w:sz w:val="21"/>
                <w:szCs w:val="21"/>
              </w:rPr>
              <w:t>声级</w:t>
            </w:r>
          </w:p>
        </w:tc>
        <w:tc>
          <w:tcPr>
            <w:tcW w:w="1490" w:type="dxa"/>
            <w:tcMar>
              <w:left w:w="28" w:type="dxa"/>
              <w:right w:w="28" w:type="dxa"/>
            </w:tcMar>
            <w:vAlign w:val="center"/>
          </w:tcPr>
          <w:p w:rsidR="00DB7CC8" w:rsidRDefault="002B5250">
            <w:pPr>
              <w:widowControl/>
              <w:adjustRightInd w:val="0"/>
              <w:spacing w:line="240" w:lineRule="auto"/>
              <w:ind w:firstLineChars="0" w:firstLine="0"/>
              <w:jc w:val="center"/>
              <w:textAlignment w:val="baseline"/>
              <w:rPr>
                <w:kern w:val="2"/>
                <w:sz w:val="21"/>
                <w:szCs w:val="21"/>
              </w:rPr>
            </w:pPr>
            <w:r>
              <w:rPr>
                <w:kern w:val="2"/>
                <w:sz w:val="21"/>
                <w:szCs w:val="21"/>
              </w:rPr>
              <w:t>每季度</w:t>
            </w:r>
            <w:r>
              <w:rPr>
                <w:kern w:val="2"/>
                <w:sz w:val="21"/>
                <w:szCs w:val="21"/>
              </w:rPr>
              <w:t>1</w:t>
            </w:r>
            <w:r>
              <w:rPr>
                <w:kern w:val="2"/>
                <w:sz w:val="21"/>
                <w:szCs w:val="21"/>
              </w:rPr>
              <w:t>次</w:t>
            </w:r>
          </w:p>
        </w:tc>
        <w:tc>
          <w:tcPr>
            <w:tcW w:w="1635" w:type="dxa"/>
            <w:vMerge/>
            <w:tcBorders>
              <w:right w:val="single" w:sz="6" w:space="0" w:color="auto"/>
            </w:tcBorders>
            <w:tcMar>
              <w:left w:w="28" w:type="dxa"/>
              <w:right w:w="28" w:type="dxa"/>
            </w:tcMar>
            <w:vAlign w:val="center"/>
          </w:tcPr>
          <w:p w:rsidR="00DB7CC8" w:rsidRDefault="00DB7CC8">
            <w:pPr>
              <w:widowControl/>
              <w:spacing w:line="240" w:lineRule="auto"/>
              <w:ind w:firstLineChars="0" w:firstLine="0"/>
              <w:jc w:val="center"/>
              <w:textAlignment w:val="auto"/>
              <w:rPr>
                <w:rFonts w:eastAsia="等线"/>
                <w:b/>
                <w:bCs/>
                <w:kern w:val="2"/>
                <w:sz w:val="21"/>
                <w:szCs w:val="21"/>
              </w:rPr>
            </w:pPr>
          </w:p>
        </w:tc>
      </w:tr>
    </w:tbl>
    <w:p w:rsidR="00DB7CC8" w:rsidRDefault="00DB7CC8">
      <w:pPr>
        <w:adjustRightInd w:val="0"/>
        <w:snapToGrid w:val="0"/>
        <w:spacing w:line="240" w:lineRule="auto"/>
        <w:ind w:firstLine="420"/>
        <w:jc w:val="center"/>
        <w:rPr>
          <w:rFonts w:eastAsia="黑体"/>
          <w:sz w:val="21"/>
          <w:szCs w:val="21"/>
          <w:lang w:val="zh-CN"/>
        </w:rPr>
      </w:pPr>
      <w:bookmarkStart w:id="668" w:name="_Toc355198002"/>
      <w:bookmarkStart w:id="669" w:name="_Toc12251"/>
      <w:bookmarkEnd w:id="664"/>
      <w:bookmarkEnd w:id="665"/>
      <w:bookmarkEnd w:id="666"/>
      <w:bookmarkEnd w:id="667"/>
    </w:p>
    <w:p w:rsidR="00DB7CC8" w:rsidRDefault="002B5250">
      <w:pPr>
        <w:widowControl/>
        <w:spacing w:line="240" w:lineRule="auto"/>
        <w:ind w:firstLineChars="0" w:firstLine="0"/>
        <w:jc w:val="center"/>
        <w:textAlignment w:val="auto"/>
        <w:rPr>
          <w:rFonts w:eastAsia="黑体"/>
          <w:bCs/>
          <w:sz w:val="21"/>
          <w:szCs w:val="21"/>
        </w:rPr>
      </w:pPr>
      <w:r>
        <w:rPr>
          <w:rFonts w:eastAsia="黑体"/>
          <w:sz w:val="21"/>
          <w:szCs w:val="21"/>
          <w:lang w:val="zh-CN"/>
        </w:rPr>
        <w:t>表</w:t>
      </w:r>
      <w:r>
        <w:rPr>
          <w:rFonts w:eastAsia="黑体"/>
          <w:sz w:val="21"/>
          <w:szCs w:val="21"/>
          <w:lang w:val="zh-CN"/>
        </w:rPr>
        <w:t>8.</w:t>
      </w:r>
      <w:r>
        <w:rPr>
          <w:rFonts w:eastAsia="黑体" w:hint="eastAsia"/>
          <w:sz w:val="21"/>
          <w:szCs w:val="21"/>
        </w:rPr>
        <w:t>4</w:t>
      </w:r>
      <w:r>
        <w:rPr>
          <w:rFonts w:eastAsia="黑体"/>
          <w:sz w:val="21"/>
          <w:szCs w:val="21"/>
          <w:lang w:val="zh-CN"/>
        </w:rPr>
        <w:t xml:space="preserve">-2  </w:t>
      </w:r>
      <w:r>
        <w:rPr>
          <w:rFonts w:eastAsia="黑体"/>
          <w:bCs/>
          <w:sz w:val="21"/>
          <w:szCs w:val="21"/>
        </w:rPr>
        <w:t>运营期污染源监测计划一览表（地下水）</w:t>
      </w:r>
    </w:p>
    <w:tbl>
      <w:tblPr>
        <w:tblW w:w="8528"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1414"/>
        <w:gridCol w:w="1926"/>
        <w:gridCol w:w="775"/>
        <w:gridCol w:w="1067"/>
        <w:gridCol w:w="1419"/>
        <w:gridCol w:w="1189"/>
      </w:tblGrid>
      <w:tr w:rsidR="00DB7CC8">
        <w:trPr>
          <w:trHeight w:val="342"/>
          <w:jc w:val="center"/>
        </w:trPr>
        <w:tc>
          <w:tcPr>
            <w:tcW w:w="738" w:type="dxa"/>
            <w:vMerge w:val="restart"/>
            <w:tcBorders>
              <w:left w:val="single" w:sz="4" w:space="0" w:color="auto"/>
            </w:tcBorders>
            <w:vAlign w:val="center"/>
          </w:tcPr>
          <w:p w:rsidR="00DB7CC8" w:rsidRDefault="002B5250">
            <w:pPr>
              <w:ind w:firstLineChars="0" w:firstLine="0"/>
              <w:jc w:val="center"/>
              <w:rPr>
                <w:sz w:val="21"/>
                <w:szCs w:val="21"/>
              </w:rPr>
            </w:pPr>
            <w:r>
              <w:rPr>
                <w:sz w:val="21"/>
                <w:szCs w:val="21"/>
              </w:rPr>
              <w:t>井编号</w:t>
            </w:r>
          </w:p>
        </w:tc>
        <w:tc>
          <w:tcPr>
            <w:tcW w:w="1414" w:type="dxa"/>
            <w:vMerge w:val="restart"/>
            <w:vAlign w:val="center"/>
          </w:tcPr>
          <w:p w:rsidR="00DB7CC8" w:rsidRDefault="002B5250">
            <w:pPr>
              <w:ind w:firstLineChars="0" w:firstLine="0"/>
              <w:jc w:val="center"/>
              <w:rPr>
                <w:sz w:val="21"/>
                <w:szCs w:val="21"/>
              </w:rPr>
            </w:pPr>
            <w:r>
              <w:rPr>
                <w:sz w:val="21"/>
                <w:szCs w:val="21"/>
              </w:rPr>
              <w:t>和厂区关系</w:t>
            </w:r>
          </w:p>
        </w:tc>
        <w:tc>
          <w:tcPr>
            <w:tcW w:w="1926" w:type="dxa"/>
            <w:vMerge w:val="restart"/>
            <w:vAlign w:val="center"/>
          </w:tcPr>
          <w:p w:rsidR="00DB7CC8" w:rsidRDefault="002B5250">
            <w:pPr>
              <w:ind w:firstLineChars="0" w:firstLine="0"/>
              <w:jc w:val="center"/>
              <w:rPr>
                <w:sz w:val="21"/>
                <w:szCs w:val="21"/>
              </w:rPr>
            </w:pPr>
            <w:r>
              <w:rPr>
                <w:sz w:val="21"/>
                <w:szCs w:val="21"/>
              </w:rPr>
              <w:t>监测井功能</w:t>
            </w:r>
          </w:p>
        </w:tc>
        <w:tc>
          <w:tcPr>
            <w:tcW w:w="775" w:type="dxa"/>
            <w:vMerge w:val="restart"/>
            <w:vAlign w:val="center"/>
          </w:tcPr>
          <w:p w:rsidR="00DB7CC8" w:rsidRDefault="002B5250">
            <w:pPr>
              <w:ind w:firstLineChars="0" w:firstLine="0"/>
              <w:jc w:val="center"/>
              <w:rPr>
                <w:sz w:val="21"/>
                <w:szCs w:val="21"/>
              </w:rPr>
            </w:pPr>
            <w:r>
              <w:rPr>
                <w:sz w:val="21"/>
                <w:szCs w:val="21"/>
              </w:rPr>
              <w:t>监测因子</w:t>
            </w:r>
          </w:p>
        </w:tc>
        <w:tc>
          <w:tcPr>
            <w:tcW w:w="1067" w:type="dxa"/>
            <w:vMerge w:val="restart"/>
            <w:vAlign w:val="center"/>
          </w:tcPr>
          <w:p w:rsidR="00DB7CC8" w:rsidRDefault="002B5250">
            <w:pPr>
              <w:ind w:firstLineChars="0" w:firstLine="0"/>
              <w:jc w:val="center"/>
              <w:rPr>
                <w:sz w:val="21"/>
                <w:szCs w:val="21"/>
              </w:rPr>
            </w:pPr>
            <w:r>
              <w:rPr>
                <w:rFonts w:hint="eastAsia"/>
                <w:sz w:val="21"/>
                <w:szCs w:val="21"/>
              </w:rPr>
              <w:t>监测频率</w:t>
            </w:r>
          </w:p>
        </w:tc>
        <w:tc>
          <w:tcPr>
            <w:tcW w:w="2608" w:type="dxa"/>
            <w:gridSpan w:val="2"/>
            <w:tcBorders>
              <w:right w:val="single" w:sz="4" w:space="0" w:color="auto"/>
            </w:tcBorders>
            <w:vAlign w:val="center"/>
          </w:tcPr>
          <w:p w:rsidR="00DB7CC8" w:rsidRDefault="002B5250">
            <w:pPr>
              <w:ind w:firstLineChars="0" w:firstLine="0"/>
              <w:jc w:val="center"/>
              <w:rPr>
                <w:sz w:val="21"/>
                <w:szCs w:val="21"/>
              </w:rPr>
            </w:pPr>
            <w:r>
              <w:rPr>
                <w:sz w:val="21"/>
                <w:szCs w:val="21"/>
              </w:rPr>
              <w:t>绝对位置</w:t>
            </w:r>
          </w:p>
        </w:tc>
      </w:tr>
      <w:tr w:rsidR="00DB7CC8">
        <w:trPr>
          <w:trHeight w:val="342"/>
          <w:jc w:val="center"/>
        </w:trPr>
        <w:tc>
          <w:tcPr>
            <w:tcW w:w="738" w:type="dxa"/>
            <w:vMerge/>
            <w:tcBorders>
              <w:left w:val="single" w:sz="4" w:space="0" w:color="auto"/>
            </w:tcBorders>
            <w:vAlign w:val="center"/>
          </w:tcPr>
          <w:p w:rsidR="00DB7CC8" w:rsidRDefault="00DB7CC8">
            <w:pPr>
              <w:ind w:firstLineChars="0" w:firstLine="0"/>
              <w:jc w:val="center"/>
              <w:rPr>
                <w:sz w:val="21"/>
                <w:szCs w:val="21"/>
              </w:rPr>
            </w:pPr>
          </w:p>
        </w:tc>
        <w:tc>
          <w:tcPr>
            <w:tcW w:w="1414" w:type="dxa"/>
            <w:vMerge/>
            <w:vAlign w:val="center"/>
          </w:tcPr>
          <w:p w:rsidR="00DB7CC8" w:rsidRDefault="00DB7CC8">
            <w:pPr>
              <w:ind w:firstLineChars="0" w:firstLine="0"/>
              <w:jc w:val="center"/>
              <w:rPr>
                <w:sz w:val="21"/>
                <w:szCs w:val="21"/>
              </w:rPr>
            </w:pPr>
          </w:p>
        </w:tc>
        <w:tc>
          <w:tcPr>
            <w:tcW w:w="1926" w:type="dxa"/>
            <w:vMerge/>
            <w:vAlign w:val="center"/>
          </w:tcPr>
          <w:p w:rsidR="00DB7CC8" w:rsidRDefault="00DB7CC8">
            <w:pPr>
              <w:ind w:firstLineChars="0" w:firstLine="0"/>
              <w:jc w:val="center"/>
              <w:rPr>
                <w:sz w:val="21"/>
                <w:szCs w:val="21"/>
              </w:rPr>
            </w:pPr>
          </w:p>
        </w:tc>
        <w:tc>
          <w:tcPr>
            <w:tcW w:w="775" w:type="dxa"/>
            <w:vMerge/>
            <w:vAlign w:val="center"/>
          </w:tcPr>
          <w:p w:rsidR="00DB7CC8" w:rsidRDefault="00DB7CC8">
            <w:pPr>
              <w:ind w:firstLineChars="0" w:firstLine="0"/>
              <w:jc w:val="center"/>
              <w:rPr>
                <w:sz w:val="21"/>
                <w:szCs w:val="21"/>
              </w:rPr>
            </w:pPr>
          </w:p>
        </w:tc>
        <w:tc>
          <w:tcPr>
            <w:tcW w:w="1067" w:type="dxa"/>
            <w:vMerge/>
            <w:vAlign w:val="center"/>
          </w:tcPr>
          <w:p w:rsidR="00DB7CC8" w:rsidRDefault="00DB7CC8">
            <w:pPr>
              <w:ind w:firstLineChars="0" w:firstLine="0"/>
              <w:jc w:val="center"/>
              <w:rPr>
                <w:sz w:val="21"/>
                <w:szCs w:val="21"/>
              </w:rPr>
            </w:pPr>
          </w:p>
        </w:tc>
        <w:tc>
          <w:tcPr>
            <w:tcW w:w="1419" w:type="dxa"/>
            <w:vAlign w:val="center"/>
          </w:tcPr>
          <w:p w:rsidR="00DB7CC8" w:rsidRDefault="002B5250">
            <w:pPr>
              <w:ind w:firstLineChars="0" w:firstLine="0"/>
              <w:jc w:val="center"/>
              <w:rPr>
                <w:sz w:val="21"/>
                <w:szCs w:val="21"/>
              </w:rPr>
            </w:pPr>
            <w:r>
              <w:rPr>
                <w:sz w:val="21"/>
                <w:szCs w:val="21"/>
              </w:rPr>
              <w:t>X</w:t>
            </w:r>
          </w:p>
        </w:tc>
        <w:tc>
          <w:tcPr>
            <w:tcW w:w="1189" w:type="dxa"/>
            <w:tcBorders>
              <w:right w:val="single" w:sz="4" w:space="0" w:color="auto"/>
            </w:tcBorders>
            <w:vAlign w:val="center"/>
          </w:tcPr>
          <w:p w:rsidR="00DB7CC8" w:rsidRDefault="002B5250">
            <w:pPr>
              <w:ind w:firstLineChars="0" w:firstLine="0"/>
              <w:jc w:val="center"/>
              <w:rPr>
                <w:sz w:val="21"/>
                <w:szCs w:val="21"/>
              </w:rPr>
            </w:pPr>
            <w:r>
              <w:rPr>
                <w:sz w:val="21"/>
                <w:szCs w:val="21"/>
              </w:rPr>
              <w:t>Y</w:t>
            </w:r>
          </w:p>
        </w:tc>
      </w:tr>
      <w:tr w:rsidR="00DB7CC8">
        <w:trPr>
          <w:trHeight w:val="601"/>
          <w:jc w:val="center"/>
        </w:trPr>
        <w:tc>
          <w:tcPr>
            <w:tcW w:w="738" w:type="dxa"/>
            <w:tcBorders>
              <w:left w:val="single" w:sz="4" w:space="0" w:color="auto"/>
            </w:tcBorders>
            <w:vAlign w:val="center"/>
          </w:tcPr>
          <w:p w:rsidR="00DB7CC8" w:rsidRDefault="002B5250">
            <w:pPr>
              <w:ind w:firstLineChars="0" w:firstLine="0"/>
              <w:jc w:val="center"/>
              <w:rPr>
                <w:sz w:val="21"/>
                <w:szCs w:val="21"/>
              </w:rPr>
            </w:pPr>
            <w:r>
              <w:rPr>
                <w:sz w:val="21"/>
                <w:szCs w:val="21"/>
              </w:rPr>
              <w:t>J</w:t>
            </w:r>
            <w:r>
              <w:rPr>
                <w:rFonts w:hint="eastAsia"/>
                <w:sz w:val="21"/>
                <w:szCs w:val="21"/>
              </w:rPr>
              <w:t>C</w:t>
            </w:r>
            <w:r>
              <w:rPr>
                <w:sz w:val="21"/>
                <w:szCs w:val="21"/>
              </w:rPr>
              <w:t>1</w:t>
            </w:r>
          </w:p>
        </w:tc>
        <w:tc>
          <w:tcPr>
            <w:tcW w:w="1414" w:type="dxa"/>
            <w:vAlign w:val="center"/>
          </w:tcPr>
          <w:p w:rsidR="00DB7CC8" w:rsidRDefault="002B5250">
            <w:pPr>
              <w:ind w:firstLineChars="0" w:firstLine="0"/>
              <w:jc w:val="center"/>
              <w:rPr>
                <w:sz w:val="21"/>
                <w:szCs w:val="21"/>
              </w:rPr>
            </w:pPr>
            <w:r>
              <w:rPr>
                <w:sz w:val="21"/>
                <w:szCs w:val="21"/>
              </w:rPr>
              <w:t>厂区上游</w:t>
            </w:r>
          </w:p>
        </w:tc>
        <w:tc>
          <w:tcPr>
            <w:tcW w:w="1926" w:type="dxa"/>
            <w:vAlign w:val="center"/>
          </w:tcPr>
          <w:p w:rsidR="00DB7CC8" w:rsidRDefault="002B5250">
            <w:pPr>
              <w:ind w:firstLineChars="0" w:firstLine="0"/>
              <w:jc w:val="center"/>
              <w:rPr>
                <w:sz w:val="21"/>
                <w:szCs w:val="21"/>
              </w:rPr>
            </w:pPr>
            <w:r>
              <w:rPr>
                <w:sz w:val="21"/>
                <w:szCs w:val="21"/>
              </w:rPr>
              <w:t>地下水上游背景值</w:t>
            </w:r>
          </w:p>
        </w:tc>
        <w:tc>
          <w:tcPr>
            <w:tcW w:w="775" w:type="dxa"/>
            <w:vMerge w:val="restart"/>
            <w:vAlign w:val="center"/>
          </w:tcPr>
          <w:p w:rsidR="00DB7CC8" w:rsidRDefault="002B5250">
            <w:pPr>
              <w:widowControl/>
              <w:ind w:firstLineChars="0" w:firstLine="0"/>
              <w:jc w:val="center"/>
              <w:rPr>
                <w:sz w:val="21"/>
                <w:szCs w:val="21"/>
              </w:rPr>
            </w:pPr>
            <w:r>
              <w:rPr>
                <w:sz w:val="21"/>
                <w:szCs w:val="21"/>
              </w:rPr>
              <w:t>pH</w:t>
            </w:r>
            <w:r>
              <w:rPr>
                <w:sz w:val="21"/>
                <w:szCs w:val="21"/>
              </w:rPr>
              <w:t>、耗氧量、铁</w:t>
            </w:r>
          </w:p>
        </w:tc>
        <w:tc>
          <w:tcPr>
            <w:tcW w:w="1067" w:type="dxa"/>
            <w:vAlign w:val="center"/>
          </w:tcPr>
          <w:p w:rsidR="00DB7CC8" w:rsidRDefault="002B5250">
            <w:pPr>
              <w:widowControl/>
              <w:adjustRightInd w:val="0"/>
              <w:spacing w:line="240" w:lineRule="auto"/>
              <w:ind w:firstLineChars="0" w:firstLine="0"/>
              <w:jc w:val="center"/>
              <w:textAlignment w:val="baseline"/>
              <w:rPr>
                <w:kern w:val="2"/>
                <w:sz w:val="21"/>
                <w:szCs w:val="21"/>
              </w:rPr>
            </w:pPr>
            <w:r>
              <w:rPr>
                <w:rFonts w:hint="eastAsia"/>
                <w:kern w:val="2"/>
                <w:sz w:val="21"/>
                <w:szCs w:val="21"/>
              </w:rPr>
              <w:t>每年枯水期一次</w:t>
            </w:r>
          </w:p>
        </w:tc>
        <w:tc>
          <w:tcPr>
            <w:tcW w:w="1419" w:type="dxa"/>
            <w:vAlign w:val="center"/>
          </w:tcPr>
          <w:p w:rsidR="00DB7CC8" w:rsidRDefault="002B5250">
            <w:pPr>
              <w:widowControl/>
              <w:ind w:firstLineChars="0" w:firstLine="0"/>
              <w:jc w:val="center"/>
              <w:rPr>
                <w:sz w:val="21"/>
                <w:szCs w:val="21"/>
              </w:rPr>
            </w:pPr>
            <w:r>
              <w:rPr>
                <w:rFonts w:hint="eastAsia"/>
                <w:sz w:val="21"/>
                <w:szCs w:val="21"/>
              </w:rPr>
              <w:t>20596499</w:t>
            </w:r>
          </w:p>
        </w:tc>
        <w:tc>
          <w:tcPr>
            <w:tcW w:w="1189" w:type="dxa"/>
            <w:tcBorders>
              <w:right w:val="single" w:sz="4" w:space="0" w:color="auto"/>
            </w:tcBorders>
            <w:vAlign w:val="center"/>
          </w:tcPr>
          <w:p w:rsidR="00DB7CC8" w:rsidRDefault="002B5250">
            <w:pPr>
              <w:widowControl/>
              <w:ind w:firstLineChars="0" w:firstLine="0"/>
              <w:jc w:val="center"/>
              <w:rPr>
                <w:sz w:val="21"/>
                <w:szCs w:val="21"/>
              </w:rPr>
            </w:pPr>
            <w:r>
              <w:rPr>
                <w:rFonts w:hint="eastAsia"/>
                <w:sz w:val="21"/>
                <w:szCs w:val="21"/>
              </w:rPr>
              <w:t>4451647</w:t>
            </w:r>
          </w:p>
        </w:tc>
      </w:tr>
      <w:tr w:rsidR="00DB7CC8">
        <w:trPr>
          <w:trHeight w:val="342"/>
          <w:jc w:val="center"/>
        </w:trPr>
        <w:tc>
          <w:tcPr>
            <w:tcW w:w="738" w:type="dxa"/>
            <w:tcBorders>
              <w:left w:val="single" w:sz="4" w:space="0" w:color="auto"/>
            </w:tcBorders>
            <w:vAlign w:val="center"/>
          </w:tcPr>
          <w:p w:rsidR="00DB7CC8" w:rsidRDefault="002B5250">
            <w:pPr>
              <w:ind w:firstLineChars="0" w:firstLine="0"/>
              <w:jc w:val="center"/>
              <w:rPr>
                <w:sz w:val="21"/>
                <w:szCs w:val="21"/>
              </w:rPr>
            </w:pPr>
            <w:r>
              <w:rPr>
                <w:sz w:val="21"/>
                <w:szCs w:val="21"/>
              </w:rPr>
              <w:t>J</w:t>
            </w:r>
            <w:r>
              <w:rPr>
                <w:rFonts w:hint="eastAsia"/>
                <w:sz w:val="21"/>
                <w:szCs w:val="21"/>
              </w:rPr>
              <w:t>C2</w:t>
            </w:r>
          </w:p>
        </w:tc>
        <w:tc>
          <w:tcPr>
            <w:tcW w:w="1414" w:type="dxa"/>
            <w:vAlign w:val="center"/>
          </w:tcPr>
          <w:p w:rsidR="00DB7CC8" w:rsidRDefault="002B5250">
            <w:pPr>
              <w:ind w:firstLineChars="0" w:firstLine="0"/>
              <w:jc w:val="center"/>
              <w:rPr>
                <w:sz w:val="21"/>
                <w:szCs w:val="21"/>
              </w:rPr>
            </w:pPr>
            <w:r>
              <w:rPr>
                <w:sz w:val="21"/>
                <w:szCs w:val="21"/>
              </w:rPr>
              <w:t>厂区</w:t>
            </w:r>
            <w:r>
              <w:rPr>
                <w:rFonts w:hint="eastAsia"/>
                <w:sz w:val="21"/>
                <w:szCs w:val="21"/>
              </w:rPr>
              <w:t>下游</w:t>
            </w:r>
          </w:p>
        </w:tc>
        <w:tc>
          <w:tcPr>
            <w:tcW w:w="1926" w:type="dxa"/>
            <w:vMerge w:val="restart"/>
            <w:vAlign w:val="center"/>
          </w:tcPr>
          <w:p w:rsidR="00DB7CC8" w:rsidRDefault="002B5250">
            <w:pPr>
              <w:ind w:firstLineChars="0" w:firstLine="0"/>
              <w:jc w:val="center"/>
              <w:rPr>
                <w:sz w:val="21"/>
                <w:szCs w:val="21"/>
              </w:rPr>
            </w:pPr>
            <w:r>
              <w:rPr>
                <w:sz w:val="21"/>
                <w:szCs w:val="21"/>
              </w:rPr>
              <w:t>污染扩散监测点</w:t>
            </w:r>
          </w:p>
        </w:tc>
        <w:tc>
          <w:tcPr>
            <w:tcW w:w="775" w:type="dxa"/>
            <w:vMerge/>
            <w:vAlign w:val="center"/>
          </w:tcPr>
          <w:p w:rsidR="00DB7CC8" w:rsidRDefault="00DB7CC8">
            <w:pPr>
              <w:autoSpaceDN w:val="0"/>
              <w:ind w:firstLineChars="0" w:firstLine="0"/>
              <w:jc w:val="center"/>
              <w:textAlignment w:val="center"/>
              <w:rPr>
                <w:sz w:val="21"/>
                <w:szCs w:val="21"/>
              </w:rPr>
            </w:pPr>
          </w:p>
        </w:tc>
        <w:tc>
          <w:tcPr>
            <w:tcW w:w="1067" w:type="dxa"/>
            <w:vMerge w:val="restart"/>
            <w:vAlign w:val="center"/>
          </w:tcPr>
          <w:p w:rsidR="00DB7CC8" w:rsidRDefault="002B5250">
            <w:pPr>
              <w:widowControl/>
              <w:adjustRightInd w:val="0"/>
              <w:spacing w:line="240" w:lineRule="auto"/>
              <w:ind w:firstLineChars="0" w:firstLine="0"/>
              <w:jc w:val="center"/>
              <w:textAlignment w:val="baseline"/>
              <w:rPr>
                <w:kern w:val="2"/>
                <w:sz w:val="21"/>
                <w:szCs w:val="21"/>
              </w:rPr>
            </w:pPr>
            <w:r>
              <w:rPr>
                <w:rFonts w:hint="eastAsia"/>
                <w:kern w:val="2"/>
                <w:sz w:val="21"/>
                <w:szCs w:val="21"/>
              </w:rPr>
              <w:t>每年枯丰水期各一次</w:t>
            </w:r>
          </w:p>
        </w:tc>
        <w:tc>
          <w:tcPr>
            <w:tcW w:w="1419" w:type="dxa"/>
            <w:vAlign w:val="center"/>
          </w:tcPr>
          <w:p w:rsidR="00DB7CC8" w:rsidRDefault="002B5250">
            <w:pPr>
              <w:autoSpaceDN w:val="0"/>
              <w:ind w:firstLineChars="0" w:firstLine="0"/>
              <w:jc w:val="center"/>
              <w:textAlignment w:val="center"/>
              <w:rPr>
                <w:sz w:val="21"/>
                <w:szCs w:val="21"/>
              </w:rPr>
            </w:pPr>
            <w:r>
              <w:rPr>
                <w:rFonts w:hint="eastAsia"/>
                <w:sz w:val="21"/>
                <w:szCs w:val="21"/>
              </w:rPr>
              <w:t>20595497</w:t>
            </w:r>
          </w:p>
        </w:tc>
        <w:tc>
          <w:tcPr>
            <w:tcW w:w="1189" w:type="dxa"/>
            <w:tcBorders>
              <w:right w:val="single" w:sz="4" w:space="0" w:color="auto"/>
            </w:tcBorders>
            <w:vAlign w:val="center"/>
          </w:tcPr>
          <w:p w:rsidR="00DB7CC8" w:rsidRDefault="002B5250">
            <w:pPr>
              <w:autoSpaceDN w:val="0"/>
              <w:ind w:firstLineChars="0" w:firstLine="0"/>
              <w:jc w:val="center"/>
              <w:textAlignment w:val="center"/>
              <w:rPr>
                <w:sz w:val="21"/>
                <w:szCs w:val="21"/>
              </w:rPr>
            </w:pPr>
            <w:r>
              <w:rPr>
                <w:rFonts w:hint="eastAsia"/>
                <w:sz w:val="21"/>
                <w:szCs w:val="21"/>
              </w:rPr>
              <w:t>4450862</w:t>
            </w:r>
          </w:p>
        </w:tc>
      </w:tr>
      <w:tr w:rsidR="00DB7CC8">
        <w:trPr>
          <w:trHeight w:val="342"/>
          <w:jc w:val="center"/>
        </w:trPr>
        <w:tc>
          <w:tcPr>
            <w:tcW w:w="738" w:type="dxa"/>
            <w:tcBorders>
              <w:left w:val="single" w:sz="4" w:space="0" w:color="auto"/>
            </w:tcBorders>
            <w:vAlign w:val="center"/>
          </w:tcPr>
          <w:p w:rsidR="00DB7CC8" w:rsidRDefault="002B5250">
            <w:pPr>
              <w:widowControl/>
              <w:autoSpaceDN w:val="0"/>
              <w:ind w:firstLineChars="0" w:firstLine="0"/>
              <w:jc w:val="center"/>
              <w:rPr>
                <w:sz w:val="21"/>
                <w:szCs w:val="21"/>
              </w:rPr>
            </w:pPr>
            <w:r>
              <w:rPr>
                <w:sz w:val="21"/>
                <w:szCs w:val="21"/>
              </w:rPr>
              <w:t>J</w:t>
            </w:r>
            <w:r>
              <w:rPr>
                <w:rFonts w:hint="eastAsia"/>
                <w:sz w:val="21"/>
                <w:szCs w:val="21"/>
              </w:rPr>
              <w:t>C3</w:t>
            </w:r>
          </w:p>
        </w:tc>
        <w:tc>
          <w:tcPr>
            <w:tcW w:w="1414" w:type="dxa"/>
            <w:vAlign w:val="center"/>
          </w:tcPr>
          <w:p w:rsidR="00DB7CC8" w:rsidRDefault="002B5250">
            <w:pPr>
              <w:widowControl/>
              <w:autoSpaceDN w:val="0"/>
              <w:ind w:firstLineChars="0" w:firstLine="0"/>
              <w:jc w:val="center"/>
              <w:rPr>
                <w:sz w:val="21"/>
                <w:szCs w:val="21"/>
              </w:rPr>
            </w:pPr>
            <w:r>
              <w:rPr>
                <w:sz w:val="21"/>
                <w:szCs w:val="21"/>
              </w:rPr>
              <w:t>厂区</w:t>
            </w:r>
            <w:r>
              <w:rPr>
                <w:rFonts w:hint="eastAsia"/>
                <w:sz w:val="21"/>
                <w:szCs w:val="21"/>
              </w:rPr>
              <w:t>内</w:t>
            </w:r>
          </w:p>
        </w:tc>
        <w:tc>
          <w:tcPr>
            <w:tcW w:w="1926" w:type="dxa"/>
            <w:vMerge/>
            <w:vAlign w:val="center"/>
          </w:tcPr>
          <w:p w:rsidR="00DB7CC8" w:rsidRDefault="00DB7CC8">
            <w:pPr>
              <w:widowControl/>
              <w:autoSpaceDN w:val="0"/>
              <w:ind w:firstLineChars="0" w:firstLine="0"/>
              <w:jc w:val="center"/>
              <w:rPr>
                <w:sz w:val="21"/>
                <w:szCs w:val="21"/>
              </w:rPr>
            </w:pPr>
          </w:p>
        </w:tc>
        <w:tc>
          <w:tcPr>
            <w:tcW w:w="775" w:type="dxa"/>
            <w:vMerge/>
            <w:vAlign w:val="center"/>
          </w:tcPr>
          <w:p w:rsidR="00DB7CC8" w:rsidRDefault="00DB7CC8">
            <w:pPr>
              <w:widowControl/>
              <w:autoSpaceDN w:val="0"/>
              <w:ind w:firstLineChars="0" w:firstLine="0"/>
              <w:jc w:val="center"/>
              <w:rPr>
                <w:sz w:val="21"/>
                <w:szCs w:val="21"/>
              </w:rPr>
            </w:pPr>
          </w:p>
        </w:tc>
        <w:tc>
          <w:tcPr>
            <w:tcW w:w="1067" w:type="dxa"/>
            <w:vMerge/>
            <w:vAlign w:val="center"/>
          </w:tcPr>
          <w:p w:rsidR="00DB7CC8" w:rsidRDefault="00DB7CC8">
            <w:pPr>
              <w:widowControl/>
              <w:autoSpaceDN w:val="0"/>
              <w:ind w:firstLineChars="0" w:firstLine="0"/>
              <w:jc w:val="center"/>
              <w:rPr>
                <w:sz w:val="21"/>
                <w:szCs w:val="21"/>
              </w:rPr>
            </w:pPr>
          </w:p>
        </w:tc>
        <w:tc>
          <w:tcPr>
            <w:tcW w:w="1419" w:type="dxa"/>
            <w:vAlign w:val="center"/>
          </w:tcPr>
          <w:p w:rsidR="00DB7CC8" w:rsidRDefault="002B5250">
            <w:pPr>
              <w:widowControl/>
              <w:autoSpaceDN w:val="0"/>
              <w:ind w:firstLineChars="0" w:firstLine="0"/>
              <w:jc w:val="center"/>
              <w:rPr>
                <w:sz w:val="21"/>
                <w:szCs w:val="21"/>
              </w:rPr>
            </w:pPr>
            <w:r>
              <w:rPr>
                <w:rFonts w:hint="eastAsia"/>
                <w:sz w:val="21"/>
                <w:szCs w:val="21"/>
              </w:rPr>
              <w:t>20593921</w:t>
            </w:r>
          </w:p>
        </w:tc>
        <w:tc>
          <w:tcPr>
            <w:tcW w:w="1189" w:type="dxa"/>
            <w:tcBorders>
              <w:right w:val="single" w:sz="4" w:space="0" w:color="auto"/>
            </w:tcBorders>
            <w:vAlign w:val="center"/>
          </w:tcPr>
          <w:p w:rsidR="00DB7CC8" w:rsidRDefault="002B5250">
            <w:pPr>
              <w:widowControl/>
              <w:autoSpaceDN w:val="0"/>
              <w:ind w:firstLineChars="0" w:firstLine="0"/>
              <w:jc w:val="center"/>
              <w:rPr>
                <w:sz w:val="21"/>
                <w:szCs w:val="21"/>
              </w:rPr>
            </w:pPr>
            <w:r>
              <w:rPr>
                <w:rFonts w:hint="eastAsia"/>
                <w:sz w:val="21"/>
                <w:szCs w:val="21"/>
              </w:rPr>
              <w:t>4450251</w:t>
            </w:r>
          </w:p>
        </w:tc>
      </w:tr>
    </w:tbl>
    <w:p w:rsidR="00DB7CC8" w:rsidRDefault="00DB7CC8">
      <w:pPr>
        <w:widowControl/>
        <w:adjustRightInd w:val="0"/>
        <w:spacing w:line="240" w:lineRule="auto"/>
        <w:ind w:firstLineChars="0" w:firstLine="0"/>
        <w:jc w:val="center"/>
        <w:textAlignment w:val="baseline"/>
        <w:rPr>
          <w:kern w:val="2"/>
          <w:sz w:val="21"/>
          <w:szCs w:val="21"/>
        </w:rPr>
      </w:pPr>
    </w:p>
    <w:p w:rsidR="00DB7CC8" w:rsidRDefault="002B5250">
      <w:pPr>
        <w:pStyle w:val="2"/>
        <w:keepLines w:val="0"/>
        <w:widowControl/>
        <w:numPr>
          <w:ilvl w:val="1"/>
          <w:numId w:val="1"/>
        </w:numPr>
        <w:tabs>
          <w:tab w:val="left" w:pos="482"/>
        </w:tabs>
        <w:spacing w:before="0" w:after="0" w:line="360" w:lineRule="auto"/>
        <w:rPr>
          <w:rFonts w:ascii="Times New Roman" w:hAnsi="Times New Roman"/>
          <w:snapToGrid w:val="0"/>
          <w:szCs w:val="28"/>
        </w:rPr>
      </w:pPr>
      <w:bookmarkStart w:id="670" w:name="_Toc23546"/>
      <w:bookmarkStart w:id="671" w:name="_Toc14710"/>
      <w:bookmarkStart w:id="672" w:name="_Toc521591841"/>
      <w:bookmarkStart w:id="673" w:name="_Toc26604"/>
      <w:bookmarkStart w:id="674" w:name="_Toc16897"/>
      <w:bookmarkStart w:id="675" w:name="_Toc524285126"/>
      <w:bookmarkStart w:id="676" w:name="_Hlk18933307"/>
      <w:bookmarkEnd w:id="668"/>
      <w:bookmarkEnd w:id="669"/>
      <w:r>
        <w:rPr>
          <w:rFonts w:ascii="Times New Roman" w:eastAsia="宋体" w:hAnsi="Times New Roman"/>
          <w:bCs w:val="0"/>
          <w:snapToGrid w:val="0"/>
          <w:kern w:val="0"/>
          <w:sz w:val="28"/>
          <w:szCs w:val="28"/>
        </w:rPr>
        <w:t>环境保护三同时验收</w:t>
      </w:r>
      <w:bookmarkEnd w:id="670"/>
      <w:bookmarkEnd w:id="671"/>
      <w:bookmarkEnd w:id="672"/>
      <w:bookmarkEnd w:id="673"/>
      <w:bookmarkEnd w:id="674"/>
      <w:bookmarkEnd w:id="675"/>
    </w:p>
    <w:p w:rsidR="00DB7CC8" w:rsidRDefault="002B5250">
      <w:pPr>
        <w:autoSpaceDE w:val="0"/>
        <w:autoSpaceDN w:val="0"/>
        <w:ind w:firstLine="480"/>
        <w:textAlignment w:val="auto"/>
        <w:rPr>
          <w:sz w:val="24"/>
          <w:szCs w:val="24"/>
        </w:rPr>
        <w:sectPr w:rsidR="00DB7CC8">
          <w:pgSz w:w="11905" w:h="16838"/>
          <w:pgMar w:top="1440" w:right="1803" w:bottom="1134" w:left="1803" w:header="850" w:footer="992" w:gutter="0"/>
          <w:cols w:space="0"/>
          <w:docGrid w:linePitch="312"/>
        </w:sectPr>
      </w:pPr>
      <w:r>
        <w:rPr>
          <w:sz w:val="24"/>
          <w:szCs w:val="24"/>
        </w:rPr>
        <w:t>根据建设项目环境管理办法，环境污染物防治设施必须与主体工程同时设计、</w:t>
      </w:r>
      <w:r>
        <w:rPr>
          <w:sz w:val="24"/>
          <w:szCs w:val="24"/>
        </w:rPr>
        <w:lastRenderedPageBreak/>
        <w:t>同时施工、同时投入使用，项目运营期</w:t>
      </w:r>
      <w:r>
        <w:rPr>
          <w:sz w:val="24"/>
          <w:szCs w:val="24"/>
        </w:rPr>
        <w:t>“</w:t>
      </w:r>
      <w:r>
        <w:rPr>
          <w:sz w:val="24"/>
          <w:szCs w:val="24"/>
        </w:rPr>
        <w:t>三同时</w:t>
      </w:r>
      <w:r>
        <w:rPr>
          <w:sz w:val="24"/>
          <w:szCs w:val="24"/>
        </w:rPr>
        <w:t>”</w:t>
      </w:r>
      <w:r>
        <w:rPr>
          <w:sz w:val="24"/>
          <w:szCs w:val="24"/>
        </w:rPr>
        <w:t>环保验收清单见表</w:t>
      </w:r>
      <w:r>
        <w:rPr>
          <w:sz w:val="24"/>
          <w:szCs w:val="24"/>
        </w:rPr>
        <w:t>8.5-1</w:t>
      </w:r>
      <w:r>
        <w:rPr>
          <w:sz w:val="24"/>
          <w:szCs w:val="24"/>
        </w:rPr>
        <w:t>。</w:t>
      </w:r>
    </w:p>
    <w:p w:rsidR="00DB7CC8" w:rsidRDefault="002B5250">
      <w:pPr>
        <w:autoSpaceDE w:val="0"/>
        <w:autoSpaceDN w:val="0"/>
        <w:spacing w:line="240" w:lineRule="auto"/>
        <w:ind w:firstLineChars="0" w:firstLine="420"/>
        <w:jc w:val="center"/>
        <w:textAlignment w:val="auto"/>
        <w:rPr>
          <w:rFonts w:eastAsia="黑体"/>
          <w:bCs/>
          <w:kern w:val="2"/>
          <w:sz w:val="21"/>
          <w:szCs w:val="21"/>
        </w:rPr>
      </w:pPr>
      <w:r>
        <w:rPr>
          <w:rFonts w:eastAsia="黑体"/>
          <w:bCs/>
          <w:kern w:val="2"/>
          <w:sz w:val="21"/>
          <w:szCs w:val="21"/>
        </w:rPr>
        <w:lastRenderedPageBreak/>
        <w:t>表</w:t>
      </w:r>
      <w:r>
        <w:rPr>
          <w:rFonts w:eastAsia="黑体"/>
          <w:bCs/>
          <w:kern w:val="2"/>
          <w:sz w:val="21"/>
          <w:szCs w:val="21"/>
        </w:rPr>
        <w:t>8.</w:t>
      </w:r>
      <w:r>
        <w:rPr>
          <w:rFonts w:eastAsia="黑体" w:hint="eastAsia"/>
          <w:bCs/>
          <w:kern w:val="2"/>
          <w:sz w:val="21"/>
          <w:szCs w:val="21"/>
        </w:rPr>
        <w:t>5-</w:t>
      </w:r>
      <w:r>
        <w:rPr>
          <w:rFonts w:eastAsia="黑体"/>
          <w:bCs/>
          <w:kern w:val="2"/>
          <w:sz w:val="21"/>
          <w:szCs w:val="21"/>
        </w:rPr>
        <w:t>1 “</w:t>
      </w:r>
      <w:r>
        <w:rPr>
          <w:rFonts w:eastAsia="黑体"/>
          <w:bCs/>
          <w:kern w:val="2"/>
          <w:sz w:val="21"/>
          <w:szCs w:val="21"/>
        </w:rPr>
        <w:t>三同时</w:t>
      </w:r>
      <w:r>
        <w:rPr>
          <w:rFonts w:eastAsia="黑体"/>
          <w:bCs/>
          <w:kern w:val="2"/>
          <w:sz w:val="21"/>
          <w:szCs w:val="21"/>
        </w:rPr>
        <w:t>”</w:t>
      </w:r>
      <w:r>
        <w:rPr>
          <w:rFonts w:eastAsia="黑体"/>
          <w:bCs/>
          <w:kern w:val="2"/>
          <w:sz w:val="21"/>
          <w:szCs w:val="21"/>
        </w:rPr>
        <w:t>环保验收一览表</w:t>
      </w:r>
    </w:p>
    <w:tbl>
      <w:tblPr>
        <w:tblW w:w="140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842"/>
        <w:gridCol w:w="1276"/>
        <w:gridCol w:w="3975"/>
        <w:gridCol w:w="1695"/>
        <w:gridCol w:w="1113"/>
        <w:gridCol w:w="944"/>
        <w:gridCol w:w="1093"/>
        <w:gridCol w:w="1244"/>
        <w:gridCol w:w="1308"/>
      </w:tblGrid>
      <w:tr w:rsidR="00DB7CC8">
        <w:trPr>
          <w:trHeight w:val="283"/>
          <w:tblHeader/>
        </w:trPr>
        <w:tc>
          <w:tcPr>
            <w:tcW w:w="2694" w:type="dxa"/>
            <w:gridSpan w:val="3"/>
            <w:tcBorders>
              <w:tl2br w:val="nil"/>
              <w:tr2bl w:val="nil"/>
            </w:tcBorders>
            <w:shd w:val="clear" w:color="auto" w:fill="auto"/>
            <w:vAlign w:val="center"/>
          </w:tcPr>
          <w:bookmarkEnd w:id="676"/>
          <w:p w:rsidR="00DB7CC8" w:rsidRDefault="002B5250">
            <w:pPr>
              <w:widowControl/>
              <w:snapToGrid w:val="0"/>
              <w:spacing w:line="240" w:lineRule="auto"/>
              <w:ind w:firstLineChars="0" w:firstLine="0"/>
              <w:jc w:val="center"/>
              <w:textAlignment w:val="auto"/>
              <w:rPr>
                <w:sz w:val="18"/>
                <w:szCs w:val="18"/>
              </w:rPr>
            </w:pPr>
            <w:r>
              <w:rPr>
                <w:sz w:val="18"/>
                <w:szCs w:val="18"/>
              </w:rPr>
              <w:t>污染源</w:t>
            </w:r>
          </w:p>
        </w:tc>
        <w:tc>
          <w:tcPr>
            <w:tcW w:w="5670" w:type="dxa"/>
            <w:gridSpan w:val="2"/>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治理措施</w:t>
            </w:r>
          </w:p>
        </w:tc>
        <w:tc>
          <w:tcPr>
            <w:tcW w:w="1113"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治理对象</w:t>
            </w:r>
          </w:p>
        </w:tc>
        <w:tc>
          <w:tcPr>
            <w:tcW w:w="944"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数量</w:t>
            </w:r>
          </w:p>
        </w:tc>
        <w:tc>
          <w:tcPr>
            <w:tcW w:w="1093"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处理能力</w:t>
            </w:r>
          </w:p>
        </w:tc>
        <w:tc>
          <w:tcPr>
            <w:tcW w:w="1244"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处理效果</w:t>
            </w:r>
          </w:p>
        </w:tc>
        <w:tc>
          <w:tcPr>
            <w:tcW w:w="1308"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标准</w:t>
            </w:r>
          </w:p>
        </w:tc>
      </w:tr>
      <w:tr w:rsidR="00DB7CC8">
        <w:trPr>
          <w:trHeight w:val="283"/>
        </w:trPr>
        <w:tc>
          <w:tcPr>
            <w:tcW w:w="576" w:type="dxa"/>
            <w:vMerge w:val="restart"/>
            <w:tcBorders>
              <w:tl2br w:val="nil"/>
              <w:tr2bl w:val="nil"/>
            </w:tcBorders>
            <w:shd w:val="clear" w:color="auto" w:fill="auto"/>
            <w:noWrap/>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废气</w:t>
            </w:r>
          </w:p>
        </w:tc>
        <w:tc>
          <w:tcPr>
            <w:tcW w:w="842" w:type="dxa"/>
            <w:vMerge w:val="restart"/>
            <w:tcBorders>
              <w:tl2br w:val="nil"/>
              <w:tr2bl w:val="nil"/>
            </w:tcBorders>
            <w:shd w:val="clear" w:color="auto" w:fill="auto"/>
            <w:noWrap/>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3</w:t>
            </w:r>
            <w:r>
              <w:rPr>
                <w:sz w:val="18"/>
                <w:szCs w:val="18"/>
              </w:rPr>
              <w:t>#</w:t>
            </w:r>
            <w:r>
              <w:rPr>
                <w:sz w:val="18"/>
                <w:szCs w:val="18"/>
              </w:rPr>
              <w:t>破碎</w:t>
            </w:r>
            <w:r>
              <w:rPr>
                <w:rFonts w:hint="eastAsia"/>
                <w:sz w:val="18"/>
                <w:szCs w:val="18"/>
              </w:rPr>
              <w:t>粗选</w:t>
            </w:r>
            <w:r>
              <w:rPr>
                <w:sz w:val="18"/>
                <w:szCs w:val="18"/>
              </w:rPr>
              <w:t>生产线</w:t>
            </w:r>
          </w:p>
        </w:tc>
        <w:tc>
          <w:tcPr>
            <w:tcW w:w="1276"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鄂破工序</w:t>
            </w:r>
          </w:p>
        </w:tc>
        <w:tc>
          <w:tcPr>
            <w:tcW w:w="3975"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入料口皮质软帘封闭；出料口设置</w:t>
            </w:r>
            <w:r>
              <w:rPr>
                <w:rFonts w:hint="eastAsia"/>
                <w:sz w:val="18"/>
                <w:szCs w:val="18"/>
              </w:rPr>
              <w:t>皮带封</w:t>
            </w:r>
            <w:r>
              <w:rPr>
                <w:sz w:val="18"/>
                <w:szCs w:val="18"/>
              </w:rPr>
              <w:t>+</w:t>
            </w:r>
            <w:r>
              <w:rPr>
                <w:sz w:val="18"/>
                <w:szCs w:val="18"/>
              </w:rPr>
              <w:t>集尘管道</w:t>
            </w:r>
          </w:p>
        </w:tc>
        <w:tc>
          <w:tcPr>
            <w:tcW w:w="1695" w:type="dxa"/>
            <w:vMerge w:val="restart"/>
            <w:tcBorders>
              <w:tl2br w:val="nil"/>
              <w:tr2bl w:val="nil"/>
            </w:tcBorders>
            <w:shd w:val="clear" w:color="auto" w:fill="auto"/>
            <w:noWrap/>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1</w:t>
            </w:r>
            <w:r>
              <w:rPr>
                <w:sz w:val="18"/>
                <w:szCs w:val="18"/>
              </w:rPr>
              <w:t>套脉冲布袋除尘器</w:t>
            </w:r>
            <w:r>
              <w:rPr>
                <w:sz w:val="18"/>
                <w:szCs w:val="18"/>
              </w:rPr>
              <w:t>+1</w:t>
            </w:r>
            <w:r>
              <w:rPr>
                <w:rFonts w:hint="eastAsia"/>
                <w:sz w:val="18"/>
                <w:szCs w:val="18"/>
              </w:rPr>
              <w:t>8</w:t>
            </w:r>
            <w:r>
              <w:rPr>
                <w:sz w:val="18"/>
                <w:szCs w:val="18"/>
              </w:rPr>
              <w:t>m</w:t>
            </w:r>
            <w:r>
              <w:rPr>
                <w:sz w:val="18"/>
                <w:szCs w:val="18"/>
              </w:rPr>
              <w:t>高</w:t>
            </w:r>
            <w:r>
              <w:rPr>
                <w:rFonts w:hint="eastAsia"/>
                <w:sz w:val="18"/>
                <w:szCs w:val="18"/>
              </w:rPr>
              <w:t>P</w:t>
            </w:r>
            <w:r>
              <w:rPr>
                <w:rFonts w:hint="eastAsia"/>
                <w:sz w:val="18"/>
                <w:szCs w:val="18"/>
              </w:rPr>
              <w:t>3</w:t>
            </w:r>
            <w:r>
              <w:rPr>
                <w:sz w:val="18"/>
                <w:szCs w:val="18"/>
              </w:rPr>
              <w:t>排气筒</w:t>
            </w:r>
          </w:p>
        </w:tc>
        <w:tc>
          <w:tcPr>
            <w:tcW w:w="1113" w:type="dxa"/>
            <w:vMerge w:val="restart"/>
            <w:tcBorders>
              <w:tl2br w:val="nil"/>
              <w:tr2bl w:val="nil"/>
            </w:tcBorders>
            <w:shd w:val="clear" w:color="auto" w:fill="auto"/>
            <w:noWrap/>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颗粒物</w:t>
            </w:r>
          </w:p>
        </w:tc>
        <w:tc>
          <w:tcPr>
            <w:tcW w:w="944" w:type="dxa"/>
            <w:vMerge w:val="restart"/>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1</w:t>
            </w:r>
            <w:r>
              <w:rPr>
                <w:sz w:val="18"/>
                <w:szCs w:val="18"/>
              </w:rPr>
              <w:t>套</w:t>
            </w:r>
          </w:p>
        </w:tc>
        <w:tc>
          <w:tcPr>
            <w:tcW w:w="1093" w:type="dxa"/>
            <w:vMerge w:val="restart"/>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50</w:t>
            </w:r>
            <w:r>
              <w:rPr>
                <w:sz w:val="18"/>
                <w:szCs w:val="18"/>
              </w:rPr>
              <w:t>000m</w:t>
            </w:r>
            <w:r>
              <w:rPr>
                <w:sz w:val="18"/>
                <w:szCs w:val="18"/>
                <w:vertAlign w:val="superscript"/>
              </w:rPr>
              <w:t>3</w:t>
            </w:r>
            <w:r>
              <w:rPr>
                <w:sz w:val="18"/>
                <w:szCs w:val="18"/>
              </w:rPr>
              <w:t>/h</w:t>
            </w:r>
          </w:p>
        </w:tc>
        <w:tc>
          <w:tcPr>
            <w:tcW w:w="1244" w:type="dxa"/>
            <w:vMerge w:val="restart"/>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≤10mg/m</w:t>
            </w:r>
            <w:r>
              <w:rPr>
                <w:sz w:val="18"/>
                <w:szCs w:val="18"/>
                <w:vertAlign w:val="superscript"/>
              </w:rPr>
              <w:t>3</w:t>
            </w:r>
          </w:p>
        </w:tc>
        <w:tc>
          <w:tcPr>
            <w:tcW w:w="1308" w:type="dxa"/>
            <w:vMerge w:val="restart"/>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《铁矿采选工业污染物排放标准》（</w:t>
            </w:r>
            <w:r>
              <w:rPr>
                <w:sz w:val="18"/>
                <w:szCs w:val="18"/>
              </w:rPr>
              <w:t>GB28661-2012</w:t>
            </w:r>
            <w:r>
              <w:rPr>
                <w:sz w:val="18"/>
                <w:szCs w:val="18"/>
              </w:rPr>
              <w:t>）表</w:t>
            </w:r>
            <w:r>
              <w:rPr>
                <w:sz w:val="18"/>
                <w:szCs w:val="18"/>
              </w:rPr>
              <w:t>6</w:t>
            </w:r>
            <w:r>
              <w:rPr>
                <w:sz w:val="18"/>
                <w:szCs w:val="18"/>
              </w:rPr>
              <w:t>中特别限值</w:t>
            </w:r>
          </w:p>
        </w:tc>
      </w:tr>
      <w:tr w:rsidR="00DB7CC8">
        <w:trPr>
          <w:trHeight w:val="283"/>
        </w:trPr>
        <w:tc>
          <w:tcPr>
            <w:tcW w:w="576"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842"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276"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锤</w:t>
            </w:r>
            <w:r>
              <w:rPr>
                <w:sz w:val="18"/>
                <w:szCs w:val="18"/>
              </w:rPr>
              <w:t>破工序</w:t>
            </w:r>
          </w:p>
        </w:tc>
        <w:tc>
          <w:tcPr>
            <w:tcW w:w="3975"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入料口上方设置集气罩</w:t>
            </w:r>
            <w:r>
              <w:rPr>
                <w:sz w:val="18"/>
                <w:szCs w:val="18"/>
              </w:rPr>
              <w:t>+</w:t>
            </w:r>
            <w:r>
              <w:rPr>
                <w:sz w:val="18"/>
                <w:szCs w:val="18"/>
              </w:rPr>
              <w:t>集尘管道；出料口设置</w:t>
            </w:r>
            <w:r>
              <w:rPr>
                <w:rFonts w:hint="eastAsia"/>
                <w:sz w:val="18"/>
                <w:szCs w:val="18"/>
              </w:rPr>
              <w:t>皮带封</w:t>
            </w:r>
            <w:r>
              <w:rPr>
                <w:sz w:val="18"/>
                <w:szCs w:val="18"/>
              </w:rPr>
              <w:t>+</w:t>
            </w:r>
            <w:r>
              <w:rPr>
                <w:sz w:val="18"/>
                <w:szCs w:val="18"/>
              </w:rPr>
              <w:t>集尘管道</w:t>
            </w:r>
          </w:p>
        </w:tc>
        <w:tc>
          <w:tcPr>
            <w:tcW w:w="1695"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113"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944"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093"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244"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308"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r>
      <w:tr w:rsidR="00DB7CC8">
        <w:trPr>
          <w:trHeight w:val="283"/>
        </w:trPr>
        <w:tc>
          <w:tcPr>
            <w:tcW w:w="576"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842"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276"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筛分</w:t>
            </w:r>
          </w:p>
        </w:tc>
        <w:tc>
          <w:tcPr>
            <w:tcW w:w="3975"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入料口设置集气罩、筛面封闭</w:t>
            </w:r>
            <w:r>
              <w:rPr>
                <w:sz w:val="18"/>
                <w:szCs w:val="18"/>
              </w:rPr>
              <w:t>+</w:t>
            </w:r>
            <w:r>
              <w:rPr>
                <w:sz w:val="18"/>
                <w:szCs w:val="18"/>
              </w:rPr>
              <w:t>集尘管道；出料口设置</w:t>
            </w:r>
            <w:r>
              <w:rPr>
                <w:rFonts w:hint="eastAsia"/>
                <w:sz w:val="18"/>
                <w:szCs w:val="18"/>
              </w:rPr>
              <w:t>皮带封</w:t>
            </w:r>
            <w:r>
              <w:rPr>
                <w:sz w:val="18"/>
                <w:szCs w:val="18"/>
              </w:rPr>
              <w:t>+</w:t>
            </w:r>
            <w:r>
              <w:rPr>
                <w:sz w:val="18"/>
                <w:szCs w:val="18"/>
              </w:rPr>
              <w:t>集尘管道</w:t>
            </w:r>
          </w:p>
        </w:tc>
        <w:tc>
          <w:tcPr>
            <w:tcW w:w="1695"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113"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944"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093"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244"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308"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r>
      <w:tr w:rsidR="00DB7CC8">
        <w:trPr>
          <w:trHeight w:val="283"/>
        </w:trPr>
        <w:tc>
          <w:tcPr>
            <w:tcW w:w="576"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842"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276"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圆锥破工序</w:t>
            </w:r>
          </w:p>
        </w:tc>
        <w:tc>
          <w:tcPr>
            <w:tcW w:w="3975"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入料口上方设置集气罩</w:t>
            </w:r>
            <w:r>
              <w:rPr>
                <w:sz w:val="18"/>
                <w:szCs w:val="18"/>
              </w:rPr>
              <w:t>+</w:t>
            </w:r>
            <w:r>
              <w:rPr>
                <w:sz w:val="18"/>
                <w:szCs w:val="18"/>
              </w:rPr>
              <w:t>集尘管道；出料口设置</w:t>
            </w:r>
            <w:r>
              <w:rPr>
                <w:rFonts w:hint="eastAsia"/>
                <w:sz w:val="18"/>
                <w:szCs w:val="18"/>
              </w:rPr>
              <w:t>皮带封</w:t>
            </w:r>
            <w:r>
              <w:rPr>
                <w:sz w:val="18"/>
                <w:szCs w:val="18"/>
              </w:rPr>
              <w:t>+</w:t>
            </w:r>
            <w:r>
              <w:rPr>
                <w:sz w:val="18"/>
                <w:szCs w:val="18"/>
              </w:rPr>
              <w:t>集尘管道</w:t>
            </w:r>
          </w:p>
        </w:tc>
        <w:tc>
          <w:tcPr>
            <w:tcW w:w="1695"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113"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944"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093"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244"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308"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r>
      <w:tr w:rsidR="00DB7CC8">
        <w:trPr>
          <w:trHeight w:val="617"/>
        </w:trPr>
        <w:tc>
          <w:tcPr>
            <w:tcW w:w="576"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842" w:type="dxa"/>
            <w:vMerge w:val="restart"/>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3</w:t>
            </w:r>
            <w:r>
              <w:rPr>
                <w:rFonts w:hint="eastAsia"/>
                <w:sz w:val="18"/>
                <w:szCs w:val="18"/>
              </w:rPr>
              <w:t>#</w:t>
            </w:r>
            <w:r>
              <w:rPr>
                <w:sz w:val="18"/>
                <w:szCs w:val="18"/>
              </w:rPr>
              <w:t>破碎</w:t>
            </w:r>
            <w:r>
              <w:rPr>
                <w:rFonts w:hint="eastAsia"/>
                <w:sz w:val="18"/>
                <w:szCs w:val="18"/>
              </w:rPr>
              <w:t>粗选</w:t>
            </w:r>
            <w:r>
              <w:rPr>
                <w:sz w:val="18"/>
                <w:szCs w:val="18"/>
              </w:rPr>
              <w:t>车间</w:t>
            </w:r>
          </w:p>
        </w:tc>
        <w:tc>
          <w:tcPr>
            <w:tcW w:w="1276"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上料、</w:t>
            </w:r>
            <w:r>
              <w:rPr>
                <w:sz w:val="18"/>
                <w:szCs w:val="18"/>
              </w:rPr>
              <w:t>破碎粉尘集尘过程逸散</w:t>
            </w:r>
          </w:p>
        </w:tc>
        <w:tc>
          <w:tcPr>
            <w:tcW w:w="5670" w:type="dxa"/>
            <w:gridSpan w:val="2"/>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破碎</w:t>
            </w:r>
            <w:r>
              <w:rPr>
                <w:rFonts w:hint="eastAsia"/>
                <w:sz w:val="18"/>
                <w:szCs w:val="18"/>
              </w:rPr>
              <w:t>粗选</w:t>
            </w:r>
            <w:r>
              <w:rPr>
                <w:sz w:val="18"/>
                <w:szCs w:val="18"/>
              </w:rPr>
              <w:t>车间封闭</w:t>
            </w:r>
            <w:r>
              <w:rPr>
                <w:sz w:val="18"/>
                <w:szCs w:val="18"/>
              </w:rPr>
              <w:t>+</w:t>
            </w:r>
            <w:r>
              <w:rPr>
                <w:sz w:val="18"/>
                <w:szCs w:val="18"/>
              </w:rPr>
              <w:t>喷雾抑尘</w:t>
            </w:r>
            <w:r>
              <w:rPr>
                <w:rFonts w:hint="eastAsia"/>
                <w:sz w:val="18"/>
                <w:szCs w:val="18"/>
              </w:rPr>
              <w:t>，破碎</w:t>
            </w:r>
            <w:r>
              <w:rPr>
                <w:rFonts w:hint="eastAsia"/>
                <w:sz w:val="18"/>
                <w:szCs w:val="18"/>
              </w:rPr>
              <w:t>受料仓</w:t>
            </w:r>
            <w:r>
              <w:rPr>
                <w:rFonts w:hint="eastAsia"/>
                <w:sz w:val="18"/>
                <w:szCs w:val="18"/>
              </w:rPr>
              <w:t>口位于</w:t>
            </w:r>
            <w:r>
              <w:rPr>
                <w:rFonts w:hint="eastAsia"/>
                <w:sz w:val="18"/>
                <w:szCs w:val="18"/>
              </w:rPr>
              <w:t>原料棚</w:t>
            </w:r>
            <w:r>
              <w:rPr>
                <w:rFonts w:hint="eastAsia"/>
                <w:sz w:val="18"/>
                <w:szCs w:val="18"/>
              </w:rPr>
              <w:t>内，</w:t>
            </w:r>
            <w:r>
              <w:rPr>
                <w:rFonts w:hint="eastAsia"/>
                <w:sz w:val="18"/>
                <w:szCs w:val="18"/>
              </w:rPr>
              <w:t>原料棚</w:t>
            </w:r>
            <w:r>
              <w:rPr>
                <w:rFonts w:hint="eastAsia"/>
                <w:sz w:val="18"/>
                <w:szCs w:val="18"/>
              </w:rPr>
              <w:t>物</w:t>
            </w:r>
            <w:r>
              <w:rPr>
                <w:rFonts w:hint="eastAsia"/>
                <w:sz w:val="18"/>
                <w:szCs w:val="18"/>
              </w:rPr>
              <w:t>设置</w:t>
            </w:r>
            <w:r>
              <w:rPr>
                <w:sz w:val="18"/>
                <w:szCs w:val="18"/>
              </w:rPr>
              <w:t>喷雾抑尘</w:t>
            </w:r>
            <w:r>
              <w:rPr>
                <w:rFonts w:hint="eastAsia"/>
                <w:sz w:val="18"/>
                <w:szCs w:val="18"/>
              </w:rPr>
              <w:t>装置，</w:t>
            </w:r>
            <w:r>
              <w:rPr>
                <w:rFonts w:hint="eastAsia"/>
                <w:sz w:val="18"/>
                <w:szCs w:val="18"/>
              </w:rPr>
              <w:t>料转运设封闭式通廊</w:t>
            </w:r>
          </w:p>
        </w:tc>
        <w:tc>
          <w:tcPr>
            <w:tcW w:w="1113"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944"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w:t>
            </w:r>
          </w:p>
        </w:tc>
        <w:tc>
          <w:tcPr>
            <w:tcW w:w="1093"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w:t>
            </w:r>
          </w:p>
        </w:tc>
        <w:tc>
          <w:tcPr>
            <w:tcW w:w="1244" w:type="dxa"/>
            <w:vMerge w:val="restart"/>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厂界无组织监控点浓度</w:t>
            </w:r>
            <w:r>
              <w:rPr>
                <w:sz w:val="18"/>
                <w:szCs w:val="18"/>
              </w:rPr>
              <w:t>≤1.0mg/m3</w:t>
            </w:r>
          </w:p>
        </w:tc>
        <w:tc>
          <w:tcPr>
            <w:tcW w:w="1308" w:type="dxa"/>
            <w:vMerge w:val="restart"/>
            <w:tcBorders>
              <w:tl2br w:val="nil"/>
              <w:tr2bl w:val="nil"/>
            </w:tcBorders>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铁矿采选工业污染物排放标准》（</w:t>
            </w:r>
            <w:r>
              <w:rPr>
                <w:sz w:val="18"/>
                <w:szCs w:val="18"/>
              </w:rPr>
              <w:t>GB28661-2012</w:t>
            </w:r>
            <w:r>
              <w:rPr>
                <w:sz w:val="18"/>
                <w:szCs w:val="18"/>
              </w:rPr>
              <w:t>）表</w:t>
            </w:r>
            <w:r>
              <w:rPr>
                <w:sz w:val="18"/>
                <w:szCs w:val="18"/>
              </w:rPr>
              <w:t>7</w:t>
            </w:r>
            <w:r>
              <w:rPr>
                <w:sz w:val="18"/>
                <w:szCs w:val="18"/>
              </w:rPr>
              <w:t>中无组织排放浓度</w:t>
            </w:r>
          </w:p>
        </w:tc>
      </w:tr>
      <w:tr w:rsidR="00DB7CC8">
        <w:trPr>
          <w:trHeight w:val="729"/>
        </w:trPr>
        <w:tc>
          <w:tcPr>
            <w:tcW w:w="576"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842"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成品库</w:t>
            </w:r>
          </w:p>
        </w:tc>
        <w:tc>
          <w:tcPr>
            <w:tcW w:w="1276"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成品装车、储存、转运过程</w:t>
            </w:r>
          </w:p>
        </w:tc>
        <w:tc>
          <w:tcPr>
            <w:tcW w:w="5670" w:type="dxa"/>
            <w:gridSpan w:val="2"/>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成品库封闭</w:t>
            </w:r>
            <w:r>
              <w:rPr>
                <w:sz w:val="18"/>
                <w:szCs w:val="18"/>
              </w:rPr>
              <w:t>+</w:t>
            </w:r>
            <w:r>
              <w:rPr>
                <w:sz w:val="18"/>
                <w:szCs w:val="18"/>
              </w:rPr>
              <w:t>喷雾抑尘</w:t>
            </w:r>
            <w:r>
              <w:rPr>
                <w:rFonts w:hint="eastAsia"/>
                <w:sz w:val="18"/>
                <w:szCs w:val="18"/>
              </w:rPr>
              <w:t>，设</w:t>
            </w:r>
            <w:r>
              <w:rPr>
                <w:sz w:val="18"/>
                <w:szCs w:val="18"/>
              </w:rPr>
              <w:t>清洗装置使用高压喷雾清洗轮胎及车身</w:t>
            </w:r>
          </w:p>
        </w:tc>
        <w:tc>
          <w:tcPr>
            <w:tcW w:w="1113"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944"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w:t>
            </w:r>
          </w:p>
        </w:tc>
        <w:tc>
          <w:tcPr>
            <w:tcW w:w="1093"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w:t>
            </w:r>
          </w:p>
        </w:tc>
        <w:tc>
          <w:tcPr>
            <w:tcW w:w="1244" w:type="dxa"/>
            <w:vMerge/>
            <w:tcBorders>
              <w:tl2br w:val="nil"/>
              <w:tr2bl w:val="nil"/>
            </w:tcBorders>
            <w:shd w:val="clear" w:color="auto" w:fill="auto"/>
            <w:vAlign w:val="center"/>
          </w:tcPr>
          <w:p w:rsidR="00DB7CC8" w:rsidRDefault="00DB7CC8">
            <w:pPr>
              <w:widowControl/>
              <w:snapToGrid w:val="0"/>
              <w:spacing w:line="240" w:lineRule="auto"/>
              <w:ind w:firstLineChars="0" w:firstLine="0"/>
              <w:jc w:val="center"/>
              <w:textAlignment w:val="auto"/>
              <w:rPr>
                <w:sz w:val="18"/>
                <w:szCs w:val="18"/>
              </w:rPr>
            </w:pPr>
          </w:p>
        </w:tc>
        <w:tc>
          <w:tcPr>
            <w:tcW w:w="1308" w:type="dxa"/>
            <w:vMerge/>
            <w:tcBorders>
              <w:tl2br w:val="nil"/>
              <w:tr2bl w:val="nil"/>
            </w:tcBorders>
            <w:shd w:val="clear" w:color="auto" w:fill="auto"/>
            <w:vAlign w:val="center"/>
          </w:tcPr>
          <w:p w:rsidR="00DB7CC8" w:rsidRDefault="00DB7CC8">
            <w:pPr>
              <w:widowControl/>
              <w:snapToGrid w:val="0"/>
              <w:spacing w:line="240" w:lineRule="auto"/>
              <w:ind w:firstLineChars="0" w:firstLine="0"/>
              <w:jc w:val="center"/>
              <w:textAlignment w:val="auto"/>
              <w:rPr>
                <w:sz w:val="18"/>
                <w:szCs w:val="18"/>
              </w:rPr>
            </w:pPr>
          </w:p>
        </w:tc>
      </w:tr>
      <w:tr w:rsidR="00DB7CC8">
        <w:trPr>
          <w:trHeight w:val="1191"/>
        </w:trPr>
        <w:tc>
          <w:tcPr>
            <w:tcW w:w="576" w:type="dxa"/>
            <w:vMerge w:val="restart"/>
            <w:tcBorders>
              <w:tl2br w:val="nil"/>
              <w:tr2bl w:val="nil"/>
            </w:tcBorders>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废水</w:t>
            </w:r>
          </w:p>
        </w:tc>
        <w:tc>
          <w:tcPr>
            <w:tcW w:w="842"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生产废水、车间地面冲洗废水</w:t>
            </w:r>
          </w:p>
        </w:tc>
        <w:tc>
          <w:tcPr>
            <w:tcW w:w="6946" w:type="dxa"/>
            <w:gridSpan w:val="3"/>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经沉淀、选砂处理后，</w:t>
            </w:r>
            <w:r>
              <w:rPr>
                <w:sz w:val="18"/>
                <w:szCs w:val="18"/>
              </w:rPr>
              <w:t>排入浓密池内，上清液排入清水池回用于生产</w:t>
            </w:r>
          </w:p>
        </w:tc>
        <w:tc>
          <w:tcPr>
            <w:tcW w:w="1113" w:type="dxa"/>
            <w:vMerge w:val="restart"/>
            <w:tcBorders>
              <w:tl2br w:val="nil"/>
              <w:tr2bl w:val="nil"/>
            </w:tcBorders>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SS</w:t>
            </w:r>
          </w:p>
        </w:tc>
        <w:tc>
          <w:tcPr>
            <w:tcW w:w="944"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w:t>
            </w:r>
          </w:p>
        </w:tc>
        <w:tc>
          <w:tcPr>
            <w:tcW w:w="1093"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w:t>
            </w:r>
          </w:p>
        </w:tc>
        <w:tc>
          <w:tcPr>
            <w:tcW w:w="1244" w:type="dxa"/>
            <w:vMerge w:val="restart"/>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全部循环利用，不外排</w:t>
            </w:r>
          </w:p>
        </w:tc>
        <w:tc>
          <w:tcPr>
            <w:tcW w:w="1308" w:type="dxa"/>
            <w:vMerge w:val="restart"/>
            <w:tcBorders>
              <w:tl2br w:val="nil"/>
              <w:tr2bl w:val="nil"/>
            </w:tcBorders>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w:t>
            </w:r>
          </w:p>
        </w:tc>
      </w:tr>
      <w:tr w:rsidR="00DB7CC8">
        <w:trPr>
          <w:trHeight w:val="283"/>
        </w:trPr>
        <w:tc>
          <w:tcPr>
            <w:tcW w:w="576"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842"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洗车废水</w:t>
            </w:r>
          </w:p>
        </w:tc>
        <w:tc>
          <w:tcPr>
            <w:tcW w:w="6946" w:type="dxa"/>
            <w:gridSpan w:val="3"/>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成品库门口设</w:t>
            </w:r>
            <w:r>
              <w:rPr>
                <w:sz w:val="18"/>
                <w:szCs w:val="18"/>
              </w:rPr>
              <w:t>洗车装置废水流入沉淀池，经沉淀后上清液流入清水池内，循环使用</w:t>
            </w:r>
          </w:p>
        </w:tc>
        <w:tc>
          <w:tcPr>
            <w:tcW w:w="1113"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944" w:type="dxa"/>
            <w:tcBorders>
              <w:tl2br w:val="nil"/>
              <w:tr2bl w:val="nil"/>
            </w:tcBorders>
            <w:shd w:val="clear" w:color="auto" w:fill="auto"/>
            <w:vAlign w:val="center"/>
          </w:tcPr>
          <w:p w:rsidR="00DB7CC8" w:rsidRDefault="002B5250">
            <w:pPr>
              <w:widowControl/>
              <w:snapToGrid w:val="0"/>
              <w:spacing w:line="240" w:lineRule="auto"/>
              <w:ind w:firstLine="360"/>
              <w:jc w:val="both"/>
              <w:textAlignment w:val="auto"/>
              <w:rPr>
                <w:sz w:val="18"/>
                <w:szCs w:val="18"/>
              </w:rPr>
            </w:pPr>
            <w:r>
              <w:rPr>
                <w:rFonts w:hint="eastAsia"/>
                <w:sz w:val="18"/>
                <w:szCs w:val="18"/>
              </w:rPr>
              <w:t>1</w:t>
            </w:r>
            <w:r>
              <w:rPr>
                <w:sz w:val="18"/>
                <w:szCs w:val="18"/>
              </w:rPr>
              <w:t>套</w:t>
            </w:r>
          </w:p>
        </w:tc>
        <w:tc>
          <w:tcPr>
            <w:tcW w:w="1093" w:type="dxa"/>
            <w:tcBorders>
              <w:tl2br w:val="nil"/>
              <w:tr2bl w:val="nil"/>
            </w:tcBorders>
            <w:shd w:val="clear" w:color="auto" w:fill="auto"/>
            <w:vAlign w:val="center"/>
          </w:tcPr>
          <w:p w:rsidR="00DB7CC8" w:rsidRDefault="002B5250">
            <w:pPr>
              <w:widowControl/>
              <w:snapToGrid w:val="0"/>
              <w:spacing w:line="240" w:lineRule="auto"/>
              <w:ind w:firstLine="360"/>
              <w:jc w:val="center"/>
              <w:textAlignment w:val="auto"/>
              <w:rPr>
                <w:sz w:val="18"/>
                <w:szCs w:val="18"/>
              </w:rPr>
            </w:pPr>
            <w:r>
              <w:rPr>
                <w:sz w:val="18"/>
                <w:szCs w:val="18"/>
              </w:rPr>
              <w:t>/</w:t>
            </w:r>
          </w:p>
        </w:tc>
        <w:tc>
          <w:tcPr>
            <w:tcW w:w="1244" w:type="dxa"/>
            <w:vMerge/>
            <w:tcBorders>
              <w:tl2br w:val="nil"/>
              <w:tr2bl w:val="nil"/>
            </w:tcBorders>
            <w:shd w:val="clear" w:color="auto" w:fill="auto"/>
            <w:vAlign w:val="center"/>
          </w:tcPr>
          <w:p w:rsidR="00DB7CC8" w:rsidRDefault="00DB7CC8">
            <w:pPr>
              <w:widowControl/>
              <w:snapToGrid w:val="0"/>
              <w:spacing w:line="240" w:lineRule="auto"/>
              <w:ind w:firstLineChars="0" w:firstLine="0"/>
              <w:jc w:val="center"/>
              <w:textAlignment w:val="auto"/>
              <w:rPr>
                <w:sz w:val="18"/>
                <w:szCs w:val="18"/>
              </w:rPr>
            </w:pPr>
          </w:p>
        </w:tc>
        <w:tc>
          <w:tcPr>
            <w:tcW w:w="1308"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r>
      <w:tr w:rsidR="00DB7CC8">
        <w:trPr>
          <w:trHeight w:val="283"/>
        </w:trPr>
        <w:tc>
          <w:tcPr>
            <w:tcW w:w="576" w:type="dxa"/>
            <w:vMerge/>
            <w:tcBorders>
              <w:tl2br w:val="nil"/>
              <w:tr2bl w:val="nil"/>
            </w:tcBorders>
            <w:shd w:val="clear" w:color="auto" w:fill="auto"/>
            <w:vAlign w:val="center"/>
          </w:tcPr>
          <w:p w:rsidR="00DB7CC8" w:rsidRDefault="00DB7CC8">
            <w:pPr>
              <w:widowControl/>
              <w:snapToGrid w:val="0"/>
              <w:spacing w:line="240" w:lineRule="auto"/>
              <w:ind w:firstLineChars="0" w:firstLine="0"/>
              <w:jc w:val="center"/>
              <w:textAlignment w:val="auto"/>
              <w:rPr>
                <w:sz w:val="18"/>
                <w:szCs w:val="18"/>
              </w:rPr>
            </w:pPr>
          </w:p>
        </w:tc>
        <w:tc>
          <w:tcPr>
            <w:tcW w:w="2118" w:type="dxa"/>
            <w:gridSpan w:val="2"/>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事故废水</w:t>
            </w:r>
          </w:p>
        </w:tc>
        <w:tc>
          <w:tcPr>
            <w:tcW w:w="5670" w:type="dxa"/>
            <w:gridSpan w:val="2"/>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破碎粗选车间、精选车间各</w:t>
            </w:r>
            <w:r>
              <w:rPr>
                <w:sz w:val="18"/>
                <w:szCs w:val="18"/>
              </w:rPr>
              <w:t>设置</w:t>
            </w:r>
            <w:r>
              <w:rPr>
                <w:rFonts w:hint="eastAsia"/>
                <w:sz w:val="18"/>
                <w:szCs w:val="18"/>
              </w:rPr>
              <w:t>1</w:t>
            </w:r>
            <w:r>
              <w:rPr>
                <w:rFonts w:hint="eastAsia"/>
                <w:sz w:val="18"/>
                <w:szCs w:val="18"/>
              </w:rPr>
              <w:t>座</w:t>
            </w:r>
            <w:r>
              <w:rPr>
                <w:rFonts w:hint="eastAsia"/>
                <w:sz w:val="18"/>
                <w:szCs w:val="18"/>
              </w:rPr>
              <w:t>25</w:t>
            </w:r>
            <w:r>
              <w:rPr>
                <w:sz w:val="18"/>
                <w:szCs w:val="18"/>
              </w:rPr>
              <w:t>m</w:t>
            </w:r>
            <w:r>
              <w:rPr>
                <w:sz w:val="18"/>
                <w:szCs w:val="18"/>
                <w:vertAlign w:val="superscript"/>
              </w:rPr>
              <w:t>3</w:t>
            </w:r>
            <w:r>
              <w:rPr>
                <w:sz w:val="18"/>
                <w:szCs w:val="18"/>
              </w:rPr>
              <w:t>事故池，配套搅拌装置和泵</w:t>
            </w:r>
          </w:p>
        </w:tc>
        <w:tc>
          <w:tcPr>
            <w:tcW w:w="1113" w:type="dxa"/>
            <w:vMerge/>
            <w:tcBorders>
              <w:tl2br w:val="nil"/>
              <w:tr2bl w:val="nil"/>
            </w:tcBorders>
            <w:shd w:val="clear" w:color="auto" w:fill="auto"/>
            <w:vAlign w:val="center"/>
          </w:tcPr>
          <w:p w:rsidR="00DB7CC8" w:rsidRDefault="00DB7CC8">
            <w:pPr>
              <w:widowControl/>
              <w:snapToGrid w:val="0"/>
              <w:spacing w:line="240" w:lineRule="auto"/>
              <w:ind w:firstLineChars="0" w:firstLine="0"/>
              <w:jc w:val="center"/>
              <w:textAlignment w:val="auto"/>
              <w:rPr>
                <w:sz w:val="18"/>
                <w:szCs w:val="18"/>
              </w:rPr>
            </w:pPr>
          </w:p>
        </w:tc>
        <w:tc>
          <w:tcPr>
            <w:tcW w:w="944"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2</w:t>
            </w:r>
          </w:p>
        </w:tc>
        <w:tc>
          <w:tcPr>
            <w:tcW w:w="1093"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25</w:t>
            </w:r>
            <w:r>
              <w:rPr>
                <w:sz w:val="18"/>
                <w:szCs w:val="18"/>
              </w:rPr>
              <w:t>m</w:t>
            </w:r>
            <w:r>
              <w:rPr>
                <w:sz w:val="18"/>
                <w:szCs w:val="18"/>
                <w:vertAlign w:val="superscript"/>
              </w:rPr>
              <w:t>3</w:t>
            </w:r>
          </w:p>
        </w:tc>
        <w:tc>
          <w:tcPr>
            <w:tcW w:w="1244" w:type="dxa"/>
            <w:vMerge/>
            <w:tcBorders>
              <w:tl2br w:val="nil"/>
              <w:tr2bl w:val="nil"/>
            </w:tcBorders>
            <w:shd w:val="clear" w:color="auto" w:fill="auto"/>
            <w:vAlign w:val="center"/>
          </w:tcPr>
          <w:p w:rsidR="00DB7CC8" w:rsidRDefault="00DB7CC8">
            <w:pPr>
              <w:widowControl/>
              <w:snapToGrid w:val="0"/>
              <w:spacing w:line="240" w:lineRule="auto"/>
              <w:ind w:firstLineChars="0" w:firstLine="0"/>
              <w:jc w:val="center"/>
              <w:textAlignment w:val="auto"/>
              <w:rPr>
                <w:sz w:val="18"/>
                <w:szCs w:val="18"/>
              </w:rPr>
            </w:pPr>
          </w:p>
        </w:tc>
        <w:tc>
          <w:tcPr>
            <w:tcW w:w="1308" w:type="dxa"/>
            <w:vMerge/>
            <w:tcBorders>
              <w:tl2br w:val="nil"/>
              <w:tr2bl w:val="nil"/>
            </w:tcBorders>
            <w:shd w:val="clear" w:color="auto" w:fill="auto"/>
            <w:vAlign w:val="center"/>
          </w:tcPr>
          <w:p w:rsidR="00DB7CC8" w:rsidRDefault="00DB7CC8">
            <w:pPr>
              <w:widowControl/>
              <w:snapToGrid w:val="0"/>
              <w:spacing w:line="240" w:lineRule="auto"/>
              <w:ind w:firstLineChars="0" w:firstLine="0"/>
              <w:jc w:val="center"/>
              <w:textAlignment w:val="auto"/>
              <w:rPr>
                <w:sz w:val="18"/>
                <w:szCs w:val="18"/>
              </w:rPr>
            </w:pPr>
          </w:p>
        </w:tc>
      </w:tr>
      <w:tr w:rsidR="00DB7CC8">
        <w:trPr>
          <w:trHeight w:val="283"/>
        </w:trPr>
        <w:tc>
          <w:tcPr>
            <w:tcW w:w="576"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噪声</w:t>
            </w:r>
          </w:p>
        </w:tc>
        <w:tc>
          <w:tcPr>
            <w:tcW w:w="2118" w:type="dxa"/>
            <w:gridSpan w:val="2"/>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颚式破碎机、圆锥破碎机、皮带输送机、球磨机、磁选机、锤式破碎机、高频筛、泵类、风机等</w:t>
            </w:r>
          </w:p>
        </w:tc>
        <w:tc>
          <w:tcPr>
            <w:tcW w:w="5670" w:type="dxa"/>
            <w:gridSpan w:val="2"/>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各设备置于封闭车间内，基础减</w:t>
            </w:r>
            <w:r>
              <w:rPr>
                <w:rFonts w:hint="eastAsia"/>
                <w:sz w:val="18"/>
                <w:szCs w:val="18"/>
              </w:rPr>
              <w:t>振</w:t>
            </w:r>
            <w:r>
              <w:rPr>
                <w:sz w:val="18"/>
                <w:szCs w:val="18"/>
              </w:rPr>
              <w:t>，泵类设置软连接，风机加装隔声罩等</w:t>
            </w:r>
          </w:p>
        </w:tc>
        <w:tc>
          <w:tcPr>
            <w:tcW w:w="1113"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噪声</w:t>
            </w:r>
          </w:p>
        </w:tc>
        <w:tc>
          <w:tcPr>
            <w:tcW w:w="2037" w:type="dxa"/>
            <w:gridSpan w:val="2"/>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w:t>
            </w:r>
          </w:p>
        </w:tc>
        <w:tc>
          <w:tcPr>
            <w:tcW w:w="1244"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低于</w:t>
            </w:r>
            <w:r>
              <w:rPr>
                <w:sz w:val="18"/>
                <w:szCs w:val="18"/>
              </w:rPr>
              <w:t>50 dB(A)</w:t>
            </w:r>
          </w:p>
        </w:tc>
        <w:tc>
          <w:tcPr>
            <w:tcW w:w="1308"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《工业企业厂界环境噪声排放标准》（</w:t>
            </w:r>
            <w:r>
              <w:rPr>
                <w:sz w:val="18"/>
                <w:szCs w:val="18"/>
              </w:rPr>
              <w:t>GB12348- 2008</w:t>
            </w:r>
            <w:r>
              <w:rPr>
                <w:sz w:val="18"/>
                <w:szCs w:val="18"/>
              </w:rPr>
              <w:t>）</w:t>
            </w:r>
            <w:r>
              <w:rPr>
                <w:sz w:val="18"/>
                <w:szCs w:val="18"/>
              </w:rPr>
              <w:t>2</w:t>
            </w:r>
            <w:r>
              <w:rPr>
                <w:sz w:val="18"/>
                <w:szCs w:val="18"/>
              </w:rPr>
              <w:t>类标准</w:t>
            </w:r>
          </w:p>
        </w:tc>
      </w:tr>
      <w:tr w:rsidR="00DB7CC8">
        <w:trPr>
          <w:trHeight w:val="283"/>
        </w:trPr>
        <w:tc>
          <w:tcPr>
            <w:tcW w:w="576" w:type="dxa"/>
            <w:vMerge w:val="restart"/>
            <w:tcBorders>
              <w:tl2br w:val="nil"/>
              <w:tr2bl w:val="nil"/>
            </w:tcBorders>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固废</w:t>
            </w:r>
          </w:p>
        </w:tc>
        <w:tc>
          <w:tcPr>
            <w:tcW w:w="2118" w:type="dxa"/>
            <w:gridSpan w:val="2"/>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除尘器收尘</w:t>
            </w:r>
          </w:p>
        </w:tc>
        <w:tc>
          <w:tcPr>
            <w:tcW w:w="5670" w:type="dxa"/>
            <w:gridSpan w:val="2"/>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返回球磨系统</w:t>
            </w:r>
          </w:p>
        </w:tc>
        <w:tc>
          <w:tcPr>
            <w:tcW w:w="1113"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除尘灰</w:t>
            </w:r>
          </w:p>
        </w:tc>
        <w:tc>
          <w:tcPr>
            <w:tcW w:w="3281" w:type="dxa"/>
            <w:gridSpan w:val="3"/>
            <w:vMerge w:val="restart"/>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全部得到妥善处置</w:t>
            </w:r>
          </w:p>
        </w:tc>
        <w:tc>
          <w:tcPr>
            <w:tcW w:w="1308" w:type="dxa"/>
            <w:vMerge w:val="restart"/>
            <w:tcBorders>
              <w:tl2br w:val="nil"/>
              <w:tr2bl w:val="nil"/>
            </w:tcBorders>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w:t>
            </w:r>
          </w:p>
        </w:tc>
      </w:tr>
      <w:tr w:rsidR="00DB7CC8">
        <w:trPr>
          <w:trHeight w:val="283"/>
        </w:trPr>
        <w:tc>
          <w:tcPr>
            <w:tcW w:w="576"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2118" w:type="dxa"/>
            <w:gridSpan w:val="2"/>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生产过程</w:t>
            </w:r>
          </w:p>
        </w:tc>
        <w:tc>
          <w:tcPr>
            <w:tcW w:w="5670" w:type="dxa"/>
            <w:gridSpan w:val="2"/>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外售当地建材厂综合利用</w:t>
            </w:r>
          </w:p>
        </w:tc>
        <w:tc>
          <w:tcPr>
            <w:tcW w:w="1113"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粗尾矿砂</w:t>
            </w:r>
          </w:p>
        </w:tc>
        <w:tc>
          <w:tcPr>
            <w:tcW w:w="3281" w:type="dxa"/>
            <w:gridSpan w:val="3"/>
            <w:vMerge/>
            <w:tcBorders>
              <w:tl2br w:val="nil"/>
              <w:tr2bl w:val="nil"/>
            </w:tcBorders>
            <w:shd w:val="clear" w:color="auto" w:fill="auto"/>
            <w:vAlign w:val="center"/>
          </w:tcPr>
          <w:p w:rsidR="00DB7CC8" w:rsidRDefault="00DB7CC8">
            <w:pPr>
              <w:widowControl/>
              <w:snapToGrid w:val="0"/>
              <w:spacing w:line="240" w:lineRule="auto"/>
              <w:ind w:firstLineChars="0" w:firstLine="0"/>
              <w:jc w:val="center"/>
              <w:textAlignment w:val="auto"/>
              <w:rPr>
                <w:sz w:val="18"/>
                <w:szCs w:val="18"/>
              </w:rPr>
            </w:pPr>
          </w:p>
        </w:tc>
        <w:tc>
          <w:tcPr>
            <w:tcW w:w="1308"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r>
      <w:tr w:rsidR="00DB7CC8">
        <w:trPr>
          <w:trHeight w:val="283"/>
        </w:trPr>
        <w:tc>
          <w:tcPr>
            <w:tcW w:w="576" w:type="dxa"/>
            <w:vMerge/>
            <w:tcBorders>
              <w:tl2br w:val="nil"/>
              <w:tr2bl w:val="nil"/>
            </w:tcBorders>
            <w:shd w:val="clear" w:color="auto" w:fill="auto"/>
            <w:vAlign w:val="center"/>
          </w:tcPr>
          <w:p w:rsidR="00DB7CC8" w:rsidRDefault="00DB7CC8">
            <w:pPr>
              <w:widowControl/>
              <w:snapToGrid w:val="0"/>
              <w:spacing w:line="240" w:lineRule="auto"/>
              <w:ind w:firstLineChars="0" w:firstLine="0"/>
              <w:jc w:val="center"/>
              <w:textAlignment w:val="auto"/>
              <w:rPr>
                <w:sz w:val="18"/>
                <w:szCs w:val="18"/>
              </w:rPr>
            </w:pPr>
          </w:p>
        </w:tc>
        <w:tc>
          <w:tcPr>
            <w:tcW w:w="2118" w:type="dxa"/>
            <w:gridSpan w:val="2"/>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生产过程</w:t>
            </w:r>
          </w:p>
        </w:tc>
        <w:tc>
          <w:tcPr>
            <w:tcW w:w="5670" w:type="dxa"/>
            <w:gridSpan w:val="2"/>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外运填</w:t>
            </w:r>
            <w:r>
              <w:rPr>
                <w:sz w:val="18"/>
                <w:szCs w:val="18"/>
              </w:rPr>
              <w:t>坑造地</w:t>
            </w:r>
          </w:p>
        </w:tc>
        <w:tc>
          <w:tcPr>
            <w:tcW w:w="1113"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细尾矿</w:t>
            </w:r>
            <w:r>
              <w:rPr>
                <w:rFonts w:hint="eastAsia"/>
                <w:sz w:val="18"/>
                <w:szCs w:val="18"/>
              </w:rPr>
              <w:t>砂</w:t>
            </w:r>
          </w:p>
        </w:tc>
        <w:tc>
          <w:tcPr>
            <w:tcW w:w="3281" w:type="dxa"/>
            <w:gridSpan w:val="3"/>
            <w:vMerge/>
            <w:tcBorders>
              <w:tl2br w:val="nil"/>
              <w:tr2bl w:val="nil"/>
            </w:tcBorders>
            <w:shd w:val="clear" w:color="auto" w:fill="auto"/>
            <w:vAlign w:val="center"/>
          </w:tcPr>
          <w:p w:rsidR="00DB7CC8" w:rsidRDefault="00DB7CC8">
            <w:pPr>
              <w:widowControl/>
              <w:snapToGrid w:val="0"/>
              <w:spacing w:line="240" w:lineRule="auto"/>
              <w:ind w:firstLineChars="0" w:firstLine="0"/>
              <w:jc w:val="center"/>
              <w:textAlignment w:val="auto"/>
              <w:rPr>
                <w:sz w:val="18"/>
                <w:szCs w:val="18"/>
              </w:rPr>
            </w:pPr>
          </w:p>
        </w:tc>
        <w:tc>
          <w:tcPr>
            <w:tcW w:w="1308"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w:t>
            </w:r>
          </w:p>
        </w:tc>
      </w:tr>
      <w:tr w:rsidR="00DB7CC8">
        <w:trPr>
          <w:trHeight w:val="283"/>
        </w:trPr>
        <w:tc>
          <w:tcPr>
            <w:tcW w:w="576"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2118" w:type="dxa"/>
            <w:gridSpan w:val="2"/>
            <w:vMerge w:val="restart"/>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设备养护</w:t>
            </w:r>
          </w:p>
        </w:tc>
        <w:tc>
          <w:tcPr>
            <w:tcW w:w="5670" w:type="dxa"/>
            <w:gridSpan w:val="2"/>
            <w:vMerge w:val="restart"/>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用耐腐蚀的容器储存，暂存在危废</w:t>
            </w:r>
            <w:r>
              <w:rPr>
                <w:rFonts w:hint="eastAsia"/>
                <w:sz w:val="18"/>
                <w:szCs w:val="18"/>
              </w:rPr>
              <w:t>暂存</w:t>
            </w:r>
            <w:r>
              <w:rPr>
                <w:sz w:val="18"/>
                <w:szCs w:val="18"/>
              </w:rPr>
              <w:t>间内，定期委托有危废处理资</w:t>
            </w:r>
            <w:r>
              <w:rPr>
                <w:sz w:val="18"/>
                <w:szCs w:val="18"/>
              </w:rPr>
              <w:lastRenderedPageBreak/>
              <w:t>质的单位进行处理</w:t>
            </w:r>
          </w:p>
        </w:tc>
        <w:tc>
          <w:tcPr>
            <w:tcW w:w="1113"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lastRenderedPageBreak/>
              <w:t>废机油</w:t>
            </w:r>
          </w:p>
        </w:tc>
        <w:tc>
          <w:tcPr>
            <w:tcW w:w="3281" w:type="dxa"/>
            <w:gridSpan w:val="3"/>
            <w:vMerge/>
            <w:tcBorders>
              <w:tl2br w:val="nil"/>
              <w:tr2bl w:val="nil"/>
            </w:tcBorders>
            <w:shd w:val="clear" w:color="auto" w:fill="auto"/>
            <w:vAlign w:val="center"/>
          </w:tcPr>
          <w:p w:rsidR="00DB7CC8" w:rsidRDefault="00DB7CC8">
            <w:pPr>
              <w:widowControl/>
              <w:snapToGrid w:val="0"/>
              <w:spacing w:line="240" w:lineRule="auto"/>
              <w:ind w:firstLineChars="0" w:firstLine="0"/>
              <w:jc w:val="center"/>
              <w:textAlignment w:val="auto"/>
              <w:rPr>
                <w:sz w:val="18"/>
                <w:szCs w:val="18"/>
              </w:rPr>
            </w:pPr>
          </w:p>
        </w:tc>
        <w:tc>
          <w:tcPr>
            <w:tcW w:w="1308"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w:t>
            </w:r>
          </w:p>
        </w:tc>
      </w:tr>
      <w:tr w:rsidR="00DB7CC8">
        <w:trPr>
          <w:trHeight w:val="283"/>
        </w:trPr>
        <w:tc>
          <w:tcPr>
            <w:tcW w:w="576" w:type="dxa"/>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2118" w:type="dxa"/>
            <w:gridSpan w:val="2"/>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5670" w:type="dxa"/>
            <w:gridSpan w:val="2"/>
            <w:vMerge/>
            <w:tcBorders>
              <w:tl2br w:val="nil"/>
              <w:tr2bl w:val="nil"/>
            </w:tcBorders>
            <w:shd w:val="clear" w:color="auto" w:fill="auto"/>
            <w:vAlign w:val="center"/>
          </w:tcPr>
          <w:p w:rsidR="00DB7CC8" w:rsidRDefault="00DB7CC8">
            <w:pPr>
              <w:widowControl/>
              <w:snapToGrid w:val="0"/>
              <w:spacing w:line="240" w:lineRule="auto"/>
              <w:ind w:firstLineChars="0" w:firstLine="0"/>
              <w:jc w:val="center"/>
              <w:textAlignment w:val="auto"/>
              <w:rPr>
                <w:sz w:val="18"/>
                <w:szCs w:val="18"/>
              </w:rPr>
            </w:pPr>
          </w:p>
        </w:tc>
        <w:tc>
          <w:tcPr>
            <w:tcW w:w="1113"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废油桶</w:t>
            </w:r>
          </w:p>
        </w:tc>
        <w:tc>
          <w:tcPr>
            <w:tcW w:w="3281" w:type="dxa"/>
            <w:gridSpan w:val="3"/>
            <w:vMerge/>
            <w:tcBorders>
              <w:tl2br w:val="nil"/>
              <w:tr2bl w:val="nil"/>
            </w:tcBorders>
            <w:shd w:val="clear" w:color="auto" w:fill="auto"/>
            <w:vAlign w:val="center"/>
          </w:tcPr>
          <w:p w:rsidR="00DB7CC8" w:rsidRDefault="00DB7CC8">
            <w:pPr>
              <w:widowControl/>
              <w:snapToGrid w:val="0"/>
              <w:spacing w:line="240" w:lineRule="auto"/>
              <w:ind w:firstLineChars="0" w:firstLine="0"/>
              <w:jc w:val="center"/>
              <w:textAlignment w:val="auto"/>
              <w:rPr>
                <w:sz w:val="18"/>
                <w:szCs w:val="18"/>
              </w:rPr>
            </w:pPr>
          </w:p>
        </w:tc>
        <w:tc>
          <w:tcPr>
            <w:tcW w:w="1308" w:type="dxa"/>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w:t>
            </w:r>
          </w:p>
        </w:tc>
      </w:tr>
      <w:tr w:rsidR="00DB7CC8">
        <w:trPr>
          <w:trHeight w:val="283"/>
        </w:trPr>
        <w:tc>
          <w:tcPr>
            <w:tcW w:w="2694" w:type="dxa"/>
            <w:gridSpan w:val="3"/>
            <w:vMerge w:val="restart"/>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防渗</w:t>
            </w:r>
          </w:p>
        </w:tc>
        <w:tc>
          <w:tcPr>
            <w:tcW w:w="11372" w:type="dxa"/>
            <w:gridSpan w:val="7"/>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原料</w:t>
            </w:r>
            <w:r>
              <w:rPr>
                <w:rFonts w:hint="eastAsia"/>
                <w:sz w:val="18"/>
                <w:szCs w:val="18"/>
              </w:rPr>
              <w:t>棚</w:t>
            </w:r>
            <w:r>
              <w:rPr>
                <w:rFonts w:hint="eastAsia"/>
                <w:sz w:val="18"/>
                <w:szCs w:val="18"/>
              </w:rPr>
              <w:t>、</w:t>
            </w:r>
            <w:r>
              <w:rPr>
                <w:rFonts w:hint="eastAsia"/>
                <w:sz w:val="18"/>
                <w:szCs w:val="18"/>
              </w:rPr>
              <w:t>3#</w:t>
            </w:r>
            <w:r>
              <w:rPr>
                <w:rFonts w:hint="eastAsia"/>
                <w:sz w:val="18"/>
                <w:szCs w:val="18"/>
              </w:rPr>
              <w:t>破碎</w:t>
            </w:r>
            <w:r>
              <w:rPr>
                <w:rFonts w:hint="eastAsia"/>
                <w:sz w:val="18"/>
                <w:szCs w:val="18"/>
              </w:rPr>
              <w:t>粗选</w:t>
            </w:r>
            <w:r>
              <w:rPr>
                <w:rFonts w:hint="eastAsia"/>
                <w:sz w:val="18"/>
                <w:szCs w:val="18"/>
              </w:rPr>
              <w:t>车间、</w:t>
            </w:r>
            <w:r>
              <w:rPr>
                <w:rFonts w:hint="eastAsia"/>
                <w:sz w:val="18"/>
                <w:szCs w:val="18"/>
              </w:rPr>
              <w:t>精选</w:t>
            </w:r>
            <w:r>
              <w:rPr>
                <w:rFonts w:hint="eastAsia"/>
                <w:sz w:val="18"/>
                <w:szCs w:val="18"/>
              </w:rPr>
              <w:t>车间、成品库、事故池等地</w:t>
            </w:r>
            <w:r>
              <w:rPr>
                <w:sz w:val="18"/>
                <w:szCs w:val="18"/>
              </w:rPr>
              <w:t>面采用防渗混凝土结构，厚度为</w:t>
            </w:r>
            <w:r>
              <w:rPr>
                <w:sz w:val="18"/>
                <w:szCs w:val="18"/>
              </w:rPr>
              <w:t>20cm</w:t>
            </w:r>
            <w:r>
              <w:rPr>
                <w:sz w:val="18"/>
                <w:szCs w:val="18"/>
              </w:rPr>
              <w:t>，渗透系数</w:t>
            </w:r>
            <w:r>
              <w:rPr>
                <w:sz w:val="18"/>
                <w:szCs w:val="18"/>
              </w:rPr>
              <w:t>≤10</w:t>
            </w:r>
            <w:r>
              <w:rPr>
                <w:sz w:val="18"/>
                <w:szCs w:val="18"/>
                <w:vertAlign w:val="superscript"/>
              </w:rPr>
              <w:t>-7</w:t>
            </w:r>
            <w:r>
              <w:rPr>
                <w:sz w:val="18"/>
                <w:szCs w:val="18"/>
              </w:rPr>
              <w:t>cm/s</w:t>
            </w:r>
            <w:r>
              <w:rPr>
                <w:sz w:val="18"/>
                <w:szCs w:val="18"/>
              </w:rPr>
              <w:t>；浓密池、清水池、车辆清洗沉淀池和清水池池底部及四壁均采用混凝土浇筑防渗，厚度为</w:t>
            </w:r>
            <w:r>
              <w:rPr>
                <w:sz w:val="18"/>
                <w:szCs w:val="18"/>
              </w:rPr>
              <w:t>20cm</w:t>
            </w:r>
            <w:r>
              <w:rPr>
                <w:sz w:val="18"/>
                <w:szCs w:val="18"/>
              </w:rPr>
              <w:t>，渗透系数小于</w:t>
            </w:r>
            <w:r>
              <w:rPr>
                <w:sz w:val="18"/>
                <w:szCs w:val="18"/>
              </w:rPr>
              <w:t>1×10</w:t>
            </w:r>
            <w:r>
              <w:rPr>
                <w:sz w:val="18"/>
                <w:szCs w:val="18"/>
                <w:vertAlign w:val="superscript"/>
              </w:rPr>
              <w:t>-7</w:t>
            </w:r>
            <w:r>
              <w:rPr>
                <w:sz w:val="18"/>
                <w:szCs w:val="18"/>
              </w:rPr>
              <w:t xml:space="preserve"> cm/s</w:t>
            </w:r>
          </w:p>
        </w:tc>
      </w:tr>
      <w:tr w:rsidR="00DB7CC8">
        <w:trPr>
          <w:trHeight w:val="283"/>
        </w:trPr>
        <w:tc>
          <w:tcPr>
            <w:tcW w:w="2694" w:type="dxa"/>
            <w:gridSpan w:val="3"/>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1372" w:type="dxa"/>
            <w:gridSpan w:val="7"/>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物料输送管采用</w:t>
            </w:r>
            <w:r>
              <w:rPr>
                <w:sz w:val="18"/>
                <w:szCs w:val="18"/>
              </w:rPr>
              <w:t>PVC</w:t>
            </w:r>
            <w:r>
              <w:rPr>
                <w:sz w:val="18"/>
                <w:szCs w:val="18"/>
              </w:rPr>
              <w:t>管；尾矿浆输送使用</w:t>
            </w:r>
            <w:r>
              <w:rPr>
                <w:sz w:val="18"/>
                <w:szCs w:val="18"/>
              </w:rPr>
              <w:t>PVC</w:t>
            </w:r>
            <w:r>
              <w:rPr>
                <w:sz w:val="18"/>
                <w:szCs w:val="18"/>
              </w:rPr>
              <w:t>管或排水沟，集水沟槽均为混凝土结构，防渗层渗透系数小于</w:t>
            </w:r>
            <w:r>
              <w:rPr>
                <w:sz w:val="18"/>
                <w:szCs w:val="18"/>
              </w:rPr>
              <w:t>1×10</w:t>
            </w:r>
            <w:r>
              <w:rPr>
                <w:sz w:val="18"/>
                <w:szCs w:val="18"/>
                <w:vertAlign w:val="superscript"/>
              </w:rPr>
              <w:t>-7</w:t>
            </w:r>
            <w:r>
              <w:rPr>
                <w:sz w:val="18"/>
                <w:szCs w:val="18"/>
              </w:rPr>
              <w:t>cm/s</w:t>
            </w:r>
          </w:p>
        </w:tc>
      </w:tr>
      <w:tr w:rsidR="00DB7CC8">
        <w:trPr>
          <w:trHeight w:val="283"/>
        </w:trPr>
        <w:tc>
          <w:tcPr>
            <w:tcW w:w="2694" w:type="dxa"/>
            <w:gridSpan w:val="3"/>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绿化、硬化</w:t>
            </w:r>
          </w:p>
        </w:tc>
        <w:tc>
          <w:tcPr>
            <w:tcW w:w="11372" w:type="dxa"/>
            <w:gridSpan w:val="7"/>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厂区内地面进行硬化或绿化，无裸露地面</w:t>
            </w:r>
          </w:p>
        </w:tc>
      </w:tr>
      <w:tr w:rsidR="00DB7CC8">
        <w:trPr>
          <w:trHeight w:val="283"/>
        </w:trPr>
        <w:tc>
          <w:tcPr>
            <w:tcW w:w="2694" w:type="dxa"/>
            <w:gridSpan w:val="3"/>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厂区抑尘</w:t>
            </w:r>
          </w:p>
        </w:tc>
        <w:tc>
          <w:tcPr>
            <w:tcW w:w="11372" w:type="dxa"/>
            <w:gridSpan w:val="7"/>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配备洒水车、清扫车各一辆</w:t>
            </w:r>
          </w:p>
        </w:tc>
      </w:tr>
      <w:tr w:rsidR="00DB7CC8">
        <w:trPr>
          <w:trHeight w:val="283"/>
        </w:trPr>
        <w:tc>
          <w:tcPr>
            <w:tcW w:w="2694" w:type="dxa"/>
            <w:gridSpan w:val="3"/>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视频监控</w:t>
            </w:r>
          </w:p>
        </w:tc>
        <w:tc>
          <w:tcPr>
            <w:tcW w:w="11372" w:type="dxa"/>
            <w:gridSpan w:val="7"/>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在成品库门口、</w:t>
            </w:r>
            <w:r>
              <w:rPr>
                <w:rFonts w:hint="eastAsia"/>
                <w:sz w:val="18"/>
                <w:szCs w:val="18"/>
              </w:rPr>
              <w:t>成品库、</w:t>
            </w:r>
            <w:r>
              <w:rPr>
                <w:rFonts w:hint="eastAsia"/>
                <w:sz w:val="18"/>
                <w:szCs w:val="18"/>
              </w:rPr>
              <w:t>各</w:t>
            </w:r>
            <w:r>
              <w:rPr>
                <w:sz w:val="18"/>
                <w:szCs w:val="18"/>
              </w:rPr>
              <w:t>生产车间内、布袋除尘器、厂区道路设置视频监控，并与唐山市</w:t>
            </w:r>
            <w:r>
              <w:rPr>
                <w:rFonts w:hint="eastAsia"/>
                <w:sz w:val="18"/>
                <w:szCs w:val="18"/>
              </w:rPr>
              <w:t>生态环境局</w:t>
            </w:r>
            <w:r>
              <w:rPr>
                <w:sz w:val="18"/>
                <w:szCs w:val="18"/>
              </w:rPr>
              <w:t>遵化市分局联网，实现</w:t>
            </w:r>
            <w:r>
              <w:rPr>
                <w:sz w:val="18"/>
                <w:szCs w:val="18"/>
              </w:rPr>
              <w:t>24</w:t>
            </w:r>
            <w:r>
              <w:rPr>
                <w:sz w:val="18"/>
                <w:szCs w:val="18"/>
              </w:rPr>
              <w:t>小时视频监控。</w:t>
            </w:r>
          </w:p>
        </w:tc>
      </w:tr>
      <w:tr w:rsidR="00DB7CC8">
        <w:trPr>
          <w:trHeight w:val="283"/>
        </w:trPr>
        <w:tc>
          <w:tcPr>
            <w:tcW w:w="2694" w:type="dxa"/>
            <w:gridSpan w:val="3"/>
            <w:vMerge w:val="restart"/>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环境管理内容</w:t>
            </w:r>
          </w:p>
        </w:tc>
        <w:tc>
          <w:tcPr>
            <w:tcW w:w="11372" w:type="dxa"/>
            <w:gridSpan w:val="7"/>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sz w:val="18"/>
                <w:szCs w:val="18"/>
              </w:rPr>
              <w:t>设置专职环保管理人员，建立企业环境管理制度，建立环保设施运行台帐，落实环境污染报告制度、环保事故管理制度。</w:t>
            </w:r>
          </w:p>
        </w:tc>
      </w:tr>
      <w:tr w:rsidR="00DB7CC8">
        <w:trPr>
          <w:trHeight w:val="283"/>
        </w:trPr>
        <w:tc>
          <w:tcPr>
            <w:tcW w:w="2694" w:type="dxa"/>
            <w:gridSpan w:val="3"/>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1372" w:type="dxa"/>
            <w:gridSpan w:val="7"/>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制定企业环境管理制度，明确了岗位环保职责和日常环保行为规范、建立和落实环保岗位考核制度。</w:t>
            </w:r>
          </w:p>
        </w:tc>
      </w:tr>
      <w:tr w:rsidR="00DB7CC8">
        <w:trPr>
          <w:trHeight w:val="283"/>
        </w:trPr>
        <w:tc>
          <w:tcPr>
            <w:tcW w:w="2694" w:type="dxa"/>
            <w:gridSpan w:val="3"/>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1372" w:type="dxa"/>
            <w:gridSpan w:val="7"/>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制定《环保管理制度》、《环保岗位考核制度》、《环保设备管理制度》、《污染防治设施运行管理制度》，建立环保设施运行台账，各项设备设施稳定、正常运行。</w:t>
            </w:r>
          </w:p>
        </w:tc>
      </w:tr>
      <w:tr w:rsidR="00DB7CC8">
        <w:trPr>
          <w:trHeight w:val="283"/>
        </w:trPr>
        <w:tc>
          <w:tcPr>
            <w:tcW w:w="2694" w:type="dxa"/>
            <w:gridSpan w:val="3"/>
            <w:vMerge/>
            <w:tcBorders>
              <w:tl2br w:val="nil"/>
              <w:tr2bl w:val="nil"/>
            </w:tcBorders>
            <w:vAlign w:val="center"/>
          </w:tcPr>
          <w:p w:rsidR="00DB7CC8" w:rsidRDefault="00DB7CC8">
            <w:pPr>
              <w:widowControl/>
              <w:snapToGrid w:val="0"/>
              <w:spacing w:line="240" w:lineRule="auto"/>
              <w:ind w:firstLineChars="0" w:firstLine="0"/>
              <w:jc w:val="center"/>
              <w:textAlignment w:val="auto"/>
              <w:rPr>
                <w:sz w:val="18"/>
                <w:szCs w:val="18"/>
              </w:rPr>
            </w:pPr>
          </w:p>
        </w:tc>
        <w:tc>
          <w:tcPr>
            <w:tcW w:w="11372" w:type="dxa"/>
            <w:gridSpan w:val="7"/>
            <w:tcBorders>
              <w:tl2br w:val="nil"/>
              <w:tr2bl w:val="nil"/>
            </w:tcBorders>
            <w:shd w:val="clear" w:color="auto" w:fill="auto"/>
            <w:vAlign w:val="center"/>
          </w:tcPr>
          <w:p w:rsidR="00DB7CC8" w:rsidRDefault="002B5250">
            <w:pPr>
              <w:widowControl/>
              <w:snapToGrid w:val="0"/>
              <w:spacing w:line="240" w:lineRule="auto"/>
              <w:ind w:firstLineChars="0" w:firstLine="0"/>
              <w:jc w:val="center"/>
              <w:textAlignment w:val="auto"/>
              <w:rPr>
                <w:sz w:val="18"/>
                <w:szCs w:val="18"/>
              </w:rPr>
            </w:pPr>
            <w:r>
              <w:rPr>
                <w:rFonts w:hint="eastAsia"/>
                <w:sz w:val="18"/>
                <w:szCs w:val="18"/>
              </w:rPr>
              <w:t>落实环境污染报告制度、环境巡查制度、环保事故管理制度。</w:t>
            </w:r>
          </w:p>
        </w:tc>
      </w:tr>
    </w:tbl>
    <w:p w:rsidR="00DB7CC8" w:rsidRDefault="00DB7CC8">
      <w:pPr>
        <w:widowControl/>
        <w:spacing w:line="460" w:lineRule="exact"/>
        <w:ind w:firstLine="480"/>
        <w:rPr>
          <w:sz w:val="24"/>
          <w:szCs w:val="24"/>
        </w:rPr>
      </w:pPr>
    </w:p>
    <w:p w:rsidR="00DB7CC8" w:rsidRDefault="00DB7CC8">
      <w:pPr>
        <w:widowControl/>
        <w:spacing w:line="460" w:lineRule="exact"/>
        <w:ind w:firstLine="480"/>
        <w:rPr>
          <w:sz w:val="24"/>
          <w:szCs w:val="24"/>
        </w:rPr>
        <w:sectPr w:rsidR="00DB7CC8">
          <w:footerReference w:type="default" r:id="rId124"/>
          <w:pgSz w:w="16838" w:h="11905" w:orient="landscape"/>
          <w:pgMar w:top="1803" w:right="1440" w:bottom="1418" w:left="1134" w:header="850" w:footer="992" w:gutter="0"/>
          <w:cols w:space="0"/>
          <w:docGrid w:linePitch="381"/>
        </w:sectPr>
      </w:pPr>
    </w:p>
    <w:p w:rsidR="00DB7CC8" w:rsidRDefault="002B5250">
      <w:pPr>
        <w:pStyle w:val="1"/>
        <w:numPr>
          <w:ilvl w:val="0"/>
          <w:numId w:val="1"/>
        </w:numPr>
        <w:rPr>
          <w:rFonts w:ascii="Times New Roman"/>
          <w:sz w:val="36"/>
        </w:rPr>
      </w:pPr>
      <w:bookmarkStart w:id="677" w:name="_Toc3945"/>
      <w:bookmarkStart w:id="678" w:name="_Toc477175443"/>
      <w:bookmarkStart w:id="679" w:name="_Toc524285127"/>
      <w:bookmarkStart w:id="680" w:name="_Toc12583"/>
      <w:bookmarkStart w:id="681" w:name="_Toc499651435"/>
      <w:bookmarkStart w:id="682" w:name="_Toc8277"/>
      <w:bookmarkStart w:id="683" w:name="_Toc19889413"/>
      <w:bookmarkStart w:id="684" w:name="_Toc1582"/>
      <w:bookmarkStart w:id="685" w:name="_Toc239045818"/>
      <w:bookmarkStart w:id="686" w:name="_Toc503218134"/>
      <w:bookmarkStart w:id="687" w:name="_Toc521591842"/>
      <w:r>
        <w:rPr>
          <w:rFonts w:ascii="Times New Roman"/>
          <w:sz w:val="36"/>
        </w:rPr>
        <w:lastRenderedPageBreak/>
        <w:t>结论</w:t>
      </w:r>
      <w:bookmarkEnd w:id="677"/>
      <w:bookmarkEnd w:id="678"/>
      <w:bookmarkEnd w:id="679"/>
      <w:bookmarkEnd w:id="680"/>
      <w:bookmarkEnd w:id="681"/>
      <w:bookmarkEnd w:id="682"/>
      <w:bookmarkEnd w:id="683"/>
      <w:bookmarkEnd w:id="684"/>
      <w:bookmarkEnd w:id="685"/>
      <w:bookmarkEnd w:id="686"/>
      <w:bookmarkEnd w:id="687"/>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688" w:name="_Toc239045819"/>
      <w:bookmarkStart w:id="689" w:name="_Toc477175444"/>
      <w:bookmarkStart w:id="690" w:name="_Toc499651436"/>
      <w:bookmarkStart w:id="691" w:name="_Toc19889414"/>
      <w:bookmarkStart w:id="692" w:name="_Toc5175"/>
      <w:bookmarkStart w:id="693" w:name="_Toc21281"/>
      <w:bookmarkStart w:id="694" w:name="_Toc524285128"/>
      <w:bookmarkStart w:id="695" w:name="_Toc7048"/>
      <w:bookmarkStart w:id="696" w:name="_Toc503218135"/>
      <w:bookmarkStart w:id="697" w:name="_Toc521591843"/>
      <w:bookmarkStart w:id="698" w:name="_Toc4785"/>
      <w:r>
        <w:rPr>
          <w:rFonts w:ascii="Times New Roman" w:eastAsia="宋体" w:hAnsi="Times New Roman"/>
          <w:bCs w:val="0"/>
          <w:snapToGrid w:val="0"/>
          <w:kern w:val="0"/>
          <w:sz w:val="28"/>
          <w:szCs w:val="28"/>
        </w:rPr>
        <w:t>项目</w:t>
      </w:r>
      <w:bookmarkEnd w:id="688"/>
      <w:r>
        <w:rPr>
          <w:rFonts w:ascii="Times New Roman" w:eastAsia="宋体" w:hAnsi="Times New Roman"/>
          <w:bCs w:val="0"/>
          <w:snapToGrid w:val="0"/>
          <w:kern w:val="0"/>
          <w:sz w:val="28"/>
          <w:szCs w:val="28"/>
        </w:rPr>
        <w:t>概况</w:t>
      </w:r>
      <w:bookmarkStart w:id="699" w:name="_Toc239045820"/>
      <w:bookmarkEnd w:id="689"/>
      <w:bookmarkEnd w:id="690"/>
      <w:bookmarkEnd w:id="691"/>
      <w:bookmarkEnd w:id="692"/>
      <w:bookmarkEnd w:id="693"/>
      <w:bookmarkEnd w:id="694"/>
      <w:bookmarkEnd w:id="695"/>
      <w:bookmarkEnd w:id="696"/>
      <w:bookmarkEnd w:id="697"/>
      <w:bookmarkEnd w:id="698"/>
    </w:p>
    <w:p w:rsidR="00DB7CC8" w:rsidRDefault="002B5250">
      <w:pPr>
        <w:ind w:firstLineChars="0" w:firstLine="560"/>
        <w:rPr>
          <w:sz w:val="24"/>
          <w:szCs w:val="24"/>
        </w:rPr>
      </w:pPr>
      <w:bookmarkStart w:id="700" w:name="_Toc6424"/>
      <w:bookmarkStart w:id="701" w:name="_Toc16585"/>
      <w:bookmarkStart w:id="702" w:name="_Toc499651437"/>
      <w:bookmarkStart w:id="703" w:name="_Toc503218136"/>
      <w:bookmarkStart w:id="704" w:name="_Toc524285129"/>
      <w:bookmarkStart w:id="705" w:name="_Toc521591844"/>
      <w:bookmarkStart w:id="706" w:name="_Toc5193"/>
      <w:bookmarkStart w:id="707" w:name="_Toc6937"/>
      <w:r>
        <w:rPr>
          <w:bCs/>
          <w:sz w:val="24"/>
          <w:szCs w:val="24"/>
        </w:rPr>
        <w:t>（</w:t>
      </w:r>
      <w:r>
        <w:rPr>
          <w:bCs/>
          <w:sz w:val="24"/>
          <w:szCs w:val="24"/>
        </w:rPr>
        <w:t>1</w:t>
      </w:r>
      <w:r>
        <w:rPr>
          <w:bCs/>
          <w:sz w:val="24"/>
          <w:szCs w:val="24"/>
        </w:rPr>
        <w:t>）项目名称：遵化市鑫伟铁选厂年处理</w:t>
      </w:r>
      <w:r>
        <w:rPr>
          <w:rFonts w:hint="eastAsia"/>
          <w:bCs/>
          <w:sz w:val="24"/>
          <w:szCs w:val="24"/>
        </w:rPr>
        <w:t>110</w:t>
      </w:r>
      <w:r>
        <w:rPr>
          <w:bCs/>
          <w:sz w:val="24"/>
          <w:szCs w:val="24"/>
        </w:rPr>
        <w:t>万吨铁</w:t>
      </w:r>
      <w:r>
        <w:rPr>
          <w:rFonts w:hint="eastAsia"/>
          <w:bCs/>
          <w:sz w:val="24"/>
          <w:szCs w:val="24"/>
        </w:rPr>
        <w:t>矿</w:t>
      </w:r>
      <w:r>
        <w:rPr>
          <w:bCs/>
          <w:sz w:val="24"/>
          <w:szCs w:val="24"/>
        </w:rPr>
        <w:t>石</w:t>
      </w:r>
      <w:r>
        <w:rPr>
          <w:rFonts w:hint="eastAsia"/>
          <w:bCs/>
          <w:sz w:val="24"/>
          <w:szCs w:val="24"/>
        </w:rPr>
        <w:t>、</w:t>
      </w:r>
      <w:r>
        <w:rPr>
          <w:rFonts w:hint="eastAsia"/>
          <w:bCs/>
          <w:sz w:val="24"/>
          <w:szCs w:val="24"/>
        </w:rPr>
        <w:t>40</w:t>
      </w:r>
      <w:r>
        <w:rPr>
          <w:rFonts w:hint="eastAsia"/>
          <w:bCs/>
          <w:sz w:val="24"/>
          <w:szCs w:val="24"/>
        </w:rPr>
        <w:t>万吨粗精矿改扩建</w:t>
      </w:r>
      <w:r>
        <w:rPr>
          <w:bCs/>
          <w:sz w:val="24"/>
          <w:szCs w:val="24"/>
        </w:rPr>
        <w:t>项目</w:t>
      </w:r>
    </w:p>
    <w:p w:rsidR="00DB7CC8" w:rsidRDefault="002B5250">
      <w:pPr>
        <w:ind w:firstLineChars="0" w:firstLine="560"/>
        <w:rPr>
          <w:bCs/>
          <w:sz w:val="24"/>
          <w:szCs w:val="24"/>
        </w:rPr>
      </w:pPr>
      <w:r>
        <w:rPr>
          <w:bCs/>
          <w:sz w:val="24"/>
          <w:szCs w:val="24"/>
        </w:rPr>
        <w:t>（</w:t>
      </w:r>
      <w:r>
        <w:rPr>
          <w:bCs/>
          <w:sz w:val="24"/>
          <w:szCs w:val="24"/>
        </w:rPr>
        <w:t>2</w:t>
      </w:r>
      <w:r>
        <w:rPr>
          <w:bCs/>
          <w:sz w:val="24"/>
          <w:szCs w:val="24"/>
        </w:rPr>
        <w:t>）建设性质：</w:t>
      </w:r>
      <w:r>
        <w:rPr>
          <w:rFonts w:hint="eastAsia"/>
          <w:bCs/>
          <w:sz w:val="24"/>
          <w:szCs w:val="24"/>
        </w:rPr>
        <w:t>改扩</w:t>
      </w:r>
      <w:r>
        <w:rPr>
          <w:bCs/>
          <w:sz w:val="24"/>
          <w:szCs w:val="24"/>
        </w:rPr>
        <w:t>建</w:t>
      </w:r>
    </w:p>
    <w:p w:rsidR="00DB7CC8" w:rsidRDefault="002B5250">
      <w:pPr>
        <w:ind w:firstLineChars="0" w:firstLine="560"/>
        <w:rPr>
          <w:bCs/>
          <w:sz w:val="24"/>
          <w:szCs w:val="24"/>
        </w:rPr>
      </w:pPr>
      <w:r>
        <w:rPr>
          <w:bCs/>
          <w:sz w:val="24"/>
          <w:szCs w:val="24"/>
        </w:rPr>
        <w:t>（</w:t>
      </w:r>
      <w:r>
        <w:rPr>
          <w:bCs/>
          <w:sz w:val="24"/>
          <w:szCs w:val="24"/>
        </w:rPr>
        <w:t>3</w:t>
      </w:r>
      <w:r>
        <w:rPr>
          <w:bCs/>
          <w:sz w:val="24"/>
          <w:szCs w:val="24"/>
        </w:rPr>
        <w:t>）建设单位：遵化市鑫伟铁选厂</w:t>
      </w:r>
    </w:p>
    <w:p w:rsidR="00DB7CC8" w:rsidRDefault="002B5250">
      <w:pPr>
        <w:ind w:firstLineChars="0" w:firstLine="560"/>
        <w:rPr>
          <w:bCs/>
          <w:sz w:val="24"/>
          <w:szCs w:val="24"/>
        </w:rPr>
      </w:pPr>
      <w:r>
        <w:rPr>
          <w:bCs/>
          <w:sz w:val="24"/>
          <w:szCs w:val="24"/>
        </w:rPr>
        <w:t>（</w:t>
      </w:r>
      <w:r>
        <w:rPr>
          <w:bCs/>
          <w:sz w:val="24"/>
          <w:szCs w:val="24"/>
        </w:rPr>
        <w:t>4</w:t>
      </w:r>
      <w:r>
        <w:rPr>
          <w:bCs/>
          <w:sz w:val="24"/>
          <w:szCs w:val="24"/>
        </w:rPr>
        <w:t>）建设地点：</w:t>
      </w:r>
      <w:r>
        <w:rPr>
          <w:sz w:val="24"/>
          <w:szCs w:val="24"/>
        </w:rPr>
        <w:t>遵化市建明镇靠山庄村</w:t>
      </w:r>
      <w:r>
        <w:rPr>
          <w:bCs/>
          <w:sz w:val="24"/>
          <w:szCs w:val="24"/>
        </w:rPr>
        <w:t>，本项目总占地面积为</w:t>
      </w:r>
      <w:r>
        <w:rPr>
          <w:rFonts w:hint="eastAsia"/>
          <w:bCs/>
          <w:sz w:val="24"/>
          <w:szCs w:val="24"/>
        </w:rPr>
        <w:t>6653m</w:t>
      </w:r>
      <w:r>
        <w:rPr>
          <w:rFonts w:hint="eastAsia"/>
          <w:bCs/>
          <w:sz w:val="24"/>
          <w:szCs w:val="24"/>
          <w:vertAlign w:val="superscript"/>
        </w:rPr>
        <w:t>2</w:t>
      </w:r>
      <w:r>
        <w:rPr>
          <w:rFonts w:hint="eastAsia"/>
          <w:bCs/>
          <w:sz w:val="24"/>
          <w:szCs w:val="24"/>
        </w:rPr>
        <w:t>，</w:t>
      </w:r>
      <w:r>
        <w:rPr>
          <w:bCs/>
          <w:sz w:val="24"/>
          <w:szCs w:val="24"/>
        </w:rPr>
        <w:t>厂区中心地理位置坐标为：</w:t>
      </w:r>
      <w:r>
        <w:rPr>
          <w:rFonts w:hint="eastAsia"/>
          <w:bCs/>
          <w:sz w:val="24"/>
          <w:szCs w:val="24"/>
        </w:rPr>
        <w:t>东经：</w:t>
      </w:r>
      <w:r>
        <w:rPr>
          <w:bCs/>
          <w:sz w:val="24"/>
          <w:szCs w:val="24"/>
        </w:rPr>
        <w:t>118°7'</w:t>
      </w:r>
      <w:r>
        <w:rPr>
          <w:rFonts w:hint="eastAsia"/>
          <w:bCs/>
          <w:sz w:val="24"/>
          <w:szCs w:val="24"/>
        </w:rPr>
        <w:t>17.73</w:t>
      </w:r>
      <w:r>
        <w:rPr>
          <w:bCs/>
          <w:sz w:val="24"/>
          <w:szCs w:val="24"/>
        </w:rPr>
        <w:t>"</w:t>
      </w:r>
      <w:r>
        <w:rPr>
          <w:bCs/>
          <w:sz w:val="24"/>
          <w:szCs w:val="24"/>
        </w:rPr>
        <w:t>，北纬：</w:t>
      </w:r>
      <w:r>
        <w:rPr>
          <w:bCs/>
          <w:sz w:val="24"/>
          <w:szCs w:val="24"/>
        </w:rPr>
        <w:t>40°11'</w:t>
      </w:r>
      <w:r>
        <w:rPr>
          <w:rFonts w:hint="eastAsia"/>
          <w:bCs/>
          <w:sz w:val="24"/>
          <w:szCs w:val="24"/>
        </w:rPr>
        <w:t>12.13</w:t>
      </w:r>
      <w:r>
        <w:rPr>
          <w:bCs/>
          <w:sz w:val="24"/>
          <w:szCs w:val="24"/>
        </w:rPr>
        <w:t>"</w:t>
      </w:r>
      <w:r>
        <w:rPr>
          <w:bCs/>
          <w:sz w:val="24"/>
          <w:szCs w:val="24"/>
        </w:rPr>
        <w:t>。</w:t>
      </w:r>
    </w:p>
    <w:p w:rsidR="00DB7CC8" w:rsidRDefault="002B5250">
      <w:pPr>
        <w:ind w:firstLineChars="0" w:firstLine="560"/>
        <w:rPr>
          <w:sz w:val="24"/>
          <w:szCs w:val="24"/>
        </w:rPr>
      </w:pPr>
      <w:r>
        <w:rPr>
          <w:bCs/>
          <w:sz w:val="24"/>
          <w:szCs w:val="24"/>
        </w:rPr>
        <w:t>（</w:t>
      </w:r>
      <w:r>
        <w:rPr>
          <w:bCs/>
          <w:sz w:val="24"/>
          <w:szCs w:val="24"/>
        </w:rPr>
        <w:t>5</w:t>
      </w:r>
      <w:r>
        <w:rPr>
          <w:bCs/>
          <w:sz w:val="24"/>
          <w:szCs w:val="24"/>
        </w:rPr>
        <w:t>）周边关系：</w:t>
      </w:r>
      <w:r>
        <w:rPr>
          <w:sz w:val="24"/>
          <w:szCs w:val="24"/>
        </w:rPr>
        <w:t>本项目东侧、西侧为农田，北侧为道路，南侧为</w:t>
      </w:r>
      <w:r>
        <w:rPr>
          <w:rFonts w:hint="eastAsia"/>
          <w:sz w:val="24"/>
          <w:szCs w:val="24"/>
        </w:rPr>
        <w:t>选矿厂</w:t>
      </w:r>
      <w:r>
        <w:rPr>
          <w:sz w:val="24"/>
          <w:szCs w:val="24"/>
        </w:rPr>
        <w:t>，项目最近的敏感点为北侧</w:t>
      </w:r>
      <w:r>
        <w:rPr>
          <w:rFonts w:hint="eastAsia"/>
          <w:sz w:val="24"/>
          <w:szCs w:val="24"/>
        </w:rPr>
        <w:t>330m</w:t>
      </w:r>
      <w:r>
        <w:rPr>
          <w:rFonts w:hint="eastAsia"/>
          <w:sz w:val="24"/>
          <w:szCs w:val="24"/>
        </w:rPr>
        <w:t>的靠山庄村，</w:t>
      </w:r>
      <w:r>
        <w:rPr>
          <w:sz w:val="24"/>
          <w:szCs w:val="24"/>
        </w:rPr>
        <w:t>项目周边关系图详见附图</w:t>
      </w:r>
      <w:r>
        <w:rPr>
          <w:sz w:val="24"/>
          <w:szCs w:val="24"/>
        </w:rPr>
        <w:t>3</w:t>
      </w:r>
      <w:r>
        <w:rPr>
          <w:rFonts w:hint="eastAsia"/>
          <w:sz w:val="24"/>
          <w:szCs w:val="24"/>
        </w:rPr>
        <w:t>。</w:t>
      </w:r>
    </w:p>
    <w:p w:rsidR="00DB7CC8" w:rsidRDefault="002B5250">
      <w:pPr>
        <w:snapToGrid w:val="0"/>
        <w:ind w:firstLine="480"/>
        <w:jc w:val="both"/>
        <w:rPr>
          <w:sz w:val="24"/>
          <w:szCs w:val="24"/>
        </w:rPr>
      </w:pPr>
      <w:r>
        <w:rPr>
          <w:bCs/>
          <w:sz w:val="24"/>
          <w:szCs w:val="24"/>
        </w:rPr>
        <w:t>（</w:t>
      </w:r>
      <w:r>
        <w:rPr>
          <w:rFonts w:hint="eastAsia"/>
          <w:bCs/>
          <w:sz w:val="24"/>
          <w:szCs w:val="24"/>
        </w:rPr>
        <w:t>6</w:t>
      </w:r>
      <w:r>
        <w:rPr>
          <w:bCs/>
          <w:sz w:val="24"/>
          <w:szCs w:val="24"/>
        </w:rPr>
        <w:t>）建设内容及规模：</w:t>
      </w:r>
      <w:r>
        <w:rPr>
          <w:rFonts w:hint="eastAsia"/>
          <w:bCs/>
          <w:sz w:val="24"/>
          <w:szCs w:val="24"/>
        </w:rPr>
        <w:t>主要</w:t>
      </w:r>
      <w:r>
        <w:rPr>
          <w:rFonts w:hint="eastAsia"/>
          <w:sz w:val="24"/>
          <w:szCs w:val="24"/>
        </w:rPr>
        <w:t>建设破碎粗选车间、精选车间，购置安装球磨、磁选等设备，配套建设辅助生产设施办公室、配电室、库房。项目建成后年处理</w:t>
      </w:r>
      <w:r>
        <w:rPr>
          <w:rFonts w:hint="eastAsia"/>
          <w:sz w:val="24"/>
          <w:szCs w:val="24"/>
        </w:rPr>
        <w:t>110</w:t>
      </w:r>
      <w:r>
        <w:rPr>
          <w:rFonts w:hint="eastAsia"/>
          <w:sz w:val="24"/>
          <w:szCs w:val="24"/>
        </w:rPr>
        <w:t>万吨铁矿石、</w:t>
      </w:r>
      <w:r>
        <w:rPr>
          <w:rFonts w:hint="eastAsia"/>
          <w:sz w:val="24"/>
          <w:szCs w:val="24"/>
        </w:rPr>
        <w:t>40</w:t>
      </w:r>
      <w:r>
        <w:rPr>
          <w:rFonts w:hint="eastAsia"/>
          <w:sz w:val="24"/>
          <w:szCs w:val="24"/>
        </w:rPr>
        <w:t>万吨粗精矿，年产</w:t>
      </w:r>
      <w:r>
        <w:rPr>
          <w:rFonts w:hint="eastAsia"/>
          <w:sz w:val="24"/>
          <w:szCs w:val="24"/>
        </w:rPr>
        <w:t>66%</w:t>
      </w:r>
      <w:r>
        <w:rPr>
          <w:rFonts w:hint="eastAsia"/>
          <w:sz w:val="24"/>
          <w:szCs w:val="24"/>
        </w:rPr>
        <w:t>铁精粉</w:t>
      </w:r>
      <w:r>
        <w:rPr>
          <w:rFonts w:hint="eastAsia"/>
          <w:sz w:val="24"/>
          <w:szCs w:val="24"/>
        </w:rPr>
        <w:t>35</w:t>
      </w:r>
      <w:r>
        <w:rPr>
          <w:rFonts w:hint="eastAsia"/>
          <w:sz w:val="24"/>
          <w:szCs w:val="24"/>
        </w:rPr>
        <w:t>万吨。</w:t>
      </w:r>
    </w:p>
    <w:p w:rsidR="00DB7CC8" w:rsidRDefault="002B5250">
      <w:pPr>
        <w:ind w:firstLine="480"/>
        <w:jc w:val="both"/>
        <w:rPr>
          <w:bCs/>
          <w:sz w:val="24"/>
          <w:szCs w:val="24"/>
        </w:rPr>
      </w:pPr>
      <w:r>
        <w:rPr>
          <w:bCs/>
          <w:sz w:val="24"/>
          <w:szCs w:val="24"/>
        </w:rPr>
        <w:t>（</w:t>
      </w:r>
      <w:r>
        <w:rPr>
          <w:rFonts w:hint="eastAsia"/>
          <w:bCs/>
          <w:sz w:val="24"/>
          <w:szCs w:val="24"/>
        </w:rPr>
        <w:t>7</w:t>
      </w:r>
      <w:r>
        <w:rPr>
          <w:bCs/>
          <w:sz w:val="24"/>
          <w:szCs w:val="24"/>
        </w:rPr>
        <w:t>）</w:t>
      </w:r>
      <w:r>
        <w:rPr>
          <w:sz w:val="24"/>
          <w:szCs w:val="24"/>
        </w:rPr>
        <w:t>项目投资：本项目总投资为</w:t>
      </w:r>
      <w:r>
        <w:rPr>
          <w:rFonts w:hint="eastAsia"/>
          <w:sz w:val="24"/>
          <w:szCs w:val="24"/>
        </w:rPr>
        <w:t>22</w:t>
      </w:r>
      <w:r>
        <w:rPr>
          <w:sz w:val="24"/>
          <w:szCs w:val="24"/>
        </w:rPr>
        <w:t>00</w:t>
      </w:r>
      <w:r>
        <w:rPr>
          <w:sz w:val="24"/>
          <w:szCs w:val="24"/>
        </w:rPr>
        <w:t>万元，其中环保投资估算</w:t>
      </w:r>
      <w:r>
        <w:rPr>
          <w:rFonts w:hint="eastAsia"/>
          <w:sz w:val="24"/>
          <w:szCs w:val="24"/>
        </w:rPr>
        <w:t>110</w:t>
      </w:r>
      <w:r>
        <w:rPr>
          <w:sz w:val="24"/>
          <w:szCs w:val="24"/>
        </w:rPr>
        <w:t>万元，占总投资的比例为</w:t>
      </w:r>
      <w:r>
        <w:rPr>
          <w:rFonts w:hint="eastAsia"/>
          <w:sz w:val="24"/>
          <w:szCs w:val="24"/>
        </w:rPr>
        <w:t>5</w:t>
      </w:r>
      <w:r>
        <w:rPr>
          <w:sz w:val="24"/>
          <w:szCs w:val="24"/>
        </w:rPr>
        <w:t>%</w:t>
      </w:r>
      <w:r>
        <w:rPr>
          <w:sz w:val="24"/>
          <w:szCs w:val="24"/>
        </w:rPr>
        <w:t>。</w:t>
      </w:r>
    </w:p>
    <w:p w:rsidR="00DB7CC8" w:rsidRDefault="002B5250">
      <w:pPr>
        <w:ind w:firstLine="480"/>
        <w:jc w:val="both"/>
        <w:rPr>
          <w:bCs/>
          <w:sz w:val="24"/>
          <w:szCs w:val="24"/>
        </w:rPr>
      </w:pPr>
      <w:r>
        <w:rPr>
          <w:bCs/>
          <w:sz w:val="24"/>
          <w:szCs w:val="24"/>
        </w:rPr>
        <w:t>（</w:t>
      </w:r>
      <w:r>
        <w:rPr>
          <w:rFonts w:hint="eastAsia"/>
          <w:bCs/>
          <w:sz w:val="24"/>
          <w:szCs w:val="24"/>
        </w:rPr>
        <w:t>8</w:t>
      </w:r>
      <w:r>
        <w:rPr>
          <w:bCs/>
          <w:sz w:val="24"/>
          <w:szCs w:val="24"/>
        </w:rPr>
        <w:t>）建设周期：</w:t>
      </w:r>
      <w:r>
        <w:rPr>
          <w:bCs/>
          <w:sz w:val="24"/>
          <w:szCs w:val="24"/>
        </w:rPr>
        <w:t>20</w:t>
      </w:r>
      <w:r>
        <w:rPr>
          <w:rFonts w:hint="eastAsia"/>
          <w:bCs/>
          <w:sz w:val="24"/>
          <w:szCs w:val="24"/>
        </w:rPr>
        <w:t>23</w:t>
      </w:r>
      <w:r>
        <w:rPr>
          <w:bCs/>
          <w:sz w:val="24"/>
          <w:szCs w:val="24"/>
        </w:rPr>
        <w:t>年</w:t>
      </w:r>
      <w:r>
        <w:rPr>
          <w:bCs/>
          <w:sz w:val="24"/>
          <w:szCs w:val="24"/>
        </w:rPr>
        <w:t>9</w:t>
      </w:r>
      <w:r>
        <w:rPr>
          <w:bCs/>
          <w:sz w:val="24"/>
          <w:szCs w:val="24"/>
        </w:rPr>
        <w:t>月</w:t>
      </w:r>
      <w:r>
        <w:rPr>
          <w:bCs/>
          <w:sz w:val="24"/>
          <w:szCs w:val="24"/>
        </w:rPr>
        <w:t>-202</w:t>
      </w:r>
      <w:r>
        <w:rPr>
          <w:rFonts w:hint="eastAsia"/>
          <w:bCs/>
          <w:sz w:val="24"/>
          <w:szCs w:val="24"/>
        </w:rPr>
        <w:t>4</w:t>
      </w:r>
      <w:r>
        <w:rPr>
          <w:bCs/>
          <w:sz w:val="24"/>
          <w:szCs w:val="24"/>
        </w:rPr>
        <w:t>年</w:t>
      </w:r>
      <w:r>
        <w:rPr>
          <w:rFonts w:hint="eastAsia"/>
          <w:bCs/>
          <w:sz w:val="24"/>
          <w:szCs w:val="24"/>
        </w:rPr>
        <w:t>3</w:t>
      </w:r>
      <w:r>
        <w:rPr>
          <w:bCs/>
          <w:sz w:val="24"/>
          <w:szCs w:val="24"/>
        </w:rPr>
        <w:t>月</w:t>
      </w:r>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r>
        <w:rPr>
          <w:rFonts w:ascii="Times New Roman" w:eastAsia="宋体" w:hAnsi="Times New Roman"/>
          <w:bCs w:val="0"/>
          <w:snapToGrid w:val="0"/>
          <w:kern w:val="0"/>
          <w:sz w:val="28"/>
          <w:szCs w:val="28"/>
        </w:rPr>
        <w:t>评价结论</w:t>
      </w:r>
      <w:bookmarkEnd w:id="700"/>
      <w:bookmarkEnd w:id="701"/>
      <w:bookmarkEnd w:id="702"/>
      <w:bookmarkEnd w:id="703"/>
      <w:bookmarkEnd w:id="704"/>
      <w:bookmarkEnd w:id="705"/>
      <w:bookmarkEnd w:id="706"/>
      <w:bookmarkEnd w:id="707"/>
    </w:p>
    <w:p w:rsidR="00DB7CC8" w:rsidRDefault="002B5250">
      <w:pPr>
        <w:pStyle w:val="3"/>
      </w:pPr>
      <w:bookmarkStart w:id="708" w:name="_Toc521591845"/>
      <w:bookmarkStart w:id="709" w:name="_Toc24966"/>
      <w:bookmarkStart w:id="710" w:name="_Toc477175445"/>
      <w:r>
        <w:t>9.2.1</w:t>
      </w:r>
      <w:r>
        <w:t>评价区环境质量现状</w:t>
      </w:r>
      <w:bookmarkEnd w:id="699"/>
      <w:bookmarkEnd w:id="708"/>
      <w:bookmarkEnd w:id="709"/>
      <w:bookmarkEnd w:id="710"/>
    </w:p>
    <w:p w:rsidR="00DB7CC8" w:rsidRDefault="002B5250">
      <w:pPr>
        <w:pStyle w:val="4"/>
      </w:pPr>
      <w:r>
        <w:t>9.2.1.1</w:t>
      </w:r>
      <w:r>
        <w:t>环境空气</w:t>
      </w:r>
    </w:p>
    <w:p w:rsidR="00DB7CC8" w:rsidRDefault="002B5250">
      <w:pPr>
        <w:snapToGrid w:val="0"/>
        <w:ind w:firstLine="480"/>
        <w:rPr>
          <w:rFonts w:ascii="TimesNewRomanPSMT" w:hAnsi="TimesNewRomanPSMT" w:cs="TimesNewRomanPSMT"/>
          <w:sz w:val="16"/>
          <w:szCs w:val="16"/>
        </w:rPr>
      </w:pPr>
      <w:r>
        <w:rPr>
          <w:color w:val="000000"/>
          <w:sz w:val="24"/>
        </w:rPr>
        <w:t>根据</w:t>
      </w:r>
      <w:r>
        <w:rPr>
          <w:color w:val="000000"/>
          <w:sz w:val="24"/>
        </w:rPr>
        <w:t>20</w:t>
      </w:r>
      <w:r>
        <w:rPr>
          <w:rFonts w:hint="eastAsia"/>
          <w:color w:val="000000"/>
          <w:sz w:val="24"/>
        </w:rPr>
        <w:t>2</w:t>
      </w:r>
      <w:r>
        <w:rPr>
          <w:rFonts w:hint="eastAsia"/>
          <w:color w:val="000000"/>
          <w:sz w:val="24"/>
        </w:rPr>
        <w:t>2</w:t>
      </w:r>
      <w:r>
        <w:rPr>
          <w:color w:val="000000"/>
          <w:sz w:val="24"/>
        </w:rPr>
        <w:t>年</w:t>
      </w:r>
      <w:r>
        <w:rPr>
          <w:color w:val="000000"/>
          <w:sz w:val="24"/>
        </w:rPr>
        <w:t>6</w:t>
      </w:r>
      <w:r>
        <w:rPr>
          <w:color w:val="000000"/>
          <w:sz w:val="24"/>
        </w:rPr>
        <w:t>月年唐山市环境保护局发布的《</w:t>
      </w:r>
      <w:r>
        <w:rPr>
          <w:color w:val="000000"/>
          <w:sz w:val="24"/>
        </w:rPr>
        <w:t>20</w:t>
      </w:r>
      <w:r>
        <w:rPr>
          <w:rFonts w:hint="eastAsia"/>
          <w:color w:val="000000"/>
          <w:sz w:val="24"/>
        </w:rPr>
        <w:t>21</w:t>
      </w:r>
      <w:r>
        <w:rPr>
          <w:color w:val="000000"/>
          <w:sz w:val="24"/>
        </w:rPr>
        <w:t>年唐山市环境状况公报》显示，</w:t>
      </w:r>
      <w:r>
        <w:rPr>
          <w:color w:val="000000"/>
          <w:sz w:val="24"/>
        </w:rPr>
        <w:t>20</w:t>
      </w:r>
      <w:r>
        <w:rPr>
          <w:rFonts w:hint="eastAsia"/>
          <w:color w:val="000000"/>
          <w:sz w:val="24"/>
        </w:rPr>
        <w:t>19</w:t>
      </w:r>
      <w:r>
        <w:rPr>
          <w:color w:val="000000"/>
          <w:sz w:val="24"/>
        </w:rPr>
        <w:t>年全年有效监测天数为</w:t>
      </w:r>
      <w:r>
        <w:rPr>
          <w:color w:val="000000"/>
          <w:sz w:val="24"/>
        </w:rPr>
        <w:t>350</w:t>
      </w:r>
      <w:r>
        <w:rPr>
          <w:color w:val="000000"/>
          <w:sz w:val="24"/>
        </w:rPr>
        <w:t>天，按照</w:t>
      </w:r>
      <w:r>
        <w:rPr>
          <w:color w:val="000000"/>
          <w:sz w:val="24"/>
        </w:rPr>
        <w:t>AQI</w:t>
      </w:r>
      <w:r>
        <w:rPr>
          <w:color w:val="000000"/>
          <w:sz w:val="24"/>
        </w:rPr>
        <w:t>指</w:t>
      </w:r>
      <w:r>
        <w:rPr>
          <w:color w:val="000000"/>
          <w:sz w:val="24"/>
        </w:rPr>
        <w:t>数等级划分，达标天数</w:t>
      </w:r>
      <w:r>
        <w:rPr>
          <w:color w:val="000000"/>
          <w:sz w:val="24"/>
        </w:rPr>
        <w:t>202</w:t>
      </w:r>
      <w:r>
        <w:rPr>
          <w:color w:val="000000"/>
          <w:sz w:val="24"/>
        </w:rPr>
        <w:t>天，达标率为</w:t>
      </w:r>
      <w:r>
        <w:rPr>
          <w:color w:val="000000"/>
          <w:sz w:val="24"/>
        </w:rPr>
        <w:t>57.71%</w:t>
      </w:r>
      <w:r>
        <w:rPr>
          <w:color w:val="000000"/>
          <w:sz w:val="24"/>
        </w:rPr>
        <w:t>，因此，项目所在区域（唐山市）属于非达标区</w:t>
      </w:r>
      <w:r>
        <w:rPr>
          <w:rFonts w:ascii="宋体" w:cs="宋体" w:hint="eastAsia"/>
          <w:sz w:val="24"/>
          <w:szCs w:val="24"/>
        </w:rPr>
        <w:t>。</w:t>
      </w:r>
    </w:p>
    <w:p w:rsidR="00DB7CC8" w:rsidRDefault="002B5250">
      <w:pPr>
        <w:pStyle w:val="4"/>
      </w:pPr>
      <w:r>
        <w:t>9.2.1.</w:t>
      </w:r>
      <w:r>
        <w:rPr>
          <w:rFonts w:hint="eastAsia"/>
        </w:rPr>
        <w:t>2</w:t>
      </w:r>
      <w:r>
        <w:t>地下水水环境</w:t>
      </w:r>
    </w:p>
    <w:p w:rsidR="00DB7CC8" w:rsidRDefault="002B5250">
      <w:pPr>
        <w:autoSpaceDE w:val="0"/>
        <w:autoSpaceDN w:val="0"/>
        <w:ind w:firstLine="480"/>
        <w:jc w:val="both"/>
        <w:textAlignment w:val="auto"/>
        <w:rPr>
          <w:sz w:val="24"/>
        </w:rPr>
      </w:pPr>
      <w:r>
        <w:rPr>
          <w:bCs/>
          <w:sz w:val="24"/>
        </w:rPr>
        <w:t>由评价结果可知，监测地下水水质点各项监测指标均能满足《地下水质量标准》（</w:t>
      </w:r>
      <w:r>
        <w:rPr>
          <w:bCs/>
          <w:sz w:val="24"/>
        </w:rPr>
        <w:t>GB/T14848-2017</w:t>
      </w:r>
      <w:r>
        <w:rPr>
          <w:bCs/>
          <w:sz w:val="24"/>
        </w:rPr>
        <w:t>）</w:t>
      </w:r>
      <w:r>
        <w:rPr>
          <w:bCs/>
          <w:sz w:val="24"/>
        </w:rPr>
        <w:t>III</w:t>
      </w:r>
      <w:r>
        <w:rPr>
          <w:bCs/>
          <w:sz w:val="24"/>
        </w:rPr>
        <w:t>类水质标准</w:t>
      </w:r>
      <w:bookmarkStart w:id="711" w:name="_Hlk535601511"/>
      <w:r>
        <w:rPr>
          <w:bCs/>
          <w:sz w:val="24"/>
        </w:rPr>
        <w:t>（石油类满足</w:t>
      </w:r>
      <w:r>
        <w:rPr>
          <w:bCs/>
          <w:spacing w:val="4"/>
          <w:sz w:val="24"/>
        </w:rPr>
        <w:t>《地表水环境质量标准》（</w:t>
      </w:r>
      <w:r>
        <w:rPr>
          <w:bCs/>
          <w:spacing w:val="4"/>
          <w:sz w:val="24"/>
        </w:rPr>
        <w:t>GB3838-2002</w:t>
      </w:r>
      <w:r>
        <w:rPr>
          <w:bCs/>
          <w:spacing w:val="4"/>
          <w:sz w:val="24"/>
        </w:rPr>
        <w:t>）</w:t>
      </w:r>
      <w:r>
        <w:rPr>
          <w:bCs/>
          <w:spacing w:val="4"/>
          <w:sz w:val="24"/>
        </w:rPr>
        <w:t xml:space="preserve">III </w:t>
      </w:r>
      <w:r>
        <w:rPr>
          <w:bCs/>
          <w:spacing w:val="4"/>
          <w:sz w:val="24"/>
        </w:rPr>
        <w:t>类标准</w:t>
      </w:r>
      <w:r>
        <w:rPr>
          <w:bCs/>
          <w:sz w:val="24"/>
        </w:rPr>
        <w:t>）</w:t>
      </w:r>
      <w:bookmarkEnd w:id="711"/>
      <w:r>
        <w:rPr>
          <w:bCs/>
          <w:sz w:val="24"/>
        </w:rPr>
        <w:t>。因此，总体来说评价区地下水水质现状良好。</w:t>
      </w:r>
    </w:p>
    <w:p w:rsidR="00DB7CC8" w:rsidRDefault="002B5250">
      <w:pPr>
        <w:pStyle w:val="4"/>
      </w:pPr>
      <w:r>
        <w:t>9.2.1.</w:t>
      </w:r>
      <w:r>
        <w:rPr>
          <w:rFonts w:hint="eastAsia"/>
        </w:rPr>
        <w:t>3</w:t>
      </w:r>
      <w:r>
        <w:t>声环境</w:t>
      </w:r>
    </w:p>
    <w:p w:rsidR="00DB7CC8" w:rsidRDefault="002B5250">
      <w:pPr>
        <w:autoSpaceDE w:val="0"/>
        <w:autoSpaceDN w:val="0"/>
        <w:ind w:firstLine="480"/>
        <w:jc w:val="both"/>
        <w:textAlignment w:val="auto"/>
        <w:rPr>
          <w:sz w:val="24"/>
        </w:rPr>
      </w:pPr>
      <w:bookmarkStart w:id="712" w:name="_Toc239045821"/>
      <w:r>
        <w:rPr>
          <w:sz w:val="24"/>
        </w:rPr>
        <w:t>根据监测结果，本项目厂界噪声现状能够满足《声环境质量标准》（</w:t>
      </w:r>
      <w:r>
        <w:rPr>
          <w:sz w:val="24"/>
        </w:rPr>
        <w:t>GB3096-2008</w:t>
      </w:r>
      <w:r>
        <w:rPr>
          <w:sz w:val="24"/>
        </w:rPr>
        <w:t>）</w:t>
      </w:r>
      <w:r>
        <w:rPr>
          <w:sz w:val="24"/>
        </w:rPr>
        <w:t>2</w:t>
      </w:r>
      <w:r>
        <w:rPr>
          <w:sz w:val="24"/>
        </w:rPr>
        <w:t>类标准，</w:t>
      </w:r>
      <w:bookmarkStart w:id="713" w:name="_Toc477175446"/>
      <w:r>
        <w:rPr>
          <w:sz w:val="24"/>
        </w:rPr>
        <w:t>区域噪声环境质量较好。</w:t>
      </w:r>
    </w:p>
    <w:p w:rsidR="00DB7CC8" w:rsidRDefault="002B5250">
      <w:pPr>
        <w:pStyle w:val="4"/>
      </w:pPr>
      <w:r>
        <w:rPr>
          <w:rFonts w:hint="eastAsia"/>
        </w:rPr>
        <w:lastRenderedPageBreak/>
        <w:t>9.2.1.</w:t>
      </w:r>
      <w:r>
        <w:rPr>
          <w:rFonts w:hint="eastAsia"/>
        </w:rPr>
        <w:t>4</w:t>
      </w:r>
      <w:r>
        <w:rPr>
          <w:rFonts w:hint="eastAsia"/>
        </w:rPr>
        <w:t>土壤环境现状</w:t>
      </w:r>
    </w:p>
    <w:p w:rsidR="00DB7CC8" w:rsidRDefault="002B5250">
      <w:pPr>
        <w:autoSpaceDE w:val="0"/>
        <w:autoSpaceDN w:val="0"/>
        <w:ind w:firstLine="480"/>
        <w:jc w:val="both"/>
        <w:textAlignment w:val="auto"/>
        <w:rPr>
          <w:sz w:val="24"/>
        </w:rPr>
      </w:pPr>
      <w:r>
        <w:rPr>
          <w:rFonts w:hint="eastAsia"/>
          <w:sz w:val="24"/>
          <w:szCs w:val="22"/>
        </w:rPr>
        <w:t>根据土壤环境现状监测可知，项目土壤现状满足《土壤环境质量</w:t>
      </w:r>
      <w:r>
        <w:rPr>
          <w:rFonts w:hint="eastAsia"/>
          <w:sz w:val="24"/>
          <w:szCs w:val="22"/>
        </w:rPr>
        <w:t xml:space="preserve"> </w:t>
      </w:r>
      <w:r>
        <w:rPr>
          <w:rFonts w:hint="eastAsia"/>
          <w:sz w:val="24"/>
          <w:szCs w:val="22"/>
        </w:rPr>
        <w:t>建设用地土壤污染风险管控标准（试行）》</w:t>
      </w:r>
      <w:r>
        <w:rPr>
          <w:rFonts w:hint="eastAsia"/>
          <w:sz w:val="24"/>
          <w:szCs w:val="22"/>
        </w:rPr>
        <w:t>(GB36600-2018)</w:t>
      </w:r>
      <w:r>
        <w:rPr>
          <w:rFonts w:hint="eastAsia"/>
          <w:sz w:val="24"/>
          <w:szCs w:val="22"/>
        </w:rPr>
        <w:t>表</w:t>
      </w:r>
      <w:r>
        <w:rPr>
          <w:rFonts w:hint="eastAsia"/>
          <w:sz w:val="24"/>
          <w:szCs w:val="22"/>
        </w:rPr>
        <w:t>1</w:t>
      </w:r>
      <w:r>
        <w:rPr>
          <w:rFonts w:hint="eastAsia"/>
          <w:sz w:val="24"/>
          <w:szCs w:val="22"/>
        </w:rPr>
        <w:t>建设用地土壤污染风险筛选值第二类用地标准，未出现超标现象。</w:t>
      </w:r>
    </w:p>
    <w:p w:rsidR="00DB7CC8" w:rsidRDefault="002B5250">
      <w:pPr>
        <w:pStyle w:val="3"/>
      </w:pPr>
      <w:bookmarkStart w:id="714" w:name="_Toc521591846"/>
      <w:bookmarkStart w:id="715" w:name="_Toc28030"/>
      <w:r>
        <w:t>9.2.2</w:t>
      </w:r>
      <w:r>
        <w:t>污染物排放情况</w:t>
      </w:r>
      <w:bookmarkEnd w:id="713"/>
      <w:bookmarkEnd w:id="714"/>
      <w:bookmarkEnd w:id="715"/>
    </w:p>
    <w:p w:rsidR="00DB7CC8" w:rsidRDefault="002B5250">
      <w:pPr>
        <w:pStyle w:val="4"/>
      </w:pPr>
      <w:r>
        <w:t xml:space="preserve">9.2.2.1 </w:t>
      </w:r>
      <w:r>
        <w:t>废气</w:t>
      </w:r>
    </w:p>
    <w:p w:rsidR="00DB7CC8" w:rsidRDefault="002B5250">
      <w:pPr>
        <w:ind w:firstLine="480"/>
        <w:jc w:val="both"/>
        <w:rPr>
          <w:bCs/>
          <w:sz w:val="24"/>
          <w:szCs w:val="24"/>
        </w:rPr>
      </w:pPr>
      <w:r>
        <w:rPr>
          <w:bCs/>
          <w:sz w:val="24"/>
          <w:szCs w:val="24"/>
        </w:rPr>
        <w:t>本项目上料、物料转运过程采取相应处理措施后，排放的颗粒物较少；运输粉尘通过采取洒水降尘等措施后，可以大大降低运输道理扬尘的影响；原料库粉尘通过封闭车间、设置喷淋系统，排放量较小。破碎筛分</w:t>
      </w:r>
      <w:r>
        <w:rPr>
          <w:rFonts w:hint="eastAsia"/>
          <w:bCs/>
          <w:sz w:val="24"/>
          <w:szCs w:val="24"/>
        </w:rPr>
        <w:t>、干选</w:t>
      </w:r>
      <w:r>
        <w:rPr>
          <w:bCs/>
          <w:sz w:val="24"/>
          <w:szCs w:val="24"/>
        </w:rPr>
        <w:t>工序产生的颗粒物经处理后的排放速率和排放浓度均能满足</w:t>
      </w:r>
      <w:r>
        <w:rPr>
          <w:sz w:val="24"/>
          <w:szCs w:val="24"/>
        </w:rPr>
        <w:t>《铁矿采选工业污染物排放标准》</w:t>
      </w:r>
      <w:r>
        <w:rPr>
          <w:sz w:val="24"/>
          <w:szCs w:val="24"/>
        </w:rPr>
        <w:t>(GB28661-2012)</w:t>
      </w:r>
      <w:r>
        <w:rPr>
          <w:sz w:val="24"/>
          <w:szCs w:val="24"/>
        </w:rPr>
        <w:t>相应限值要求</w:t>
      </w:r>
      <w:r>
        <w:rPr>
          <w:bCs/>
          <w:sz w:val="24"/>
          <w:szCs w:val="24"/>
        </w:rPr>
        <w:t>。经预测，厂界颗粒物浓度能满足</w:t>
      </w:r>
      <w:r>
        <w:rPr>
          <w:sz w:val="24"/>
          <w:szCs w:val="24"/>
        </w:rPr>
        <w:t>《铁矿采选工业污染物排放标准》</w:t>
      </w:r>
      <w:r>
        <w:rPr>
          <w:sz w:val="24"/>
          <w:szCs w:val="24"/>
        </w:rPr>
        <w:t>(GB28661-2012)</w:t>
      </w:r>
      <w:r>
        <w:rPr>
          <w:sz w:val="24"/>
          <w:szCs w:val="24"/>
        </w:rPr>
        <w:t>相应限值要求，</w:t>
      </w:r>
      <w:r>
        <w:rPr>
          <w:bCs/>
          <w:sz w:val="24"/>
          <w:szCs w:val="24"/>
        </w:rPr>
        <w:t>对环境空气质量影响较小。</w:t>
      </w:r>
    </w:p>
    <w:p w:rsidR="00DB7CC8" w:rsidRDefault="002B5250">
      <w:pPr>
        <w:pStyle w:val="4"/>
      </w:pPr>
      <w:r>
        <w:t xml:space="preserve">9.2.2.2 </w:t>
      </w:r>
      <w:r>
        <w:t>废水</w:t>
      </w:r>
    </w:p>
    <w:p w:rsidR="00DB7CC8" w:rsidRDefault="002B5250">
      <w:pPr>
        <w:ind w:firstLine="480"/>
        <w:jc w:val="both"/>
        <w:rPr>
          <w:bCs/>
          <w:sz w:val="24"/>
          <w:szCs w:val="24"/>
        </w:rPr>
      </w:pPr>
      <w:r>
        <w:rPr>
          <w:bCs/>
          <w:sz w:val="24"/>
          <w:szCs w:val="24"/>
        </w:rPr>
        <w:t>本项目营运期间废水主要为</w:t>
      </w:r>
      <w:r>
        <w:rPr>
          <w:rFonts w:hint="eastAsia"/>
          <w:bCs/>
          <w:sz w:val="24"/>
          <w:szCs w:val="24"/>
        </w:rPr>
        <w:t>湿式筛分废水、球磨磁选</w:t>
      </w:r>
      <w:r>
        <w:rPr>
          <w:bCs/>
          <w:sz w:val="24"/>
          <w:szCs w:val="24"/>
        </w:rPr>
        <w:t>废水、洗车废水、车间地面清洗废水、生活废水。</w:t>
      </w:r>
      <w:r>
        <w:rPr>
          <w:rFonts w:hint="eastAsia"/>
          <w:bCs/>
          <w:sz w:val="24"/>
          <w:szCs w:val="24"/>
        </w:rPr>
        <w:t>湿式筛分废水随筛下物一同进入打捞机，捞出砂子后，废水回用于废石筛分，不外排；球磨磁选废水、</w:t>
      </w:r>
      <w:r>
        <w:rPr>
          <w:bCs/>
          <w:sz w:val="24"/>
          <w:szCs w:val="24"/>
        </w:rPr>
        <w:t>车间地面清洗废水</w:t>
      </w:r>
      <w:r>
        <w:rPr>
          <w:rFonts w:hint="eastAsia"/>
          <w:bCs/>
          <w:sz w:val="24"/>
          <w:szCs w:val="24"/>
        </w:rPr>
        <w:t>经沉淀、选砂处理后，排入浓密池内，上清液排入清水池回用于生产，不外排；</w:t>
      </w:r>
      <w:r>
        <w:rPr>
          <w:bCs/>
          <w:sz w:val="24"/>
          <w:szCs w:val="24"/>
        </w:rPr>
        <w:t>洗车废水经</w:t>
      </w:r>
      <w:r>
        <w:rPr>
          <w:rFonts w:hint="eastAsia"/>
          <w:bCs/>
          <w:sz w:val="24"/>
          <w:szCs w:val="24"/>
        </w:rPr>
        <w:t>沉淀</w:t>
      </w:r>
      <w:r>
        <w:rPr>
          <w:bCs/>
          <w:sz w:val="24"/>
          <w:szCs w:val="24"/>
        </w:rPr>
        <w:t>处理后全部回</w:t>
      </w:r>
      <w:r>
        <w:rPr>
          <w:bCs/>
          <w:sz w:val="24"/>
          <w:szCs w:val="24"/>
        </w:rPr>
        <w:t>用</w:t>
      </w:r>
      <w:r>
        <w:rPr>
          <w:rFonts w:hint="eastAsia"/>
          <w:bCs/>
          <w:sz w:val="24"/>
          <w:szCs w:val="24"/>
        </w:rPr>
        <w:t>，不外排</w:t>
      </w:r>
      <w:r>
        <w:rPr>
          <w:bCs/>
          <w:sz w:val="24"/>
          <w:szCs w:val="24"/>
        </w:rPr>
        <w:t>。员工盥洗废水，用于厂区道路洒水抑尘，不外排，粪便废水排入旱厕，定期清掏用于肥田，不外排。</w:t>
      </w:r>
    </w:p>
    <w:p w:rsidR="00DB7CC8" w:rsidRDefault="002B5250">
      <w:pPr>
        <w:pStyle w:val="4"/>
      </w:pPr>
      <w:r>
        <w:t xml:space="preserve">9.2.2.3 </w:t>
      </w:r>
      <w:r>
        <w:t>噪声</w:t>
      </w:r>
    </w:p>
    <w:p w:rsidR="00DB7CC8" w:rsidRDefault="002B5250">
      <w:pPr>
        <w:ind w:firstLine="480"/>
        <w:jc w:val="both"/>
        <w:rPr>
          <w:bCs/>
          <w:sz w:val="24"/>
          <w:szCs w:val="24"/>
        </w:rPr>
      </w:pPr>
      <w:r>
        <w:rPr>
          <w:sz w:val="24"/>
          <w:szCs w:val="24"/>
        </w:rPr>
        <w:t>本项目噪声主要为破碎机、振动筛、</w:t>
      </w:r>
      <w:r>
        <w:rPr>
          <w:rFonts w:hint="eastAsia"/>
          <w:sz w:val="24"/>
          <w:szCs w:val="24"/>
        </w:rPr>
        <w:t>磁滑轮、</w:t>
      </w:r>
      <w:r>
        <w:rPr>
          <w:kern w:val="2"/>
          <w:sz w:val="24"/>
          <w:szCs w:val="24"/>
        </w:rPr>
        <w:t>球磨机、磁选机、水泵等</w:t>
      </w:r>
      <w:r>
        <w:rPr>
          <w:sz w:val="24"/>
          <w:szCs w:val="24"/>
        </w:rPr>
        <w:t>设备运行时产生的噪声。</w:t>
      </w:r>
      <w:r>
        <w:rPr>
          <w:bCs/>
          <w:sz w:val="24"/>
          <w:szCs w:val="24"/>
        </w:rPr>
        <w:t>项目主要噪声源经建筑隔声、基础减振等措施后，外排噪声对外环境影响较小。</w:t>
      </w:r>
    </w:p>
    <w:p w:rsidR="00DB7CC8" w:rsidRDefault="002B5250">
      <w:pPr>
        <w:pStyle w:val="4"/>
      </w:pPr>
      <w:r>
        <w:t xml:space="preserve">9.2.2.4 </w:t>
      </w:r>
      <w:r>
        <w:t>固废</w:t>
      </w:r>
    </w:p>
    <w:p w:rsidR="00DB7CC8" w:rsidRDefault="002B5250">
      <w:pPr>
        <w:ind w:firstLine="480"/>
        <w:jc w:val="both"/>
        <w:rPr>
          <w:bCs/>
          <w:sz w:val="24"/>
          <w:szCs w:val="24"/>
        </w:rPr>
      </w:pPr>
      <w:r>
        <w:rPr>
          <w:bCs/>
          <w:sz w:val="24"/>
          <w:szCs w:val="24"/>
        </w:rPr>
        <w:t>建设项目投产后产生的一般工业固体废物主要为尾矿砂、石碴、砂子、废钢球、除尘器收集的粉尘，危险废物为设备保养维护产生的废机油、废油桶，以及职工生活产生的生活垃圾。</w:t>
      </w:r>
    </w:p>
    <w:p w:rsidR="00DB7CC8" w:rsidRDefault="002B5250">
      <w:pPr>
        <w:ind w:firstLine="480"/>
        <w:jc w:val="both"/>
        <w:rPr>
          <w:bCs/>
          <w:sz w:val="24"/>
          <w:szCs w:val="24"/>
        </w:rPr>
      </w:pPr>
      <w:r>
        <w:rPr>
          <w:bCs/>
          <w:sz w:val="24"/>
          <w:szCs w:val="24"/>
        </w:rPr>
        <w:t>粗尾矿砂全部外售至当地建材厂作为原料综合利用，细</w:t>
      </w:r>
      <w:r>
        <w:rPr>
          <w:bCs/>
          <w:sz w:val="24"/>
          <w:szCs w:val="24"/>
        </w:rPr>
        <w:t>尾矿砂</w:t>
      </w:r>
      <w:r>
        <w:rPr>
          <w:rFonts w:hint="eastAsia"/>
          <w:bCs/>
          <w:sz w:val="24"/>
          <w:szCs w:val="24"/>
        </w:rPr>
        <w:t>外运</w:t>
      </w:r>
      <w:r>
        <w:rPr>
          <w:bCs/>
          <w:sz w:val="24"/>
          <w:szCs w:val="24"/>
        </w:rPr>
        <w:t>填坑造地；石碴、砂子外售当地建材厂综合利用；除尘器收集的粉尘回用于生产系统，不外排；废钢球由供应厂家回收利用；生活垃圾由当地环卫部门清运、处理。废机油</w:t>
      </w:r>
      <w:r>
        <w:rPr>
          <w:bCs/>
          <w:sz w:val="24"/>
          <w:szCs w:val="24"/>
        </w:rPr>
        <w:lastRenderedPageBreak/>
        <w:t>和废油桶收集于危险废物暂存间，交由有资质的单位进行处理。</w:t>
      </w:r>
    </w:p>
    <w:p w:rsidR="00DB7CC8" w:rsidRDefault="002B5250">
      <w:pPr>
        <w:pStyle w:val="3"/>
      </w:pPr>
      <w:bookmarkStart w:id="716" w:name="_Toc24573"/>
      <w:r>
        <w:t>9.2.3</w:t>
      </w:r>
      <w:r>
        <w:t>主要环境影响</w:t>
      </w:r>
      <w:bookmarkEnd w:id="716"/>
    </w:p>
    <w:p w:rsidR="00DB7CC8" w:rsidRDefault="002B5250">
      <w:pPr>
        <w:pStyle w:val="4"/>
      </w:pPr>
      <w:r>
        <w:t>9.2.3.1</w:t>
      </w:r>
      <w:r>
        <w:t>大气环境影响</w:t>
      </w:r>
    </w:p>
    <w:p w:rsidR="00DB7CC8" w:rsidRDefault="002B5250">
      <w:pPr>
        <w:widowControl/>
        <w:ind w:firstLine="480"/>
        <w:jc w:val="both"/>
        <w:textAlignment w:val="auto"/>
        <w:rPr>
          <w:kern w:val="2"/>
          <w:sz w:val="24"/>
          <w:szCs w:val="24"/>
        </w:rPr>
      </w:pPr>
      <w:r>
        <w:rPr>
          <w:kern w:val="2"/>
          <w:sz w:val="24"/>
          <w:szCs w:val="24"/>
        </w:rPr>
        <w:t>由预测结果可知，</w:t>
      </w:r>
      <w:r>
        <w:rPr>
          <w:rFonts w:hint="eastAsia"/>
          <w:kern w:val="2"/>
          <w:sz w:val="24"/>
          <w:szCs w:val="24"/>
        </w:rPr>
        <w:t>3</w:t>
      </w:r>
      <w:r>
        <w:rPr>
          <w:kern w:val="2"/>
          <w:sz w:val="24"/>
          <w:szCs w:val="24"/>
        </w:rPr>
        <w:t>#</w:t>
      </w:r>
      <w:r>
        <w:rPr>
          <w:kern w:val="2"/>
          <w:sz w:val="24"/>
          <w:szCs w:val="24"/>
        </w:rPr>
        <w:t>破碎</w:t>
      </w:r>
      <w:r>
        <w:rPr>
          <w:rFonts w:hint="eastAsia"/>
          <w:kern w:val="2"/>
          <w:sz w:val="24"/>
          <w:szCs w:val="24"/>
        </w:rPr>
        <w:t>粗选</w:t>
      </w:r>
      <w:r>
        <w:rPr>
          <w:kern w:val="2"/>
          <w:sz w:val="24"/>
          <w:szCs w:val="24"/>
        </w:rPr>
        <w:t>车间有组织排放的</w:t>
      </w:r>
      <w:r>
        <w:rPr>
          <w:kern w:val="2"/>
          <w:sz w:val="24"/>
          <w:szCs w:val="24"/>
        </w:rPr>
        <w:t>PM</w:t>
      </w:r>
      <w:r>
        <w:rPr>
          <w:kern w:val="2"/>
          <w:sz w:val="24"/>
          <w:szCs w:val="24"/>
          <w:vertAlign w:val="subscript"/>
        </w:rPr>
        <w:t>10</w:t>
      </w:r>
      <w:r>
        <w:rPr>
          <w:kern w:val="2"/>
          <w:sz w:val="24"/>
          <w:szCs w:val="24"/>
        </w:rPr>
        <w:t>最大浓度为</w:t>
      </w:r>
      <w:r>
        <w:rPr>
          <w:kern w:val="2"/>
          <w:sz w:val="24"/>
          <w:szCs w:val="24"/>
        </w:rPr>
        <w:t>0.0</w:t>
      </w:r>
      <w:r>
        <w:rPr>
          <w:rFonts w:hint="eastAsia"/>
          <w:kern w:val="2"/>
          <w:sz w:val="24"/>
          <w:szCs w:val="24"/>
        </w:rPr>
        <w:t>0672</w:t>
      </w:r>
      <w:r>
        <w:rPr>
          <w:rFonts w:hint="eastAsia"/>
          <w:kern w:val="2"/>
          <w:sz w:val="24"/>
          <w:szCs w:val="24"/>
        </w:rPr>
        <w:t>m</w:t>
      </w:r>
      <w:r>
        <w:rPr>
          <w:kern w:val="2"/>
          <w:sz w:val="24"/>
          <w:szCs w:val="24"/>
        </w:rPr>
        <w:t>g/m</w:t>
      </w:r>
      <w:r>
        <w:rPr>
          <w:kern w:val="2"/>
          <w:sz w:val="24"/>
          <w:szCs w:val="24"/>
          <w:vertAlign w:val="superscript"/>
        </w:rPr>
        <w:t>3</w:t>
      </w:r>
      <w:r>
        <w:rPr>
          <w:kern w:val="2"/>
          <w:sz w:val="24"/>
          <w:szCs w:val="24"/>
        </w:rPr>
        <w:t>，最大浓度占标率为</w:t>
      </w:r>
      <w:r>
        <w:rPr>
          <w:rFonts w:hint="eastAsia"/>
          <w:kern w:val="2"/>
          <w:sz w:val="24"/>
          <w:szCs w:val="24"/>
        </w:rPr>
        <w:t>1.49</w:t>
      </w:r>
      <w:r>
        <w:rPr>
          <w:kern w:val="2"/>
          <w:sz w:val="24"/>
          <w:szCs w:val="24"/>
        </w:rPr>
        <w:t>%</w:t>
      </w:r>
      <w:r>
        <w:rPr>
          <w:kern w:val="2"/>
          <w:sz w:val="24"/>
          <w:szCs w:val="24"/>
        </w:rPr>
        <w:t>，无组织排放的</w:t>
      </w:r>
      <w:r>
        <w:rPr>
          <w:kern w:val="2"/>
          <w:sz w:val="24"/>
          <w:szCs w:val="24"/>
        </w:rPr>
        <w:t>TSP</w:t>
      </w:r>
      <w:r>
        <w:rPr>
          <w:kern w:val="2"/>
          <w:sz w:val="24"/>
          <w:szCs w:val="24"/>
        </w:rPr>
        <w:t>最大浓度为</w:t>
      </w:r>
      <w:r>
        <w:rPr>
          <w:kern w:val="2"/>
          <w:sz w:val="24"/>
          <w:szCs w:val="24"/>
        </w:rPr>
        <w:t>0.0</w:t>
      </w:r>
      <w:r>
        <w:rPr>
          <w:rFonts w:hint="eastAsia"/>
          <w:kern w:val="2"/>
          <w:sz w:val="24"/>
          <w:szCs w:val="24"/>
        </w:rPr>
        <w:t>4339</w:t>
      </w:r>
      <w:r>
        <w:rPr>
          <w:rFonts w:hint="eastAsia"/>
          <w:kern w:val="2"/>
          <w:sz w:val="24"/>
          <w:szCs w:val="24"/>
        </w:rPr>
        <w:t>m</w:t>
      </w:r>
      <w:r>
        <w:rPr>
          <w:kern w:val="2"/>
          <w:sz w:val="21"/>
          <w:szCs w:val="21"/>
        </w:rPr>
        <w:t>g/m</w:t>
      </w:r>
      <w:r>
        <w:rPr>
          <w:kern w:val="2"/>
          <w:sz w:val="21"/>
          <w:szCs w:val="21"/>
          <w:vertAlign w:val="superscript"/>
        </w:rPr>
        <w:t>3</w:t>
      </w:r>
      <w:r>
        <w:rPr>
          <w:kern w:val="2"/>
          <w:sz w:val="24"/>
          <w:szCs w:val="24"/>
        </w:rPr>
        <w:t>，最大浓度占标率为</w:t>
      </w:r>
      <w:r>
        <w:rPr>
          <w:rFonts w:hint="eastAsia"/>
          <w:kern w:val="2"/>
          <w:sz w:val="24"/>
          <w:szCs w:val="24"/>
        </w:rPr>
        <w:t>4.82</w:t>
      </w:r>
      <w:r>
        <w:rPr>
          <w:kern w:val="2"/>
          <w:sz w:val="24"/>
          <w:szCs w:val="24"/>
        </w:rPr>
        <w:t>%</w:t>
      </w:r>
      <w:r>
        <w:rPr>
          <w:kern w:val="2"/>
          <w:sz w:val="24"/>
          <w:szCs w:val="24"/>
        </w:rPr>
        <w:t>。</w:t>
      </w:r>
    </w:p>
    <w:p w:rsidR="00DB7CC8" w:rsidRDefault="002B5250">
      <w:pPr>
        <w:ind w:firstLine="480"/>
        <w:textAlignment w:val="auto"/>
        <w:rPr>
          <w:kern w:val="2"/>
          <w:sz w:val="24"/>
          <w:szCs w:val="24"/>
        </w:rPr>
      </w:pPr>
      <w:r>
        <w:rPr>
          <w:kern w:val="2"/>
          <w:sz w:val="24"/>
          <w:szCs w:val="24"/>
        </w:rPr>
        <w:t>根据无组织废气厂界预测结果，各厂界的预测浓度最大值均小于《铁矿采选工业污染物排放标准》（</w:t>
      </w:r>
      <w:r>
        <w:rPr>
          <w:kern w:val="2"/>
          <w:sz w:val="24"/>
          <w:szCs w:val="24"/>
        </w:rPr>
        <w:t>GB28661-2012</w:t>
      </w:r>
      <w:r>
        <w:rPr>
          <w:kern w:val="2"/>
          <w:sz w:val="24"/>
          <w:szCs w:val="24"/>
        </w:rPr>
        <w:t>）表</w:t>
      </w:r>
      <w:r>
        <w:rPr>
          <w:kern w:val="2"/>
          <w:sz w:val="24"/>
          <w:szCs w:val="24"/>
        </w:rPr>
        <w:t>7</w:t>
      </w:r>
      <w:r>
        <w:rPr>
          <w:kern w:val="2"/>
          <w:sz w:val="24"/>
          <w:szCs w:val="24"/>
        </w:rPr>
        <w:t>中无组织排放浓度限值（</w:t>
      </w:r>
      <w:r>
        <w:rPr>
          <w:kern w:val="2"/>
          <w:sz w:val="24"/>
          <w:szCs w:val="24"/>
        </w:rPr>
        <w:t>1.0mg/m</w:t>
      </w:r>
      <w:r>
        <w:rPr>
          <w:kern w:val="2"/>
          <w:sz w:val="24"/>
          <w:szCs w:val="24"/>
          <w:vertAlign w:val="superscript"/>
        </w:rPr>
        <w:t>3</w:t>
      </w:r>
      <w:r>
        <w:rPr>
          <w:kern w:val="2"/>
          <w:sz w:val="24"/>
          <w:szCs w:val="24"/>
        </w:rPr>
        <w:t>）。</w:t>
      </w:r>
    </w:p>
    <w:p w:rsidR="00DB7CC8" w:rsidRDefault="002B5250">
      <w:pPr>
        <w:widowControl/>
        <w:wordWrap w:val="0"/>
        <w:ind w:firstLine="480"/>
        <w:textAlignment w:val="auto"/>
        <w:rPr>
          <w:kern w:val="2"/>
          <w:sz w:val="24"/>
          <w:szCs w:val="24"/>
        </w:rPr>
      </w:pPr>
      <w:r>
        <w:rPr>
          <w:kern w:val="2"/>
          <w:sz w:val="24"/>
          <w:szCs w:val="24"/>
        </w:rPr>
        <w:t>综上，项目排放的颗粒物对环境质量的贡献值较小，对周边环境空气质量影响较小。</w:t>
      </w:r>
    </w:p>
    <w:p w:rsidR="00DB7CC8" w:rsidRDefault="002B5250">
      <w:pPr>
        <w:pStyle w:val="4"/>
      </w:pPr>
      <w:r>
        <w:t>9.2.3.2</w:t>
      </w:r>
      <w:r>
        <w:t>地表水环境影响</w:t>
      </w:r>
    </w:p>
    <w:p w:rsidR="00DB7CC8" w:rsidRDefault="002B5250">
      <w:pPr>
        <w:autoSpaceDE w:val="0"/>
        <w:autoSpaceDN w:val="0"/>
        <w:ind w:firstLine="480"/>
        <w:jc w:val="both"/>
        <w:textAlignment w:val="auto"/>
        <w:rPr>
          <w:bCs/>
          <w:sz w:val="24"/>
          <w:szCs w:val="24"/>
        </w:rPr>
      </w:pPr>
      <w:r>
        <w:rPr>
          <w:bCs/>
          <w:sz w:val="24"/>
          <w:szCs w:val="24"/>
        </w:rPr>
        <w:t>铁精粉过滤水和尾矿浆均通过管道排入旋流罐，旋流罐上清液再经浓密池处理、</w:t>
      </w:r>
      <w:r>
        <w:rPr>
          <w:rFonts w:hint="eastAsia"/>
          <w:bCs/>
          <w:sz w:val="24"/>
          <w:szCs w:val="24"/>
        </w:rPr>
        <w:t>旋流罐底流</w:t>
      </w:r>
      <w:r>
        <w:rPr>
          <w:bCs/>
          <w:sz w:val="24"/>
          <w:szCs w:val="24"/>
        </w:rPr>
        <w:t>经</w:t>
      </w:r>
      <w:r>
        <w:rPr>
          <w:rFonts w:hint="eastAsia"/>
          <w:bCs/>
          <w:sz w:val="24"/>
          <w:szCs w:val="24"/>
        </w:rPr>
        <w:t>脱水</w:t>
      </w:r>
      <w:r>
        <w:rPr>
          <w:bCs/>
          <w:sz w:val="24"/>
          <w:szCs w:val="24"/>
        </w:rPr>
        <w:t>筛处理</w:t>
      </w:r>
      <w:r>
        <w:rPr>
          <w:rFonts w:hint="eastAsia"/>
          <w:bCs/>
          <w:sz w:val="24"/>
          <w:szCs w:val="24"/>
        </w:rPr>
        <w:t>、浓密池底流经压滤机处理后</w:t>
      </w:r>
      <w:r>
        <w:rPr>
          <w:bCs/>
          <w:sz w:val="24"/>
          <w:szCs w:val="24"/>
        </w:rPr>
        <w:t>，实现尾矿浆中的水分与大颗粒尾矿砂分离。最终，浓密池的上清液、</w:t>
      </w:r>
      <w:r>
        <w:rPr>
          <w:rFonts w:hint="eastAsia"/>
          <w:bCs/>
          <w:sz w:val="24"/>
          <w:szCs w:val="24"/>
        </w:rPr>
        <w:t>压滤机</w:t>
      </w:r>
      <w:r>
        <w:rPr>
          <w:bCs/>
          <w:sz w:val="24"/>
          <w:szCs w:val="24"/>
        </w:rPr>
        <w:t>的滤液经管道汇集于清水池暂存，回用于生产，形成闭路循环，不</w:t>
      </w:r>
      <w:r>
        <w:rPr>
          <w:bCs/>
          <w:sz w:val="24"/>
          <w:szCs w:val="24"/>
        </w:rPr>
        <w:t>外排。</w:t>
      </w:r>
    </w:p>
    <w:p w:rsidR="00DB7CC8" w:rsidRDefault="002B5250">
      <w:pPr>
        <w:autoSpaceDE w:val="0"/>
        <w:autoSpaceDN w:val="0"/>
        <w:ind w:firstLine="480"/>
        <w:jc w:val="both"/>
        <w:textAlignment w:val="auto"/>
        <w:rPr>
          <w:bCs/>
          <w:sz w:val="24"/>
          <w:szCs w:val="24"/>
        </w:rPr>
      </w:pPr>
      <w:r>
        <w:rPr>
          <w:bCs/>
          <w:sz w:val="24"/>
          <w:szCs w:val="24"/>
        </w:rPr>
        <w:t>汽车冲洗废水经沉淀池沉淀后回用，不外排。</w:t>
      </w:r>
    </w:p>
    <w:p w:rsidR="00DB7CC8" w:rsidRDefault="002B5250">
      <w:pPr>
        <w:autoSpaceDE w:val="0"/>
        <w:autoSpaceDN w:val="0"/>
        <w:ind w:firstLine="480"/>
        <w:jc w:val="both"/>
        <w:textAlignment w:val="auto"/>
        <w:rPr>
          <w:bCs/>
          <w:sz w:val="24"/>
          <w:szCs w:val="24"/>
        </w:rPr>
      </w:pPr>
      <w:r>
        <w:rPr>
          <w:bCs/>
          <w:sz w:val="24"/>
          <w:szCs w:val="24"/>
        </w:rPr>
        <w:t>本项目生产废水不外排，不会对周围地表水环境产生影响。</w:t>
      </w:r>
    </w:p>
    <w:p w:rsidR="00DB7CC8" w:rsidRDefault="002B5250">
      <w:pPr>
        <w:pStyle w:val="4"/>
      </w:pPr>
      <w:r>
        <w:t>9.2.3.3</w:t>
      </w:r>
      <w:r>
        <w:t>声环境影响</w:t>
      </w:r>
    </w:p>
    <w:p w:rsidR="00DB7CC8" w:rsidRDefault="002B5250">
      <w:pPr>
        <w:tabs>
          <w:tab w:val="right" w:leader="dot" w:pos="8647"/>
        </w:tabs>
        <w:ind w:firstLine="480"/>
        <w:jc w:val="both"/>
        <w:rPr>
          <w:sz w:val="24"/>
        </w:rPr>
      </w:pPr>
      <w:r>
        <w:rPr>
          <w:sz w:val="24"/>
        </w:rPr>
        <w:t>本项目噪声源主要来自生产过程中各种设备运行噪声，在采取本报告提出的噪声防治措施，再经墙体阻隔、距离衰减后，项目各种设备运转噪声对厂界处的噪声贡献值不大，经预测，项目厂界四周噪声贡献值均能达到《工业企业厂界环境噪声排放标准》（</w:t>
      </w:r>
      <w:r>
        <w:rPr>
          <w:sz w:val="24"/>
        </w:rPr>
        <w:t>GB12348-2008</w:t>
      </w:r>
      <w:r>
        <w:rPr>
          <w:sz w:val="24"/>
        </w:rPr>
        <w:t>）中的</w:t>
      </w:r>
      <w:r>
        <w:rPr>
          <w:sz w:val="24"/>
        </w:rPr>
        <w:t>2</w:t>
      </w:r>
      <w:r>
        <w:rPr>
          <w:sz w:val="24"/>
        </w:rPr>
        <w:t>类标准限值。本项目周边</w:t>
      </w:r>
      <w:r>
        <w:rPr>
          <w:sz w:val="24"/>
        </w:rPr>
        <w:t>200m</w:t>
      </w:r>
      <w:r>
        <w:rPr>
          <w:sz w:val="24"/>
        </w:rPr>
        <w:t>范围内无敏感点。因此，本项目的建设对项目所在地声环境影响较小。</w:t>
      </w:r>
    </w:p>
    <w:p w:rsidR="00DB7CC8" w:rsidRDefault="002B5250">
      <w:pPr>
        <w:pStyle w:val="4"/>
      </w:pPr>
      <w:r>
        <w:t>9.2.3.4</w:t>
      </w:r>
      <w:r>
        <w:t>固体废物</w:t>
      </w:r>
    </w:p>
    <w:p w:rsidR="00DB7CC8" w:rsidRDefault="002B5250">
      <w:pPr>
        <w:tabs>
          <w:tab w:val="right" w:leader="dot" w:pos="8647"/>
        </w:tabs>
        <w:ind w:firstLine="480"/>
        <w:jc w:val="both"/>
        <w:rPr>
          <w:bCs/>
          <w:sz w:val="24"/>
          <w:szCs w:val="24"/>
        </w:rPr>
      </w:pPr>
      <w:r>
        <w:rPr>
          <w:sz w:val="24"/>
        </w:rPr>
        <w:t>本项目产</w:t>
      </w:r>
      <w:r>
        <w:rPr>
          <w:sz w:val="24"/>
        </w:rPr>
        <w:t>生的固体废物均得到合理处理、处置，不会对周围环境造成二次污染。</w:t>
      </w:r>
    </w:p>
    <w:p w:rsidR="00DB7CC8" w:rsidRDefault="002B5250">
      <w:pPr>
        <w:pStyle w:val="4"/>
      </w:pPr>
      <w:r>
        <w:t>9.2.3.5</w:t>
      </w:r>
      <w:r>
        <w:t>生态环境影响</w:t>
      </w:r>
    </w:p>
    <w:p w:rsidR="00DB7CC8" w:rsidRDefault="002B5250">
      <w:pPr>
        <w:ind w:firstLineChars="0" w:firstLine="560"/>
        <w:rPr>
          <w:sz w:val="24"/>
        </w:rPr>
      </w:pPr>
      <w:r>
        <w:rPr>
          <w:sz w:val="24"/>
        </w:rPr>
        <w:t>本项目</w:t>
      </w:r>
      <w:r>
        <w:rPr>
          <w:rFonts w:hint="eastAsia"/>
          <w:sz w:val="24"/>
        </w:rPr>
        <w:t>在</w:t>
      </w:r>
      <w:r>
        <w:rPr>
          <w:bCs/>
          <w:sz w:val="24"/>
          <w:szCs w:val="24"/>
        </w:rPr>
        <w:t>遵化市鑫伟铁选厂</w:t>
      </w:r>
      <w:r>
        <w:rPr>
          <w:rFonts w:hint="eastAsia"/>
          <w:sz w:val="24"/>
        </w:rPr>
        <w:t>现有厂区内进行建设</w:t>
      </w:r>
      <w:r>
        <w:rPr>
          <w:sz w:val="24"/>
        </w:rPr>
        <w:t>，无地表植被覆盖，项目建设不会对区域生态环境质量产生不利影响。</w:t>
      </w:r>
    </w:p>
    <w:p w:rsidR="00DB7CC8" w:rsidRDefault="002B5250">
      <w:pPr>
        <w:pStyle w:val="4"/>
      </w:pPr>
      <w:r>
        <w:rPr>
          <w:rFonts w:hint="eastAsia"/>
        </w:rPr>
        <w:lastRenderedPageBreak/>
        <w:t>9.2.3.6</w:t>
      </w:r>
      <w:r>
        <w:rPr>
          <w:rFonts w:hint="eastAsia"/>
        </w:rPr>
        <w:t>土壤</w:t>
      </w:r>
    </w:p>
    <w:p w:rsidR="00DB7CC8" w:rsidRDefault="002B5250">
      <w:pPr>
        <w:tabs>
          <w:tab w:val="right" w:leader="dot" w:pos="8647"/>
        </w:tabs>
        <w:ind w:firstLine="480"/>
        <w:jc w:val="both"/>
        <w:rPr>
          <w:sz w:val="24"/>
        </w:rPr>
      </w:pPr>
      <w:r>
        <w:rPr>
          <w:rFonts w:hint="eastAsia"/>
          <w:sz w:val="24"/>
          <w:szCs w:val="22"/>
        </w:rPr>
        <w:t>根据土壤环境现状监测可知，项目土壤现状满足《土壤环境质量</w:t>
      </w:r>
      <w:r>
        <w:rPr>
          <w:rFonts w:hint="eastAsia"/>
          <w:sz w:val="24"/>
          <w:szCs w:val="22"/>
        </w:rPr>
        <w:t xml:space="preserve"> </w:t>
      </w:r>
      <w:r>
        <w:rPr>
          <w:rFonts w:hint="eastAsia"/>
          <w:sz w:val="24"/>
          <w:szCs w:val="22"/>
        </w:rPr>
        <w:t>建设用地土壤污染风险管控标准（试行）》</w:t>
      </w:r>
      <w:r>
        <w:rPr>
          <w:rFonts w:hint="eastAsia"/>
          <w:sz w:val="24"/>
          <w:szCs w:val="22"/>
        </w:rPr>
        <w:t>(GB36600-2018)</w:t>
      </w:r>
      <w:r>
        <w:rPr>
          <w:rFonts w:hint="eastAsia"/>
          <w:sz w:val="24"/>
          <w:szCs w:val="22"/>
        </w:rPr>
        <w:t>表</w:t>
      </w:r>
      <w:r>
        <w:rPr>
          <w:rFonts w:hint="eastAsia"/>
          <w:sz w:val="24"/>
          <w:szCs w:val="22"/>
        </w:rPr>
        <w:t>1</w:t>
      </w:r>
      <w:r>
        <w:rPr>
          <w:rFonts w:hint="eastAsia"/>
          <w:sz w:val="24"/>
          <w:szCs w:val="22"/>
        </w:rPr>
        <w:t>建设用地土壤污染风险筛选值第二类用地标准，均未出现超标现象。在落实相关环保措施及跟踪监测计划的情况下，从土壤环境影响的角度出发分析，项目建设可行，不会对土壤环境造成影响。</w:t>
      </w:r>
    </w:p>
    <w:p w:rsidR="00DB7CC8" w:rsidRDefault="002B5250">
      <w:pPr>
        <w:pStyle w:val="3"/>
      </w:pPr>
      <w:bookmarkStart w:id="717" w:name="_Toc477175447"/>
      <w:bookmarkStart w:id="718" w:name="_Toc521591847"/>
      <w:bookmarkStart w:id="719" w:name="_Toc12540"/>
      <w:r>
        <w:t>9.2.</w:t>
      </w:r>
      <w:bookmarkEnd w:id="717"/>
      <w:bookmarkEnd w:id="718"/>
      <w:r>
        <w:t>4</w:t>
      </w:r>
      <w:r>
        <w:t>环境保护措施</w:t>
      </w:r>
      <w:bookmarkEnd w:id="719"/>
    </w:p>
    <w:p w:rsidR="00DB7CC8" w:rsidRDefault="002B5250">
      <w:pPr>
        <w:ind w:firstLine="482"/>
        <w:jc w:val="both"/>
        <w:rPr>
          <w:b/>
          <w:sz w:val="24"/>
          <w:szCs w:val="24"/>
        </w:rPr>
      </w:pPr>
      <w:r>
        <w:rPr>
          <w:rFonts w:hint="eastAsia"/>
          <w:b/>
          <w:sz w:val="24"/>
          <w:szCs w:val="24"/>
        </w:rPr>
        <w:t>（</w:t>
      </w:r>
      <w:r>
        <w:rPr>
          <w:rFonts w:hint="eastAsia"/>
          <w:b/>
          <w:sz w:val="24"/>
          <w:szCs w:val="24"/>
        </w:rPr>
        <w:t>1</w:t>
      </w:r>
      <w:r>
        <w:rPr>
          <w:rFonts w:hint="eastAsia"/>
          <w:b/>
          <w:sz w:val="24"/>
          <w:szCs w:val="24"/>
        </w:rPr>
        <w:t>）废气治理措施</w:t>
      </w:r>
    </w:p>
    <w:p w:rsidR="00DB7CC8" w:rsidRDefault="002B5250">
      <w:pPr>
        <w:ind w:firstLine="480"/>
        <w:jc w:val="both"/>
        <w:rPr>
          <w:bCs/>
          <w:sz w:val="24"/>
          <w:szCs w:val="24"/>
        </w:rPr>
      </w:pPr>
      <w:r>
        <w:rPr>
          <w:rFonts w:hint="eastAsia"/>
          <w:bCs/>
          <w:sz w:val="24"/>
          <w:szCs w:val="24"/>
        </w:rPr>
        <w:t>①矿石破碎、筛分过程中产生的颗粒物</w:t>
      </w:r>
    </w:p>
    <w:p w:rsidR="00DB7CC8" w:rsidRDefault="002B5250">
      <w:pPr>
        <w:ind w:firstLine="480"/>
        <w:rPr>
          <w:bCs/>
          <w:sz w:val="24"/>
          <w:szCs w:val="24"/>
        </w:rPr>
      </w:pPr>
      <w:r>
        <w:rPr>
          <w:bCs/>
          <w:sz w:val="24"/>
          <w:szCs w:val="24"/>
        </w:rPr>
        <w:t>本项目破碎筛分工序均在封闭的车间内，在各破碎机、振动筛进料、出料口、入料口分别设置</w:t>
      </w:r>
      <w:r>
        <w:rPr>
          <w:bCs/>
          <w:sz w:val="24"/>
          <w:szCs w:val="24"/>
        </w:rPr>
        <w:t>1</w:t>
      </w:r>
      <w:r>
        <w:rPr>
          <w:bCs/>
          <w:sz w:val="24"/>
          <w:szCs w:val="24"/>
        </w:rPr>
        <w:t>个集气罩，粉尘经集气管收集进入脉冲布袋收尘器处理后，经</w:t>
      </w:r>
      <w:r>
        <w:rPr>
          <w:bCs/>
          <w:sz w:val="24"/>
          <w:szCs w:val="24"/>
        </w:rPr>
        <w:t>1</w:t>
      </w:r>
      <w:r>
        <w:rPr>
          <w:rFonts w:hint="eastAsia"/>
          <w:bCs/>
          <w:sz w:val="24"/>
          <w:szCs w:val="24"/>
        </w:rPr>
        <w:t>8</w:t>
      </w:r>
      <w:r>
        <w:rPr>
          <w:bCs/>
          <w:sz w:val="24"/>
          <w:szCs w:val="24"/>
        </w:rPr>
        <w:t>m</w:t>
      </w:r>
      <w:r>
        <w:rPr>
          <w:bCs/>
          <w:sz w:val="24"/>
          <w:szCs w:val="24"/>
        </w:rPr>
        <w:t>高排气筒排放。</w:t>
      </w:r>
    </w:p>
    <w:p w:rsidR="00DB7CC8" w:rsidRDefault="002B5250">
      <w:pPr>
        <w:ind w:firstLine="480"/>
        <w:rPr>
          <w:bCs/>
          <w:sz w:val="24"/>
          <w:szCs w:val="24"/>
        </w:rPr>
      </w:pPr>
      <w:r>
        <w:rPr>
          <w:bCs/>
          <w:sz w:val="24"/>
          <w:szCs w:val="24"/>
        </w:rPr>
        <w:t>粉尘收集</w:t>
      </w:r>
      <w:r>
        <w:rPr>
          <w:rFonts w:hint="eastAsia"/>
          <w:bCs/>
          <w:sz w:val="24"/>
          <w:szCs w:val="24"/>
        </w:rPr>
        <w:t>：</w:t>
      </w:r>
    </w:p>
    <w:p w:rsidR="00DB7CC8" w:rsidRDefault="002B5250">
      <w:pPr>
        <w:ind w:leftChars="50" w:left="140" w:firstLineChars="150" w:firstLine="360"/>
        <w:rPr>
          <w:bCs/>
          <w:sz w:val="24"/>
          <w:szCs w:val="24"/>
        </w:rPr>
      </w:pPr>
      <w:r>
        <w:rPr>
          <w:bCs/>
          <w:sz w:val="24"/>
          <w:szCs w:val="24"/>
        </w:rPr>
        <w:t>a.</w:t>
      </w:r>
      <w:r>
        <w:rPr>
          <w:bCs/>
          <w:sz w:val="24"/>
          <w:szCs w:val="24"/>
        </w:rPr>
        <w:t>颚式破碎机入料</w:t>
      </w:r>
      <w:r>
        <w:rPr>
          <w:bCs/>
          <w:sz w:val="24"/>
          <w:szCs w:val="24"/>
        </w:rPr>
        <w:t>口设置皮质软帘封闭，出料口设置</w:t>
      </w:r>
      <w:r>
        <w:rPr>
          <w:bCs/>
          <w:sz w:val="24"/>
          <w:szCs w:val="24"/>
        </w:rPr>
        <w:t>1</w:t>
      </w:r>
      <w:r>
        <w:rPr>
          <w:bCs/>
          <w:sz w:val="24"/>
          <w:szCs w:val="24"/>
        </w:rPr>
        <w:t>个</w:t>
      </w:r>
      <w:r>
        <w:rPr>
          <w:rFonts w:hint="eastAsia"/>
          <w:bCs/>
          <w:sz w:val="24"/>
          <w:szCs w:val="24"/>
        </w:rPr>
        <w:t>皮带封</w:t>
      </w:r>
      <w:r>
        <w:rPr>
          <w:bCs/>
          <w:sz w:val="24"/>
          <w:szCs w:val="24"/>
        </w:rPr>
        <w:t>+</w:t>
      </w:r>
      <w:r>
        <w:rPr>
          <w:bCs/>
          <w:sz w:val="24"/>
          <w:szCs w:val="24"/>
        </w:rPr>
        <w:t>集尘管道；</w:t>
      </w:r>
    </w:p>
    <w:p w:rsidR="00DB7CC8" w:rsidRDefault="002B5250">
      <w:pPr>
        <w:ind w:leftChars="50" w:left="140" w:firstLineChars="150" w:firstLine="360"/>
        <w:rPr>
          <w:bCs/>
          <w:sz w:val="24"/>
          <w:szCs w:val="24"/>
        </w:rPr>
      </w:pPr>
      <w:r>
        <w:rPr>
          <w:bCs/>
          <w:sz w:val="24"/>
          <w:szCs w:val="24"/>
        </w:rPr>
        <w:t>b.</w:t>
      </w:r>
      <w:r>
        <w:rPr>
          <w:rFonts w:hint="eastAsia"/>
          <w:bCs/>
          <w:sz w:val="24"/>
          <w:szCs w:val="24"/>
        </w:rPr>
        <w:t>锤式</w:t>
      </w:r>
      <w:r>
        <w:rPr>
          <w:bCs/>
          <w:sz w:val="24"/>
          <w:szCs w:val="24"/>
        </w:rPr>
        <w:t>破碎机入料口设置</w:t>
      </w:r>
      <w:r>
        <w:rPr>
          <w:bCs/>
          <w:sz w:val="24"/>
          <w:szCs w:val="24"/>
        </w:rPr>
        <w:t>1</w:t>
      </w:r>
      <w:r>
        <w:rPr>
          <w:bCs/>
          <w:sz w:val="24"/>
          <w:szCs w:val="24"/>
        </w:rPr>
        <w:t>个集气罩</w:t>
      </w:r>
      <w:r>
        <w:rPr>
          <w:bCs/>
          <w:sz w:val="24"/>
          <w:szCs w:val="24"/>
        </w:rPr>
        <w:t>+</w:t>
      </w:r>
      <w:r>
        <w:rPr>
          <w:bCs/>
          <w:sz w:val="24"/>
          <w:szCs w:val="24"/>
        </w:rPr>
        <w:t>集尘管道，出料口设置</w:t>
      </w:r>
      <w:r>
        <w:rPr>
          <w:bCs/>
          <w:sz w:val="24"/>
          <w:szCs w:val="24"/>
        </w:rPr>
        <w:t>1</w:t>
      </w:r>
      <w:r>
        <w:rPr>
          <w:bCs/>
          <w:sz w:val="24"/>
          <w:szCs w:val="24"/>
        </w:rPr>
        <w:t>个</w:t>
      </w:r>
      <w:r>
        <w:rPr>
          <w:rFonts w:hint="eastAsia"/>
          <w:bCs/>
          <w:sz w:val="24"/>
          <w:szCs w:val="24"/>
        </w:rPr>
        <w:t>皮带封</w:t>
      </w:r>
      <w:r>
        <w:rPr>
          <w:bCs/>
          <w:sz w:val="24"/>
          <w:szCs w:val="24"/>
        </w:rPr>
        <w:t>+</w:t>
      </w:r>
      <w:r>
        <w:rPr>
          <w:bCs/>
          <w:sz w:val="24"/>
          <w:szCs w:val="24"/>
        </w:rPr>
        <w:t>集尘管道；</w:t>
      </w:r>
    </w:p>
    <w:p w:rsidR="00DB7CC8" w:rsidRDefault="002B5250">
      <w:pPr>
        <w:ind w:leftChars="50" w:left="140" w:firstLineChars="150" w:firstLine="360"/>
        <w:rPr>
          <w:bCs/>
          <w:sz w:val="24"/>
          <w:szCs w:val="24"/>
        </w:rPr>
      </w:pPr>
      <w:r>
        <w:rPr>
          <w:rFonts w:hint="eastAsia"/>
          <w:bCs/>
          <w:sz w:val="24"/>
          <w:szCs w:val="24"/>
        </w:rPr>
        <w:t>c</w:t>
      </w:r>
      <w:r>
        <w:rPr>
          <w:bCs/>
          <w:sz w:val="24"/>
          <w:szCs w:val="24"/>
        </w:rPr>
        <w:t>.</w:t>
      </w:r>
      <w:r>
        <w:rPr>
          <w:bCs/>
          <w:sz w:val="24"/>
          <w:szCs w:val="24"/>
        </w:rPr>
        <w:t>圆锥破碎机入料口设置</w:t>
      </w:r>
      <w:r>
        <w:rPr>
          <w:bCs/>
          <w:sz w:val="24"/>
          <w:szCs w:val="24"/>
        </w:rPr>
        <w:t>1</w:t>
      </w:r>
      <w:r>
        <w:rPr>
          <w:bCs/>
          <w:sz w:val="24"/>
          <w:szCs w:val="24"/>
        </w:rPr>
        <w:t>个集气罩</w:t>
      </w:r>
      <w:r>
        <w:rPr>
          <w:bCs/>
          <w:sz w:val="24"/>
          <w:szCs w:val="24"/>
        </w:rPr>
        <w:t>+</w:t>
      </w:r>
      <w:r>
        <w:rPr>
          <w:bCs/>
          <w:sz w:val="24"/>
          <w:szCs w:val="24"/>
        </w:rPr>
        <w:t>集尘管道，出料口设置</w:t>
      </w:r>
      <w:r>
        <w:rPr>
          <w:bCs/>
          <w:sz w:val="24"/>
          <w:szCs w:val="24"/>
        </w:rPr>
        <w:t>1</w:t>
      </w:r>
      <w:r>
        <w:rPr>
          <w:bCs/>
          <w:sz w:val="24"/>
          <w:szCs w:val="24"/>
        </w:rPr>
        <w:t>个</w:t>
      </w:r>
      <w:r>
        <w:rPr>
          <w:rFonts w:hint="eastAsia"/>
          <w:bCs/>
          <w:sz w:val="24"/>
          <w:szCs w:val="24"/>
        </w:rPr>
        <w:t>皮带封</w:t>
      </w:r>
      <w:r>
        <w:rPr>
          <w:bCs/>
          <w:sz w:val="24"/>
          <w:szCs w:val="24"/>
        </w:rPr>
        <w:t>+</w:t>
      </w:r>
      <w:r>
        <w:rPr>
          <w:bCs/>
          <w:sz w:val="24"/>
          <w:szCs w:val="24"/>
        </w:rPr>
        <w:t>集尘管道；</w:t>
      </w:r>
    </w:p>
    <w:p w:rsidR="00DB7CC8" w:rsidRDefault="002B5250">
      <w:pPr>
        <w:ind w:leftChars="50" w:left="140" w:firstLineChars="150" w:firstLine="360"/>
        <w:rPr>
          <w:bCs/>
          <w:sz w:val="24"/>
          <w:szCs w:val="24"/>
        </w:rPr>
      </w:pPr>
      <w:r>
        <w:rPr>
          <w:rFonts w:hint="eastAsia"/>
          <w:bCs/>
          <w:sz w:val="24"/>
          <w:szCs w:val="24"/>
        </w:rPr>
        <w:t>d</w:t>
      </w:r>
      <w:r>
        <w:rPr>
          <w:bCs/>
          <w:sz w:val="24"/>
          <w:szCs w:val="24"/>
        </w:rPr>
        <w:t>.</w:t>
      </w:r>
      <w:r>
        <w:rPr>
          <w:bCs/>
          <w:sz w:val="24"/>
          <w:szCs w:val="24"/>
        </w:rPr>
        <w:t>振动筛入料口设置</w:t>
      </w:r>
      <w:r>
        <w:rPr>
          <w:bCs/>
          <w:sz w:val="24"/>
          <w:szCs w:val="24"/>
        </w:rPr>
        <w:t>1</w:t>
      </w:r>
      <w:r>
        <w:rPr>
          <w:bCs/>
          <w:sz w:val="24"/>
          <w:szCs w:val="24"/>
        </w:rPr>
        <w:t>个集气罩</w:t>
      </w:r>
      <w:r>
        <w:rPr>
          <w:bCs/>
          <w:sz w:val="24"/>
          <w:szCs w:val="24"/>
        </w:rPr>
        <w:t>+</w:t>
      </w:r>
      <w:r>
        <w:rPr>
          <w:bCs/>
          <w:sz w:val="24"/>
          <w:szCs w:val="24"/>
        </w:rPr>
        <w:t>筛面封闭</w:t>
      </w:r>
      <w:r>
        <w:rPr>
          <w:bCs/>
          <w:sz w:val="24"/>
          <w:szCs w:val="24"/>
        </w:rPr>
        <w:t>+</w:t>
      </w:r>
      <w:r>
        <w:rPr>
          <w:bCs/>
          <w:sz w:val="24"/>
          <w:szCs w:val="24"/>
        </w:rPr>
        <w:t>集尘管道，振动筛出料口设置</w:t>
      </w:r>
      <w:r>
        <w:rPr>
          <w:bCs/>
          <w:sz w:val="24"/>
          <w:szCs w:val="24"/>
        </w:rPr>
        <w:t>1</w:t>
      </w:r>
      <w:r>
        <w:rPr>
          <w:bCs/>
          <w:sz w:val="24"/>
          <w:szCs w:val="24"/>
        </w:rPr>
        <w:t>个</w:t>
      </w:r>
      <w:r>
        <w:rPr>
          <w:rFonts w:hint="eastAsia"/>
          <w:bCs/>
          <w:sz w:val="24"/>
          <w:szCs w:val="24"/>
        </w:rPr>
        <w:t>皮带封</w:t>
      </w:r>
      <w:r>
        <w:rPr>
          <w:bCs/>
          <w:sz w:val="24"/>
          <w:szCs w:val="24"/>
        </w:rPr>
        <w:t>+</w:t>
      </w:r>
      <w:r>
        <w:rPr>
          <w:bCs/>
          <w:sz w:val="24"/>
          <w:szCs w:val="24"/>
        </w:rPr>
        <w:t>集尘管；</w:t>
      </w:r>
    </w:p>
    <w:p w:rsidR="00DB7CC8" w:rsidRDefault="002B5250">
      <w:pPr>
        <w:ind w:leftChars="50" w:left="140" w:firstLineChars="150" w:firstLine="360"/>
        <w:rPr>
          <w:bCs/>
          <w:sz w:val="24"/>
          <w:szCs w:val="24"/>
          <w:highlight w:val="green"/>
        </w:rPr>
      </w:pPr>
      <w:r>
        <w:rPr>
          <w:rFonts w:hint="eastAsia"/>
          <w:bCs/>
          <w:sz w:val="24"/>
          <w:szCs w:val="24"/>
        </w:rPr>
        <w:t>e</w:t>
      </w:r>
      <w:r>
        <w:rPr>
          <w:bCs/>
          <w:sz w:val="24"/>
          <w:szCs w:val="24"/>
        </w:rPr>
        <w:t>.</w:t>
      </w:r>
      <w:r>
        <w:rPr>
          <w:rFonts w:hint="eastAsia"/>
          <w:bCs/>
          <w:sz w:val="24"/>
          <w:szCs w:val="24"/>
        </w:rPr>
        <w:t>中转</w:t>
      </w:r>
      <w:r>
        <w:rPr>
          <w:bCs/>
          <w:sz w:val="24"/>
          <w:szCs w:val="24"/>
        </w:rPr>
        <w:t>料仓顶部封闭</w:t>
      </w:r>
      <w:r>
        <w:rPr>
          <w:bCs/>
          <w:sz w:val="24"/>
          <w:szCs w:val="24"/>
        </w:rPr>
        <w:t>+</w:t>
      </w:r>
      <w:r>
        <w:rPr>
          <w:bCs/>
          <w:sz w:val="24"/>
          <w:szCs w:val="24"/>
        </w:rPr>
        <w:t>集尘管道并留有皮带落料口，料仓出料口设置</w:t>
      </w:r>
      <w:r>
        <w:rPr>
          <w:bCs/>
          <w:sz w:val="24"/>
          <w:szCs w:val="24"/>
        </w:rPr>
        <w:t>1</w:t>
      </w:r>
      <w:r>
        <w:rPr>
          <w:bCs/>
          <w:sz w:val="24"/>
          <w:szCs w:val="24"/>
        </w:rPr>
        <w:t>个</w:t>
      </w:r>
      <w:r>
        <w:rPr>
          <w:rFonts w:hint="eastAsia"/>
          <w:bCs/>
          <w:sz w:val="24"/>
          <w:szCs w:val="24"/>
        </w:rPr>
        <w:t>皮带封</w:t>
      </w:r>
      <w:r>
        <w:rPr>
          <w:bCs/>
          <w:sz w:val="24"/>
          <w:szCs w:val="24"/>
        </w:rPr>
        <w:t>+</w:t>
      </w:r>
      <w:r>
        <w:rPr>
          <w:bCs/>
          <w:sz w:val="24"/>
          <w:szCs w:val="24"/>
        </w:rPr>
        <w:t>集尘管道。</w:t>
      </w:r>
    </w:p>
    <w:p w:rsidR="00DB7CC8" w:rsidRDefault="002B5250">
      <w:pPr>
        <w:ind w:firstLine="480"/>
        <w:jc w:val="both"/>
        <w:rPr>
          <w:bCs/>
          <w:sz w:val="24"/>
          <w:szCs w:val="24"/>
        </w:rPr>
      </w:pPr>
      <w:r>
        <w:rPr>
          <w:rFonts w:hint="eastAsia"/>
          <w:bCs/>
          <w:sz w:val="24"/>
          <w:szCs w:val="24"/>
        </w:rPr>
        <w:t>本项目颗粒物的排放浓度满足《铁矿采选工业污染物排放标准》（</w:t>
      </w:r>
      <w:r>
        <w:rPr>
          <w:rFonts w:hint="eastAsia"/>
          <w:bCs/>
          <w:sz w:val="24"/>
          <w:szCs w:val="24"/>
        </w:rPr>
        <w:t>GB28661-2012</w:t>
      </w:r>
      <w:r>
        <w:rPr>
          <w:rFonts w:hint="eastAsia"/>
          <w:bCs/>
          <w:sz w:val="24"/>
          <w:szCs w:val="24"/>
        </w:rPr>
        <w:t>）表</w:t>
      </w:r>
      <w:r>
        <w:rPr>
          <w:rFonts w:hint="eastAsia"/>
          <w:bCs/>
          <w:sz w:val="24"/>
          <w:szCs w:val="24"/>
        </w:rPr>
        <w:t>6</w:t>
      </w:r>
      <w:r>
        <w:rPr>
          <w:rFonts w:hint="eastAsia"/>
          <w:bCs/>
          <w:sz w:val="24"/>
          <w:szCs w:val="24"/>
        </w:rPr>
        <w:t>中规定的选矿厂各工艺污染物特别排放</w:t>
      </w:r>
      <w:r>
        <w:rPr>
          <w:rFonts w:hint="eastAsia"/>
          <w:bCs/>
          <w:sz w:val="24"/>
          <w:szCs w:val="24"/>
        </w:rPr>
        <w:t>限值，破碎筛分生产工序颗粒物最高允许排放限值为</w:t>
      </w:r>
      <w:r>
        <w:rPr>
          <w:rFonts w:hint="eastAsia"/>
          <w:bCs/>
          <w:sz w:val="24"/>
          <w:szCs w:val="24"/>
        </w:rPr>
        <w:t>10mg/m</w:t>
      </w:r>
      <w:r>
        <w:rPr>
          <w:rFonts w:hint="eastAsia"/>
          <w:bCs/>
          <w:sz w:val="24"/>
          <w:szCs w:val="24"/>
          <w:vertAlign w:val="superscript"/>
        </w:rPr>
        <w:t>3</w:t>
      </w:r>
      <w:r>
        <w:rPr>
          <w:rFonts w:hint="eastAsia"/>
          <w:bCs/>
          <w:sz w:val="24"/>
          <w:szCs w:val="24"/>
        </w:rPr>
        <w:t>，最终经</w:t>
      </w:r>
      <w:r>
        <w:rPr>
          <w:bCs/>
          <w:sz w:val="24"/>
          <w:szCs w:val="24"/>
        </w:rPr>
        <w:t>1</w:t>
      </w:r>
      <w:r>
        <w:rPr>
          <w:rFonts w:hint="eastAsia"/>
          <w:bCs/>
          <w:sz w:val="24"/>
          <w:szCs w:val="24"/>
        </w:rPr>
        <w:t>8</w:t>
      </w:r>
      <w:r>
        <w:rPr>
          <w:rFonts w:hint="eastAsia"/>
          <w:bCs/>
          <w:sz w:val="24"/>
          <w:szCs w:val="24"/>
        </w:rPr>
        <w:t>m</w:t>
      </w:r>
      <w:r>
        <w:rPr>
          <w:rFonts w:hint="eastAsia"/>
          <w:bCs/>
          <w:sz w:val="24"/>
          <w:szCs w:val="24"/>
        </w:rPr>
        <w:t>高排气筒排放。</w:t>
      </w:r>
    </w:p>
    <w:p w:rsidR="00DB7CC8" w:rsidRDefault="002B5250">
      <w:pPr>
        <w:ind w:firstLine="480"/>
        <w:jc w:val="both"/>
        <w:rPr>
          <w:bCs/>
          <w:sz w:val="24"/>
          <w:szCs w:val="24"/>
        </w:rPr>
      </w:pPr>
      <w:r>
        <w:rPr>
          <w:rFonts w:hint="eastAsia"/>
          <w:bCs/>
          <w:sz w:val="24"/>
          <w:szCs w:val="24"/>
        </w:rPr>
        <w:t>②矿石、尾矿砂、铁精粉等物料装卸、储存、转运过程中产生的颗粒物</w:t>
      </w:r>
    </w:p>
    <w:p w:rsidR="00DB7CC8" w:rsidRDefault="002B5250">
      <w:pPr>
        <w:ind w:firstLine="480"/>
        <w:jc w:val="both"/>
        <w:rPr>
          <w:bCs/>
          <w:sz w:val="24"/>
          <w:szCs w:val="24"/>
        </w:rPr>
      </w:pPr>
      <w:r>
        <w:rPr>
          <w:rFonts w:hint="eastAsia"/>
          <w:bCs/>
          <w:sz w:val="24"/>
          <w:szCs w:val="24"/>
        </w:rPr>
        <w:t>本项目物料在装卸、储存、转运过程均在封闭的原料库或车间内进行，不存在物料露天转运，并在装卸、储存、转运过程中采取喷雾抑尘措施（电伴热，管路使用保温棉保温），厂区道路由专人负责定期清扫、洒水抑尘，并在厂区门口设置汽车平台。采取上述措施后，本项目无组织排放颗粒物浓度满足《铁矿采选</w:t>
      </w:r>
      <w:r>
        <w:rPr>
          <w:rFonts w:hint="eastAsia"/>
          <w:bCs/>
          <w:sz w:val="24"/>
          <w:szCs w:val="24"/>
        </w:rPr>
        <w:lastRenderedPageBreak/>
        <w:t>工业污染物排放标准》（</w:t>
      </w:r>
      <w:r>
        <w:rPr>
          <w:rFonts w:hint="eastAsia"/>
          <w:bCs/>
          <w:sz w:val="24"/>
          <w:szCs w:val="24"/>
        </w:rPr>
        <w:t>GB28661-2012</w:t>
      </w:r>
      <w:r>
        <w:rPr>
          <w:rFonts w:hint="eastAsia"/>
          <w:bCs/>
          <w:sz w:val="24"/>
          <w:szCs w:val="24"/>
        </w:rPr>
        <w:t>）表</w:t>
      </w:r>
      <w:r>
        <w:rPr>
          <w:rFonts w:hint="eastAsia"/>
          <w:bCs/>
          <w:sz w:val="24"/>
          <w:szCs w:val="24"/>
        </w:rPr>
        <w:t>7</w:t>
      </w:r>
      <w:r>
        <w:rPr>
          <w:rFonts w:hint="eastAsia"/>
          <w:bCs/>
          <w:sz w:val="24"/>
          <w:szCs w:val="24"/>
        </w:rPr>
        <w:t>中作业场所边界处颗粒物无组织排</w:t>
      </w:r>
      <w:r>
        <w:rPr>
          <w:rFonts w:hint="eastAsia"/>
          <w:bCs/>
          <w:sz w:val="24"/>
          <w:szCs w:val="24"/>
        </w:rPr>
        <w:t>放限值为</w:t>
      </w:r>
      <w:r>
        <w:rPr>
          <w:rFonts w:hint="eastAsia"/>
          <w:bCs/>
          <w:sz w:val="24"/>
          <w:szCs w:val="24"/>
        </w:rPr>
        <w:t>1.0mg/m</w:t>
      </w:r>
      <w:r>
        <w:rPr>
          <w:rFonts w:hint="eastAsia"/>
          <w:bCs/>
          <w:sz w:val="24"/>
          <w:szCs w:val="24"/>
        </w:rPr>
        <w:t>³要求。</w:t>
      </w:r>
    </w:p>
    <w:p w:rsidR="00DB7CC8" w:rsidRDefault="002B5250">
      <w:pPr>
        <w:ind w:firstLine="480"/>
        <w:jc w:val="both"/>
        <w:rPr>
          <w:bCs/>
          <w:sz w:val="24"/>
          <w:szCs w:val="24"/>
        </w:rPr>
      </w:pPr>
      <w:r>
        <w:rPr>
          <w:rFonts w:hint="eastAsia"/>
          <w:bCs/>
          <w:sz w:val="24"/>
          <w:szCs w:val="24"/>
        </w:rPr>
        <w:t>（</w:t>
      </w:r>
      <w:r>
        <w:rPr>
          <w:rFonts w:hint="eastAsia"/>
          <w:bCs/>
          <w:sz w:val="24"/>
          <w:szCs w:val="24"/>
        </w:rPr>
        <w:t>2</w:t>
      </w:r>
      <w:r>
        <w:rPr>
          <w:rFonts w:hint="eastAsia"/>
          <w:bCs/>
          <w:sz w:val="24"/>
          <w:szCs w:val="24"/>
        </w:rPr>
        <w:t>）废水治理措施</w:t>
      </w:r>
    </w:p>
    <w:p w:rsidR="00DB7CC8" w:rsidRDefault="002B5250">
      <w:pPr>
        <w:ind w:firstLine="480"/>
        <w:jc w:val="both"/>
        <w:rPr>
          <w:bCs/>
          <w:sz w:val="24"/>
          <w:szCs w:val="24"/>
        </w:rPr>
      </w:pPr>
      <w:r>
        <w:rPr>
          <w:rFonts w:hint="eastAsia"/>
          <w:bCs/>
          <w:sz w:val="24"/>
          <w:szCs w:val="24"/>
        </w:rPr>
        <w:t>本项目铁精粉压滤水直接泵回一段磁选，循环使用不外排；尾矿废水经选砂后，随尾矿一起进入浓密池，经浓密池沉淀的上清液、压滤机压滤后的滤液收集于清水池暂存，作为生产用水回用，不外排；汽车冲洗废水及车间地面冲洗废水经沉淀后回用不外排。</w:t>
      </w:r>
    </w:p>
    <w:p w:rsidR="00DB7CC8" w:rsidRDefault="002B5250">
      <w:pPr>
        <w:ind w:firstLine="480"/>
        <w:jc w:val="both"/>
        <w:rPr>
          <w:bCs/>
          <w:sz w:val="24"/>
          <w:szCs w:val="24"/>
        </w:rPr>
      </w:pPr>
      <w:r>
        <w:rPr>
          <w:rFonts w:hint="eastAsia"/>
          <w:bCs/>
          <w:sz w:val="24"/>
          <w:szCs w:val="24"/>
        </w:rPr>
        <w:t>（</w:t>
      </w:r>
      <w:r>
        <w:rPr>
          <w:rFonts w:hint="eastAsia"/>
          <w:bCs/>
          <w:sz w:val="24"/>
          <w:szCs w:val="24"/>
        </w:rPr>
        <w:t>3</w:t>
      </w:r>
      <w:r>
        <w:rPr>
          <w:rFonts w:hint="eastAsia"/>
          <w:bCs/>
          <w:sz w:val="24"/>
          <w:szCs w:val="24"/>
        </w:rPr>
        <w:t>）噪声治理措施</w:t>
      </w:r>
    </w:p>
    <w:p w:rsidR="00DB7CC8" w:rsidRDefault="002B5250">
      <w:pPr>
        <w:ind w:firstLine="480"/>
        <w:jc w:val="both"/>
        <w:rPr>
          <w:bCs/>
          <w:sz w:val="24"/>
          <w:szCs w:val="24"/>
        </w:rPr>
      </w:pPr>
      <w:r>
        <w:rPr>
          <w:rFonts w:hint="eastAsia"/>
          <w:bCs/>
          <w:sz w:val="24"/>
          <w:szCs w:val="24"/>
        </w:rPr>
        <w:t>本项目噪声主要为破碎机、振动筛、球磨机、磁选机、水泵等设备运行时产生的噪声。设备置于封闭车间内，基础减振，泵类设置软连接，风机加装隔声罩等措施，确保厂界噪声达标。</w:t>
      </w:r>
    </w:p>
    <w:p w:rsidR="00DB7CC8" w:rsidRDefault="002B5250">
      <w:pPr>
        <w:ind w:firstLine="480"/>
        <w:jc w:val="both"/>
        <w:rPr>
          <w:bCs/>
          <w:sz w:val="24"/>
          <w:szCs w:val="24"/>
        </w:rPr>
      </w:pPr>
      <w:r>
        <w:rPr>
          <w:rFonts w:hint="eastAsia"/>
          <w:bCs/>
          <w:sz w:val="24"/>
          <w:szCs w:val="24"/>
        </w:rPr>
        <w:t>（</w:t>
      </w:r>
      <w:r>
        <w:rPr>
          <w:rFonts w:hint="eastAsia"/>
          <w:bCs/>
          <w:sz w:val="24"/>
          <w:szCs w:val="24"/>
        </w:rPr>
        <w:t>4</w:t>
      </w:r>
      <w:r>
        <w:rPr>
          <w:rFonts w:hint="eastAsia"/>
          <w:bCs/>
          <w:sz w:val="24"/>
          <w:szCs w:val="24"/>
        </w:rPr>
        <w:t>）固体废物治理措施</w:t>
      </w:r>
    </w:p>
    <w:p w:rsidR="00DB7CC8" w:rsidRDefault="002B5250">
      <w:pPr>
        <w:ind w:firstLine="480"/>
        <w:jc w:val="both"/>
        <w:rPr>
          <w:bCs/>
          <w:sz w:val="24"/>
          <w:szCs w:val="24"/>
        </w:rPr>
      </w:pPr>
      <w:r>
        <w:rPr>
          <w:rFonts w:hint="eastAsia"/>
          <w:bCs/>
          <w:sz w:val="24"/>
          <w:szCs w:val="24"/>
        </w:rPr>
        <w:t>本项目粗尾矿砂外售周边建材企业综合利用，细尾矿砂外运</w:t>
      </w:r>
      <w:r>
        <w:rPr>
          <w:bCs/>
          <w:sz w:val="24"/>
          <w:szCs w:val="24"/>
        </w:rPr>
        <w:t>填坑造地</w:t>
      </w:r>
      <w:r>
        <w:rPr>
          <w:rFonts w:hint="eastAsia"/>
          <w:bCs/>
          <w:sz w:val="24"/>
          <w:szCs w:val="24"/>
        </w:rPr>
        <w:t>；废钢球由厂家回收处理；危险废物废机油、废油桶暂存于厂内危废间，定期送有资质的危险废物处置单位处理。整体环保措施可行。</w:t>
      </w:r>
    </w:p>
    <w:p w:rsidR="00DB7CC8" w:rsidRDefault="002B5250">
      <w:pPr>
        <w:ind w:firstLine="480"/>
        <w:jc w:val="both"/>
        <w:rPr>
          <w:bCs/>
          <w:sz w:val="24"/>
          <w:szCs w:val="24"/>
        </w:rPr>
      </w:pPr>
      <w:r>
        <w:rPr>
          <w:rFonts w:hint="eastAsia"/>
          <w:bCs/>
          <w:sz w:val="24"/>
          <w:szCs w:val="24"/>
        </w:rPr>
        <w:t>（</w:t>
      </w:r>
      <w:r>
        <w:rPr>
          <w:rFonts w:hint="eastAsia"/>
          <w:bCs/>
          <w:sz w:val="24"/>
          <w:szCs w:val="24"/>
        </w:rPr>
        <w:t>5</w:t>
      </w:r>
      <w:r>
        <w:rPr>
          <w:rFonts w:hint="eastAsia"/>
          <w:bCs/>
          <w:sz w:val="24"/>
          <w:szCs w:val="24"/>
        </w:rPr>
        <w:t>）防渗措施</w:t>
      </w:r>
    </w:p>
    <w:p w:rsidR="00DB7CC8" w:rsidRDefault="002B5250">
      <w:pPr>
        <w:ind w:firstLine="480"/>
        <w:jc w:val="both"/>
        <w:rPr>
          <w:bCs/>
          <w:sz w:val="24"/>
          <w:szCs w:val="24"/>
        </w:rPr>
      </w:pPr>
      <w:bookmarkStart w:id="720" w:name="_Toc16767"/>
      <w:bookmarkStart w:id="721" w:name="_Toc521591850"/>
      <w:bookmarkStart w:id="722" w:name="_Toc477175450"/>
      <w:r>
        <w:rPr>
          <w:rFonts w:hint="eastAsia"/>
          <w:bCs/>
          <w:sz w:val="24"/>
          <w:szCs w:val="24"/>
        </w:rPr>
        <w:t>厂房、库房地面采用防渗混凝土结构，厚度为</w:t>
      </w:r>
      <w:r>
        <w:rPr>
          <w:rFonts w:hint="eastAsia"/>
          <w:bCs/>
          <w:sz w:val="24"/>
          <w:szCs w:val="24"/>
        </w:rPr>
        <w:t>20cm</w:t>
      </w:r>
      <w:r>
        <w:rPr>
          <w:rFonts w:hint="eastAsia"/>
          <w:bCs/>
          <w:sz w:val="24"/>
          <w:szCs w:val="24"/>
        </w:rPr>
        <w:t>，渗透系数≤</w:t>
      </w:r>
      <w:r>
        <w:rPr>
          <w:rFonts w:hint="eastAsia"/>
          <w:bCs/>
          <w:sz w:val="24"/>
          <w:szCs w:val="24"/>
        </w:rPr>
        <w:t>10</w:t>
      </w:r>
      <w:r>
        <w:rPr>
          <w:rFonts w:hint="eastAsia"/>
          <w:bCs/>
          <w:sz w:val="24"/>
          <w:szCs w:val="24"/>
          <w:vertAlign w:val="superscript"/>
        </w:rPr>
        <w:t>-7</w:t>
      </w:r>
      <w:r>
        <w:rPr>
          <w:rFonts w:hint="eastAsia"/>
          <w:bCs/>
          <w:sz w:val="24"/>
          <w:szCs w:val="24"/>
        </w:rPr>
        <w:t>cm/s</w:t>
      </w:r>
      <w:r>
        <w:rPr>
          <w:rFonts w:hint="eastAsia"/>
          <w:bCs/>
          <w:sz w:val="24"/>
          <w:szCs w:val="24"/>
        </w:rPr>
        <w:t>；浓密池、清水池、事故池、车辆清洗沉淀池底部及四壁均采用混凝土浇筑防渗，厚度为</w:t>
      </w:r>
      <w:r>
        <w:rPr>
          <w:rFonts w:hint="eastAsia"/>
          <w:bCs/>
          <w:sz w:val="24"/>
          <w:szCs w:val="24"/>
        </w:rPr>
        <w:t>20cm</w:t>
      </w:r>
      <w:r>
        <w:rPr>
          <w:rFonts w:hint="eastAsia"/>
          <w:bCs/>
          <w:sz w:val="24"/>
          <w:szCs w:val="24"/>
        </w:rPr>
        <w:t>，渗透系数小于</w:t>
      </w:r>
      <w:r>
        <w:rPr>
          <w:rFonts w:hint="eastAsia"/>
          <w:bCs/>
          <w:sz w:val="24"/>
          <w:szCs w:val="24"/>
        </w:rPr>
        <w:t>1</w:t>
      </w:r>
      <w:r>
        <w:rPr>
          <w:rFonts w:hint="eastAsia"/>
          <w:bCs/>
          <w:sz w:val="24"/>
          <w:szCs w:val="24"/>
        </w:rPr>
        <w:t>×</w:t>
      </w:r>
      <w:r>
        <w:rPr>
          <w:rFonts w:hint="eastAsia"/>
          <w:bCs/>
          <w:sz w:val="24"/>
          <w:szCs w:val="24"/>
        </w:rPr>
        <w:t>10</w:t>
      </w:r>
      <w:r>
        <w:rPr>
          <w:rFonts w:hint="eastAsia"/>
          <w:bCs/>
          <w:sz w:val="24"/>
          <w:szCs w:val="24"/>
          <w:vertAlign w:val="superscript"/>
        </w:rPr>
        <w:t>-7</w:t>
      </w:r>
      <w:r>
        <w:rPr>
          <w:rFonts w:hint="eastAsia"/>
          <w:bCs/>
          <w:sz w:val="24"/>
          <w:szCs w:val="24"/>
        </w:rPr>
        <w:t xml:space="preserve"> cm/s</w:t>
      </w:r>
      <w:r>
        <w:rPr>
          <w:rFonts w:hint="eastAsia"/>
          <w:bCs/>
          <w:sz w:val="24"/>
          <w:szCs w:val="24"/>
        </w:rPr>
        <w:t>；危废间地面与裙脚采取防渗措施，同时设置泄漏液体的收集装置。防渗层渗透系数小于</w:t>
      </w:r>
      <w:r>
        <w:rPr>
          <w:rFonts w:hint="eastAsia"/>
          <w:bCs/>
          <w:sz w:val="24"/>
          <w:szCs w:val="24"/>
        </w:rPr>
        <w:t>10</w:t>
      </w:r>
      <w:r>
        <w:rPr>
          <w:rFonts w:hint="eastAsia"/>
          <w:bCs/>
          <w:sz w:val="24"/>
          <w:szCs w:val="24"/>
          <w:vertAlign w:val="superscript"/>
        </w:rPr>
        <w:t>-10</w:t>
      </w:r>
      <w:r>
        <w:rPr>
          <w:rFonts w:hint="eastAsia"/>
          <w:bCs/>
          <w:sz w:val="24"/>
          <w:szCs w:val="24"/>
        </w:rPr>
        <w:t>cm/s</w:t>
      </w:r>
      <w:r>
        <w:rPr>
          <w:rFonts w:hint="eastAsia"/>
          <w:bCs/>
          <w:sz w:val="24"/>
          <w:szCs w:val="24"/>
        </w:rPr>
        <w:t>；物料输送管采用</w:t>
      </w:r>
      <w:r>
        <w:rPr>
          <w:rFonts w:hint="eastAsia"/>
          <w:bCs/>
          <w:sz w:val="24"/>
          <w:szCs w:val="24"/>
        </w:rPr>
        <w:t>PVC</w:t>
      </w:r>
      <w:r>
        <w:rPr>
          <w:rFonts w:hint="eastAsia"/>
          <w:bCs/>
          <w:sz w:val="24"/>
          <w:szCs w:val="24"/>
        </w:rPr>
        <w:t>管；尾矿浆输送使用</w:t>
      </w:r>
      <w:r>
        <w:rPr>
          <w:rFonts w:hint="eastAsia"/>
          <w:bCs/>
          <w:sz w:val="24"/>
          <w:szCs w:val="24"/>
        </w:rPr>
        <w:t>PVC</w:t>
      </w:r>
      <w:r>
        <w:rPr>
          <w:rFonts w:hint="eastAsia"/>
          <w:bCs/>
          <w:sz w:val="24"/>
          <w:szCs w:val="24"/>
        </w:rPr>
        <w:t>管或排水沟，集水沟槽均为混凝土结构，防渗层渗透系数小于</w:t>
      </w:r>
      <w:r>
        <w:rPr>
          <w:rFonts w:hint="eastAsia"/>
          <w:bCs/>
          <w:sz w:val="24"/>
          <w:szCs w:val="24"/>
        </w:rPr>
        <w:t>1</w:t>
      </w:r>
      <w:r>
        <w:rPr>
          <w:rFonts w:hint="eastAsia"/>
          <w:bCs/>
          <w:sz w:val="24"/>
          <w:szCs w:val="24"/>
        </w:rPr>
        <w:t>×</w:t>
      </w:r>
      <w:r>
        <w:rPr>
          <w:rFonts w:hint="eastAsia"/>
          <w:bCs/>
          <w:sz w:val="24"/>
          <w:szCs w:val="24"/>
        </w:rPr>
        <w:t>10</w:t>
      </w:r>
      <w:r>
        <w:rPr>
          <w:rFonts w:hint="eastAsia"/>
          <w:bCs/>
          <w:sz w:val="24"/>
          <w:szCs w:val="24"/>
          <w:vertAlign w:val="superscript"/>
        </w:rPr>
        <w:t>-7</w:t>
      </w:r>
      <w:r>
        <w:rPr>
          <w:rFonts w:hint="eastAsia"/>
          <w:bCs/>
          <w:sz w:val="24"/>
          <w:szCs w:val="24"/>
        </w:rPr>
        <w:t>cm/s</w:t>
      </w:r>
      <w:r>
        <w:rPr>
          <w:rFonts w:hint="eastAsia"/>
          <w:bCs/>
          <w:sz w:val="24"/>
          <w:szCs w:val="24"/>
        </w:rPr>
        <w:t>，满足《危险废物贮存污染控制标准》（</w:t>
      </w:r>
      <w:r>
        <w:rPr>
          <w:rFonts w:hint="eastAsia"/>
          <w:bCs/>
          <w:sz w:val="24"/>
          <w:szCs w:val="24"/>
        </w:rPr>
        <w:t>GB18597-20</w:t>
      </w:r>
      <w:r>
        <w:rPr>
          <w:rFonts w:hint="eastAsia"/>
          <w:bCs/>
          <w:sz w:val="24"/>
          <w:szCs w:val="24"/>
        </w:rPr>
        <w:t>23</w:t>
      </w:r>
      <w:r>
        <w:rPr>
          <w:rFonts w:hint="eastAsia"/>
          <w:bCs/>
          <w:sz w:val="24"/>
          <w:szCs w:val="24"/>
        </w:rPr>
        <w:t>）要求，可有效防止项目运行过程中对地下水造成影响。</w:t>
      </w:r>
    </w:p>
    <w:p w:rsidR="00DB7CC8" w:rsidRDefault="002B5250">
      <w:pPr>
        <w:pStyle w:val="3"/>
      </w:pPr>
      <w:r>
        <w:t>9.2.5</w:t>
      </w:r>
      <w:r>
        <w:t>环境影响经济损益分析</w:t>
      </w:r>
      <w:bookmarkEnd w:id="720"/>
      <w:bookmarkEnd w:id="721"/>
      <w:bookmarkEnd w:id="722"/>
    </w:p>
    <w:p w:rsidR="00DB7CC8" w:rsidRDefault="002B5250">
      <w:pPr>
        <w:tabs>
          <w:tab w:val="right" w:leader="dot" w:pos="8647"/>
        </w:tabs>
        <w:ind w:firstLine="480"/>
        <w:jc w:val="both"/>
        <w:rPr>
          <w:sz w:val="24"/>
        </w:rPr>
      </w:pPr>
      <w:r>
        <w:rPr>
          <w:sz w:val="24"/>
        </w:rPr>
        <w:t>本项目建设，从环境经济效益指标如环境成本比率、环境系数、环境代价比率和环境投资效益来看，本工程环境代价和环保成本较低，而环境效益却较为明显，从环境经济角度来看合理可行。</w:t>
      </w:r>
    </w:p>
    <w:p w:rsidR="00DB7CC8" w:rsidRDefault="002B5250">
      <w:pPr>
        <w:pStyle w:val="3"/>
      </w:pPr>
      <w:bookmarkStart w:id="723" w:name="_Toc477175451"/>
      <w:bookmarkStart w:id="724" w:name="_Toc20130"/>
      <w:bookmarkStart w:id="725" w:name="_Toc521591851"/>
      <w:r>
        <w:t>9.2.6</w:t>
      </w:r>
      <w:r>
        <w:t>环境管理与监测计划</w:t>
      </w:r>
      <w:bookmarkEnd w:id="723"/>
      <w:bookmarkEnd w:id="724"/>
      <w:bookmarkEnd w:id="725"/>
    </w:p>
    <w:p w:rsidR="00DB7CC8" w:rsidRDefault="002B5250">
      <w:pPr>
        <w:tabs>
          <w:tab w:val="right" w:leader="dot" w:pos="8647"/>
        </w:tabs>
        <w:ind w:firstLine="480"/>
        <w:jc w:val="both"/>
        <w:rPr>
          <w:sz w:val="24"/>
        </w:rPr>
      </w:pPr>
      <w:r>
        <w:rPr>
          <w:sz w:val="24"/>
        </w:rPr>
        <w:t>根据实际情况，本项目应建立以公司总经理负责、分管副经理兼管环保工作、各</w:t>
      </w:r>
      <w:r>
        <w:rPr>
          <w:sz w:val="24"/>
        </w:rPr>
        <w:t>职能部门各负其责的环境管理体系。</w:t>
      </w:r>
    </w:p>
    <w:p w:rsidR="00DB7CC8" w:rsidRDefault="002B5250">
      <w:pPr>
        <w:tabs>
          <w:tab w:val="right" w:leader="dot" w:pos="8647"/>
        </w:tabs>
        <w:ind w:firstLine="480"/>
        <w:jc w:val="both"/>
        <w:rPr>
          <w:sz w:val="24"/>
        </w:rPr>
      </w:pPr>
      <w:r>
        <w:rPr>
          <w:sz w:val="24"/>
        </w:rPr>
        <w:lastRenderedPageBreak/>
        <w:t>项目建成后，配备专职环保员，负责本厂环境管理与监测工作，并负责与上级部门联系。</w:t>
      </w:r>
    </w:p>
    <w:p w:rsidR="00DB7CC8" w:rsidRDefault="002B5250">
      <w:pPr>
        <w:pStyle w:val="3"/>
      </w:pPr>
      <w:bookmarkStart w:id="726" w:name="_Toc20382"/>
      <w:r>
        <w:t>9.2.7</w:t>
      </w:r>
      <w:r>
        <w:t>公众参与结论</w:t>
      </w:r>
      <w:bookmarkEnd w:id="726"/>
    </w:p>
    <w:p w:rsidR="00DB7CC8" w:rsidRDefault="002B5250">
      <w:pPr>
        <w:tabs>
          <w:tab w:val="right" w:leader="dot" w:pos="8647"/>
        </w:tabs>
        <w:ind w:firstLine="480"/>
        <w:jc w:val="both"/>
        <w:rPr>
          <w:sz w:val="24"/>
        </w:rPr>
      </w:pPr>
      <w:bookmarkStart w:id="727" w:name="_Hlk536741234"/>
      <w:bookmarkStart w:id="728" w:name="_Toc26157"/>
      <w:bookmarkStart w:id="729" w:name="_Toc521591852"/>
      <w:bookmarkStart w:id="730" w:name="_Toc503218137"/>
      <w:bookmarkStart w:id="731" w:name="_Toc7364"/>
      <w:bookmarkStart w:id="732" w:name="_Toc499651438"/>
      <w:bookmarkStart w:id="733" w:name="_Toc477175452"/>
      <w:bookmarkStart w:id="734" w:name="_Toc524285130"/>
      <w:bookmarkStart w:id="735" w:name="_Toc23889"/>
      <w:r>
        <w:rPr>
          <w:sz w:val="24"/>
        </w:rPr>
        <w:t>根据</w:t>
      </w:r>
      <w:r>
        <w:rPr>
          <w:rFonts w:hint="eastAsia"/>
          <w:sz w:val="24"/>
        </w:rPr>
        <w:t>《环境影响评价公众参与办法》（生态环境部</w:t>
      </w:r>
      <w:r>
        <w:rPr>
          <w:rFonts w:hint="eastAsia"/>
          <w:sz w:val="24"/>
        </w:rPr>
        <w:t xml:space="preserve"> </w:t>
      </w:r>
      <w:r>
        <w:rPr>
          <w:rFonts w:hint="eastAsia"/>
          <w:sz w:val="24"/>
        </w:rPr>
        <w:t>部令</w:t>
      </w:r>
      <w:r>
        <w:rPr>
          <w:rFonts w:hint="eastAsia"/>
          <w:sz w:val="24"/>
        </w:rPr>
        <w:t xml:space="preserve"> </w:t>
      </w:r>
      <w:r>
        <w:rPr>
          <w:rFonts w:hint="eastAsia"/>
          <w:sz w:val="24"/>
        </w:rPr>
        <w:t>第</w:t>
      </w:r>
      <w:r>
        <w:rPr>
          <w:rFonts w:hint="eastAsia"/>
          <w:sz w:val="24"/>
        </w:rPr>
        <w:t>4</w:t>
      </w:r>
      <w:r>
        <w:rPr>
          <w:rFonts w:hint="eastAsia"/>
          <w:sz w:val="24"/>
        </w:rPr>
        <w:t>号）</w:t>
      </w:r>
      <w:r>
        <w:rPr>
          <w:sz w:val="24"/>
        </w:rPr>
        <w:t>，本次评价</w:t>
      </w:r>
      <w:r>
        <w:rPr>
          <w:rFonts w:hint="eastAsia"/>
          <w:sz w:val="24"/>
        </w:rPr>
        <w:t>在唐山市生态环境局网站</w:t>
      </w:r>
      <w:r>
        <w:rPr>
          <w:sz w:val="24"/>
        </w:rPr>
        <w:t>进行了第一次网络公示、第二次网络公示，</w:t>
      </w:r>
      <w:r>
        <w:rPr>
          <w:rFonts w:hint="eastAsia"/>
          <w:sz w:val="24"/>
        </w:rPr>
        <w:t>并同步在《环球时报》及项目附近村庄进行第二次公示，</w:t>
      </w:r>
      <w:r>
        <w:rPr>
          <w:sz w:val="24"/>
        </w:rPr>
        <w:t>公示期间未收到公众对本项目建设的</w:t>
      </w:r>
      <w:r>
        <w:rPr>
          <w:rFonts w:hint="eastAsia"/>
          <w:sz w:val="24"/>
        </w:rPr>
        <w:t>反馈</w:t>
      </w:r>
      <w:r>
        <w:rPr>
          <w:sz w:val="24"/>
        </w:rPr>
        <w:t>意见。</w:t>
      </w:r>
      <w:bookmarkEnd w:id="727"/>
    </w:p>
    <w:p w:rsidR="00DB7CC8" w:rsidRDefault="002B5250">
      <w:pPr>
        <w:pStyle w:val="2"/>
        <w:keepLines w:val="0"/>
        <w:widowControl/>
        <w:numPr>
          <w:ilvl w:val="1"/>
          <w:numId w:val="1"/>
        </w:numPr>
        <w:tabs>
          <w:tab w:val="left" w:pos="482"/>
        </w:tabs>
        <w:spacing w:before="0" w:after="0" w:line="360" w:lineRule="auto"/>
        <w:rPr>
          <w:rFonts w:ascii="Times New Roman" w:eastAsia="宋体" w:hAnsi="Times New Roman"/>
          <w:bCs w:val="0"/>
          <w:snapToGrid w:val="0"/>
          <w:kern w:val="0"/>
          <w:sz w:val="28"/>
          <w:szCs w:val="28"/>
        </w:rPr>
      </w:pPr>
      <w:bookmarkStart w:id="736" w:name="_Toc1293"/>
      <w:r>
        <w:rPr>
          <w:rFonts w:ascii="Times New Roman" w:eastAsia="宋体" w:hAnsi="Times New Roman"/>
          <w:bCs w:val="0"/>
          <w:snapToGrid w:val="0"/>
          <w:kern w:val="0"/>
          <w:sz w:val="28"/>
          <w:szCs w:val="28"/>
        </w:rPr>
        <w:t>建设项目的环境影响可行性结论</w:t>
      </w:r>
      <w:bookmarkEnd w:id="728"/>
      <w:bookmarkEnd w:id="729"/>
      <w:bookmarkEnd w:id="730"/>
      <w:bookmarkEnd w:id="731"/>
      <w:bookmarkEnd w:id="732"/>
      <w:bookmarkEnd w:id="733"/>
      <w:bookmarkEnd w:id="734"/>
      <w:bookmarkEnd w:id="735"/>
      <w:bookmarkEnd w:id="736"/>
    </w:p>
    <w:bookmarkEnd w:id="712"/>
    <w:p w:rsidR="00DB7CC8" w:rsidRDefault="002B5250">
      <w:pPr>
        <w:ind w:firstLineChars="0" w:firstLine="560"/>
        <w:rPr>
          <w:sz w:val="24"/>
        </w:rPr>
      </w:pPr>
      <w:r>
        <w:rPr>
          <w:sz w:val="24"/>
        </w:rPr>
        <w:t>综上所述，</w:t>
      </w:r>
      <w:r>
        <w:rPr>
          <w:bCs/>
          <w:sz w:val="24"/>
          <w:szCs w:val="24"/>
        </w:rPr>
        <w:t>遵化市鑫伟铁选厂年处理</w:t>
      </w:r>
      <w:r>
        <w:rPr>
          <w:rFonts w:hint="eastAsia"/>
          <w:bCs/>
          <w:sz w:val="24"/>
          <w:szCs w:val="24"/>
        </w:rPr>
        <w:t>110</w:t>
      </w:r>
      <w:r>
        <w:rPr>
          <w:bCs/>
          <w:sz w:val="24"/>
          <w:szCs w:val="24"/>
        </w:rPr>
        <w:t>万吨铁</w:t>
      </w:r>
      <w:r>
        <w:rPr>
          <w:rFonts w:hint="eastAsia"/>
          <w:bCs/>
          <w:sz w:val="24"/>
          <w:szCs w:val="24"/>
        </w:rPr>
        <w:t>矿</w:t>
      </w:r>
      <w:r>
        <w:rPr>
          <w:bCs/>
          <w:sz w:val="24"/>
          <w:szCs w:val="24"/>
        </w:rPr>
        <w:t>石</w:t>
      </w:r>
      <w:r>
        <w:rPr>
          <w:rFonts w:hint="eastAsia"/>
          <w:bCs/>
          <w:sz w:val="24"/>
          <w:szCs w:val="24"/>
        </w:rPr>
        <w:t>、</w:t>
      </w:r>
      <w:r>
        <w:rPr>
          <w:rFonts w:hint="eastAsia"/>
          <w:bCs/>
          <w:sz w:val="24"/>
          <w:szCs w:val="24"/>
        </w:rPr>
        <w:t>40</w:t>
      </w:r>
      <w:r>
        <w:rPr>
          <w:rFonts w:hint="eastAsia"/>
          <w:bCs/>
          <w:sz w:val="24"/>
          <w:szCs w:val="24"/>
        </w:rPr>
        <w:t>万吨粗精矿改扩建</w:t>
      </w:r>
      <w:r>
        <w:rPr>
          <w:bCs/>
          <w:sz w:val="24"/>
          <w:szCs w:val="24"/>
        </w:rPr>
        <w:t>项目</w:t>
      </w:r>
      <w:r>
        <w:rPr>
          <w:sz w:val="24"/>
        </w:rPr>
        <w:t>符合国家和地方产业政策要求；项目选址可行；采用国内较先进的工艺，充分利用资源能源，符合清洁生产要求；项目认真落实环评提出的各项环境污染防治措施后，污染物可做到达标排放，项目建设不会对区域环境质量产生明显影响，本项目环境影响可行。</w:t>
      </w:r>
    </w:p>
    <w:sectPr w:rsidR="00DB7CC8">
      <w:footerReference w:type="default" r:id="rId125"/>
      <w:pgSz w:w="11905" w:h="16838"/>
      <w:pgMar w:top="1440" w:right="1803" w:bottom="1134" w:left="1803" w:header="850" w:footer="992" w:gutter="0"/>
      <w:cols w:space="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2B5250">
      <w:pPr>
        <w:spacing w:line="240" w:lineRule="auto"/>
        <w:ind w:firstLine="560"/>
      </w:pPr>
      <w:r>
        <w:separator/>
      </w:r>
    </w:p>
  </w:endnote>
  <w:endnote w:type="continuationSeparator" w:id="0">
    <w:p w:rsidR="00000000" w:rsidRDefault="002B5250">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隶书">
    <w:altName w:val="微软雅黑"/>
    <w:charset w:val="86"/>
    <w:family w:val="modern"/>
    <w:pitch w:val="default"/>
    <w:sig w:usb0="00000000" w:usb1="00000000" w:usb2="00000000" w:usb3="00000000" w:csb0="00040000"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仿宋_GB2312">
    <w:altName w:val="仿宋"/>
    <w:charset w:val="86"/>
    <w:family w:val="modern"/>
    <w:pitch w:val="default"/>
    <w:sig w:usb0="00000000" w:usb1="00000000" w:usb2="00000000" w:usb3="00000000" w:csb0="0004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altName w:val="Times New Roman"/>
    <w:panose1 w:val="02020603050405020304"/>
    <w:charset w:val="00"/>
    <w:family w:val="roman"/>
    <w:pitch w:val="default"/>
    <w:sig w:usb0="00000000" w:usb1="00000000" w:usb2="00000009" w:usb3="00000000" w:csb0="000001FF" w:csb1="00000000"/>
  </w:font>
  <w:font w:name="楷体_GB2312">
    <w:altName w:val="楷体"/>
    <w:charset w:val="86"/>
    <w:family w:val="modern"/>
    <w:pitch w:val="default"/>
    <w:sig w:usb0="00000000" w:usb1="00000000" w:usb2="00000000" w:usb3="00000000" w:csb0="00040000" w:csb1="00000000"/>
  </w:font>
  <w:font w:name="Arial Unicode MS">
    <w:panose1 w:val="020B0604020202020204"/>
    <w:charset w:val="86"/>
    <w:family w:val="swiss"/>
    <w:pitch w:val="default"/>
    <w:sig w:usb0="00000000" w:usb1="00000000" w:usb2="0000003F" w:usb3="00000000" w:csb0="603F01FF" w:csb1="FFFF0000"/>
  </w:font>
  <w:font w:name="等线">
    <w:altName w:val="DengXian"/>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仿宋">
    <w:panose1 w:val="02010609060101010101"/>
    <w:charset w:val="86"/>
    <w:family w:val="modern"/>
    <w:pitch w:val="fixed"/>
    <w:sig w:usb0="800002BF" w:usb1="38CF7CFA" w:usb2="00000016" w:usb3="00000000" w:csb0="00040001" w:csb1="00000000"/>
  </w:font>
  <w:font w:name="TimesNewRomanPSMT">
    <w:altName w:val="Times New Roman"/>
    <w:charset w:val="00"/>
    <w:family w:val="roman"/>
    <w:pitch w:val="default"/>
    <w:sig w:usb0="00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B7CC8" w:rsidRDefault="00DB7CC8">
    <w:pPr>
      <w:pStyle w:val="afd"/>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1547012"/>
    </w:sdtPr>
    <w:sdtEndPr/>
    <w:sdtContent>
      <w:p w:rsidR="00DB7CC8" w:rsidRDefault="002B5250">
        <w:pPr>
          <w:pStyle w:val="afd"/>
          <w:pBdr>
            <w:top w:val="single" w:sz="4" w:space="1" w:color="auto"/>
          </w:pBdr>
        </w:pPr>
        <w:r>
          <w:rPr>
            <w:rFonts w:hint="eastAsia"/>
          </w:rPr>
          <w:t xml:space="preserve">                          </w:t>
        </w:r>
        <w:r>
          <w:t xml:space="preserve">                 </w:t>
        </w:r>
        <w:r>
          <w:fldChar w:fldCharType="begin"/>
        </w:r>
        <w:r>
          <w:instrText>PAGE   \* MERGEFORMAT</w:instrText>
        </w:r>
        <w:r>
          <w:fldChar w:fldCharType="separate"/>
        </w:r>
        <w:r w:rsidRPr="002B5250">
          <w:rPr>
            <w:noProof/>
            <w:lang w:val="zh-CN"/>
          </w:rPr>
          <w:t>98</w:t>
        </w:r>
        <w: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4839190"/>
    </w:sdtPr>
    <w:sdtEndPr/>
    <w:sdtContent>
      <w:p w:rsidR="00DB7CC8" w:rsidRDefault="002B5250">
        <w:pPr>
          <w:pStyle w:val="afd"/>
          <w:pBdr>
            <w:top w:val="single" w:sz="4" w:space="1" w:color="auto"/>
          </w:pBdr>
        </w:pPr>
        <w:r>
          <w:rPr>
            <w:rFonts w:hint="eastAsia"/>
          </w:rPr>
          <w:t>河北五骏环保技术服务有限公司</w:t>
        </w:r>
        <w:r>
          <w:rPr>
            <w:rFonts w:hint="eastAsia"/>
          </w:rPr>
          <w:t xml:space="preserve"> </w:t>
        </w:r>
        <w:r>
          <w:t xml:space="preserve">                                               </w:t>
        </w:r>
        <w:r>
          <w:fldChar w:fldCharType="begin"/>
        </w:r>
        <w:r>
          <w:instrText>PAGE   \* MERGEFORMAT</w:instrText>
        </w:r>
        <w:r>
          <w:fldChar w:fldCharType="separate"/>
        </w:r>
        <w:r w:rsidRPr="002B5250">
          <w:rPr>
            <w:noProof/>
            <w:lang w:val="zh-CN"/>
          </w:rPr>
          <w:t>99</w:t>
        </w:r>
        <w: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080612"/>
    </w:sdtPr>
    <w:sdtEndPr/>
    <w:sdtContent>
      <w:p w:rsidR="00DB7CC8" w:rsidRDefault="002B5250">
        <w:pPr>
          <w:pStyle w:val="afd"/>
          <w:pBdr>
            <w:top w:val="single" w:sz="4" w:space="1" w:color="auto"/>
          </w:pBdr>
        </w:pPr>
        <w:r>
          <w:rPr>
            <w:rFonts w:hint="eastAsia"/>
          </w:rPr>
          <w:t>河北五骏环保技术服务有限公司</w:t>
        </w:r>
        <w:r>
          <w:rPr>
            <w:rFonts w:hint="eastAsia"/>
          </w:rPr>
          <w:t xml:space="preserve"> </w:t>
        </w:r>
        <w:r>
          <w:t xml:space="preserve">                 </w:t>
        </w:r>
        <w:r>
          <w:fldChar w:fldCharType="begin"/>
        </w:r>
        <w:r>
          <w:instrText>PAGE   \* MERGEFORMAT</w:instrText>
        </w:r>
        <w:r>
          <w:fldChar w:fldCharType="separate"/>
        </w:r>
        <w:r w:rsidRPr="002B5250">
          <w:rPr>
            <w:noProof/>
            <w:lang w:val="zh-CN"/>
          </w:rPr>
          <w:t>103</w:t>
        </w:r>
        <w: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7885798"/>
    </w:sdtPr>
    <w:sdtEndPr/>
    <w:sdtContent>
      <w:p w:rsidR="00DB7CC8" w:rsidRDefault="002B5250">
        <w:pPr>
          <w:pStyle w:val="afd"/>
          <w:pBdr>
            <w:top w:val="single" w:sz="4" w:space="1" w:color="auto"/>
          </w:pBdr>
        </w:pPr>
        <w:r>
          <w:rPr>
            <w:rFonts w:hint="eastAsia"/>
          </w:rPr>
          <w:t>河北五骏环保技术服务有限公司</w:t>
        </w:r>
        <w:r>
          <w:rPr>
            <w:rFonts w:hint="eastAsia"/>
          </w:rPr>
          <w:t xml:space="preserve"> </w:t>
        </w:r>
        <w:r>
          <w:t xml:space="preserve">                                               </w:t>
        </w:r>
        <w:r>
          <w:fldChar w:fldCharType="begin"/>
        </w:r>
        <w:r>
          <w:instrText>PAGE   \* MERGEFORMAT</w:instrText>
        </w:r>
        <w:r>
          <w:fldChar w:fldCharType="separate"/>
        </w:r>
        <w:r w:rsidRPr="002B5250">
          <w:rPr>
            <w:noProof/>
            <w:lang w:val="zh-CN"/>
          </w:rPr>
          <w:t>104</w:t>
        </w:r>
        <w: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470168"/>
    </w:sdtPr>
    <w:sdtEndPr/>
    <w:sdtContent>
      <w:p w:rsidR="00DB7CC8" w:rsidRDefault="002B5250">
        <w:pPr>
          <w:pStyle w:val="afd"/>
          <w:pBdr>
            <w:top w:val="single" w:sz="4" w:space="1" w:color="auto"/>
          </w:pBdr>
        </w:pPr>
        <w:r>
          <w:rPr>
            <w:rFonts w:hint="eastAsia"/>
          </w:rPr>
          <w:t xml:space="preserve">                              </w:t>
        </w:r>
        <w:r>
          <w:t xml:space="preserve">                 </w:t>
        </w:r>
        <w:r>
          <w:fldChar w:fldCharType="begin"/>
        </w:r>
        <w:r>
          <w:instrText>PAGE   \* MERGEFORMAT</w:instrText>
        </w:r>
        <w:r>
          <w:fldChar w:fldCharType="separate"/>
        </w:r>
        <w:r w:rsidRPr="002B5250">
          <w:rPr>
            <w:noProof/>
            <w:lang w:val="zh-CN"/>
          </w:rPr>
          <w:t>116</w:t>
        </w:r>
        <w: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B7CC8" w:rsidRDefault="002B5250">
    <w:pPr>
      <w:pStyle w:val="afd"/>
      <w:framePr w:wrap="around" w:vAnchor="text" w:hAnchor="margin" w:xAlign="center" w:y="1"/>
      <w:rPr>
        <w:rStyle w:val="afff5"/>
      </w:rPr>
    </w:pPr>
    <w:r>
      <w:fldChar w:fldCharType="begin"/>
    </w:r>
    <w:r>
      <w:rPr>
        <w:rStyle w:val="afff5"/>
      </w:rPr>
      <w:instrText xml:space="preserve">PAGE  </w:instrText>
    </w:r>
    <w:r>
      <w:fldChar w:fldCharType="separate"/>
    </w:r>
    <w:r>
      <w:rPr>
        <w:rStyle w:val="afff5"/>
        <w:noProof/>
      </w:rPr>
      <w:t>120</w:t>
    </w:r>
    <w:r>
      <w:fldChar w:fldCharType="end"/>
    </w:r>
  </w:p>
  <w:p w:rsidR="00DB7CC8" w:rsidRDefault="00DB7CC8">
    <w:pPr>
      <w:pStyle w:val="afd"/>
      <w:pBdr>
        <w:top w:val="thickThinSmallGap" w:sz="24" w:space="1" w:color="auto"/>
      </w:pBdr>
      <w:tabs>
        <w:tab w:val="clear" w:pos="4153"/>
        <w:tab w:val="clear" w:pos="8306"/>
      </w:tabs>
      <w:jc w:val="both"/>
      <w:rPr>
        <w:sz w:val="21"/>
        <w:szCs w:val="21"/>
      </w:rP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2722230"/>
    </w:sdtPr>
    <w:sdtEndPr/>
    <w:sdtContent>
      <w:p w:rsidR="00DB7CC8" w:rsidRDefault="002B5250">
        <w:pPr>
          <w:pStyle w:val="afd"/>
          <w:pBdr>
            <w:top w:val="single" w:sz="4" w:space="1" w:color="auto"/>
          </w:pBdr>
        </w:pPr>
        <w:r>
          <w:rPr>
            <w:rFonts w:hint="eastAsia"/>
          </w:rPr>
          <w:t xml:space="preserve">                             </w:t>
        </w:r>
        <w:r>
          <w:t xml:space="preserve">                 </w:t>
        </w:r>
        <w:r>
          <w:fldChar w:fldCharType="begin"/>
        </w:r>
        <w:r>
          <w:instrText>PAGE   \* MERGEFORMAT</w:instrText>
        </w:r>
        <w:r>
          <w:fldChar w:fldCharType="separate"/>
        </w:r>
        <w:r w:rsidRPr="002B5250">
          <w:rPr>
            <w:noProof/>
            <w:lang w:val="zh-CN"/>
          </w:rPr>
          <w:t>202</w:t>
        </w:r>
        <w: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3122554"/>
    </w:sdtPr>
    <w:sdtEndPr/>
    <w:sdtContent>
      <w:p w:rsidR="00DB7CC8" w:rsidRDefault="002B5250">
        <w:pPr>
          <w:pStyle w:val="afd"/>
          <w:pBdr>
            <w:top w:val="single" w:sz="4" w:space="1" w:color="auto"/>
          </w:pBdr>
          <w:ind w:firstLine="360"/>
        </w:pPr>
        <w:r>
          <w:rPr>
            <w:rFonts w:hint="eastAsia"/>
          </w:rPr>
          <w:t xml:space="preserve">                           </w:t>
        </w:r>
        <w:r>
          <w:t xml:space="preserve">                                             </w:t>
        </w:r>
        <w:r>
          <w:fldChar w:fldCharType="begin"/>
        </w:r>
        <w:r>
          <w:instrText>PAGE   \* MERGEFORMAT</w:instrText>
        </w:r>
        <w:r>
          <w:fldChar w:fldCharType="separate"/>
        </w:r>
        <w:r w:rsidRPr="002B5250">
          <w:rPr>
            <w:noProof/>
            <w:lang w:val="zh-CN"/>
          </w:rPr>
          <w:t>204</w:t>
        </w:r>
        <w: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7617022"/>
    </w:sdtPr>
    <w:sdtEndPr/>
    <w:sdtContent>
      <w:p w:rsidR="00DB7CC8" w:rsidRDefault="002B5250">
        <w:pPr>
          <w:pStyle w:val="afd"/>
          <w:pBdr>
            <w:top w:val="single" w:sz="4" w:space="1" w:color="auto"/>
          </w:pBdr>
          <w:ind w:firstLine="360"/>
        </w:pPr>
        <w:r>
          <w:rPr>
            <w:rFonts w:hint="eastAsia"/>
          </w:rPr>
          <w:t xml:space="preserve">                             </w:t>
        </w:r>
        <w:r>
          <w:t xml:space="preserve">             </w:t>
        </w:r>
        <w:r>
          <w:fldChar w:fldCharType="begin"/>
        </w:r>
        <w:r>
          <w:instrText>PAGE   \* MERGEFORMAT</w:instrText>
        </w:r>
        <w:r>
          <w:fldChar w:fldCharType="separate"/>
        </w:r>
        <w:r w:rsidRPr="002B5250">
          <w:rPr>
            <w:noProof/>
            <w:lang w:val="zh-CN"/>
          </w:rPr>
          <w:t>210</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250" w:rsidRDefault="002B5250">
    <w:pPr>
      <w:pStyle w:val="afd"/>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B7CC8" w:rsidRDefault="00DB7CC8">
    <w:pPr>
      <w:pStyle w:val="afd"/>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2204217"/>
    </w:sdtPr>
    <w:sdtEndPr/>
    <w:sdtContent>
      <w:p w:rsidR="00DB7CC8" w:rsidRDefault="002B5250">
        <w:pPr>
          <w:pStyle w:val="afd"/>
          <w:pBdr>
            <w:top w:val="single" w:sz="4" w:space="1" w:color="auto"/>
          </w:pBdr>
        </w:pPr>
        <w:r>
          <w:rPr>
            <w:rFonts w:hint="eastAsia"/>
          </w:rPr>
          <w:t xml:space="preserve">                                                </w:t>
        </w:r>
        <w:r>
          <w:fldChar w:fldCharType="begin"/>
        </w:r>
        <w:r>
          <w:instrText>PAGE   \* MERGEFORMAT</w:instrText>
        </w:r>
        <w:r>
          <w:fldChar w:fldCharType="separate"/>
        </w:r>
        <w:r w:rsidRPr="002B5250">
          <w:rPr>
            <w:noProof/>
            <w:lang w:val="zh-CN"/>
          </w:rPr>
          <w:t>12</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0286562"/>
    </w:sdtPr>
    <w:sdtEndPr/>
    <w:sdtContent>
      <w:p w:rsidR="00DB7CC8" w:rsidRDefault="002B5250">
        <w:pPr>
          <w:pStyle w:val="afd"/>
          <w:pBdr>
            <w:top w:val="single" w:sz="4" w:space="1" w:color="auto"/>
          </w:pBdr>
        </w:pPr>
        <w:r>
          <w:rPr>
            <w:rFonts w:hint="eastAsia"/>
          </w:rPr>
          <w:t>河北五骏环保技术服务有限公司</w:t>
        </w:r>
        <w:r>
          <w:rPr>
            <w:rFonts w:hint="eastAsia"/>
          </w:rPr>
          <w:t xml:space="preserve"> </w:t>
        </w:r>
        <w:r>
          <w:t xml:space="preserve">                                                </w:t>
        </w:r>
        <w:r>
          <w:fldChar w:fldCharType="begin"/>
        </w:r>
        <w:r>
          <w:instrText>PAGE   \* MERGEFORMAT</w:instrText>
        </w:r>
        <w:r>
          <w:fldChar w:fldCharType="separate"/>
        </w:r>
        <w:r w:rsidRPr="002B5250">
          <w:rPr>
            <w:noProof/>
            <w:lang w:val="zh-CN"/>
          </w:rPr>
          <w:t>34</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7006885"/>
    </w:sdtPr>
    <w:sdtEndPr/>
    <w:sdtContent>
      <w:p w:rsidR="00DB7CC8" w:rsidRDefault="002B5250">
        <w:pPr>
          <w:pStyle w:val="afd"/>
          <w:pBdr>
            <w:top w:val="single" w:sz="4" w:space="1" w:color="auto"/>
          </w:pBdr>
        </w:pPr>
        <w:r>
          <w:rPr>
            <w:rFonts w:hint="eastAsia"/>
          </w:rPr>
          <w:t xml:space="preserve">                              </w:t>
        </w:r>
        <w:r>
          <w:t xml:space="preserve">                </w:t>
        </w:r>
        <w:r>
          <w:fldChar w:fldCharType="begin"/>
        </w:r>
        <w:r>
          <w:instrText>PAGE   \* MERGEFORMAT</w:instrText>
        </w:r>
        <w:r>
          <w:fldChar w:fldCharType="separate"/>
        </w:r>
        <w:r w:rsidRPr="002B5250">
          <w:rPr>
            <w:noProof/>
            <w:lang w:val="zh-CN"/>
          </w:rPr>
          <w:t>72</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06222194"/>
    </w:sdtPr>
    <w:sdtEndPr/>
    <w:sdtContent>
      <w:p w:rsidR="00DB7CC8" w:rsidRDefault="002B5250">
        <w:pPr>
          <w:pStyle w:val="afd"/>
          <w:pBdr>
            <w:top w:val="single" w:sz="4" w:space="1" w:color="auto"/>
          </w:pBdr>
        </w:pPr>
        <w:r>
          <w:rPr>
            <w:rFonts w:hint="eastAsia"/>
          </w:rPr>
          <w:t xml:space="preserve">                                    </w:t>
        </w:r>
        <w:r>
          <w:t xml:space="preserve">                                           </w:t>
        </w:r>
        <w:r>
          <w:fldChar w:fldCharType="begin"/>
        </w:r>
        <w:r>
          <w:instrText>PAGE   \* MERGEFORMAT</w:instrText>
        </w:r>
        <w:r>
          <w:fldChar w:fldCharType="separate"/>
        </w:r>
        <w:r w:rsidRPr="002B5250">
          <w:rPr>
            <w:noProof/>
            <w:lang w:val="zh-CN"/>
          </w:rPr>
          <w:t>73</w:t>
        </w:r>
        <w: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3962224"/>
    </w:sdtPr>
    <w:sdtEndPr/>
    <w:sdtContent>
      <w:p w:rsidR="00DB7CC8" w:rsidRDefault="002B5250">
        <w:pPr>
          <w:pStyle w:val="afd"/>
          <w:pBdr>
            <w:top w:val="single" w:sz="4" w:space="1" w:color="auto"/>
          </w:pBdr>
        </w:pPr>
        <w:r>
          <w:rPr>
            <w:rFonts w:hint="eastAsia"/>
          </w:rPr>
          <w:t xml:space="preserve">                           </w:t>
        </w:r>
        <w:r>
          <w:t xml:space="preserve">                 </w:t>
        </w:r>
        <w:r>
          <w:fldChar w:fldCharType="begin"/>
        </w:r>
        <w:r>
          <w:instrText>PAGE   \* MERGEFORMAT</w:instrText>
        </w:r>
        <w:r>
          <w:fldChar w:fldCharType="separate"/>
        </w:r>
        <w:r w:rsidRPr="002B5250">
          <w:rPr>
            <w:noProof/>
            <w:lang w:val="zh-CN"/>
          </w:rPr>
          <w:t>81</w:t>
        </w:r>
        <w: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0459727"/>
    </w:sdtPr>
    <w:sdtEndPr/>
    <w:sdtContent>
      <w:p w:rsidR="00DB7CC8" w:rsidRDefault="002B5250">
        <w:pPr>
          <w:pStyle w:val="afd"/>
          <w:pBdr>
            <w:top w:val="single" w:sz="4" w:space="1" w:color="auto"/>
          </w:pBdr>
        </w:pPr>
        <w:r>
          <w:rPr>
            <w:rFonts w:hint="eastAsia"/>
          </w:rPr>
          <w:t xml:space="preserve">                            </w:t>
        </w:r>
        <w:r>
          <w:t xml:space="preserve">                                               </w:t>
        </w:r>
        <w:r>
          <w:fldChar w:fldCharType="begin"/>
        </w:r>
        <w:r>
          <w:instrText>PAGE   \* MERGEFORMAT</w:instrText>
        </w:r>
        <w:r>
          <w:fldChar w:fldCharType="separate"/>
        </w:r>
        <w:r w:rsidRPr="002B5250">
          <w:rPr>
            <w:noProof/>
            <w:lang w:val="zh-CN"/>
          </w:rPr>
          <w:t>90</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2B5250">
      <w:pPr>
        <w:spacing w:line="240" w:lineRule="auto"/>
        <w:ind w:firstLine="560"/>
      </w:pPr>
      <w:r>
        <w:separator/>
      </w:r>
    </w:p>
  </w:footnote>
  <w:footnote w:type="continuationSeparator" w:id="0">
    <w:p w:rsidR="00000000" w:rsidRDefault="002B5250">
      <w:pPr>
        <w:spacing w:line="240" w:lineRule="auto"/>
        <w:ind w:firstLine="56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B7CC8" w:rsidRDefault="00DB7CC8">
    <w:pPr>
      <w:pStyle w:val="aff"/>
      <w:pBdr>
        <w:bottom w:val="none" w:sz="0" w:space="0" w:color="auto"/>
      </w:pBdr>
      <w:ind w:firstLine="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B7CC8" w:rsidRDefault="00DB7CC8">
    <w:pPr>
      <w:pStyle w:val="aff"/>
      <w:pBdr>
        <w:bottom w:val="none" w:sz="0" w:space="1" w:color="auto"/>
      </w:pBdr>
      <w:ind w:firstLine="36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B7CC8" w:rsidRDefault="00DB7CC8">
    <w:pPr>
      <w:pStyle w:val="aff"/>
      <w:ind w:firstLine="360"/>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B7CC8" w:rsidRDefault="002B5250">
    <w:pPr>
      <w:pStyle w:val="aff"/>
      <w:tabs>
        <w:tab w:val="left" w:pos="7230"/>
      </w:tabs>
      <w:ind w:firstLineChars="0" w:firstLine="0"/>
      <w:rPr>
        <w:rFonts w:eastAsiaTheme="minorEastAsia"/>
        <w:b/>
        <w:color w:val="000000" w:themeColor="text1"/>
      </w:rPr>
    </w:pPr>
    <w:r>
      <w:rPr>
        <w:rFonts w:eastAsiaTheme="minorEastAsia"/>
        <w:b/>
        <w:color w:val="000000" w:themeColor="text1"/>
      </w:rPr>
      <w:t>遵化市鑫伟铁选厂年处理</w:t>
    </w:r>
    <w:r>
      <w:rPr>
        <w:rFonts w:eastAsiaTheme="minorEastAsia" w:hint="eastAsia"/>
        <w:b/>
        <w:color w:val="000000" w:themeColor="text1"/>
      </w:rPr>
      <w:t>11</w:t>
    </w:r>
    <w:r>
      <w:rPr>
        <w:rFonts w:eastAsiaTheme="minorEastAsia"/>
        <w:b/>
        <w:color w:val="000000" w:themeColor="text1"/>
      </w:rPr>
      <w:t>0</w:t>
    </w:r>
    <w:r>
      <w:rPr>
        <w:rFonts w:eastAsiaTheme="minorEastAsia"/>
        <w:b/>
        <w:color w:val="000000" w:themeColor="text1"/>
      </w:rPr>
      <w:t>万吨铁矿石</w:t>
    </w:r>
    <w:r>
      <w:rPr>
        <w:rFonts w:eastAsiaTheme="minorEastAsia" w:hint="eastAsia"/>
        <w:b/>
        <w:color w:val="000000" w:themeColor="text1"/>
      </w:rPr>
      <w:t>、</w:t>
    </w:r>
    <w:r>
      <w:rPr>
        <w:rFonts w:eastAsiaTheme="minorEastAsia" w:hint="eastAsia"/>
        <w:b/>
        <w:color w:val="000000" w:themeColor="text1"/>
      </w:rPr>
      <w:t>40</w:t>
    </w:r>
    <w:r>
      <w:rPr>
        <w:rFonts w:eastAsiaTheme="minorEastAsia" w:hint="eastAsia"/>
        <w:b/>
        <w:color w:val="000000" w:themeColor="text1"/>
      </w:rPr>
      <w:t>万吨粗精矿改扩建</w:t>
    </w:r>
    <w:r>
      <w:rPr>
        <w:rFonts w:eastAsiaTheme="minorEastAsia"/>
        <w:b/>
        <w:color w:val="000000" w:themeColor="text1"/>
      </w:rPr>
      <w:t>项目环境影响报告书</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EADE499"/>
    <w:multiLevelType w:val="singleLevel"/>
    <w:tmpl w:val="AEADE499"/>
    <w:lvl w:ilvl="0">
      <w:start w:val="6"/>
      <w:numFmt w:val="decimal"/>
      <w:suff w:val="nothing"/>
      <w:lvlText w:val="%1、"/>
      <w:lvlJc w:val="left"/>
    </w:lvl>
  </w:abstractNum>
  <w:abstractNum w:abstractNumId="1" w15:restartNumberingAfterBreak="0">
    <w:nsid w:val="C0C85FC5"/>
    <w:multiLevelType w:val="singleLevel"/>
    <w:tmpl w:val="C0C85FC5"/>
    <w:lvl w:ilvl="0">
      <w:start w:val="1"/>
      <w:numFmt w:val="decimal"/>
      <w:suff w:val="nothing"/>
      <w:lvlText w:val="（%1）"/>
      <w:lvlJc w:val="left"/>
    </w:lvl>
  </w:abstractNum>
  <w:abstractNum w:abstractNumId="2" w15:restartNumberingAfterBreak="0">
    <w:nsid w:val="00000007"/>
    <w:multiLevelType w:val="multilevel"/>
    <w:tmpl w:val="00000007"/>
    <w:lvl w:ilvl="0">
      <w:start w:val="1"/>
      <w:numFmt w:val="decimal"/>
      <w:lvlText w:val="%1"/>
      <w:lvlJc w:val="left"/>
      <w:pPr>
        <w:ind w:left="425" w:hanging="425"/>
      </w:pPr>
      <w:rPr>
        <w:rFonts w:hint="eastAsia"/>
      </w:rPr>
    </w:lvl>
    <w:lvl w:ilvl="1">
      <w:start w:val="1"/>
      <w:numFmt w:val="decimal"/>
      <w:suff w:val="nothing"/>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00000009"/>
    <w:multiLevelType w:val="multilevel"/>
    <w:tmpl w:val="00000009"/>
    <w:lvl w:ilvl="0">
      <w:start w:val="1"/>
      <w:numFmt w:val="decimal"/>
      <w:suff w:val="nothing"/>
      <w:lvlText w:val="%1"/>
      <w:lvlJc w:val="left"/>
      <w:pPr>
        <w:ind w:left="425" w:hanging="425"/>
      </w:pPr>
      <w:rPr>
        <w:rFonts w:hint="eastAsia"/>
      </w:rPr>
    </w:lvl>
    <w:lvl w:ilvl="1">
      <w:start w:val="1"/>
      <w:numFmt w:val="decimal"/>
      <w:suff w:val="nothing"/>
      <w:lvlText w:val="%1.%2"/>
      <w:lvlJc w:val="left"/>
      <w:pPr>
        <w:ind w:left="567" w:hanging="567"/>
      </w:pPr>
      <w:rPr>
        <w:rFonts w:hint="eastAsia"/>
      </w:rPr>
    </w:lvl>
    <w:lvl w:ilvl="2">
      <w:start w:val="1"/>
      <w:numFmt w:val="decimal"/>
      <w:lvlText w:val="%1.%2.%3"/>
      <w:lvlJc w:val="left"/>
      <w:pPr>
        <w:ind w:left="567" w:hanging="567"/>
      </w:pPr>
      <w:rPr>
        <w:rFonts w:hint="eastAsia"/>
      </w:rPr>
    </w:lvl>
    <w:lvl w:ilvl="3">
      <w:start w:val="1"/>
      <w:numFmt w:val="decimal"/>
      <w:lvlText w:val="%1.%2.%3.%4"/>
      <w:lvlJc w:val="left"/>
      <w:pPr>
        <w:ind w:left="113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12B243B4"/>
    <w:multiLevelType w:val="singleLevel"/>
    <w:tmpl w:val="12B243B4"/>
    <w:lvl w:ilvl="0">
      <w:start w:val="1"/>
      <w:numFmt w:val="decimal"/>
      <w:suff w:val="nothing"/>
      <w:lvlText w:val="%1、"/>
      <w:lvlJc w:val="left"/>
    </w:lvl>
  </w:abstractNum>
  <w:abstractNum w:abstractNumId="5" w15:restartNumberingAfterBreak="0">
    <w:nsid w:val="5B622D0B"/>
    <w:multiLevelType w:val="singleLevel"/>
    <w:tmpl w:val="5B622D0B"/>
    <w:lvl w:ilvl="0">
      <w:start w:val="4"/>
      <w:numFmt w:val="decimal"/>
      <w:suff w:val="nothing"/>
      <w:lvlText w:val="（%1）"/>
      <w:lvlJc w:val="left"/>
    </w:lvl>
  </w:abstractNum>
  <w:num w:numId="1">
    <w:abstractNumId w:val="3"/>
  </w:num>
  <w:num w:numId="2">
    <w:abstractNumId w:val="2"/>
  </w:num>
  <w:num w:numId="3">
    <w:abstractNumId w:val="4"/>
  </w:num>
  <w:num w:numId="4">
    <w:abstractNumId w:val="0"/>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defaultTabStop w:val="420"/>
  <w:drawingGridHorizontalSpacing w:val="280"/>
  <w:drawingGridVerticalSpacing w:val="-7946"/>
  <w:doNotShadeFormData/>
  <w:noPunctuationKerning/>
  <w:characterSpacingControl w:val="compressPunctuation"/>
  <w:doNotValidateAgainstSchema/>
  <w:doNotDemarcateInvalidXml/>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IzMTA5M2MxNDA1ZjNhYjA5MWVkN2JjNDQyYTg5M2UifQ=="/>
  </w:docVars>
  <w:rsids>
    <w:rsidRoot w:val="00172A27"/>
    <w:rsid w:val="0000009E"/>
    <w:rsid w:val="000009C8"/>
    <w:rsid w:val="00000AFA"/>
    <w:rsid w:val="00000B15"/>
    <w:rsid w:val="00000F02"/>
    <w:rsid w:val="00001425"/>
    <w:rsid w:val="00001518"/>
    <w:rsid w:val="0000162E"/>
    <w:rsid w:val="000018D2"/>
    <w:rsid w:val="000019E5"/>
    <w:rsid w:val="00001D51"/>
    <w:rsid w:val="00002EA8"/>
    <w:rsid w:val="00003360"/>
    <w:rsid w:val="000035C4"/>
    <w:rsid w:val="0000364A"/>
    <w:rsid w:val="00003B3A"/>
    <w:rsid w:val="000042C8"/>
    <w:rsid w:val="0000452F"/>
    <w:rsid w:val="000047C1"/>
    <w:rsid w:val="0000481A"/>
    <w:rsid w:val="00004896"/>
    <w:rsid w:val="00004BA1"/>
    <w:rsid w:val="00004E76"/>
    <w:rsid w:val="0000518F"/>
    <w:rsid w:val="000057EA"/>
    <w:rsid w:val="0000604E"/>
    <w:rsid w:val="000064E4"/>
    <w:rsid w:val="00006AA2"/>
    <w:rsid w:val="00007A62"/>
    <w:rsid w:val="00007B28"/>
    <w:rsid w:val="00007BD9"/>
    <w:rsid w:val="00007CFE"/>
    <w:rsid w:val="00010515"/>
    <w:rsid w:val="00010D42"/>
    <w:rsid w:val="00010D92"/>
    <w:rsid w:val="00011A19"/>
    <w:rsid w:val="00011A3D"/>
    <w:rsid w:val="00011F1E"/>
    <w:rsid w:val="00012192"/>
    <w:rsid w:val="00012328"/>
    <w:rsid w:val="00012DF2"/>
    <w:rsid w:val="000133F3"/>
    <w:rsid w:val="000138F5"/>
    <w:rsid w:val="00013A0E"/>
    <w:rsid w:val="00013BDB"/>
    <w:rsid w:val="00013D63"/>
    <w:rsid w:val="00013F05"/>
    <w:rsid w:val="000140FF"/>
    <w:rsid w:val="000141C1"/>
    <w:rsid w:val="00014622"/>
    <w:rsid w:val="000146CB"/>
    <w:rsid w:val="00014C89"/>
    <w:rsid w:val="00015095"/>
    <w:rsid w:val="000154F3"/>
    <w:rsid w:val="00015535"/>
    <w:rsid w:val="000159A9"/>
    <w:rsid w:val="00015B8E"/>
    <w:rsid w:val="00015F9F"/>
    <w:rsid w:val="00016159"/>
    <w:rsid w:val="000164D8"/>
    <w:rsid w:val="000167DE"/>
    <w:rsid w:val="00016B67"/>
    <w:rsid w:val="00016B87"/>
    <w:rsid w:val="00016CD7"/>
    <w:rsid w:val="0001725C"/>
    <w:rsid w:val="0001728D"/>
    <w:rsid w:val="00017A57"/>
    <w:rsid w:val="00017E7A"/>
    <w:rsid w:val="0002063B"/>
    <w:rsid w:val="000206AD"/>
    <w:rsid w:val="000208BF"/>
    <w:rsid w:val="00020DF1"/>
    <w:rsid w:val="00020EF1"/>
    <w:rsid w:val="00020FCC"/>
    <w:rsid w:val="000214A9"/>
    <w:rsid w:val="00021F6E"/>
    <w:rsid w:val="0002208F"/>
    <w:rsid w:val="00022300"/>
    <w:rsid w:val="000227A2"/>
    <w:rsid w:val="000227B9"/>
    <w:rsid w:val="00022950"/>
    <w:rsid w:val="00022B3F"/>
    <w:rsid w:val="00022E18"/>
    <w:rsid w:val="0002328C"/>
    <w:rsid w:val="00023479"/>
    <w:rsid w:val="000238E7"/>
    <w:rsid w:val="00024480"/>
    <w:rsid w:val="0002473B"/>
    <w:rsid w:val="000248F4"/>
    <w:rsid w:val="00024BF6"/>
    <w:rsid w:val="00024F14"/>
    <w:rsid w:val="00025394"/>
    <w:rsid w:val="00025A4C"/>
    <w:rsid w:val="00025B69"/>
    <w:rsid w:val="00025CAC"/>
    <w:rsid w:val="000266C4"/>
    <w:rsid w:val="000266D1"/>
    <w:rsid w:val="00026AA0"/>
    <w:rsid w:val="00026E81"/>
    <w:rsid w:val="000276AE"/>
    <w:rsid w:val="000276EA"/>
    <w:rsid w:val="00027C6C"/>
    <w:rsid w:val="00027CA0"/>
    <w:rsid w:val="00027E47"/>
    <w:rsid w:val="00027ECC"/>
    <w:rsid w:val="00030248"/>
    <w:rsid w:val="00030429"/>
    <w:rsid w:val="00030AA8"/>
    <w:rsid w:val="00030B22"/>
    <w:rsid w:val="00030D7E"/>
    <w:rsid w:val="00031258"/>
    <w:rsid w:val="000313F1"/>
    <w:rsid w:val="00031A7F"/>
    <w:rsid w:val="00031AE5"/>
    <w:rsid w:val="00031C5C"/>
    <w:rsid w:val="00031E6F"/>
    <w:rsid w:val="00033410"/>
    <w:rsid w:val="0003362A"/>
    <w:rsid w:val="00033658"/>
    <w:rsid w:val="00033769"/>
    <w:rsid w:val="00033900"/>
    <w:rsid w:val="000342E1"/>
    <w:rsid w:val="00034538"/>
    <w:rsid w:val="000347C1"/>
    <w:rsid w:val="00034B8E"/>
    <w:rsid w:val="00034BD5"/>
    <w:rsid w:val="00034FA8"/>
    <w:rsid w:val="000351CF"/>
    <w:rsid w:val="00035306"/>
    <w:rsid w:val="000359E9"/>
    <w:rsid w:val="00035C11"/>
    <w:rsid w:val="000364F1"/>
    <w:rsid w:val="00036601"/>
    <w:rsid w:val="00036AB8"/>
    <w:rsid w:val="00036EE9"/>
    <w:rsid w:val="0003702E"/>
    <w:rsid w:val="000370E7"/>
    <w:rsid w:val="00037EA9"/>
    <w:rsid w:val="00040501"/>
    <w:rsid w:val="000405F6"/>
    <w:rsid w:val="00040A2A"/>
    <w:rsid w:val="00040F51"/>
    <w:rsid w:val="00041689"/>
    <w:rsid w:val="00041BFB"/>
    <w:rsid w:val="00041E7C"/>
    <w:rsid w:val="000421D7"/>
    <w:rsid w:val="00042269"/>
    <w:rsid w:val="000422CA"/>
    <w:rsid w:val="00042376"/>
    <w:rsid w:val="0004249F"/>
    <w:rsid w:val="00042C9B"/>
    <w:rsid w:val="000435D2"/>
    <w:rsid w:val="00043C69"/>
    <w:rsid w:val="00044045"/>
    <w:rsid w:val="00044285"/>
    <w:rsid w:val="00044314"/>
    <w:rsid w:val="00044541"/>
    <w:rsid w:val="00044CB7"/>
    <w:rsid w:val="00044DD2"/>
    <w:rsid w:val="000455D7"/>
    <w:rsid w:val="0004573A"/>
    <w:rsid w:val="000459CF"/>
    <w:rsid w:val="00045A06"/>
    <w:rsid w:val="00045D0B"/>
    <w:rsid w:val="00045F1E"/>
    <w:rsid w:val="0004641F"/>
    <w:rsid w:val="000467A5"/>
    <w:rsid w:val="000468C4"/>
    <w:rsid w:val="000472AD"/>
    <w:rsid w:val="000479FE"/>
    <w:rsid w:val="00047DFB"/>
    <w:rsid w:val="00047E27"/>
    <w:rsid w:val="00050691"/>
    <w:rsid w:val="00050BF0"/>
    <w:rsid w:val="000511DD"/>
    <w:rsid w:val="00051595"/>
    <w:rsid w:val="00052325"/>
    <w:rsid w:val="00052706"/>
    <w:rsid w:val="00052A30"/>
    <w:rsid w:val="00052B9F"/>
    <w:rsid w:val="00053127"/>
    <w:rsid w:val="00054D10"/>
    <w:rsid w:val="0005540F"/>
    <w:rsid w:val="000562F8"/>
    <w:rsid w:val="00056313"/>
    <w:rsid w:val="00056500"/>
    <w:rsid w:val="00056695"/>
    <w:rsid w:val="000568CA"/>
    <w:rsid w:val="00056EBA"/>
    <w:rsid w:val="00056EDF"/>
    <w:rsid w:val="00056F35"/>
    <w:rsid w:val="00056FC9"/>
    <w:rsid w:val="0005717A"/>
    <w:rsid w:val="000577BB"/>
    <w:rsid w:val="00057D23"/>
    <w:rsid w:val="0006003D"/>
    <w:rsid w:val="0006032D"/>
    <w:rsid w:val="00060CEA"/>
    <w:rsid w:val="0006106E"/>
    <w:rsid w:val="0006167F"/>
    <w:rsid w:val="000618E4"/>
    <w:rsid w:val="00061959"/>
    <w:rsid w:val="00061B48"/>
    <w:rsid w:val="00061E6C"/>
    <w:rsid w:val="00061E78"/>
    <w:rsid w:val="00061F32"/>
    <w:rsid w:val="00062487"/>
    <w:rsid w:val="00062580"/>
    <w:rsid w:val="000625C0"/>
    <w:rsid w:val="00062602"/>
    <w:rsid w:val="000629C3"/>
    <w:rsid w:val="00062D6F"/>
    <w:rsid w:val="00063024"/>
    <w:rsid w:val="000635DD"/>
    <w:rsid w:val="000638D2"/>
    <w:rsid w:val="00063A37"/>
    <w:rsid w:val="00063F40"/>
    <w:rsid w:val="00064033"/>
    <w:rsid w:val="000640E6"/>
    <w:rsid w:val="000641B6"/>
    <w:rsid w:val="00064C6A"/>
    <w:rsid w:val="000652B5"/>
    <w:rsid w:val="000655F1"/>
    <w:rsid w:val="00065B03"/>
    <w:rsid w:val="00065E7D"/>
    <w:rsid w:val="0006610E"/>
    <w:rsid w:val="000663D2"/>
    <w:rsid w:val="00066561"/>
    <w:rsid w:val="000669AE"/>
    <w:rsid w:val="00066B6C"/>
    <w:rsid w:val="00066D76"/>
    <w:rsid w:val="00066DBB"/>
    <w:rsid w:val="00066DDE"/>
    <w:rsid w:val="000672F7"/>
    <w:rsid w:val="000675E3"/>
    <w:rsid w:val="000700EF"/>
    <w:rsid w:val="00070370"/>
    <w:rsid w:val="000705F7"/>
    <w:rsid w:val="0007083E"/>
    <w:rsid w:val="00070B06"/>
    <w:rsid w:val="00070CEA"/>
    <w:rsid w:val="00070DE5"/>
    <w:rsid w:val="00070FF0"/>
    <w:rsid w:val="0007104F"/>
    <w:rsid w:val="00071DA9"/>
    <w:rsid w:val="00072461"/>
    <w:rsid w:val="000725F1"/>
    <w:rsid w:val="000728DC"/>
    <w:rsid w:val="00072A47"/>
    <w:rsid w:val="00072D75"/>
    <w:rsid w:val="00073330"/>
    <w:rsid w:val="00073638"/>
    <w:rsid w:val="000747AD"/>
    <w:rsid w:val="00074B4D"/>
    <w:rsid w:val="00074D98"/>
    <w:rsid w:val="00075475"/>
    <w:rsid w:val="000757C8"/>
    <w:rsid w:val="0007592D"/>
    <w:rsid w:val="00075A79"/>
    <w:rsid w:val="000762BE"/>
    <w:rsid w:val="00076382"/>
    <w:rsid w:val="00076865"/>
    <w:rsid w:val="00076B28"/>
    <w:rsid w:val="00076CD8"/>
    <w:rsid w:val="00076CE2"/>
    <w:rsid w:val="00076D23"/>
    <w:rsid w:val="00077FE3"/>
    <w:rsid w:val="00080919"/>
    <w:rsid w:val="00080CD1"/>
    <w:rsid w:val="00080E64"/>
    <w:rsid w:val="000810FA"/>
    <w:rsid w:val="000817DC"/>
    <w:rsid w:val="00081ADD"/>
    <w:rsid w:val="0008270E"/>
    <w:rsid w:val="00082921"/>
    <w:rsid w:val="00082D17"/>
    <w:rsid w:val="00082EC2"/>
    <w:rsid w:val="00082ED9"/>
    <w:rsid w:val="000830D8"/>
    <w:rsid w:val="00083297"/>
    <w:rsid w:val="000834DD"/>
    <w:rsid w:val="00083879"/>
    <w:rsid w:val="00083B34"/>
    <w:rsid w:val="00083D52"/>
    <w:rsid w:val="00083E7C"/>
    <w:rsid w:val="0008409C"/>
    <w:rsid w:val="0008445F"/>
    <w:rsid w:val="0008450C"/>
    <w:rsid w:val="00084648"/>
    <w:rsid w:val="000846E6"/>
    <w:rsid w:val="00084AD4"/>
    <w:rsid w:val="00084BFB"/>
    <w:rsid w:val="00084E55"/>
    <w:rsid w:val="00084F63"/>
    <w:rsid w:val="00085821"/>
    <w:rsid w:val="00085899"/>
    <w:rsid w:val="000858B1"/>
    <w:rsid w:val="00085FB2"/>
    <w:rsid w:val="0008632B"/>
    <w:rsid w:val="00086443"/>
    <w:rsid w:val="000864AC"/>
    <w:rsid w:val="0008651D"/>
    <w:rsid w:val="000867C0"/>
    <w:rsid w:val="00086ACF"/>
    <w:rsid w:val="00086CBF"/>
    <w:rsid w:val="00087578"/>
    <w:rsid w:val="000875FF"/>
    <w:rsid w:val="00090104"/>
    <w:rsid w:val="00090519"/>
    <w:rsid w:val="00090B3A"/>
    <w:rsid w:val="00090F36"/>
    <w:rsid w:val="00091044"/>
    <w:rsid w:val="0009189D"/>
    <w:rsid w:val="00091966"/>
    <w:rsid w:val="000919CD"/>
    <w:rsid w:val="000936DD"/>
    <w:rsid w:val="00093C83"/>
    <w:rsid w:val="00094213"/>
    <w:rsid w:val="0009422A"/>
    <w:rsid w:val="000946A1"/>
    <w:rsid w:val="0009471D"/>
    <w:rsid w:val="00094DFA"/>
    <w:rsid w:val="000959BA"/>
    <w:rsid w:val="00095F18"/>
    <w:rsid w:val="00096486"/>
    <w:rsid w:val="000964AD"/>
    <w:rsid w:val="0009661F"/>
    <w:rsid w:val="00096EE5"/>
    <w:rsid w:val="00096EF1"/>
    <w:rsid w:val="00097528"/>
    <w:rsid w:val="00097584"/>
    <w:rsid w:val="000978DB"/>
    <w:rsid w:val="000979A9"/>
    <w:rsid w:val="00097B61"/>
    <w:rsid w:val="00097F5B"/>
    <w:rsid w:val="000A020D"/>
    <w:rsid w:val="000A06AA"/>
    <w:rsid w:val="000A0C5B"/>
    <w:rsid w:val="000A0FFD"/>
    <w:rsid w:val="000A11C7"/>
    <w:rsid w:val="000A142D"/>
    <w:rsid w:val="000A1784"/>
    <w:rsid w:val="000A1791"/>
    <w:rsid w:val="000A1840"/>
    <w:rsid w:val="000A1DC1"/>
    <w:rsid w:val="000A201E"/>
    <w:rsid w:val="000A20F7"/>
    <w:rsid w:val="000A21E0"/>
    <w:rsid w:val="000A242C"/>
    <w:rsid w:val="000A2669"/>
    <w:rsid w:val="000A2C2A"/>
    <w:rsid w:val="000A2DFF"/>
    <w:rsid w:val="000A337B"/>
    <w:rsid w:val="000A36A0"/>
    <w:rsid w:val="000A37F6"/>
    <w:rsid w:val="000A3BEB"/>
    <w:rsid w:val="000A4054"/>
    <w:rsid w:val="000A41A9"/>
    <w:rsid w:val="000A4819"/>
    <w:rsid w:val="000A49D0"/>
    <w:rsid w:val="000A4E53"/>
    <w:rsid w:val="000A4EF6"/>
    <w:rsid w:val="000A5F74"/>
    <w:rsid w:val="000A6329"/>
    <w:rsid w:val="000A656F"/>
    <w:rsid w:val="000A660F"/>
    <w:rsid w:val="000A67A5"/>
    <w:rsid w:val="000A6A96"/>
    <w:rsid w:val="000A6C08"/>
    <w:rsid w:val="000A72D2"/>
    <w:rsid w:val="000A7A83"/>
    <w:rsid w:val="000B0373"/>
    <w:rsid w:val="000B1E2B"/>
    <w:rsid w:val="000B2016"/>
    <w:rsid w:val="000B2586"/>
    <w:rsid w:val="000B25A4"/>
    <w:rsid w:val="000B282F"/>
    <w:rsid w:val="000B2A7B"/>
    <w:rsid w:val="000B2C6D"/>
    <w:rsid w:val="000B309C"/>
    <w:rsid w:val="000B3888"/>
    <w:rsid w:val="000B3B97"/>
    <w:rsid w:val="000B3C0C"/>
    <w:rsid w:val="000B3E5A"/>
    <w:rsid w:val="000B402C"/>
    <w:rsid w:val="000B4328"/>
    <w:rsid w:val="000B4645"/>
    <w:rsid w:val="000B4AD1"/>
    <w:rsid w:val="000B4DE5"/>
    <w:rsid w:val="000B5416"/>
    <w:rsid w:val="000B58B3"/>
    <w:rsid w:val="000B5925"/>
    <w:rsid w:val="000B5ACF"/>
    <w:rsid w:val="000B6019"/>
    <w:rsid w:val="000B6278"/>
    <w:rsid w:val="000B64CC"/>
    <w:rsid w:val="000B65CB"/>
    <w:rsid w:val="000B6EF8"/>
    <w:rsid w:val="000B718C"/>
    <w:rsid w:val="000B7954"/>
    <w:rsid w:val="000B7DB8"/>
    <w:rsid w:val="000C0843"/>
    <w:rsid w:val="000C0B68"/>
    <w:rsid w:val="000C0C92"/>
    <w:rsid w:val="000C17D4"/>
    <w:rsid w:val="000C1E87"/>
    <w:rsid w:val="000C237E"/>
    <w:rsid w:val="000C24FB"/>
    <w:rsid w:val="000C25DE"/>
    <w:rsid w:val="000C28DE"/>
    <w:rsid w:val="000C28EE"/>
    <w:rsid w:val="000C2FB1"/>
    <w:rsid w:val="000C3412"/>
    <w:rsid w:val="000C34A9"/>
    <w:rsid w:val="000C3CBB"/>
    <w:rsid w:val="000C42C0"/>
    <w:rsid w:val="000C437B"/>
    <w:rsid w:val="000C4451"/>
    <w:rsid w:val="000C4C4D"/>
    <w:rsid w:val="000C4F2B"/>
    <w:rsid w:val="000C51A6"/>
    <w:rsid w:val="000C5221"/>
    <w:rsid w:val="000C53CE"/>
    <w:rsid w:val="000C5534"/>
    <w:rsid w:val="000C5779"/>
    <w:rsid w:val="000C60F7"/>
    <w:rsid w:val="000C62F9"/>
    <w:rsid w:val="000C65C7"/>
    <w:rsid w:val="000C6776"/>
    <w:rsid w:val="000C687E"/>
    <w:rsid w:val="000C6B3B"/>
    <w:rsid w:val="000C6D57"/>
    <w:rsid w:val="000C7475"/>
    <w:rsid w:val="000C7A19"/>
    <w:rsid w:val="000C7AF7"/>
    <w:rsid w:val="000D01AA"/>
    <w:rsid w:val="000D081A"/>
    <w:rsid w:val="000D0C97"/>
    <w:rsid w:val="000D12E6"/>
    <w:rsid w:val="000D1BFA"/>
    <w:rsid w:val="000D266E"/>
    <w:rsid w:val="000D292E"/>
    <w:rsid w:val="000D2A6D"/>
    <w:rsid w:val="000D3232"/>
    <w:rsid w:val="000D3C3A"/>
    <w:rsid w:val="000D3DA5"/>
    <w:rsid w:val="000D4024"/>
    <w:rsid w:val="000D41B9"/>
    <w:rsid w:val="000D4A2E"/>
    <w:rsid w:val="000D4F60"/>
    <w:rsid w:val="000D5288"/>
    <w:rsid w:val="000D52F7"/>
    <w:rsid w:val="000D532A"/>
    <w:rsid w:val="000D5622"/>
    <w:rsid w:val="000D5F21"/>
    <w:rsid w:val="000D63EB"/>
    <w:rsid w:val="000D765C"/>
    <w:rsid w:val="000D7756"/>
    <w:rsid w:val="000D7886"/>
    <w:rsid w:val="000D7BB3"/>
    <w:rsid w:val="000E01C5"/>
    <w:rsid w:val="000E0372"/>
    <w:rsid w:val="000E0793"/>
    <w:rsid w:val="000E0809"/>
    <w:rsid w:val="000E0DB3"/>
    <w:rsid w:val="000E0EEF"/>
    <w:rsid w:val="000E1198"/>
    <w:rsid w:val="000E1203"/>
    <w:rsid w:val="000E1642"/>
    <w:rsid w:val="000E1DB4"/>
    <w:rsid w:val="000E2032"/>
    <w:rsid w:val="000E21D0"/>
    <w:rsid w:val="000E294A"/>
    <w:rsid w:val="000E2AEC"/>
    <w:rsid w:val="000E2BEE"/>
    <w:rsid w:val="000E2E74"/>
    <w:rsid w:val="000E359A"/>
    <w:rsid w:val="000E3C49"/>
    <w:rsid w:val="000E4683"/>
    <w:rsid w:val="000E49B3"/>
    <w:rsid w:val="000E4A4E"/>
    <w:rsid w:val="000E4D72"/>
    <w:rsid w:val="000E508B"/>
    <w:rsid w:val="000E5370"/>
    <w:rsid w:val="000E53C9"/>
    <w:rsid w:val="000E57C3"/>
    <w:rsid w:val="000E5A8B"/>
    <w:rsid w:val="000E5C87"/>
    <w:rsid w:val="000E6025"/>
    <w:rsid w:val="000E646C"/>
    <w:rsid w:val="000E65F7"/>
    <w:rsid w:val="000E6683"/>
    <w:rsid w:val="000E6816"/>
    <w:rsid w:val="000E6D09"/>
    <w:rsid w:val="000E6D63"/>
    <w:rsid w:val="000E7143"/>
    <w:rsid w:val="000E736A"/>
    <w:rsid w:val="000E75B3"/>
    <w:rsid w:val="000E76DD"/>
    <w:rsid w:val="000E77BF"/>
    <w:rsid w:val="000E789B"/>
    <w:rsid w:val="000E79D3"/>
    <w:rsid w:val="000E7DE8"/>
    <w:rsid w:val="000F0102"/>
    <w:rsid w:val="000F02B5"/>
    <w:rsid w:val="000F0C76"/>
    <w:rsid w:val="000F0E74"/>
    <w:rsid w:val="000F0E7B"/>
    <w:rsid w:val="000F1EBC"/>
    <w:rsid w:val="000F21EA"/>
    <w:rsid w:val="000F24DC"/>
    <w:rsid w:val="000F24E1"/>
    <w:rsid w:val="000F2D01"/>
    <w:rsid w:val="000F2EE6"/>
    <w:rsid w:val="000F3028"/>
    <w:rsid w:val="000F31D7"/>
    <w:rsid w:val="000F34CA"/>
    <w:rsid w:val="000F34F7"/>
    <w:rsid w:val="000F3692"/>
    <w:rsid w:val="000F3CE5"/>
    <w:rsid w:val="000F43D3"/>
    <w:rsid w:val="000F4499"/>
    <w:rsid w:val="000F46A0"/>
    <w:rsid w:val="000F4AD9"/>
    <w:rsid w:val="000F4E28"/>
    <w:rsid w:val="000F5196"/>
    <w:rsid w:val="000F5605"/>
    <w:rsid w:val="000F5A00"/>
    <w:rsid w:val="000F5C95"/>
    <w:rsid w:val="000F63C1"/>
    <w:rsid w:val="000F643B"/>
    <w:rsid w:val="000F661A"/>
    <w:rsid w:val="000F6681"/>
    <w:rsid w:val="000F6DA7"/>
    <w:rsid w:val="000F6E9D"/>
    <w:rsid w:val="000F7205"/>
    <w:rsid w:val="000F7432"/>
    <w:rsid w:val="000F74F0"/>
    <w:rsid w:val="000F76B1"/>
    <w:rsid w:val="00100173"/>
    <w:rsid w:val="0010035C"/>
    <w:rsid w:val="001005F1"/>
    <w:rsid w:val="00100BAA"/>
    <w:rsid w:val="00101053"/>
    <w:rsid w:val="001012E1"/>
    <w:rsid w:val="0010134B"/>
    <w:rsid w:val="00101734"/>
    <w:rsid w:val="0010177E"/>
    <w:rsid w:val="001019C6"/>
    <w:rsid w:val="00101ADC"/>
    <w:rsid w:val="00101E32"/>
    <w:rsid w:val="00102038"/>
    <w:rsid w:val="0010232C"/>
    <w:rsid w:val="001024C8"/>
    <w:rsid w:val="0010259D"/>
    <w:rsid w:val="001027BD"/>
    <w:rsid w:val="00102D02"/>
    <w:rsid w:val="00102F8C"/>
    <w:rsid w:val="00103038"/>
    <w:rsid w:val="0010366F"/>
    <w:rsid w:val="00103CAC"/>
    <w:rsid w:val="001048D1"/>
    <w:rsid w:val="00105432"/>
    <w:rsid w:val="0010551F"/>
    <w:rsid w:val="00105AD2"/>
    <w:rsid w:val="00105B4C"/>
    <w:rsid w:val="00105CCC"/>
    <w:rsid w:val="001061EA"/>
    <w:rsid w:val="001062DE"/>
    <w:rsid w:val="00106681"/>
    <w:rsid w:val="00106901"/>
    <w:rsid w:val="0010698C"/>
    <w:rsid w:val="001076F6"/>
    <w:rsid w:val="00107DE5"/>
    <w:rsid w:val="001100BA"/>
    <w:rsid w:val="001101D3"/>
    <w:rsid w:val="001102F1"/>
    <w:rsid w:val="00110323"/>
    <w:rsid w:val="001105DC"/>
    <w:rsid w:val="00110A53"/>
    <w:rsid w:val="00110D2F"/>
    <w:rsid w:val="00110F1F"/>
    <w:rsid w:val="00111673"/>
    <w:rsid w:val="001119B6"/>
    <w:rsid w:val="00111C27"/>
    <w:rsid w:val="001125CC"/>
    <w:rsid w:val="00112742"/>
    <w:rsid w:val="00112AE7"/>
    <w:rsid w:val="00112DC5"/>
    <w:rsid w:val="00112F57"/>
    <w:rsid w:val="00112FC6"/>
    <w:rsid w:val="001131D0"/>
    <w:rsid w:val="00113295"/>
    <w:rsid w:val="0011375D"/>
    <w:rsid w:val="0011375E"/>
    <w:rsid w:val="00113986"/>
    <w:rsid w:val="0011430B"/>
    <w:rsid w:val="0011452F"/>
    <w:rsid w:val="00114A01"/>
    <w:rsid w:val="00114FC5"/>
    <w:rsid w:val="00115715"/>
    <w:rsid w:val="001158D3"/>
    <w:rsid w:val="001158D7"/>
    <w:rsid w:val="00115B76"/>
    <w:rsid w:val="00116267"/>
    <w:rsid w:val="00116B64"/>
    <w:rsid w:val="0011724D"/>
    <w:rsid w:val="00117285"/>
    <w:rsid w:val="001174FE"/>
    <w:rsid w:val="00117634"/>
    <w:rsid w:val="0012004A"/>
    <w:rsid w:val="00120282"/>
    <w:rsid w:val="001203D1"/>
    <w:rsid w:val="00120727"/>
    <w:rsid w:val="00120744"/>
    <w:rsid w:val="0012144F"/>
    <w:rsid w:val="00121853"/>
    <w:rsid w:val="00121C2C"/>
    <w:rsid w:val="00121DDB"/>
    <w:rsid w:val="001222A4"/>
    <w:rsid w:val="00122737"/>
    <w:rsid w:val="00122922"/>
    <w:rsid w:val="00122947"/>
    <w:rsid w:val="00122BAD"/>
    <w:rsid w:val="00122D62"/>
    <w:rsid w:val="00122FA2"/>
    <w:rsid w:val="00123199"/>
    <w:rsid w:val="001235FD"/>
    <w:rsid w:val="00123C59"/>
    <w:rsid w:val="00123C7E"/>
    <w:rsid w:val="00123D12"/>
    <w:rsid w:val="00123D15"/>
    <w:rsid w:val="00123E88"/>
    <w:rsid w:val="00124077"/>
    <w:rsid w:val="0012453E"/>
    <w:rsid w:val="00124923"/>
    <w:rsid w:val="00125526"/>
    <w:rsid w:val="001259D8"/>
    <w:rsid w:val="00126075"/>
    <w:rsid w:val="00126126"/>
    <w:rsid w:val="001267A3"/>
    <w:rsid w:val="00126D96"/>
    <w:rsid w:val="00127832"/>
    <w:rsid w:val="001279E0"/>
    <w:rsid w:val="00127BEE"/>
    <w:rsid w:val="00127D36"/>
    <w:rsid w:val="00127FA6"/>
    <w:rsid w:val="00130122"/>
    <w:rsid w:val="0013034F"/>
    <w:rsid w:val="001308AA"/>
    <w:rsid w:val="001308C1"/>
    <w:rsid w:val="00130944"/>
    <w:rsid w:val="00130A65"/>
    <w:rsid w:val="00130BCB"/>
    <w:rsid w:val="00130C64"/>
    <w:rsid w:val="0013178D"/>
    <w:rsid w:val="001319BD"/>
    <w:rsid w:val="00131BDB"/>
    <w:rsid w:val="00131E92"/>
    <w:rsid w:val="00131F6A"/>
    <w:rsid w:val="00132034"/>
    <w:rsid w:val="001322A8"/>
    <w:rsid w:val="001323C6"/>
    <w:rsid w:val="00132491"/>
    <w:rsid w:val="001324AB"/>
    <w:rsid w:val="001326BE"/>
    <w:rsid w:val="00132825"/>
    <w:rsid w:val="00132860"/>
    <w:rsid w:val="001328AD"/>
    <w:rsid w:val="0013375E"/>
    <w:rsid w:val="00133A82"/>
    <w:rsid w:val="0013409E"/>
    <w:rsid w:val="001348C6"/>
    <w:rsid w:val="00134B09"/>
    <w:rsid w:val="00134C01"/>
    <w:rsid w:val="00134C98"/>
    <w:rsid w:val="00135119"/>
    <w:rsid w:val="001351E1"/>
    <w:rsid w:val="001353A9"/>
    <w:rsid w:val="001354EF"/>
    <w:rsid w:val="00135568"/>
    <w:rsid w:val="0013571D"/>
    <w:rsid w:val="00135888"/>
    <w:rsid w:val="001358C7"/>
    <w:rsid w:val="00136091"/>
    <w:rsid w:val="001360F3"/>
    <w:rsid w:val="001364BD"/>
    <w:rsid w:val="00136729"/>
    <w:rsid w:val="00136CD3"/>
    <w:rsid w:val="0013767B"/>
    <w:rsid w:val="00137A52"/>
    <w:rsid w:val="00140474"/>
    <w:rsid w:val="00140F80"/>
    <w:rsid w:val="001415B8"/>
    <w:rsid w:val="00141CA5"/>
    <w:rsid w:val="001420E0"/>
    <w:rsid w:val="001428EE"/>
    <w:rsid w:val="00142BFA"/>
    <w:rsid w:val="00142C16"/>
    <w:rsid w:val="0014313E"/>
    <w:rsid w:val="00143B0A"/>
    <w:rsid w:val="00143B33"/>
    <w:rsid w:val="00143B52"/>
    <w:rsid w:val="00143BB0"/>
    <w:rsid w:val="00143FF0"/>
    <w:rsid w:val="00144117"/>
    <w:rsid w:val="001441B5"/>
    <w:rsid w:val="00144758"/>
    <w:rsid w:val="00144F45"/>
    <w:rsid w:val="00145394"/>
    <w:rsid w:val="00145A71"/>
    <w:rsid w:val="00145D46"/>
    <w:rsid w:val="00146F5A"/>
    <w:rsid w:val="001474CA"/>
    <w:rsid w:val="00147F0E"/>
    <w:rsid w:val="00150AC2"/>
    <w:rsid w:val="00150C10"/>
    <w:rsid w:val="00151081"/>
    <w:rsid w:val="0015123C"/>
    <w:rsid w:val="0015143D"/>
    <w:rsid w:val="00151496"/>
    <w:rsid w:val="0015158A"/>
    <w:rsid w:val="001517A2"/>
    <w:rsid w:val="00151B7D"/>
    <w:rsid w:val="00151C1A"/>
    <w:rsid w:val="00151C65"/>
    <w:rsid w:val="00151E45"/>
    <w:rsid w:val="001527BA"/>
    <w:rsid w:val="00152BC8"/>
    <w:rsid w:val="00152EB8"/>
    <w:rsid w:val="00153253"/>
    <w:rsid w:val="001538DE"/>
    <w:rsid w:val="00153982"/>
    <w:rsid w:val="00153D03"/>
    <w:rsid w:val="00153E78"/>
    <w:rsid w:val="00154069"/>
    <w:rsid w:val="001545EF"/>
    <w:rsid w:val="00154B51"/>
    <w:rsid w:val="00154D5A"/>
    <w:rsid w:val="001552BF"/>
    <w:rsid w:val="0015601C"/>
    <w:rsid w:val="00156D2E"/>
    <w:rsid w:val="00156E41"/>
    <w:rsid w:val="00157853"/>
    <w:rsid w:val="0015787F"/>
    <w:rsid w:val="0015794E"/>
    <w:rsid w:val="00157B3F"/>
    <w:rsid w:val="00157D8F"/>
    <w:rsid w:val="00157E7C"/>
    <w:rsid w:val="00160361"/>
    <w:rsid w:val="00160A70"/>
    <w:rsid w:val="00160E54"/>
    <w:rsid w:val="001617F4"/>
    <w:rsid w:val="00161817"/>
    <w:rsid w:val="00161A68"/>
    <w:rsid w:val="00161CDD"/>
    <w:rsid w:val="00161E29"/>
    <w:rsid w:val="00162402"/>
    <w:rsid w:val="0016254F"/>
    <w:rsid w:val="00163306"/>
    <w:rsid w:val="0016369F"/>
    <w:rsid w:val="00163764"/>
    <w:rsid w:val="0016377F"/>
    <w:rsid w:val="0016419F"/>
    <w:rsid w:val="00164415"/>
    <w:rsid w:val="00164B1B"/>
    <w:rsid w:val="00165703"/>
    <w:rsid w:val="001658AC"/>
    <w:rsid w:val="00165987"/>
    <w:rsid w:val="00165AC9"/>
    <w:rsid w:val="001661F4"/>
    <w:rsid w:val="001662C6"/>
    <w:rsid w:val="0016680D"/>
    <w:rsid w:val="00166FA6"/>
    <w:rsid w:val="001671E9"/>
    <w:rsid w:val="00167457"/>
    <w:rsid w:val="00167710"/>
    <w:rsid w:val="0016794F"/>
    <w:rsid w:val="0016797F"/>
    <w:rsid w:val="0016798C"/>
    <w:rsid w:val="0017025F"/>
    <w:rsid w:val="001703CB"/>
    <w:rsid w:val="00170E1F"/>
    <w:rsid w:val="001716FF"/>
    <w:rsid w:val="00171BFC"/>
    <w:rsid w:val="00171FE8"/>
    <w:rsid w:val="0017241F"/>
    <w:rsid w:val="001724C4"/>
    <w:rsid w:val="00172732"/>
    <w:rsid w:val="00172A27"/>
    <w:rsid w:val="00172AE2"/>
    <w:rsid w:val="00172C56"/>
    <w:rsid w:val="00172F4F"/>
    <w:rsid w:val="00172FB9"/>
    <w:rsid w:val="00173010"/>
    <w:rsid w:val="00173276"/>
    <w:rsid w:val="001736C7"/>
    <w:rsid w:val="00173839"/>
    <w:rsid w:val="00173969"/>
    <w:rsid w:val="001739C9"/>
    <w:rsid w:val="00173F18"/>
    <w:rsid w:val="00174DD9"/>
    <w:rsid w:val="00175E7F"/>
    <w:rsid w:val="00176221"/>
    <w:rsid w:val="00176319"/>
    <w:rsid w:val="001763A9"/>
    <w:rsid w:val="00176BF3"/>
    <w:rsid w:val="00176D59"/>
    <w:rsid w:val="00176DCB"/>
    <w:rsid w:val="00176ED9"/>
    <w:rsid w:val="00176FA0"/>
    <w:rsid w:val="0017725F"/>
    <w:rsid w:val="00177380"/>
    <w:rsid w:val="00177BF6"/>
    <w:rsid w:val="00177D6F"/>
    <w:rsid w:val="001804E2"/>
    <w:rsid w:val="00180667"/>
    <w:rsid w:val="001812BB"/>
    <w:rsid w:val="0018150C"/>
    <w:rsid w:val="00181845"/>
    <w:rsid w:val="0018195D"/>
    <w:rsid w:val="00181F11"/>
    <w:rsid w:val="001824DF"/>
    <w:rsid w:val="00182552"/>
    <w:rsid w:val="001826C8"/>
    <w:rsid w:val="00182BB0"/>
    <w:rsid w:val="001838AA"/>
    <w:rsid w:val="00183CE2"/>
    <w:rsid w:val="00183D2A"/>
    <w:rsid w:val="00183F29"/>
    <w:rsid w:val="001841C1"/>
    <w:rsid w:val="0018438D"/>
    <w:rsid w:val="00184432"/>
    <w:rsid w:val="00184634"/>
    <w:rsid w:val="001847AA"/>
    <w:rsid w:val="001849B8"/>
    <w:rsid w:val="00184DA4"/>
    <w:rsid w:val="00184FE9"/>
    <w:rsid w:val="00185421"/>
    <w:rsid w:val="001859C7"/>
    <w:rsid w:val="00185C66"/>
    <w:rsid w:val="00185DBB"/>
    <w:rsid w:val="00185F43"/>
    <w:rsid w:val="00186144"/>
    <w:rsid w:val="0018614E"/>
    <w:rsid w:val="001861A7"/>
    <w:rsid w:val="00186890"/>
    <w:rsid w:val="001869A6"/>
    <w:rsid w:val="00186B9C"/>
    <w:rsid w:val="00186C16"/>
    <w:rsid w:val="001871AF"/>
    <w:rsid w:val="001874D4"/>
    <w:rsid w:val="001876A7"/>
    <w:rsid w:val="001877D2"/>
    <w:rsid w:val="001878B6"/>
    <w:rsid w:val="00187B01"/>
    <w:rsid w:val="00187CEB"/>
    <w:rsid w:val="00187F05"/>
    <w:rsid w:val="00190176"/>
    <w:rsid w:val="001905E8"/>
    <w:rsid w:val="00190913"/>
    <w:rsid w:val="00190B07"/>
    <w:rsid w:val="00190CF5"/>
    <w:rsid w:val="00190EF0"/>
    <w:rsid w:val="0019140B"/>
    <w:rsid w:val="00191632"/>
    <w:rsid w:val="00191663"/>
    <w:rsid w:val="00191803"/>
    <w:rsid w:val="00191F7E"/>
    <w:rsid w:val="00192127"/>
    <w:rsid w:val="00192C9C"/>
    <w:rsid w:val="001932E9"/>
    <w:rsid w:val="00193CA5"/>
    <w:rsid w:val="00194082"/>
    <w:rsid w:val="00194305"/>
    <w:rsid w:val="00194599"/>
    <w:rsid w:val="00194CAF"/>
    <w:rsid w:val="00195065"/>
    <w:rsid w:val="001954B4"/>
    <w:rsid w:val="001954C5"/>
    <w:rsid w:val="00195629"/>
    <w:rsid w:val="001956A5"/>
    <w:rsid w:val="001958F7"/>
    <w:rsid w:val="00195E58"/>
    <w:rsid w:val="0019600C"/>
    <w:rsid w:val="0019617E"/>
    <w:rsid w:val="00196536"/>
    <w:rsid w:val="0019670B"/>
    <w:rsid w:val="00196C40"/>
    <w:rsid w:val="00196F4C"/>
    <w:rsid w:val="00196FC5"/>
    <w:rsid w:val="001971F6"/>
    <w:rsid w:val="001972BA"/>
    <w:rsid w:val="001974A9"/>
    <w:rsid w:val="0019783B"/>
    <w:rsid w:val="00197A2E"/>
    <w:rsid w:val="00197B69"/>
    <w:rsid w:val="00197EF1"/>
    <w:rsid w:val="001A04AE"/>
    <w:rsid w:val="001A0618"/>
    <w:rsid w:val="001A0C8A"/>
    <w:rsid w:val="001A0C90"/>
    <w:rsid w:val="001A1667"/>
    <w:rsid w:val="001A1E45"/>
    <w:rsid w:val="001A2042"/>
    <w:rsid w:val="001A291F"/>
    <w:rsid w:val="001A2ADA"/>
    <w:rsid w:val="001A2C2D"/>
    <w:rsid w:val="001A2D6E"/>
    <w:rsid w:val="001A2FD6"/>
    <w:rsid w:val="001A3030"/>
    <w:rsid w:val="001A3676"/>
    <w:rsid w:val="001A3C36"/>
    <w:rsid w:val="001A3CDD"/>
    <w:rsid w:val="001A41D1"/>
    <w:rsid w:val="001A44D3"/>
    <w:rsid w:val="001A4710"/>
    <w:rsid w:val="001A48F1"/>
    <w:rsid w:val="001A4FE0"/>
    <w:rsid w:val="001A518D"/>
    <w:rsid w:val="001A528E"/>
    <w:rsid w:val="001A5BD6"/>
    <w:rsid w:val="001A5C85"/>
    <w:rsid w:val="001A5E83"/>
    <w:rsid w:val="001A63C5"/>
    <w:rsid w:val="001A65D3"/>
    <w:rsid w:val="001A670B"/>
    <w:rsid w:val="001A6763"/>
    <w:rsid w:val="001A69D8"/>
    <w:rsid w:val="001A6D27"/>
    <w:rsid w:val="001A6E3C"/>
    <w:rsid w:val="001A6EA5"/>
    <w:rsid w:val="001A7558"/>
    <w:rsid w:val="001A7747"/>
    <w:rsid w:val="001A7751"/>
    <w:rsid w:val="001A7922"/>
    <w:rsid w:val="001A7A22"/>
    <w:rsid w:val="001A7B63"/>
    <w:rsid w:val="001A7C1A"/>
    <w:rsid w:val="001B0648"/>
    <w:rsid w:val="001B07B7"/>
    <w:rsid w:val="001B0932"/>
    <w:rsid w:val="001B0BD1"/>
    <w:rsid w:val="001B166B"/>
    <w:rsid w:val="001B1C99"/>
    <w:rsid w:val="001B1EBD"/>
    <w:rsid w:val="001B1EEF"/>
    <w:rsid w:val="001B2FD8"/>
    <w:rsid w:val="001B36BC"/>
    <w:rsid w:val="001B3ADC"/>
    <w:rsid w:val="001B3DBC"/>
    <w:rsid w:val="001B3E49"/>
    <w:rsid w:val="001B41C7"/>
    <w:rsid w:val="001B4580"/>
    <w:rsid w:val="001B4BF4"/>
    <w:rsid w:val="001B4E40"/>
    <w:rsid w:val="001B5A98"/>
    <w:rsid w:val="001B5B88"/>
    <w:rsid w:val="001B61FB"/>
    <w:rsid w:val="001B6246"/>
    <w:rsid w:val="001B63B7"/>
    <w:rsid w:val="001B6923"/>
    <w:rsid w:val="001B6EF2"/>
    <w:rsid w:val="001B6FA2"/>
    <w:rsid w:val="001B6FFB"/>
    <w:rsid w:val="001B7C14"/>
    <w:rsid w:val="001C0163"/>
    <w:rsid w:val="001C04D6"/>
    <w:rsid w:val="001C070D"/>
    <w:rsid w:val="001C0E22"/>
    <w:rsid w:val="001C104D"/>
    <w:rsid w:val="001C10CD"/>
    <w:rsid w:val="001C1301"/>
    <w:rsid w:val="001C1551"/>
    <w:rsid w:val="001C1A71"/>
    <w:rsid w:val="001C24CA"/>
    <w:rsid w:val="001C26E0"/>
    <w:rsid w:val="001C2949"/>
    <w:rsid w:val="001C2BC7"/>
    <w:rsid w:val="001C2DEA"/>
    <w:rsid w:val="001C2E39"/>
    <w:rsid w:val="001C34B4"/>
    <w:rsid w:val="001C3864"/>
    <w:rsid w:val="001C42AB"/>
    <w:rsid w:val="001C476F"/>
    <w:rsid w:val="001C4894"/>
    <w:rsid w:val="001C4F22"/>
    <w:rsid w:val="001C523C"/>
    <w:rsid w:val="001C553D"/>
    <w:rsid w:val="001C562B"/>
    <w:rsid w:val="001C57B2"/>
    <w:rsid w:val="001C607F"/>
    <w:rsid w:val="001C66A2"/>
    <w:rsid w:val="001C7498"/>
    <w:rsid w:val="001C74E8"/>
    <w:rsid w:val="001C7517"/>
    <w:rsid w:val="001C7603"/>
    <w:rsid w:val="001C7673"/>
    <w:rsid w:val="001C77D3"/>
    <w:rsid w:val="001D01F3"/>
    <w:rsid w:val="001D05ED"/>
    <w:rsid w:val="001D06ED"/>
    <w:rsid w:val="001D09B0"/>
    <w:rsid w:val="001D1457"/>
    <w:rsid w:val="001D149A"/>
    <w:rsid w:val="001D1716"/>
    <w:rsid w:val="001D1D52"/>
    <w:rsid w:val="001D1DB7"/>
    <w:rsid w:val="001D2043"/>
    <w:rsid w:val="001D2B88"/>
    <w:rsid w:val="001D2F1A"/>
    <w:rsid w:val="001D2FD6"/>
    <w:rsid w:val="001D31D5"/>
    <w:rsid w:val="001D3B19"/>
    <w:rsid w:val="001D3CCD"/>
    <w:rsid w:val="001D3CD2"/>
    <w:rsid w:val="001D3D30"/>
    <w:rsid w:val="001D4BE6"/>
    <w:rsid w:val="001D4FF4"/>
    <w:rsid w:val="001D55B2"/>
    <w:rsid w:val="001D596A"/>
    <w:rsid w:val="001D5AE9"/>
    <w:rsid w:val="001D5EBB"/>
    <w:rsid w:val="001D7B2F"/>
    <w:rsid w:val="001E0342"/>
    <w:rsid w:val="001E06D1"/>
    <w:rsid w:val="001E164B"/>
    <w:rsid w:val="001E1A89"/>
    <w:rsid w:val="001E2557"/>
    <w:rsid w:val="001E268C"/>
    <w:rsid w:val="001E2EFD"/>
    <w:rsid w:val="001E2FCC"/>
    <w:rsid w:val="001E31B5"/>
    <w:rsid w:val="001E376F"/>
    <w:rsid w:val="001E3F8C"/>
    <w:rsid w:val="001E43A3"/>
    <w:rsid w:val="001E45BA"/>
    <w:rsid w:val="001E473E"/>
    <w:rsid w:val="001E4821"/>
    <w:rsid w:val="001E4F10"/>
    <w:rsid w:val="001E57F9"/>
    <w:rsid w:val="001E58E9"/>
    <w:rsid w:val="001E5A77"/>
    <w:rsid w:val="001E608E"/>
    <w:rsid w:val="001E615F"/>
    <w:rsid w:val="001E624B"/>
    <w:rsid w:val="001E6400"/>
    <w:rsid w:val="001E673F"/>
    <w:rsid w:val="001E6883"/>
    <w:rsid w:val="001E68D5"/>
    <w:rsid w:val="001E6C7B"/>
    <w:rsid w:val="001E7862"/>
    <w:rsid w:val="001E790D"/>
    <w:rsid w:val="001E7C68"/>
    <w:rsid w:val="001E7D98"/>
    <w:rsid w:val="001E7FD5"/>
    <w:rsid w:val="001F020C"/>
    <w:rsid w:val="001F022A"/>
    <w:rsid w:val="001F0258"/>
    <w:rsid w:val="001F03BB"/>
    <w:rsid w:val="001F0747"/>
    <w:rsid w:val="001F07B8"/>
    <w:rsid w:val="001F0947"/>
    <w:rsid w:val="001F095E"/>
    <w:rsid w:val="001F0F20"/>
    <w:rsid w:val="001F0FDD"/>
    <w:rsid w:val="001F1308"/>
    <w:rsid w:val="001F166F"/>
    <w:rsid w:val="001F17DD"/>
    <w:rsid w:val="001F1B01"/>
    <w:rsid w:val="001F1CE8"/>
    <w:rsid w:val="001F1E51"/>
    <w:rsid w:val="001F2411"/>
    <w:rsid w:val="001F2C82"/>
    <w:rsid w:val="001F2C9A"/>
    <w:rsid w:val="001F2E3F"/>
    <w:rsid w:val="001F3026"/>
    <w:rsid w:val="001F3168"/>
    <w:rsid w:val="001F3233"/>
    <w:rsid w:val="001F3270"/>
    <w:rsid w:val="001F37D5"/>
    <w:rsid w:val="001F3936"/>
    <w:rsid w:val="001F3A9A"/>
    <w:rsid w:val="001F4482"/>
    <w:rsid w:val="001F4BD8"/>
    <w:rsid w:val="001F4D16"/>
    <w:rsid w:val="001F574B"/>
    <w:rsid w:val="001F5F16"/>
    <w:rsid w:val="001F63B0"/>
    <w:rsid w:val="001F64CB"/>
    <w:rsid w:val="001F6960"/>
    <w:rsid w:val="001F6D03"/>
    <w:rsid w:val="001F7790"/>
    <w:rsid w:val="001F7973"/>
    <w:rsid w:val="0020008E"/>
    <w:rsid w:val="002002D6"/>
    <w:rsid w:val="0020098E"/>
    <w:rsid w:val="00200D81"/>
    <w:rsid w:val="00200DEC"/>
    <w:rsid w:val="00201114"/>
    <w:rsid w:val="00201855"/>
    <w:rsid w:val="00201907"/>
    <w:rsid w:val="00201BC0"/>
    <w:rsid w:val="00201EC0"/>
    <w:rsid w:val="00202039"/>
    <w:rsid w:val="002022A1"/>
    <w:rsid w:val="002023F4"/>
    <w:rsid w:val="0020252F"/>
    <w:rsid w:val="002029B3"/>
    <w:rsid w:val="00202B97"/>
    <w:rsid w:val="00202D8F"/>
    <w:rsid w:val="00202EDD"/>
    <w:rsid w:val="00202FA3"/>
    <w:rsid w:val="00203779"/>
    <w:rsid w:val="002039E9"/>
    <w:rsid w:val="0020414B"/>
    <w:rsid w:val="002041D0"/>
    <w:rsid w:val="002041E0"/>
    <w:rsid w:val="00204300"/>
    <w:rsid w:val="00204AFC"/>
    <w:rsid w:val="00204ED6"/>
    <w:rsid w:val="00204F24"/>
    <w:rsid w:val="0020535D"/>
    <w:rsid w:val="00205C62"/>
    <w:rsid w:val="00206BF4"/>
    <w:rsid w:val="00206D15"/>
    <w:rsid w:val="00206E51"/>
    <w:rsid w:val="002073AE"/>
    <w:rsid w:val="002074C5"/>
    <w:rsid w:val="002074E1"/>
    <w:rsid w:val="00207AB9"/>
    <w:rsid w:val="00207DFF"/>
    <w:rsid w:val="002104C8"/>
    <w:rsid w:val="0021074B"/>
    <w:rsid w:val="00210C89"/>
    <w:rsid w:val="00210EBC"/>
    <w:rsid w:val="002114FE"/>
    <w:rsid w:val="0021153E"/>
    <w:rsid w:val="0021252E"/>
    <w:rsid w:val="00212BC6"/>
    <w:rsid w:val="00212F98"/>
    <w:rsid w:val="0021375C"/>
    <w:rsid w:val="00213E9B"/>
    <w:rsid w:val="00214057"/>
    <w:rsid w:val="0021499D"/>
    <w:rsid w:val="00214C24"/>
    <w:rsid w:val="00214E32"/>
    <w:rsid w:val="00214EE0"/>
    <w:rsid w:val="00215131"/>
    <w:rsid w:val="0021572D"/>
    <w:rsid w:val="002157C8"/>
    <w:rsid w:val="00215AF0"/>
    <w:rsid w:val="00215D76"/>
    <w:rsid w:val="00216173"/>
    <w:rsid w:val="002162E5"/>
    <w:rsid w:val="00216582"/>
    <w:rsid w:val="00216B17"/>
    <w:rsid w:val="00216D3D"/>
    <w:rsid w:val="0021711C"/>
    <w:rsid w:val="0021791B"/>
    <w:rsid w:val="002179EB"/>
    <w:rsid w:val="00220066"/>
    <w:rsid w:val="002200FE"/>
    <w:rsid w:val="0022028F"/>
    <w:rsid w:val="002208C0"/>
    <w:rsid w:val="002209DD"/>
    <w:rsid w:val="00221005"/>
    <w:rsid w:val="002210BE"/>
    <w:rsid w:val="002214D4"/>
    <w:rsid w:val="00221572"/>
    <w:rsid w:val="00221DE7"/>
    <w:rsid w:val="00222735"/>
    <w:rsid w:val="00222E30"/>
    <w:rsid w:val="00222F83"/>
    <w:rsid w:val="0022329D"/>
    <w:rsid w:val="00223783"/>
    <w:rsid w:val="0022378B"/>
    <w:rsid w:val="00223CC6"/>
    <w:rsid w:val="00223F52"/>
    <w:rsid w:val="00224349"/>
    <w:rsid w:val="0022492D"/>
    <w:rsid w:val="00224DEB"/>
    <w:rsid w:val="00224E40"/>
    <w:rsid w:val="00224E4B"/>
    <w:rsid w:val="0022543E"/>
    <w:rsid w:val="0022556E"/>
    <w:rsid w:val="002257C4"/>
    <w:rsid w:val="0022585E"/>
    <w:rsid w:val="00225B37"/>
    <w:rsid w:val="002264BD"/>
    <w:rsid w:val="002267BF"/>
    <w:rsid w:val="00226814"/>
    <w:rsid w:val="00226FB5"/>
    <w:rsid w:val="002275CF"/>
    <w:rsid w:val="00227A4A"/>
    <w:rsid w:val="00227A5B"/>
    <w:rsid w:val="00227F19"/>
    <w:rsid w:val="00230278"/>
    <w:rsid w:val="00230D0D"/>
    <w:rsid w:val="00230E50"/>
    <w:rsid w:val="00231601"/>
    <w:rsid w:val="002316C7"/>
    <w:rsid w:val="00231956"/>
    <w:rsid w:val="00231AE5"/>
    <w:rsid w:val="00231D66"/>
    <w:rsid w:val="00231D7B"/>
    <w:rsid w:val="00231FEE"/>
    <w:rsid w:val="00232238"/>
    <w:rsid w:val="00232396"/>
    <w:rsid w:val="00232434"/>
    <w:rsid w:val="0023283C"/>
    <w:rsid w:val="002329E8"/>
    <w:rsid w:val="00232C7A"/>
    <w:rsid w:val="00232EF5"/>
    <w:rsid w:val="00233274"/>
    <w:rsid w:val="002333DA"/>
    <w:rsid w:val="0023419C"/>
    <w:rsid w:val="00234418"/>
    <w:rsid w:val="0023451B"/>
    <w:rsid w:val="00234867"/>
    <w:rsid w:val="00234B05"/>
    <w:rsid w:val="00234BB2"/>
    <w:rsid w:val="00234BE8"/>
    <w:rsid w:val="00234DF6"/>
    <w:rsid w:val="0023534E"/>
    <w:rsid w:val="00235AE4"/>
    <w:rsid w:val="00235DDE"/>
    <w:rsid w:val="00236337"/>
    <w:rsid w:val="0023636A"/>
    <w:rsid w:val="002363C1"/>
    <w:rsid w:val="00236840"/>
    <w:rsid w:val="00236F52"/>
    <w:rsid w:val="00236FC7"/>
    <w:rsid w:val="00237033"/>
    <w:rsid w:val="002370D5"/>
    <w:rsid w:val="002371DD"/>
    <w:rsid w:val="0023795F"/>
    <w:rsid w:val="002401F1"/>
    <w:rsid w:val="00240414"/>
    <w:rsid w:val="00241364"/>
    <w:rsid w:val="00241408"/>
    <w:rsid w:val="002415E8"/>
    <w:rsid w:val="002415F7"/>
    <w:rsid w:val="002417DC"/>
    <w:rsid w:val="002425D3"/>
    <w:rsid w:val="00242762"/>
    <w:rsid w:val="00242838"/>
    <w:rsid w:val="00242A19"/>
    <w:rsid w:val="00243348"/>
    <w:rsid w:val="00243606"/>
    <w:rsid w:val="00243965"/>
    <w:rsid w:val="00243FF3"/>
    <w:rsid w:val="002440F3"/>
    <w:rsid w:val="00244699"/>
    <w:rsid w:val="002446DB"/>
    <w:rsid w:val="002447E7"/>
    <w:rsid w:val="002455A2"/>
    <w:rsid w:val="00245735"/>
    <w:rsid w:val="00245796"/>
    <w:rsid w:val="002462A7"/>
    <w:rsid w:val="002469DB"/>
    <w:rsid w:val="00247486"/>
    <w:rsid w:val="002479BF"/>
    <w:rsid w:val="00250308"/>
    <w:rsid w:val="002505A2"/>
    <w:rsid w:val="00250736"/>
    <w:rsid w:val="00250C06"/>
    <w:rsid w:val="00250E7D"/>
    <w:rsid w:val="0025139D"/>
    <w:rsid w:val="00251808"/>
    <w:rsid w:val="0025241C"/>
    <w:rsid w:val="00252B96"/>
    <w:rsid w:val="002532D1"/>
    <w:rsid w:val="002533FB"/>
    <w:rsid w:val="00253AC0"/>
    <w:rsid w:val="00253B80"/>
    <w:rsid w:val="00253C5C"/>
    <w:rsid w:val="00253E07"/>
    <w:rsid w:val="00254417"/>
    <w:rsid w:val="0025445C"/>
    <w:rsid w:val="00254858"/>
    <w:rsid w:val="00254A35"/>
    <w:rsid w:val="00254AB5"/>
    <w:rsid w:val="00254B0E"/>
    <w:rsid w:val="0025577C"/>
    <w:rsid w:val="002567C2"/>
    <w:rsid w:val="002568BC"/>
    <w:rsid w:val="00256E20"/>
    <w:rsid w:val="002574DA"/>
    <w:rsid w:val="0025770A"/>
    <w:rsid w:val="00260019"/>
    <w:rsid w:val="0026006E"/>
    <w:rsid w:val="0026006F"/>
    <w:rsid w:val="002604B9"/>
    <w:rsid w:val="00260B4E"/>
    <w:rsid w:val="00260C21"/>
    <w:rsid w:val="00261534"/>
    <w:rsid w:val="00261537"/>
    <w:rsid w:val="002616FC"/>
    <w:rsid w:val="002618A8"/>
    <w:rsid w:val="00262613"/>
    <w:rsid w:val="00262B89"/>
    <w:rsid w:val="002632D1"/>
    <w:rsid w:val="0026375F"/>
    <w:rsid w:val="0026378F"/>
    <w:rsid w:val="00263A25"/>
    <w:rsid w:val="00263AC4"/>
    <w:rsid w:val="00263D08"/>
    <w:rsid w:val="00263D20"/>
    <w:rsid w:val="002640A7"/>
    <w:rsid w:val="0026436B"/>
    <w:rsid w:val="00264686"/>
    <w:rsid w:val="0026488C"/>
    <w:rsid w:val="00264AF2"/>
    <w:rsid w:val="00264CBC"/>
    <w:rsid w:val="0026518D"/>
    <w:rsid w:val="00265CDC"/>
    <w:rsid w:val="00266341"/>
    <w:rsid w:val="0026670A"/>
    <w:rsid w:val="00266761"/>
    <w:rsid w:val="00266BBC"/>
    <w:rsid w:val="00266D2B"/>
    <w:rsid w:val="00267357"/>
    <w:rsid w:val="002679B1"/>
    <w:rsid w:val="00267B65"/>
    <w:rsid w:val="00267DE8"/>
    <w:rsid w:val="00267F8D"/>
    <w:rsid w:val="00267FD3"/>
    <w:rsid w:val="0027002F"/>
    <w:rsid w:val="00270524"/>
    <w:rsid w:val="00270700"/>
    <w:rsid w:val="00270BB4"/>
    <w:rsid w:val="00270BE8"/>
    <w:rsid w:val="00270EF3"/>
    <w:rsid w:val="00271507"/>
    <w:rsid w:val="0027151C"/>
    <w:rsid w:val="00271612"/>
    <w:rsid w:val="00272029"/>
    <w:rsid w:val="00272666"/>
    <w:rsid w:val="002726E5"/>
    <w:rsid w:val="002727C6"/>
    <w:rsid w:val="0027374A"/>
    <w:rsid w:val="00273B28"/>
    <w:rsid w:val="00273C6D"/>
    <w:rsid w:val="00273FB5"/>
    <w:rsid w:val="002744D7"/>
    <w:rsid w:val="00274718"/>
    <w:rsid w:val="00274A60"/>
    <w:rsid w:val="00274AA0"/>
    <w:rsid w:val="0027502B"/>
    <w:rsid w:val="002751EA"/>
    <w:rsid w:val="00275451"/>
    <w:rsid w:val="00275797"/>
    <w:rsid w:val="00275868"/>
    <w:rsid w:val="00276028"/>
    <w:rsid w:val="00276047"/>
    <w:rsid w:val="002763E1"/>
    <w:rsid w:val="0027657A"/>
    <w:rsid w:val="002766E0"/>
    <w:rsid w:val="0027692D"/>
    <w:rsid w:val="002769B2"/>
    <w:rsid w:val="0027701E"/>
    <w:rsid w:val="002770CF"/>
    <w:rsid w:val="002772E4"/>
    <w:rsid w:val="00277782"/>
    <w:rsid w:val="002803F9"/>
    <w:rsid w:val="002809B3"/>
    <w:rsid w:val="00280B05"/>
    <w:rsid w:val="00280C16"/>
    <w:rsid w:val="00280EB3"/>
    <w:rsid w:val="00280FE9"/>
    <w:rsid w:val="00281201"/>
    <w:rsid w:val="002816EE"/>
    <w:rsid w:val="00281ACE"/>
    <w:rsid w:val="00281C60"/>
    <w:rsid w:val="00281F8A"/>
    <w:rsid w:val="00282AC9"/>
    <w:rsid w:val="00282F33"/>
    <w:rsid w:val="002834C7"/>
    <w:rsid w:val="002837F6"/>
    <w:rsid w:val="00283CA0"/>
    <w:rsid w:val="00283DD4"/>
    <w:rsid w:val="0028408A"/>
    <w:rsid w:val="002843D8"/>
    <w:rsid w:val="00284D0B"/>
    <w:rsid w:val="00284EFA"/>
    <w:rsid w:val="00285258"/>
    <w:rsid w:val="00285456"/>
    <w:rsid w:val="0028548F"/>
    <w:rsid w:val="00285C9E"/>
    <w:rsid w:val="0028640E"/>
    <w:rsid w:val="00286741"/>
    <w:rsid w:val="00286C4C"/>
    <w:rsid w:val="00286DAD"/>
    <w:rsid w:val="00287A9F"/>
    <w:rsid w:val="00290471"/>
    <w:rsid w:val="002912BA"/>
    <w:rsid w:val="002912DA"/>
    <w:rsid w:val="002913F7"/>
    <w:rsid w:val="002914FD"/>
    <w:rsid w:val="002916E1"/>
    <w:rsid w:val="00291CA5"/>
    <w:rsid w:val="00291D37"/>
    <w:rsid w:val="00291EC9"/>
    <w:rsid w:val="002921CE"/>
    <w:rsid w:val="00292531"/>
    <w:rsid w:val="00292655"/>
    <w:rsid w:val="00292A84"/>
    <w:rsid w:val="00292B7D"/>
    <w:rsid w:val="00293261"/>
    <w:rsid w:val="002932D7"/>
    <w:rsid w:val="00293467"/>
    <w:rsid w:val="00293DCA"/>
    <w:rsid w:val="00293F23"/>
    <w:rsid w:val="00294C3F"/>
    <w:rsid w:val="00294CF6"/>
    <w:rsid w:val="00294FD7"/>
    <w:rsid w:val="002952AF"/>
    <w:rsid w:val="002956FC"/>
    <w:rsid w:val="00295B6C"/>
    <w:rsid w:val="00295CF1"/>
    <w:rsid w:val="00295DD0"/>
    <w:rsid w:val="00296C7F"/>
    <w:rsid w:val="002970BF"/>
    <w:rsid w:val="00297181"/>
    <w:rsid w:val="002975AC"/>
    <w:rsid w:val="002A0558"/>
    <w:rsid w:val="002A0EB7"/>
    <w:rsid w:val="002A1074"/>
    <w:rsid w:val="002A113A"/>
    <w:rsid w:val="002A16B1"/>
    <w:rsid w:val="002A1979"/>
    <w:rsid w:val="002A200D"/>
    <w:rsid w:val="002A2084"/>
    <w:rsid w:val="002A23B9"/>
    <w:rsid w:val="002A25DA"/>
    <w:rsid w:val="002A2771"/>
    <w:rsid w:val="002A2855"/>
    <w:rsid w:val="002A2E05"/>
    <w:rsid w:val="002A302F"/>
    <w:rsid w:val="002A31BA"/>
    <w:rsid w:val="002A3BFB"/>
    <w:rsid w:val="002A3D4E"/>
    <w:rsid w:val="002A4347"/>
    <w:rsid w:val="002A4492"/>
    <w:rsid w:val="002A45D9"/>
    <w:rsid w:val="002A46C6"/>
    <w:rsid w:val="002A4775"/>
    <w:rsid w:val="002A4E98"/>
    <w:rsid w:val="002A5041"/>
    <w:rsid w:val="002A5CA0"/>
    <w:rsid w:val="002A5DAA"/>
    <w:rsid w:val="002A5DCF"/>
    <w:rsid w:val="002A5EFD"/>
    <w:rsid w:val="002A6ACF"/>
    <w:rsid w:val="002A6BBE"/>
    <w:rsid w:val="002A6D16"/>
    <w:rsid w:val="002A730D"/>
    <w:rsid w:val="002A792A"/>
    <w:rsid w:val="002A7AA8"/>
    <w:rsid w:val="002A7BF9"/>
    <w:rsid w:val="002A7C61"/>
    <w:rsid w:val="002A7F17"/>
    <w:rsid w:val="002B0076"/>
    <w:rsid w:val="002B0384"/>
    <w:rsid w:val="002B044E"/>
    <w:rsid w:val="002B0B0B"/>
    <w:rsid w:val="002B0D8D"/>
    <w:rsid w:val="002B0EBC"/>
    <w:rsid w:val="002B132A"/>
    <w:rsid w:val="002B1475"/>
    <w:rsid w:val="002B1713"/>
    <w:rsid w:val="002B1CDD"/>
    <w:rsid w:val="002B21BB"/>
    <w:rsid w:val="002B21F5"/>
    <w:rsid w:val="002B228C"/>
    <w:rsid w:val="002B2668"/>
    <w:rsid w:val="002B2875"/>
    <w:rsid w:val="002B3134"/>
    <w:rsid w:val="002B369F"/>
    <w:rsid w:val="002B3ECB"/>
    <w:rsid w:val="002B3F5B"/>
    <w:rsid w:val="002B405C"/>
    <w:rsid w:val="002B4617"/>
    <w:rsid w:val="002B4785"/>
    <w:rsid w:val="002B51C4"/>
    <w:rsid w:val="002B5250"/>
    <w:rsid w:val="002B5314"/>
    <w:rsid w:val="002B561D"/>
    <w:rsid w:val="002B5922"/>
    <w:rsid w:val="002B5E03"/>
    <w:rsid w:val="002B6193"/>
    <w:rsid w:val="002B662C"/>
    <w:rsid w:val="002B6C45"/>
    <w:rsid w:val="002B74BF"/>
    <w:rsid w:val="002B75BB"/>
    <w:rsid w:val="002B7E1F"/>
    <w:rsid w:val="002C090E"/>
    <w:rsid w:val="002C0A53"/>
    <w:rsid w:val="002C0AD2"/>
    <w:rsid w:val="002C0C94"/>
    <w:rsid w:val="002C0FB6"/>
    <w:rsid w:val="002C13E6"/>
    <w:rsid w:val="002C1500"/>
    <w:rsid w:val="002C1C81"/>
    <w:rsid w:val="002C1F7C"/>
    <w:rsid w:val="002C2FF4"/>
    <w:rsid w:val="002C3618"/>
    <w:rsid w:val="002C3FF2"/>
    <w:rsid w:val="002C4400"/>
    <w:rsid w:val="002C4981"/>
    <w:rsid w:val="002C4F88"/>
    <w:rsid w:val="002C509F"/>
    <w:rsid w:val="002C52C6"/>
    <w:rsid w:val="002C5880"/>
    <w:rsid w:val="002C58BD"/>
    <w:rsid w:val="002C59F0"/>
    <w:rsid w:val="002C5EA7"/>
    <w:rsid w:val="002C5F4D"/>
    <w:rsid w:val="002C614D"/>
    <w:rsid w:val="002C61B3"/>
    <w:rsid w:val="002C643A"/>
    <w:rsid w:val="002C64B6"/>
    <w:rsid w:val="002C6B8C"/>
    <w:rsid w:val="002C6F0D"/>
    <w:rsid w:val="002C70E7"/>
    <w:rsid w:val="002C727D"/>
    <w:rsid w:val="002C7426"/>
    <w:rsid w:val="002C744F"/>
    <w:rsid w:val="002C7769"/>
    <w:rsid w:val="002C7A3B"/>
    <w:rsid w:val="002C7DAF"/>
    <w:rsid w:val="002C7DC4"/>
    <w:rsid w:val="002C7F85"/>
    <w:rsid w:val="002D0041"/>
    <w:rsid w:val="002D0340"/>
    <w:rsid w:val="002D069D"/>
    <w:rsid w:val="002D0B99"/>
    <w:rsid w:val="002D0E29"/>
    <w:rsid w:val="002D10B7"/>
    <w:rsid w:val="002D170A"/>
    <w:rsid w:val="002D1B41"/>
    <w:rsid w:val="002D1D8F"/>
    <w:rsid w:val="002D1DA7"/>
    <w:rsid w:val="002D1E78"/>
    <w:rsid w:val="002D225C"/>
    <w:rsid w:val="002D2465"/>
    <w:rsid w:val="002D290C"/>
    <w:rsid w:val="002D2F19"/>
    <w:rsid w:val="002D34D5"/>
    <w:rsid w:val="002D397A"/>
    <w:rsid w:val="002D3A29"/>
    <w:rsid w:val="002D42AD"/>
    <w:rsid w:val="002D53A1"/>
    <w:rsid w:val="002D53F3"/>
    <w:rsid w:val="002D58E3"/>
    <w:rsid w:val="002D5ECE"/>
    <w:rsid w:val="002D6A4A"/>
    <w:rsid w:val="002D74D3"/>
    <w:rsid w:val="002E0166"/>
    <w:rsid w:val="002E0A3C"/>
    <w:rsid w:val="002E0DEE"/>
    <w:rsid w:val="002E10B4"/>
    <w:rsid w:val="002E16EC"/>
    <w:rsid w:val="002E26BA"/>
    <w:rsid w:val="002E28BD"/>
    <w:rsid w:val="002E2EF1"/>
    <w:rsid w:val="002E2F66"/>
    <w:rsid w:val="002E3224"/>
    <w:rsid w:val="002E34D0"/>
    <w:rsid w:val="002E3689"/>
    <w:rsid w:val="002E4474"/>
    <w:rsid w:val="002E4744"/>
    <w:rsid w:val="002E4B58"/>
    <w:rsid w:val="002E4F70"/>
    <w:rsid w:val="002E50F1"/>
    <w:rsid w:val="002E5535"/>
    <w:rsid w:val="002E55A6"/>
    <w:rsid w:val="002E5B71"/>
    <w:rsid w:val="002E5BE3"/>
    <w:rsid w:val="002E5E4E"/>
    <w:rsid w:val="002E62B7"/>
    <w:rsid w:val="002E63CC"/>
    <w:rsid w:val="002E707C"/>
    <w:rsid w:val="002E7643"/>
    <w:rsid w:val="002E79D8"/>
    <w:rsid w:val="002F0CC9"/>
    <w:rsid w:val="002F0DE0"/>
    <w:rsid w:val="002F181C"/>
    <w:rsid w:val="002F1888"/>
    <w:rsid w:val="002F18DF"/>
    <w:rsid w:val="002F1E2B"/>
    <w:rsid w:val="002F25BB"/>
    <w:rsid w:val="002F2CF1"/>
    <w:rsid w:val="002F30AF"/>
    <w:rsid w:val="002F31B3"/>
    <w:rsid w:val="002F3B4D"/>
    <w:rsid w:val="002F3F72"/>
    <w:rsid w:val="002F402D"/>
    <w:rsid w:val="002F40A1"/>
    <w:rsid w:val="002F46D5"/>
    <w:rsid w:val="002F4859"/>
    <w:rsid w:val="002F4A8D"/>
    <w:rsid w:val="002F4F5A"/>
    <w:rsid w:val="002F52AE"/>
    <w:rsid w:val="002F6767"/>
    <w:rsid w:val="002F792E"/>
    <w:rsid w:val="002F7B20"/>
    <w:rsid w:val="0030017D"/>
    <w:rsid w:val="003002C6"/>
    <w:rsid w:val="00300D6E"/>
    <w:rsid w:val="003014AA"/>
    <w:rsid w:val="003014E1"/>
    <w:rsid w:val="00301795"/>
    <w:rsid w:val="00301B49"/>
    <w:rsid w:val="00301E1B"/>
    <w:rsid w:val="00301EE1"/>
    <w:rsid w:val="00302147"/>
    <w:rsid w:val="00302FEA"/>
    <w:rsid w:val="00303148"/>
    <w:rsid w:val="00303180"/>
    <w:rsid w:val="003032B7"/>
    <w:rsid w:val="0030365B"/>
    <w:rsid w:val="003036BA"/>
    <w:rsid w:val="003039BE"/>
    <w:rsid w:val="00303BBC"/>
    <w:rsid w:val="00303C12"/>
    <w:rsid w:val="00303F5D"/>
    <w:rsid w:val="003040D4"/>
    <w:rsid w:val="00304128"/>
    <w:rsid w:val="00304212"/>
    <w:rsid w:val="00304B99"/>
    <w:rsid w:val="00304CBE"/>
    <w:rsid w:val="00304D0C"/>
    <w:rsid w:val="00304E22"/>
    <w:rsid w:val="003054ED"/>
    <w:rsid w:val="0030556C"/>
    <w:rsid w:val="0030594F"/>
    <w:rsid w:val="00305C80"/>
    <w:rsid w:val="0030632E"/>
    <w:rsid w:val="003063C0"/>
    <w:rsid w:val="00306724"/>
    <w:rsid w:val="003067A5"/>
    <w:rsid w:val="00306DEE"/>
    <w:rsid w:val="00306E98"/>
    <w:rsid w:val="00307014"/>
    <w:rsid w:val="00307184"/>
    <w:rsid w:val="003075CB"/>
    <w:rsid w:val="003078F5"/>
    <w:rsid w:val="00307FDB"/>
    <w:rsid w:val="0031000C"/>
    <w:rsid w:val="00310917"/>
    <w:rsid w:val="00310CD0"/>
    <w:rsid w:val="003115FD"/>
    <w:rsid w:val="00311C90"/>
    <w:rsid w:val="00311E02"/>
    <w:rsid w:val="0031231B"/>
    <w:rsid w:val="0031283F"/>
    <w:rsid w:val="00312AAD"/>
    <w:rsid w:val="00313057"/>
    <w:rsid w:val="00313068"/>
    <w:rsid w:val="0031364B"/>
    <w:rsid w:val="00313700"/>
    <w:rsid w:val="003137C5"/>
    <w:rsid w:val="00313F88"/>
    <w:rsid w:val="003142C4"/>
    <w:rsid w:val="003142E3"/>
    <w:rsid w:val="0031489D"/>
    <w:rsid w:val="00315334"/>
    <w:rsid w:val="00315518"/>
    <w:rsid w:val="003155E8"/>
    <w:rsid w:val="00315879"/>
    <w:rsid w:val="003158EE"/>
    <w:rsid w:val="00315CC4"/>
    <w:rsid w:val="003162C5"/>
    <w:rsid w:val="003163A7"/>
    <w:rsid w:val="00316E4D"/>
    <w:rsid w:val="00317718"/>
    <w:rsid w:val="00317CDE"/>
    <w:rsid w:val="00317E32"/>
    <w:rsid w:val="00320601"/>
    <w:rsid w:val="00320C4F"/>
    <w:rsid w:val="00321A04"/>
    <w:rsid w:val="00321B7D"/>
    <w:rsid w:val="00321BA6"/>
    <w:rsid w:val="00322006"/>
    <w:rsid w:val="003220D1"/>
    <w:rsid w:val="0032279F"/>
    <w:rsid w:val="003228B9"/>
    <w:rsid w:val="00322934"/>
    <w:rsid w:val="00322977"/>
    <w:rsid w:val="00322A59"/>
    <w:rsid w:val="0032307D"/>
    <w:rsid w:val="00323C68"/>
    <w:rsid w:val="00324094"/>
    <w:rsid w:val="00324167"/>
    <w:rsid w:val="00324244"/>
    <w:rsid w:val="00324800"/>
    <w:rsid w:val="003248A3"/>
    <w:rsid w:val="00324947"/>
    <w:rsid w:val="0032541F"/>
    <w:rsid w:val="003254AD"/>
    <w:rsid w:val="00325ECD"/>
    <w:rsid w:val="00326035"/>
    <w:rsid w:val="00326397"/>
    <w:rsid w:val="003269A0"/>
    <w:rsid w:val="00326A01"/>
    <w:rsid w:val="00326B9F"/>
    <w:rsid w:val="00326C33"/>
    <w:rsid w:val="00326D91"/>
    <w:rsid w:val="00327136"/>
    <w:rsid w:val="003273AE"/>
    <w:rsid w:val="003275A9"/>
    <w:rsid w:val="00327855"/>
    <w:rsid w:val="0033046D"/>
    <w:rsid w:val="00330D42"/>
    <w:rsid w:val="00331307"/>
    <w:rsid w:val="00331353"/>
    <w:rsid w:val="00331E25"/>
    <w:rsid w:val="00332071"/>
    <w:rsid w:val="00332C21"/>
    <w:rsid w:val="00332D60"/>
    <w:rsid w:val="003337DE"/>
    <w:rsid w:val="00333A7F"/>
    <w:rsid w:val="00334B9A"/>
    <w:rsid w:val="00334D9B"/>
    <w:rsid w:val="00334DA3"/>
    <w:rsid w:val="00334E26"/>
    <w:rsid w:val="0033517E"/>
    <w:rsid w:val="003353A8"/>
    <w:rsid w:val="0033550E"/>
    <w:rsid w:val="003355E1"/>
    <w:rsid w:val="00335825"/>
    <w:rsid w:val="003360F8"/>
    <w:rsid w:val="003363CD"/>
    <w:rsid w:val="00336A53"/>
    <w:rsid w:val="00337309"/>
    <w:rsid w:val="003373FA"/>
    <w:rsid w:val="003378AA"/>
    <w:rsid w:val="00337AE7"/>
    <w:rsid w:val="00337C7C"/>
    <w:rsid w:val="00337D3F"/>
    <w:rsid w:val="00337F79"/>
    <w:rsid w:val="003408B1"/>
    <w:rsid w:val="003409D0"/>
    <w:rsid w:val="00340A1E"/>
    <w:rsid w:val="00340C43"/>
    <w:rsid w:val="00340D05"/>
    <w:rsid w:val="00340D97"/>
    <w:rsid w:val="00341301"/>
    <w:rsid w:val="00341707"/>
    <w:rsid w:val="00341716"/>
    <w:rsid w:val="00341DAB"/>
    <w:rsid w:val="00341F14"/>
    <w:rsid w:val="00341FA0"/>
    <w:rsid w:val="003421B6"/>
    <w:rsid w:val="00342A29"/>
    <w:rsid w:val="00342AAB"/>
    <w:rsid w:val="0034305A"/>
    <w:rsid w:val="003437BE"/>
    <w:rsid w:val="00343DB1"/>
    <w:rsid w:val="003443FC"/>
    <w:rsid w:val="00345171"/>
    <w:rsid w:val="00345600"/>
    <w:rsid w:val="00345B06"/>
    <w:rsid w:val="00345B11"/>
    <w:rsid w:val="00345FC0"/>
    <w:rsid w:val="00346191"/>
    <w:rsid w:val="00346350"/>
    <w:rsid w:val="003465F3"/>
    <w:rsid w:val="00346D19"/>
    <w:rsid w:val="0034726C"/>
    <w:rsid w:val="003472A5"/>
    <w:rsid w:val="003479D7"/>
    <w:rsid w:val="00347B29"/>
    <w:rsid w:val="00347DB0"/>
    <w:rsid w:val="00347FAB"/>
    <w:rsid w:val="003500F5"/>
    <w:rsid w:val="00350505"/>
    <w:rsid w:val="00350BFF"/>
    <w:rsid w:val="00350CA1"/>
    <w:rsid w:val="00351333"/>
    <w:rsid w:val="00351688"/>
    <w:rsid w:val="003520FC"/>
    <w:rsid w:val="0035215D"/>
    <w:rsid w:val="00352563"/>
    <w:rsid w:val="003525D7"/>
    <w:rsid w:val="00352DDD"/>
    <w:rsid w:val="00352E22"/>
    <w:rsid w:val="00353517"/>
    <w:rsid w:val="003537E3"/>
    <w:rsid w:val="00353925"/>
    <w:rsid w:val="003542ED"/>
    <w:rsid w:val="003543C9"/>
    <w:rsid w:val="00354735"/>
    <w:rsid w:val="00354847"/>
    <w:rsid w:val="00354BE1"/>
    <w:rsid w:val="00355462"/>
    <w:rsid w:val="0035596A"/>
    <w:rsid w:val="00355A24"/>
    <w:rsid w:val="00355BC0"/>
    <w:rsid w:val="00355E92"/>
    <w:rsid w:val="0035619F"/>
    <w:rsid w:val="00356C12"/>
    <w:rsid w:val="003573E5"/>
    <w:rsid w:val="0035761A"/>
    <w:rsid w:val="00357B0D"/>
    <w:rsid w:val="00357B72"/>
    <w:rsid w:val="00357F61"/>
    <w:rsid w:val="0036019E"/>
    <w:rsid w:val="00360850"/>
    <w:rsid w:val="003609E0"/>
    <w:rsid w:val="00361957"/>
    <w:rsid w:val="003622B3"/>
    <w:rsid w:val="003623CF"/>
    <w:rsid w:val="00362F24"/>
    <w:rsid w:val="0036324C"/>
    <w:rsid w:val="00363287"/>
    <w:rsid w:val="00363386"/>
    <w:rsid w:val="0036389F"/>
    <w:rsid w:val="003641EC"/>
    <w:rsid w:val="00364260"/>
    <w:rsid w:val="003645F2"/>
    <w:rsid w:val="00364862"/>
    <w:rsid w:val="00364C39"/>
    <w:rsid w:val="00365940"/>
    <w:rsid w:val="00365ADA"/>
    <w:rsid w:val="00365B67"/>
    <w:rsid w:val="00366160"/>
    <w:rsid w:val="0036638F"/>
    <w:rsid w:val="00366671"/>
    <w:rsid w:val="003666D8"/>
    <w:rsid w:val="0036676C"/>
    <w:rsid w:val="003667CD"/>
    <w:rsid w:val="00366E95"/>
    <w:rsid w:val="00367480"/>
    <w:rsid w:val="003674C7"/>
    <w:rsid w:val="00367FA1"/>
    <w:rsid w:val="003700BB"/>
    <w:rsid w:val="0037010F"/>
    <w:rsid w:val="0037014F"/>
    <w:rsid w:val="0037019E"/>
    <w:rsid w:val="00370ACD"/>
    <w:rsid w:val="00370B68"/>
    <w:rsid w:val="00370BC5"/>
    <w:rsid w:val="00372612"/>
    <w:rsid w:val="00372A78"/>
    <w:rsid w:val="00372F4A"/>
    <w:rsid w:val="003733B2"/>
    <w:rsid w:val="003733FA"/>
    <w:rsid w:val="00373440"/>
    <w:rsid w:val="0037355A"/>
    <w:rsid w:val="003735D3"/>
    <w:rsid w:val="0037369D"/>
    <w:rsid w:val="00373EF5"/>
    <w:rsid w:val="0037400F"/>
    <w:rsid w:val="0037401E"/>
    <w:rsid w:val="00374BA9"/>
    <w:rsid w:val="00374BEE"/>
    <w:rsid w:val="00374D2F"/>
    <w:rsid w:val="00375392"/>
    <w:rsid w:val="00375C9A"/>
    <w:rsid w:val="00376D2F"/>
    <w:rsid w:val="00376E7A"/>
    <w:rsid w:val="00376EF0"/>
    <w:rsid w:val="003772A3"/>
    <w:rsid w:val="00377372"/>
    <w:rsid w:val="003777B3"/>
    <w:rsid w:val="00377C20"/>
    <w:rsid w:val="00377E0B"/>
    <w:rsid w:val="00380052"/>
    <w:rsid w:val="00380AE4"/>
    <w:rsid w:val="00380BF2"/>
    <w:rsid w:val="00380DD9"/>
    <w:rsid w:val="003810B9"/>
    <w:rsid w:val="00381195"/>
    <w:rsid w:val="0038157D"/>
    <w:rsid w:val="003815EF"/>
    <w:rsid w:val="003816D4"/>
    <w:rsid w:val="0038196C"/>
    <w:rsid w:val="00381A2D"/>
    <w:rsid w:val="00381E90"/>
    <w:rsid w:val="00382409"/>
    <w:rsid w:val="00382BB3"/>
    <w:rsid w:val="00382CB5"/>
    <w:rsid w:val="00382FDE"/>
    <w:rsid w:val="003830E0"/>
    <w:rsid w:val="0038330A"/>
    <w:rsid w:val="0038332E"/>
    <w:rsid w:val="0038357F"/>
    <w:rsid w:val="0038386A"/>
    <w:rsid w:val="0038395E"/>
    <w:rsid w:val="00383D6E"/>
    <w:rsid w:val="0038444D"/>
    <w:rsid w:val="00384926"/>
    <w:rsid w:val="00384A7A"/>
    <w:rsid w:val="00384B00"/>
    <w:rsid w:val="00384CE5"/>
    <w:rsid w:val="003852B0"/>
    <w:rsid w:val="00385473"/>
    <w:rsid w:val="00385884"/>
    <w:rsid w:val="00385997"/>
    <w:rsid w:val="00385BFE"/>
    <w:rsid w:val="00386076"/>
    <w:rsid w:val="003860BF"/>
    <w:rsid w:val="0038638A"/>
    <w:rsid w:val="0038651D"/>
    <w:rsid w:val="00386535"/>
    <w:rsid w:val="003865FD"/>
    <w:rsid w:val="00386695"/>
    <w:rsid w:val="00386A0F"/>
    <w:rsid w:val="00386BC7"/>
    <w:rsid w:val="00386C5D"/>
    <w:rsid w:val="00387A19"/>
    <w:rsid w:val="003904DD"/>
    <w:rsid w:val="00390ABB"/>
    <w:rsid w:val="00390F8E"/>
    <w:rsid w:val="003910E2"/>
    <w:rsid w:val="00391398"/>
    <w:rsid w:val="00391443"/>
    <w:rsid w:val="003915C0"/>
    <w:rsid w:val="00391B06"/>
    <w:rsid w:val="00391F52"/>
    <w:rsid w:val="0039217C"/>
    <w:rsid w:val="00392266"/>
    <w:rsid w:val="00392673"/>
    <w:rsid w:val="0039280B"/>
    <w:rsid w:val="00392ADD"/>
    <w:rsid w:val="0039334C"/>
    <w:rsid w:val="00393490"/>
    <w:rsid w:val="003936D2"/>
    <w:rsid w:val="0039379D"/>
    <w:rsid w:val="003939E9"/>
    <w:rsid w:val="00393AA6"/>
    <w:rsid w:val="00393AE6"/>
    <w:rsid w:val="00394122"/>
    <w:rsid w:val="00394162"/>
    <w:rsid w:val="003941D7"/>
    <w:rsid w:val="00394733"/>
    <w:rsid w:val="00394AB1"/>
    <w:rsid w:val="00394BC4"/>
    <w:rsid w:val="00394C43"/>
    <w:rsid w:val="00394CAC"/>
    <w:rsid w:val="00394F3B"/>
    <w:rsid w:val="00394F99"/>
    <w:rsid w:val="00395685"/>
    <w:rsid w:val="00395734"/>
    <w:rsid w:val="00395A76"/>
    <w:rsid w:val="00395B2A"/>
    <w:rsid w:val="00395B40"/>
    <w:rsid w:val="003960E1"/>
    <w:rsid w:val="003968EF"/>
    <w:rsid w:val="003969FA"/>
    <w:rsid w:val="00397096"/>
    <w:rsid w:val="003977C7"/>
    <w:rsid w:val="00397C73"/>
    <w:rsid w:val="00397FFE"/>
    <w:rsid w:val="003A05AC"/>
    <w:rsid w:val="003A0957"/>
    <w:rsid w:val="003A0F47"/>
    <w:rsid w:val="003A1202"/>
    <w:rsid w:val="003A12E2"/>
    <w:rsid w:val="003A16FE"/>
    <w:rsid w:val="003A1D32"/>
    <w:rsid w:val="003A1D6C"/>
    <w:rsid w:val="003A2066"/>
    <w:rsid w:val="003A281A"/>
    <w:rsid w:val="003A2CDB"/>
    <w:rsid w:val="003A32A6"/>
    <w:rsid w:val="003A35A9"/>
    <w:rsid w:val="003A3B2A"/>
    <w:rsid w:val="003A3B9F"/>
    <w:rsid w:val="003A3C0A"/>
    <w:rsid w:val="003A3D93"/>
    <w:rsid w:val="003A42F9"/>
    <w:rsid w:val="003A4391"/>
    <w:rsid w:val="003A490D"/>
    <w:rsid w:val="003A4CDD"/>
    <w:rsid w:val="003A511C"/>
    <w:rsid w:val="003A5635"/>
    <w:rsid w:val="003A5940"/>
    <w:rsid w:val="003A5AFD"/>
    <w:rsid w:val="003A5E68"/>
    <w:rsid w:val="003A6122"/>
    <w:rsid w:val="003A63F1"/>
    <w:rsid w:val="003A64A0"/>
    <w:rsid w:val="003A64E3"/>
    <w:rsid w:val="003A6BBB"/>
    <w:rsid w:val="003A7355"/>
    <w:rsid w:val="003A7AF9"/>
    <w:rsid w:val="003A7ED9"/>
    <w:rsid w:val="003A7F32"/>
    <w:rsid w:val="003B0061"/>
    <w:rsid w:val="003B00F3"/>
    <w:rsid w:val="003B0735"/>
    <w:rsid w:val="003B1490"/>
    <w:rsid w:val="003B1D20"/>
    <w:rsid w:val="003B2488"/>
    <w:rsid w:val="003B2837"/>
    <w:rsid w:val="003B2A4B"/>
    <w:rsid w:val="003B2D09"/>
    <w:rsid w:val="003B2F83"/>
    <w:rsid w:val="003B2FA2"/>
    <w:rsid w:val="003B321C"/>
    <w:rsid w:val="003B32A4"/>
    <w:rsid w:val="003B3CF2"/>
    <w:rsid w:val="003B4001"/>
    <w:rsid w:val="003B4006"/>
    <w:rsid w:val="003B44F2"/>
    <w:rsid w:val="003B5086"/>
    <w:rsid w:val="003B5C37"/>
    <w:rsid w:val="003B5D84"/>
    <w:rsid w:val="003B5F17"/>
    <w:rsid w:val="003B66E6"/>
    <w:rsid w:val="003B6850"/>
    <w:rsid w:val="003B6BE4"/>
    <w:rsid w:val="003B6CBF"/>
    <w:rsid w:val="003B742D"/>
    <w:rsid w:val="003B78D6"/>
    <w:rsid w:val="003B78FD"/>
    <w:rsid w:val="003B7BD2"/>
    <w:rsid w:val="003B7D10"/>
    <w:rsid w:val="003B7F78"/>
    <w:rsid w:val="003C016C"/>
    <w:rsid w:val="003C021B"/>
    <w:rsid w:val="003C0287"/>
    <w:rsid w:val="003C05B8"/>
    <w:rsid w:val="003C08B5"/>
    <w:rsid w:val="003C09C0"/>
    <w:rsid w:val="003C09E8"/>
    <w:rsid w:val="003C0B63"/>
    <w:rsid w:val="003C0D5A"/>
    <w:rsid w:val="003C1307"/>
    <w:rsid w:val="003C1997"/>
    <w:rsid w:val="003C1F92"/>
    <w:rsid w:val="003C2166"/>
    <w:rsid w:val="003C227E"/>
    <w:rsid w:val="003C25E4"/>
    <w:rsid w:val="003C260F"/>
    <w:rsid w:val="003C329E"/>
    <w:rsid w:val="003C32F7"/>
    <w:rsid w:val="003C3655"/>
    <w:rsid w:val="003C368B"/>
    <w:rsid w:val="003C3985"/>
    <w:rsid w:val="003C3D8B"/>
    <w:rsid w:val="003C400F"/>
    <w:rsid w:val="003C4904"/>
    <w:rsid w:val="003C5CCF"/>
    <w:rsid w:val="003C600B"/>
    <w:rsid w:val="003C693D"/>
    <w:rsid w:val="003C69A0"/>
    <w:rsid w:val="003C714A"/>
    <w:rsid w:val="003C7446"/>
    <w:rsid w:val="003C755C"/>
    <w:rsid w:val="003C75F2"/>
    <w:rsid w:val="003C77BC"/>
    <w:rsid w:val="003C7ACB"/>
    <w:rsid w:val="003C7D8C"/>
    <w:rsid w:val="003C7FA1"/>
    <w:rsid w:val="003D0203"/>
    <w:rsid w:val="003D03B1"/>
    <w:rsid w:val="003D03F1"/>
    <w:rsid w:val="003D0AA8"/>
    <w:rsid w:val="003D0D77"/>
    <w:rsid w:val="003D0EED"/>
    <w:rsid w:val="003D11CA"/>
    <w:rsid w:val="003D1779"/>
    <w:rsid w:val="003D210D"/>
    <w:rsid w:val="003D22B4"/>
    <w:rsid w:val="003D253A"/>
    <w:rsid w:val="003D2631"/>
    <w:rsid w:val="003D2E36"/>
    <w:rsid w:val="003D3045"/>
    <w:rsid w:val="003D3334"/>
    <w:rsid w:val="003D3361"/>
    <w:rsid w:val="003D36A5"/>
    <w:rsid w:val="003D36CE"/>
    <w:rsid w:val="003D3B35"/>
    <w:rsid w:val="003D3E1E"/>
    <w:rsid w:val="003D403B"/>
    <w:rsid w:val="003D452B"/>
    <w:rsid w:val="003D4D44"/>
    <w:rsid w:val="003D50A0"/>
    <w:rsid w:val="003D566B"/>
    <w:rsid w:val="003D5BDE"/>
    <w:rsid w:val="003D5CC3"/>
    <w:rsid w:val="003D5EA1"/>
    <w:rsid w:val="003D5EB5"/>
    <w:rsid w:val="003D65DF"/>
    <w:rsid w:val="003D65F6"/>
    <w:rsid w:val="003D6D84"/>
    <w:rsid w:val="003D6D9A"/>
    <w:rsid w:val="003D6F21"/>
    <w:rsid w:val="003D71EE"/>
    <w:rsid w:val="003D74CD"/>
    <w:rsid w:val="003D7E44"/>
    <w:rsid w:val="003D7E89"/>
    <w:rsid w:val="003E029C"/>
    <w:rsid w:val="003E04DB"/>
    <w:rsid w:val="003E074E"/>
    <w:rsid w:val="003E0787"/>
    <w:rsid w:val="003E09CD"/>
    <w:rsid w:val="003E0AEB"/>
    <w:rsid w:val="003E16AC"/>
    <w:rsid w:val="003E1A8D"/>
    <w:rsid w:val="003E1B6D"/>
    <w:rsid w:val="003E1D56"/>
    <w:rsid w:val="003E1D68"/>
    <w:rsid w:val="003E290C"/>
    <w:rsid w:val="003E2D74"/>
    <w:rsid w:val="003E33BF"/>
    <w:rsid w:val="003E3E48"/>
    <w:rsid w:val="003E4158"/>
    <w:rsid w:val="003E438B"/>
    <w:rsid w:val="003E446C"/>
    <w:rsid w:val="003E46CE"/>
    <w:rsid w:val="003E479D"/>
    <w:rsid w:val="003E4D84"/>
    <w:rsid w:val="003E581C"/>
    <w:rsid w:val="003E5AF6"/>
    <w:rsid w:val="003E65DE"/>
    <w:rsid w:val="003E6E31"/>
    <w:rsid w:val="003E6F05"/>
    <w:rsid w:val="003E70B3"/>
    <w:rsid w:val="003E71B7"/>
    <w:rsid w:val="003E7698"/>
    <w:rsid w:val="003E78DB"/>
    <w:rsid w:val="003E79C4"/>
    <w:rsid w:val="003E7F3A"/>
    <w:rsid w:val="003F05C1"/>
    <w:rsid w:val="003F07DB"/>
    <w:rsid w:val="003F0B3C"/>
    <w:rsid w:val="003F0CED"/>
    <w:rsid w:val="003F0E11"/>
    <w:rsid w:val="003F13FB"/>
    <w:rsid w:val="003F1489"/>
    <w:rsid w:val="003F14CB"/>
    <w:rsid w:val="003F17A5"/>
    <w:rsid w:val="003F186A"/>
    <w:rsid w:val="003F18C6"/>
    <w:rsid w:val="003F2308"/>
    <w:rsid w:val="003F249A"/>
    <w:rsid w:val="003F305D"/>
    <w:rsid w:val="003F341D"/>
    <w:rsid w:val="003F3832"/>
    <w:rsid w:val="003F3B38"/>
    <w:rsid w:val="003F45BB"/>
    <w:rsid w:val="003F53CC"/>
    <w:rsid w:val="003F55BC"/>
    <w:rsid w:val="003F57F7"/>
    <w:rsid w:val="003F5917"/>
    <w:rsid w:val="003F5EBD"/>
    <w:rsid w:val="003F60EA"/>
    <w:rsid w:val="003F6392"/>
    <w:rsid w:val="003F66B0"/>
    <w:rsid w:val="003F66D7"/>
    <w:rsid w:val="003F69A4"/>
    <w:rsid w:val="003F73BF"/>
    <w:rsid w:val="003F74E7"/>
    <w:rsid w:val="003F7618"/>
    <w:rsid w:val="003F770F"/>
    <w:rsid w:val="003F7801"/>
    <w:rsid w:val="003F782A"/>
    <w:rsid w:val="003F797B"/>
    <w:rsid w:val="003F7AD4"/>
    <w:rsid w:val="003F7FA7"/>
    <w:rsid w:val="004000BA"/>
    <w:rsid w:val="004000C7"/>
    <w:rsid w:val="0040027D"/>
    <w:rsid w:val="004006B2"/>
    <w:rsid w:val="004009A9"/>
    <w:rsid w:val="00400E05"/>
    <w:rsid w:val="00400EB7"/>
    <w:rsid w:val="00400FED"/>
    <w:rsid w:val="00401826"/>
    <w:rsid w:val="004018DE"/>
    <w:rsid w:val="00401ECA"/>
    <w:rsid w:val="0040222C"/>
    <w:rsid w:val="00402262"/>
    <w:rsid w:val="00402608"/>
    <w:rsid w:val="004027C5"/>
    <w:rsid w:val="00402A98"/>
    <w:rsid w:val="00403241"/>
    <w:rsid w:val="004033CF"/>
    <w:rsid w:val="00403556"/>
    <w:rsid w:val="004036A4"/>
    <w:rsid w:val="00403702"/>
    <w:rsid w:val="0040382A"/>
    <w:rsid w:val="00403AE0"/>
    <w:rsid w:val="00403B31"/>
    <w:rsid w:val="00403C10"/>
    <w:rsid w:val="00403EE0"/>
    <w:rsid w:val="00404755"/>
    <w:rsid w:val="00404C31"/>
    <w:rsid w:val="00404E43"/>
    <w:rsid w:val="0040545A"/>
    <w:rsid w:val="0040552D"/>
    <w:rsid w:val="004056B8"/>
    <w:rsid w:val="00405D80"/>
    <w:rsid w:val="00405E2C"/>
    <w:rsid w:val="00405F3D"/>
    <w:rsid w:val="00405FCF"/>
    <w:rsid w:val="004061B3"/>
    <w:rsid w:val="004064A9"/>
    <w:rsid w:val="00406D89"/>
    <w:rsid w:val="00406E85"/>
    <w:rsid w:val="00406EBE"/>
    <w:rsid w:val="0040713C"/>
    <w:rsid w:val="0040715B"/>
    <w:rsid w:val="004071AE"/>
    <w:rsid w:val="00407759"/>
    <w:rsid w:val="004079E7"/>
    <w:rsid w:val="00407ACC"/>
    <w:rsid w:val="00407AE0"/>
    <w:rsid w:val="00407FE3"/>
    <w:rsid w:val="004100DA"/>
    <w:rsid w:val="00410132"/>
    <w:rsid w:val="00410211"/>
    <w:rsid w:val="004102DD"/>
    <w:rsid w:val="00410A24"/>
    <w:rsid w:val="00410D3B"/>
    <w:rsid w:val="0041119B"/>
    <w:rsid w:val="00411325"/>
    <w:rsid w:val="004114F6"/>
    <w:rsid w:val="0041238E"/>
    <w:rsid w:val="00412583"/>
    <w:rsid w:val="0041293B"/>
    <w:rsid w:val="00412A60"/>
    <w:rsid w:val="00412AB3"/>
    <w:rsid w:val="00412B29"/>
    <w:rsid w:val="00413447"/>
    <w:rsid w:val="00413CEB"/>
    <w:rsid w:val="00413DFA"/>
    <w:rsid w:val="00413F6F"/>
    <w:rsid w:val="00414130"/>
    <w:rsid w:val="004141FA"/>
    <w:rsid w:val="00414232"/>
    <w:rsid w:val="0041502C"/>
    <w:rsid w:val="00415178"/>
    <w:rsid w:val="00415907"/>
    <w:rsid w:val="00415A40"/>
    <w:rsid w:val="00415B81"/>
    <w:rsid w:val="0041628F"/>
    <w:rsid w:val="004164E9"/>
    <w:rsid w:val="004166DD"/>
    <w:rsid w:val="00417FA6"/>
    <w:rsid w:val="00420471"/>
    <w:rsid w:val="00420692"/>
    <w:rsid w:val="00420BBB"/>
    <w:rsid w:val="00420D57"/>
    <w:rsid w:val="00420E64"/>
    <w:rsid w:val="0042133A"/>
    <w:rsid w:val="0042145C"/>
    <w:rsid w:val="004214ED"/>
    <w:rsid w:val="004216C4"/>
    <w:rsid w:val="0042181B"/>
    <w:rsid w:val="00421ACD"/>
    <w:rsid w:val="00421E60"/>
    <w:rsid w:val="0042229B"/>
    <w:rsid w:val="0042235A"/>
    <w:rsid w:val="00422C4E"/>
    <w:rsid w:val="00422E50"/>
    <w:rsid w:val="00422E7C"/>
    <w:rsid w:val="00423842"/>
    <w:rsid w:val="00424446"/>
    <w:rsid w:val="00424999"/>
    <w:rsid w:val="00424C52"/>
    <w:rsid w:val="0042523C"/>
    <w:rsid w:val="004256A5"/>
    <w:rsid w:val="004256E7"/>
    <w:rsid w:val="004257FF"/>
    <w:rsid w:val="004258EC"/>
    <w:rsid w:val="0042607E"/>
    <w:rsid w:val="00426145"/>
    <w:rsid w:val="004261F6"/>
    <w:rsid w:val="004262A8"/>
    <w:rsid w:val="00426358"/>
    <w:rsid w:val="00426BC9"/>
    <w:rsid w:val="0042715D"/>
    <w:rsid w:val="00427191"/>
    <w:rsid w:val="0042738E"/>
    <w:rsid w:val="00427901"/>
    <w:rsid w:val="004279E9"/>
    <w:rsid w:val="00427CAE"/>
    <w:rsid w:val="0043027C"/>
    <w:rsid w:val="00430502"/>
    <w:rsid w:val="004307A7"/>
    <w:rsid w:val="00430AEF"/>
    <w:rsid w:val="00430E9E"/>
    <w:rsid w:val="00430F24"/>
    <w:rsid w:val="00431260"/>
    <w:rsid w:val="00431CF2"/>
    <w:rsid w:val="00431FC9"/>
    <w:rsid w:val="004320E2"/>
    <w:rsid w:val="00432437"/>
    <w:rsid w:val="004326C6"/>
    <w:rsid w:val="00432D33"/>
    <w:rsid w:val="00432DA9"/>
    <w:rsid w:val="004334C4"/>
    <w:rsid w:val="004335FA"/>
    <w:rsid w:val="0043383E"/>
    <w:rsid w:val="00433BBC"/>
    <w:rsid w:val="00433E58"/>
    <w:rsid w:val="00434309"/>
    <w:rsid w:val="0043435F"/>
    <w:rsid w:val="004349C7"/>
    <w:rsid w:val="00434B5F"/>
    <w:rsid w:val="00434DE4"/>
    <w:rsid w:val="00434DEE"/>
    <w:rsid w:val="00435265"/>
    <w:rsid w:val="004353FC"/>
    <w:rsid w:val="0043542D"/>
    <w:rsid w:val="00435656"/>
    <w:rsid w:val="00435687"/>
    <w:rsid w:val="00435725"/>
    <w:rsid w:val="00435CF7"/>
    <w:rsid w:val="00435FBA"/>
    <w:rsid w:val="00436303"/>
    <w:rsid w:val="004368B7"/>
    <w:rsid w:val="00436F70"/>
    <w:rsid w:val="004371A6"/>
    <w:rsid w:val="00437456"/>
    <w:rsid w:val="00437767"/>
    <w:rsid w:val="00437B48"/>
    <w:rsid w:val="00437F66"/>
    <w:rsid w:val="004400E7"/>
    <w:rsid w:val="004401E3"/>
    <w:rsid w:val="0044029A"/>
    <w:rsid w:val="004403E4"/>
    <w:rsid w:val="00440B3E"/>
    <w:rsid w:val="00440B8B"/>
    <w:rsid w:val="00440BA1"/>
    <w:rsid w:val="00441873"/>
    <w:rsid w:val="00441942"/>
    <w:rsid w:val="00441E32"/>
    <w:rsid w:val="00442C05"/>
    <w:rsid w:val="00443253"/>
    <w:rsid w:val="00443A45"/>
    <w:rsid w:val="0044489C"/>
    <w:rsid w:val="00444AE8"/>
    <w:rsid w:val="00444E21"/>
    <w:rsid w:val="0044553D"/>
    <w:rsid w:val="00445986"/>
    <w:rsid w:val="004459CC"/>
    <w:rsid w:val="00445A33"/>
    <w:rsid w:val="00445D8A"/>
    <w:rsid w:val="0044600B"/>
    <w:rsid w:val="00446258"/>
    <w:rsid w:val="004465FD"/>
    <w:rsid w:val="0044665E"/>
    <w:rsid w:val="00446A2F"/>
    <w:rsid w:val="00446C8C"/>
    <w:rsid w:val="004470D5"/>
    <w:rsid w:val="004470FA"/>
    <w:rsid w:val="00447F78"/>
    <w:rsid w:val="0045025F"/>
    <w:rsid w:val="00450447"/>
    <w:rsid w:val="004508C8"/>
    <w:rsid w:val="00450EAA"/>
    <w:rsid w:val="004513A1"/>
    <w:rsid w:val="004513A5"/>
    <w:rsid w:val="004513D6"/>
    <w:rsid w:val="00451BEC"/>
    <w:rsid w:val="00451F67"/>
    <w:rsid w:val="004524CF"/>
    <w:rsid w:val="00452554"/>
    <w:rsid w:val="004526CA"/>
    <w:rsid w:val="00452847"/>
    <w:rsid w:val="0045294A"/>
    <w:rsid w:val="00452EEE"/>
    <w:rsid w:val="0045382C"/>
    <w:rsid w:val="00453A4E"/>
    <w:rsid w:val="00453D2C"/>
    <w:rsid w:val="00454482"/>
    <w:rsid w:val="0045453C"/>
    <w:rsid w:val="00454984"/>
    <w:rsid w:val="00454E81"/>
    <w:rsid w:val="004550BE"/>
    <w:rsid w:val="00455C23"/>
    <w:rsid w:val="00455EA9"/>
    <w:rsid w:val="00455FDE"/>
    <w:rsid w:val="00456087"/>
    <w:rsid w:val="004561E1"/>
    <w:rsid w:val="0045621D"/>
    <w:rsid w:val="004564AA"/>
    <w:rsid w:val="0045660B"/>
    <w:rsid w:val="0045697C"/>
    <w:rsid w:val="00456A18"/>
    <w:rsid w:val="00456AB7"/>
    <w:rsid w:val="00456D53"/>
    <w:rsid w:val="004571C2"/>
    <w:rsid w:val="0045741D"/>
    <w:rsid w:val="004576C4"/>
    <w:rsid w:val="00457715"/>
    <w:rsid w:val="00457BEA"/>
    <w:rsid w:val="00460094"/>
    <w:rsid w:val="00460748"/>
    <w:rsid w:val="0046185A"/>
    <w:rsid w:val="0046269C"/>
    <w:rsid w:val="00462B14"/>
    <w:rsid w:val="004631D1"/>
    <w:rsid w:val="00463207"/>
    <w:rsid w:val="00463562"/>
    <w:rsid w:val="004635E9"/>
    <w:rsid w:val="00463B38"/>
    <w:rsid w:val="00463CC8"/>
    <w:rsid w:val="004644B5"/>
    <w:rsid w:val="00464613"/>
    <w:rsid w:val="00464C6C"/>
    <w:rsid w:val="00465589"/>
    <w:rsid w:val="004658E7"/>
    <w:rsid w:val="00465A28"/>
    <w:rsid w:val="00465DDC"/>
    <w:rsid w:val="004669FC"/>
    <w:rsid w:val="00466DE5"/>
    <w:rsid w:val="00467116"/>
    <w:rsid w:val="004674E5"/>
    <w:rsid w:val="00467A9F"/>
    <w:rsid w:val="00467E9C"/>
    <w:rsid w:val="00467EE7"/>
    <w:rsid w:val="0047098F"/>
    <w:rsid w:val="00470D18"/>
    <w:rsid w:val="00470DF8"/>
    <w:rsid w:val="00471A1B"/>
    <w:rsid w:val="0047234E"/>
    <w:rsid w:val="00472464"/>
    <w:rsid w:val="00472534"/>
    <w:rsid w:val="00472789"/>
    <w:rsid w:val="00472965"/>
    <w:rsid w:val="00472CBB"/>
    <w:rsid w:val="004731A5"/>
    <w:rsid w:val="00473211"/>
    <w:rsid w:val="004733C7"/>
    <w:rsid w:val="0047357E"/>
    <w:rsid w:val="00473745"/>
    <w:rsid w:val="00474110"/>
    <w:rsid w:val="00474133"/>
    <w:rsid w:val="00474854"/>
    <w:rsid w:val="0047507F"/>
    <w:rsid w:val="00475491"/>
    <w:rsid w:val="004754A7"/>
    <w:rsid w:val="00475630"/>
    <w:rsid w:val="00475D05"/>
    <w:rsid w:val="00476001"/>
    <w:rsid w:val="004764CF"/>
    <w:rsid w:val="004766A7"/>
    <w:rsid w:val="004769FD"/>
    <w:rsid w:val="00476BEC"/>
    <w:rsid w:val="004774D7"/>
    <w:rsid w:val="004777AA"/>
    <w:rsid w:val="00477846"/>
    <w:rsid w:val="004779F2"/>
    <w:rsid w:val="00477B4C"/>
    <w:rsid w:val="00477E6E"/>
    <w:rsid w:val="0048028F"/>
    <w:rsid w:val="0048035F"/>
    <w:rsid w:val="0048045B"/>
    <w:rsid w:val="0048070E"/>
    <w:rsid w:val="004807D7"/>
    <w:rsid w:val="004812D7"/>
    <w:rsid w:val="0048134C"/>
    <w:rsid w:val="00481DF5"/>
    <w:rsid w:val="00481F5F"/>
    <w:rsid w:val="00481F75"/>
    <w:rsid w:val="0048201A"/>
    <w:rsid w:val="0048214B"/>
    <w:rsid w:val="00482866"/>
    <w:rsid w:val="00482AA1"/>
    <w:rsid w:val="00482FD4"/>
    <w:rsid w:val="004834CD"/>
    <w:rsid w:val="00483610"/>
    <w:rsid w:val="00483D92"/>
    <w:rsid w:val="00483F86"/>
    <w:rsid w:val="00484061"/>
    <w:rsid w:val="00484416"/>
    <w:rsid w:val="00485256"/>
    <w:rsid w:val="00485DBF"/>
    <w:rsid w:val="00485EA2"/>
    <w:rsid w:val="0048601A"/>
    <w:rsid w:val="004864B7"/>
    <w:rsid w:val="00486E3C"/>
    <w:rsid w:val="004872F1"/>
    <w:rsid w:val="00490280"/>
    <w:rsid w:val="00490941"/>
    <w:rsid w:val="0049140A"/>
    <w:rsid w:val="00491CEC"/>
    <w:rsid w:val="00491F04"/>
    <w:rsid w:val="0049274F"/>
    <w:rsid w:val="0049298D"/>
    <w:rsid w:val="00493A5F"/>
    <w:rsid w:val="00493A78"/>
    <w:rsid w:val="00493CA8"/>
    <w:rsid w:val="00493DC6"/>
    <w:rsid w:val="00493F66"/>
    <w:rsid w:val="00493F6A"/>
    <w:rsid w:val="004947C1"/>
    <w:rsid w:val="004950AF"/>
    <w:rsid w:val="00495B0B"/>
    <w:rsid w:val="00495C8A"/>
    <w:rsid w:val="00495D99"/>
    <w:rsid w:val="00496099"/>
    <w:rsid w:val="00496242"/>
    <w:rsid w:val="00496C53"/>
    <w:rsid w:val="00496E58"/>
    <w:rsid w:val="004970DA"/>
    <w:rsid w:val="004971BC"/>
    <w:rsid w:val="004973BC"/>
    <w:rsid w:val="004976B6"/>
    <w:rsid w:val="004976CE"/>
    <w:rsid w:val="00497CF0"/>
    <w:rsid w:val="004A047C"/>
    <w:rsid w:val="004A057B"/>
    <w:rsid w:val="004A0730"/>
    <w:rsid w:val="004A11F1"/>
    <w:rsid w:val="004A19D7"/>
    <w:rsid w:val="004A1C6C"/>
    <w:rsid w:val="004A1FDF"/>
    <w:rsid w:val="004A1FF8"/>
    <w:rsid w:val="004A2275"/>
    <w:rsid w:val="004A24B8"/>
    <w:rsid w:val="004A2983"/>
    <w:rsid w:val="004A2BF4"/>
    <w:rsid w:val="004A2E94"/>
    <w:rsid w:val="004A3317"/>
    <w:rsid w:val="004A35F9"/>
    <w:rsid w:val="004A3CA5"/>
    <w:rsid w:val="004A3EB9"/>
    <w:rsid w:val="004A40A1"/>
    <w:rsid w:val="004A46D9"/>
    <w:rsid w:val="004A4706"/>
    <w:rsid w:val="004A4B5A"/>
    <w:rsid w:val="004A4BF7"/>
    <w:rsid w:val="004A4C8E"/>
    <w:rsid w:val="004A4FA5"/>
    <w:rsid w:val="004A5581"/>
    <w:rsid w:val="004A57AE"/>
    <w:rsid w:val="004A5A16"/>
    <w:rsid w:val="004A606F"/>
    <w:rsid w:val="004A64BA"/>
    <w:rsid w:val="004A65FA"/>
    <w:rsid w:val="004A666B"/>
    <w:rsid w:val="004A68C2"/>
    <w:rsid w:val="004A6AD8"/>
    <w:rsid w:val="004A6CCF"/>
    <w:rsid w:val="004A7022"/>
    <w:rsid w:val="004A7045"/>
    <w:rsid w:val="004A7299"/>
    <w:rsid w:val="004A7A6C"/>
    <w:rsid w:val="004A7A94"/>
    <w:rsid w:val="004A7F01"/>
    <w:rsid w:val="004A7F09"/>
    <w:rsid w:val="004B036B"/>
    <w:rsid w:val="004B037B"/>
    <w:rsid w:val="004B0915"/>
    <w:rsid w:val="004B09DE"/>
    <w:rsid w:val="004B0A8C"/>
    <w:rsid w:val="004B1021"/>
    <w:rsid w:val="004B129E"/>
    <w:rsid w:val="004B1A5B"/>
    <w:rsid w:val="004B1CBF"/>
    <w:rsid w:val="004B2019"/>
    <w:rsid w:val="004B220F"/>
    <w:rsid w:val="004B24F2"/>
    <w:rsid w:val="004B25F8"/>
    <w:rsid w:val="004B2677"/>
    <w:rsid w:val="004B281D"/>
    <w:rsid w:val="004B2827"/>
    <w:rsid w:val="004B29F4"/>
    <w:rsid w:val="004B2A24"/>
    <w:rsid w:val="004B38B1"/>
    <w:rsid w:val="004B432D"/>
    <w:rsid w:val="004B43C0"/>
    <w:rsid w:val="004B479D"/>
    <w:rsid w:val="004B4B14"/>
    <w:rsid w:val="004B52B9"/>
    <w:rsid w:val="004B5458"/>
    <w:rsid w:val="004B5F68"/>
    <w:rsid w:val="004B6118"/>
    <w:rsid w:val="004B6159"/>
    <w:rsid w:val="004B617C"/>
    <w:rsid w:val="004B65B2"/>
    <w:rsid w:val="004B7165"/>
    <w:rsid w:val="004B780A"/>
    <w:rsid w:val="004B780B"/>
    <w:rsid w:val="004B7BD5"/>
    <w:rsid w:val="004B7E3E"/>
    <w:rsid w:val="004C00C7"/>
    <w:rsid w:val="004C01D7"/>
    <w:rsid w:val="004C084A"/>
    <w:rsid w:val="004C0A84"/>
    <w:rsid w:val="004C0C7A"/>
    <w:rsid w:val="004C0C87"/>
    <w:rsid w:val="004C1188"/>
    <w:rsid w:val="004C12F2"/>
    <w:rsid w:val="004C13B5"/>
    <w:rsid w:val="004C194D"/>
    <w:rsid w:val="004C1AA2"/>
    <w:rsid w:val="004C1B66"/>
    <w:rsid w:val="004C1CCD"/>
    <w:rsid w:val="004C1CCF"/>
    <w:rsid w:val="004C211C"/>
    <w:rsid w:val="004C2563"/>
    <w:rsid w:val="004C3271"/>
    <w:rsid w:val="004C3582"/>
    <w:rsid w:val="004C35A0"/>
    <w:rsid w:val="004C38F3"/>
    <w:rsid w:val="004C4038"/>
    <w:rsid w:val="004C403B"/>
    <w:rsid w:val="004C40B2"/>
    <w:rsid w:val="004C421D"/>
    <w:rsid w:val="004C4293"/>
    <w:rsid w:val="004C55EA"/>
    <w:rsid w:val="004C562F"/>
    <w:rsid w:val="004C6121"/>
    <w:rsid w:val="004C6448"/>
    <w:rsid w:val="004C6C50"/>
    <w:rsid w:val="004C747F"/>
    <w:rsid w:val="004C75C4"/>
    <w:rsid w:val="004C773E"/>
    <w:rsid w:val="004C7C5F"/>
    <w:rsid w:val="004C7DA5"/>
    <w:rsid w:val="004C7DE4"/>
    <w:rsid w:val="004D00A0"/>
    <w:rsid w:val="004D0284"/>
    <w:rsid w:val="004D0504"/>
    <w:rsid w:val="004D0551"/>
    <w:rsid w:val="004D057B"/>
    <w:rsid w:val="004D064A"/>
    <w:rsid w:val="004D068E"/>
    <w:rsid w:val="004D0797"/>
    <w:rsid w:val="004D0A69"/>
    <w:rsid w:val="004D0C4B"/>
    <w:rsid w:val="004D1640"/>
    <w:rsid w:val="004D1BC9"/>
    <w:rsid w:val="004D2136"/>
    <w:rsid w:val="004D22BD"/>
    <w:rsid w:val="004D2391"/>
    <w:rsid w:val="004D252B"/>
    <w:rsid w:val="004D2727"/>
    <w:rsid w:val="004D28DD"/>
    <w:rsid w:val="004D2A56"/>
    <w:rsid w:val="004D2C76"/>
    <w:rsid w:val="004D38E7"/>
    <w:rsid w:val="004D3A16"/>
    <w:rsid w:val="004D4871"/>
    <w:rsid w:val="004D5AD7"/>
    <w:rsid w:val="004D5B57"/>
    <w:rsid w:val="004D5D11"/>
    <w:rsid w:val="004D61CC"/>
    <w:rsid w:val="004D62F4"/>
    <w:rsid w:val="004D6C80"/>
    <w:rsid w:val="004D74E9"/>
    <w:rsid w:val="004D7970"/>
    <w:rsid w:val="004D7A69"/>
    <w:rsid w:val="004D7C26"/>
    <w:rsid w:val="004D7F2C"/>
    <w:rsid w:val="004D7FCF"/>
    <w:rsid w:val="004E0102"/>
    <w:rsid w:val="004E05A3"/>
    <w:rsid w:val="004E05A9"/>
    <w:rsid w:val="004E12C1"/>
    <w:rsid w:val="004E1723"/>
    <w:rsid w:val="004E1F36"/>
    <w:rsid w:val="004E244E"/>
    <w:rsid w:val="004E34D6"/>
    <w:rsid w:val="004E3706"/>
    <w:rsid w:val="004E416B"/>
    <w:rsid w:val="004E4640"/>
    <w:rsid w:val="004E47D3"/>
    <w:rsid w:val="004E5395"/>
    <w:rsid w:val="004E55A6"/>
    <w:rsid w:val="004E55DC"/>
    <w:rsid w:val="004E60DC"/>
    <w:rsid w:val="004E60FE"/>
    <w:rsid w:val="004E651D"/>
    <w:rsid w:val="004E659B"/>
    <w:rsid w:val="004E6805"/>
    <w:rsid w:val="004E7062"/>
    <w:rsid w:val="004E7616"/>
    <w:rsid w:val="004F0247"/>
    <w:rsid w:val="004F0B05"/>
    <w:rsid w:val="004F0F75"/>
    <w:rsid w:val="004F1245"/>
    <w:rsid w:val="004F14C2"/>
    <w:rsid w:val="004F18B9"/>
    <w:rsid w:val="004F1F2E"/>
    <w:rsid w:val="004F221A"/>
    <w:rsid w:val="004F230E"/>
    <w:rsid w:val="004F2587"/>
    <w:rsid w:val="004F2771"/>
    <w:rsid w:val="004F2D4A"/>
    <w:rsid w:val="004F2FBF"/>
    <w:rsid w:val="004F30FA"/>
    <w:rsid w:val="004F3B7D"/>
    <w:rsid w:val="004F3D37"/>
    <w:rsid w:val="004F4704"/>
    <w:rsid w:val="004F4851"/>
    <w:rsid w:val="004F4994"/>
    <w:rsid w:val="004F508D"/>
    <w:rsid w:val="004F51AC"/>
    <w:rsid w:val="004F51AE"/>
    <w:rsid w:val="004F5534"/>
    <w:rsid w:val="004F6108"/>
    <w:rsid w:val="004F653B"/>
    <w:rsid w:val="004F6D17"/>
    <w:rsid w:val="004F7604"/>
    <w:rsid w:val="004F7D50"/>
    <w:rsid w:val="004F7FB9"/>
    <w:rsid w:val="00500015"/>
    <w:rsid w:val="00500051"/>
    <w:rsid w:val="00500424"/>
    <w:rsid w:val="00500472"/>
    <w:rsid w:val="00500B00"/>
    <w:rsid w:val="005016C8"/>
    <w:rsid w:val="0050173E"/>
    <w:rsid w:val="00501DC5"/>
    <w:rsid w:val="00502F56"/>
    <w:rsid w:val="00503830"/>
    <w:rsid w:val="00503CE1"/>
    <w:rsid w:val="00503E23"/>
    <w:rsid w:val="00504911"/>
    <w:rsid w:val="005049F8"/>
    <w:rsid w:val="00504A8F"/>
    <w:rsid w:val="00504DCF"/>
    <w:rsid w:val="00505176"/>
    <w:rsid w:val="0050559B"/>
    <w:rsid w:val="0050566E"/>
    <w:rsid w:val="00505717"/>
    <w:rsid w:val="00505A00"/>
    <w:rsid w:val="00505F46"/>
    <w:rsid w:val="0050608A"/>
    <w:rsid w:val="00506D25"/>
    <w:rsid w:val="00506E82"/>
    <w:rsid w:val="00507289"/>
    <w:rsid w:val="005075DA"/>
    <w:rsid w:val="00507B1C"/>
    <w:rsid w:val="00510060"/>
    <w:rsid w:val="00510598"/>
    <w:rsid w:val="00510781"/>
    <w:rsid w:val="005109D7"/>
    <w:rsid w:val="005109FE"/>
    <w:rsid w:val="00510F4A"/>
    <w:rsid w:val="005114F9"/>
    <w:rsid w:val="005118F0"/>
    <w:rsid w:val="0051214D"/>
    <w:rsid w:val="00512E07"/>
    <w:rsid w:val="00513283"/>
    <w:rsid w:val="00514293"/>
    <w:rsid w:val="0051433D"/>
    <w:rsid w:val="0051477C"/>
    <w:rsid w:val="00514AA9"/>
    <w:rsid w:val="00514C6E"/>
    <w:rsid w:val="0051514D"/>
    <w:rsid w:val="005157F7"/>
    <w:rsid w:val="005159FA"/>
    <w:rsid w:val="00515B17"/>
    <w:rsid w:val="00515F3F"/>
    <w:rsid w:val="00516695"/>
    <w:rsid w:val="00516BC5"/>
    <w:rsid w:val="005172E5"/>
    <w:rsid w:val="005175B4"/>
    <w:rsid w:val="005175C3"/>
    <w:rsid w:val="00517AD8"/>
    <w:rsid w:val="00517DF0"/>
    <w:rsid w:val="00517FEC"/>
    <w:rsid w:val="00520378"/>
    <w:rsid w:val="00520566"/>
    <w:rsid w:val="00520599"/>
    <w:rsid w:val="005205C7"/>
    <w:rsid w:val="005209F4"/>
    <w:rsid w:val="00520FAF"/>
    <w:rsid w:val="0052123C"/>
    <w:rsid w:val="0052156B"/>
    <w:rsid w:val="00521591"/>
    <w:rsid w:val="0052163E"/>
    <w:rsid w:val="005222D7"/>
    <w:rsid w:val="00522643"/>
    <w:rsid w:val="005236A5"/>
    <w:rsid w:val="0052371B"/>
    <w:rsid w:val="00523AB3"/>
    <w:rsid w:val="00523B85"/>
    <w:rsid w:val="00523E77"/>
    <w:rsid w:val="005251AD"/>
    <w:rsid w:val="005251B4"/>
    <w:rsid w:val="005253EF"/>
    <w:rsid w:val="005258FB"/>
    <w:rsid w:val="00525965"/>
    <w:rsid w:val="005259A7"/>
    <w:rsid w:val="00525C5C"/>
    <w:rsid w:val="00525D92"/>
    <w:rsid w:val="00525DDE"/>
    <w:rsid w:val="00525EFC"/>
    <w:rsid w:val="00526684"/>
    <w:rsid w:val="00526774"/>
    <w:rsid w:val="005277C4"/>
    <w:rsid w:val="0052793B"/>
    <w:rsid w:val="00527A2A"/>
    <w:rsid w:val="00527CD6"/>
    <w:rsid w:val="00527FD0"/>
    <w:rsid w:val="00530346"/>
    <w:rsid w:val="005304E7"/>
    <w:rsid w:val="0053086A"/>
    <w:rsid w:val="00530A5F"/>
    <w:rsid w:val="0053136D"/>
    <w:rsid w:val="00531A3B"/>
    <w:rsid w:val="00531CA9"/>
    <w:rsid w:val="00531E3A"/>
    <w:rsid w:val="00531E95"/>
    <w:rsid w:val="00531EB4"/>
    <w:rsid w:val="00531EEE"/>
    <w:rsid w:val="005323EF"/>
    <w:rsid w:val="005327FA"/>
    <w:rsid w:val="00532818"/>
    <w:rsid w:val="005329E4"/>
    <w:rsid w:val="00532CF6"/>
    <w:rsid w:val="00533201"/>
    <w:rsid w:val="00534305"/>
    <w:rsid w:val="00534EDF"/>
    <w:rsid w:val="00535178"/>
    <w:rsid w:val="005353F5"/>
    <w:rsid w:val="00535495"/>
    <w:rsid w:val="00535533"/>
    <w:rsid w:val="00535600"/>
    <w:rsid w:val="00535989"/>
    <w:rsid w:val="00535A9F"/>
    <w:rsid w:val="00535FB6"/>
    <w:rsid w:val="00536263"/>
    <w:rsid w:val="00536720"/>
    <w:rsid w:val="00536B8D"/>
    <w:rsid w:val="00537153"/>
    <w:rsid w:val="00537E71"/>
    <w:rsid w:val="00537F23"/>
    <w:rsid w:val="00540001"/>
    <w:rsid w:val="005400A0"/>
    <w:rsid w:val="00540348"/>
    <w:rsid w:val="005403E1"/>
    <w:rsid w:val="00540641"/>
    <w:rsid w:val="0054183F"/>
    <w:rsid w:val="00541901"/>
    <w:rsid w:val="00541EC2"/>
    <w:rsid w:val="005421B6"/>
    <w:rsid w:val="0054270D"/>
    <w:rsid w:val="005427A0"/>
    <w:rsid w:val="00542AEA"/>
    <w:rsid w:val="00542B1E"/>
    <w:rsid w:val="00542B32"/>
    <w:rsid w:val="00542F36"/>
    <w:rsid w:val="00543A27"/>
    <w:rsid w:val="00543BE9"/>
    <w:rsid w:val="00543F1E"/>
    <w:rsid w:val="00543FF6"/>
    <w:rsid w:val="005443BF"/>
    <w:rsid w:val="005443E2"/>
    <w:rsid w:val="005448E1"/>
    <w:rsid w:val="00544D03"/>
    <w:rsid w:val="00544DDB"/>
    <w:rsid w:val="00545305"/>
    <w:rsid w:val="005453FB"/>
    <w:rsid w:val="005457A9"/>
    <w:rsid w:val="00545A64"/>
    <w:rsid w:val="00545AA1"/>
    <w:rsid w:val="00545CE0"/>
    <w:rsid w:val="00546260"/>
    <w:rsid w:val="0054637E"/>
    <w:rsid w:val="00546433"/>
    <w:rsid w:val="00546779"/>
    <w:rsid w:val="005467EE"/>
    <w:rsid w:val="005468BA"/>
    <w:rsid w:val="005469F2"/>
    <w:rsid w:val="00546D1F"/>
    <w:rsid w:val="00546D90"/>
    <w:rsid w:val="0054715F"/>
    <w:rsid w:val="00547387"/>
    <w:rsid w:val="00550249"/>
    <w:rsid w:val="00550301"/>
    <w:rsid w:val="0055050E"/>
    <w:rsid w:val="005506B5"/>
    <w:rsid w:val="005506F5"/>
    <w:rsid w:val="00550A16"/>
    <w:rsid w:val="005512EC"/>
    <w:rsid w:val="005516CA"/>
    <w:rsid w:val="005517E5"/>
    <w:rsid w:val="005518F3"/>
    <w:rsid w:val="00551A85"/>
    <w:rsid w:val="00551B16"/>
    <w:rsid w:val="00551CAE"/>
    <w:rsid w:val="00551D6F"/>
    <w:rsid w:val="00551E5F"/>
    <w:rsid w:val="005526C4"/>
    <w:rsid w:val="00552872"/>
    <w:rsid w:val="005528E9"/>
    <w:rsid w:val="00552EB5"/>
    <w:rsid w:val="005531D3"/>
    <w:rsid w:val="00553371"/>
    <w:rsid w:val="005533DD"/>
    <w:rsid w:val="005534A5"/>
    <w:rsid w:val="005539DA"/>
    <w:rsid w:val="00553AEA"/>
    <w:rsid w:val="00553C88"/>
    <w:rsid w:val="00553C9B"/>
    <w:rsid w:val="00553F87"/>
    <w:rsid w:val="00553FC8"/>
    <w:rsid w:val="00554E10"/>
    <w:rsid w:val="00554FF6"/>
    <w:rsid w:val="0055597E"/>
    <w:rsid w:val="00556A13"/>
    <w:rsid w:val="00557253"/>
    <w:rsid w:val="00557482"/>
    <w:rsid w:val="0056034D"/>
    <w:rsid w:val="005605F4"/>
    <w:rsid w:val="005607CC"/>
    <w:rsid w:val="005608C3"/>
    <w:rsid w:val="005613E6"/>
    <w:rsid w:val="005614D2"/>
    <w:rsid w:val="00561DB2"/>
    <w:rsid w:val="00562496"/>
    <w:rsid w:val="005625C3"/>
    <w:rsid w:val="00562870"/>
    <w:rsid w:val="00562EDB"/>
    <w:rsid w:val="005630E7"/>
    <w:rsid w:val="0056361D"/>
    <w:rsid w:val="00563961"/>
    <w:rsid w:val="00563E66"/>
    <w:rsid w:val="00563FF5"/>
    <w:rsid w:val="005640BE"/>
    <w:rsid w:val="00564476"/>
    <w:rsid w:val="00564640"/>
    <w:rsid w:val="00564815"/>
    <w:rsid w:val="005649F9"/>
    <w:rsid w:val="00564A7A"/>
    <w:rsid w:val="00564A85"/>
    <w:rsid w:val="00564E30"/>
    <w:rsid w:val="00564E8A"/>
    <w:rsid w:val="005650DD"/>
    <w:rsid w:val="00565152"/>
    <w:rsid w:val="005654E9"/>
    <w:rsid w:val="0056573A"/>
    <w:rsid w:val="00565B5E"/>
    <w:rsid w:val="00565E71"/>
    <w:rsid w:val="00565FD3"/>
    <w:rsid w:val="0056696D"/>
    <w:rsid w:val="005670B6"/>
    <w:rsid w:val="0056792F"/>
    <w:rsid w:val="00567F25"/>
    <w:rsid w:val="00570C12"/>
    <w:rsid w:val="00570D30"/>
    <w:rsid w:val="0057157A"/>
    <w:rsid w:val="0057166B"/>
    <w:rsid w:val="00571CED"/>
    <w:rsid w:val="00571DB9"/>
    <w:rsid w:val="00571DE4"/>
    <w:rsid w:val="00572268"/>
    <w:rsid w:val="00573483"/>
    <w:rsid w:val="005740DE"/>
    <w:rsid w:val="00574D85"/>
    <w:rsid w:val="0057509E"/>
    <w:rsid w:val="0057519B"/>
    <w:rsid w:val="00575F2D"/>
    <w:rsid w:val="00576052"/>
    <w:rsid w:val="005764A7"/>
    <w:rsid w:val="005767C3"/>
    <w:rsid w:val="00576999"/>
    <w:rsid w:val="00576C01"/>
    <w:rsid w:val="00576C58"/>
    <w:rsid w:val="00576C99"/>
    <w:rsid w:val="00577379"/>
    <w:rsid w:val="005774C9"/>
    <w:rsid w:val="0057775E"/>
    <w:rsid w:val="0058067F"/>
    <w:rsid w:val="00580D27"/>
    <w:rsid w:val="00580E9F"/>
    <w:rsid w:val="0058110A"/>
    <w:rsid w:val="005813A6"/>
    <w:rsid w:val="005815B7"/>
    <w:rsid w:val="005815B8"/>
    <w:rsid w:val="00581891"/>
    <w:rsid w:val="00582404"/>
    <w:rsid w:val="005824B3"/>
    <w:rsid w:val="00582D39"/>
    <w:rsid w:val="00582FDD"/>
    <w:rsid w:val="0058334F"/>
    <w:rsid w:val="00583658"/>
    <w:rsid w:val="00583CC5"/>
    <w:rsid w:val="00583DC1"/>
    <w:rsid w:val="00584B55"/>
    <w:rsid w:val="00584C91"/>
    <w:rsid w:val="005852A3"/>
    <w:rsid w:val="00585632"/>
    <w:rsid w:val="005856EF"/>
    <w:rsid w:val="00585AF1"/>
    <w:rsid w:val="00585B42"/>
    <w:rsid w:val="00585D13"/>
    <w:rsid w:val="00585DAB"/>
    <w:rsid w:val="00585E3E"/>
    <w:rsid w:val="00585FAE"/>
    <w:rsid w:val="005864C2"/>
    <w:rsid w:val="00586718"/>
    <w:rsid w:val="005868BF"/>
    <w:rsid w:val="00586BB0"/>
    <w:rsid w:val="00587201"/>
    <w:rsid w:val="00587265"/>
    <w:rsid w:val="005876B6"/>
    <w:rsid w:val="00587FE2"/>
    <w:rsid w:val="0059033B"/>
    <w:rsid w:val="005903A6"/>
    <w:rsid w:val="005909C5"/>
    <w:rsid w:val="00590B95"/>
    <w:rsid w:val="00590C8A"/>
    <w:rsid w:val="00590D0D"/>
    <w:rsid w:val="005914F4"/>
    <w:rsid w:val="0059186B"/>
    <w:rsid w:val="00591D9B"/>
    <w:rsid w:val="005923A1"/>
    <w:rsid w:val="005931F2"/>
    <w:rsid w:val="005932F7"/>
    <w:rsid w:val="00593387"/>
    <w:rsid w:val="0059447E"/>
    <w:rsid w:val="0059452D"/>
    <w:rsid w:val="00594668"/>
    <w:rsid w:val="00594879"/>
    <w:rsid w:val="00594C1B"/>
    <w:rsid w:val="00594C23"/>
    <w:rsid w:val="00594D00"/>
    <w:rsid w:val="00594F6A"/>
    <w:rsid w:val="00594F84"/>
    <w:rsid w:val="00595642"/>
    <w:rsid w:val="005956B4"/>
    <w:rsid w:val="0059576B"/>
    <w:rsid w:val="00595B8A"/>
    <w:rsid w:val="00595DF7"/>
    <w:rsid w:val="00595E21"/>
    <w:rsid w:val="00596168"/>
    <w:rsid w:val="00596256"/>
    <w:rsid w:val="0059635E"/>
    <w:rsid w:val="005965EA"/>
    <w:rsid w:val="005969A6"/>
    <w:rsid w:val="005969CE"/>
    <w:rsid w:val="00596DB0"/>
    <w:rsid w:val="005970F6"/>
    <w:rsid w:val="0059717A"/>
    <w:rsid w:val="0059720F"/>
    <w:rsid w:val="005977A6"/>
    <w:rsid w:val="00597959"/>
    <w:rsid w:val="00597993"/>
    <w:rsid w:val="00597998"/>
    <w:rsid w:val="00597F55"/>
    <w:rsid w:val="005A0025"/>
    <w:rsid w:val="005A02F9"/>
    <w:rsid w:val="005A03EB"/>
    <w:rsid w:val="005A0509"/>
    <w:rsid w:val="005A0524"/>
    <w:rsid w:val="005A0C77"/>
    <w:rsid w:val="005A161D"/>
    <w:rsid w:val="005A1DB2"/>
    <w:rsid w:val="005A1EA5"/>
    <w:rsid w:val="005A1F6A"/>
    <w:rsid w:val="005A22A8"/>
    <w:rsid w:val="005A2371"/>
    <w:rsid w:val="005A2AA0"/>
    <w:rsid w:val="005A2D03"/>
    <w:rsid w:val="005A3179"/>
    <w:rsid w:val="005A37B2"/>
    <w:rsid w:val="005A40A0"/>
    <w:rsid w:val="005A425C"/>
    <w:rsid w:val="005A435E"/>
    <w:rsid w:val="005A477D"/>
    <w:rsid w:val="005A49BA"/>
    <w:rsid w:val="005A4ACF"/>
    <w:rsid w:val="005A4D21"/>
    <w:rsid w:val="005A527E"/>
    <w:rsid w:val="005A5326"/>
    <w:rsid w:val="005A68DF"/>
    <w:rsid w:val="005A6FB7"/>
    <w:rsid w:val="005A72B1"/>
    <w:rsid w:val="005A734D"/>
    <w:rsid w:val="005A78BC"/>
    <w:rsid w:val="005A7B69"/>
    <w:rsid w:val="005B0398"/>
    <w:rsid w:val="005B08BC"/>
    <w:rsid w:val="005B0A69"/>
    <w:rsid w:val="005B12FB"/>
    <w:rsid w:val="005B19E9"/>
    <w:rsid w:val="005B1C38"/>
    <w:rsid w:val="005B2219"/>
    <w:rsid w:val="005B24E1"/>
    <w:rsid w:val="005B27B9"/>
    <w:rsid w:val="005B2BB7"/>
    <w:rsid w:val="005B2C30"/>
    <w:rsid w:val="005B2EE4"/>
    <w:rsid w:val="005B37C3"/>
    <w:rsid w:val="005B3B6E"/>
    <w:rsid w:val="005B3C0F"/>
    <w:rsid w:val="005B3CA2"/>
    <w:rsid w:val="005B3D5F"/>
    <w:rsid w:val="005B3DEE"/>
    <w:rsid w:val="005B3FBB"/>
    <w:rsid w:val="005B41F1"/>
    <w:rsid w:val="005B4279"/>
    <w:rsid w:val="005B46A2"/>
    <w:rsid w:val="005B4BA5"/>
    <w:rsid w:val="005B4ED2"/>
    <w:rsid w:val="005B53B4"/>
    <w:rsid w:val="005B567A"/>
    <w:rsid w:val="005B585D"/>
    <w:rsid w:val="005B5AAD"/>
    <w:rsid w:val="005B5E49"/>
    <w:rsid w:val="005B5E5A"/>
    <w:rsid w:val="005B641E"/>
    <w:rsid w:val="005B6699"/>
    <w:rsid w:val="005B6853"/>
    <w:rsid w:val="005B6AC3"/>
    <w:rsid w:val="005B6F15"/>
    <w:rsid w:val="005B6FD5"/>
    <w:rsid w:val="005B7093"/>
    <w:rsid w:val="005B717B"/>
    <w:rsid w:val="005B71BE"/>
    <w:rsid w:val="005B7580"/>
    <w:rsid w:val="005B7DB2"/>
    <w:rsid w:val="005C0035"/>
    <w:rsid w:val="005C00D1"/>
    <w:rsid w:val="005C0953"/>
    <w:rsid w:val="005C1279"/>
    <w:rsid w:val="005C131A"/>
    <w:rsid w:val="005C15AA"/>
    <w:rsid w:val="005C1873"/>
    <w:rsid w:val="005C192D"/>
    <w:rsid w:val="005C1964"/>
    <w:rsid w:val="005C26D3"/>
    <w:rsid w:val="005C2E29"/>
    <w:rsid w:val="005C2ED8"/>
    <w:rsid w:val="005C3294"/>
    <w:rsid w:val="005C33EB"/>
    <w:rsid w:val="005C35F9"/>
    <w:rsid w:val="005C3BC6"/>
    <w:rsid w:val="005C40A1"/>
    <w:rsid w:val="005C4421"/>
    <w:rsid w:val="005C4C8B"/>
    <w:rsid w:val="005C4F96"/>
    <w:rsid w:val="005C5395"/>
    <w:rsid w:val="005C53FD"/>
    <w:rsid w:val="005C5446"/>
    <w:rsid w:val="005C55F0"/>
    <w:rsid w:val="005C5774"/>
    <w:rsid w:val="005C5A5D"/>
    <w:rsid w:val="005C5AE3"/>
    <w:rsid w:val="005C651F"/>
    <w:rsid w:val="005C65C1"/>
    <w:rsid w:val="005C6975"/>
    <w:rsid w:val="005C7163"/>
    <w:rsid w:val="005C7492"/>
    <w:rsid w:val="005D0ABD"/>
    <w:rsid w:val="005D0E66"/>
    <w:rsid w:val="005D139B"/>
    <w:rsid w:val="005D1983"/>
    <w:rsid w:val="005D1EDE"/>
    <w:rsid w:val="005D24D2"/>
    <w:rsid w:val="005D25D8"/>
    <w:rsid w:val="005D26EB"/>
    <w:rsid w:val="005D2788"/>
    <w:rsid w:val="005D3171"/>
    <w:rsid w:val="005D3405"/>
    <w:rsid w:val="005D34F0"/>
    <w:rsid w:val="005D42FF"/>
    <w:rsid w:val="005D44F1"/>
    <w:rsid w:val="005D4C15"/>
    <w:rsid w:val="005D4DE3"/>
    <w:rsid w:val="005D5150"/>
    <w:rsid w:val="005D5468"/>
    <w:rsid w:val="005D5591"/>
    <w:rsid w:val="005D55C6"/>
    <w:rsid w:val="005D5702"/>
    <w:rsid w:val="005D5DD6"/>
    <w:rsid w:val="005D6064"/>
    <w:rsid w:val="005D62E2"/>
    <w:rsid w:val="005D6624"/>
    <w:rsid w:val="005D6817"/>
    <w:rsid w:val="005D6877"/>
    <w:rsid w:val="005D69E5"/>
    <w:rsid w:val="005D6B10"/>
    <w:rsid w:val="005D6E39"/>
    <w:rsid w:val="005D7520"/>
    <w:rsid w:val="005D79AE"/>
    <w:rsid w:val="005D7A0A"/>
    <w:rsid w:val="005D7B57"/>
    <w:rsid w:val="005D7B87"/>
    <w:rsid w:val="005D7F5C"/>
    <w:rsid w:val="005E0381"/>
    <w:rsid w:val="005E05CE"/>
    <w:rsid w:val="005E063C"/>
    <w:rsid w:val="005E0942"/>
    <w:rsid w:val="005E09A5"/>
    <w:rsid w:val="005E0C66"/>
    <w:rsid w:val="005E0E85"/>
    <w:rsid w:val="005E1433"/>
    <w:rsid w:val="005E14D4"/>
    <w:rsid w:val="005E16AA"/>
    <w:rsid w:val="005E193A"/>
    <w:rsid w:val="005E1E18"/>
    <w:rsid w:val="005E20A2"/>
    <w:rsid w:val="005E25C5"/>
    <w:rsid w:val="005E2789"/>
    <w:rsid w:val="005E2AF5"/>
    <w:rsid w:val="005E2D18"/>
    <w:rsid w:val="005E309B"/>
    <w:rsid w:val="005E33DB"/>
    <w:rsid w:val="005E3C95"/>
    <w:rsid w:val="005E3E88"/>
    <w:rsid w:val="005E4158"/>
    <w:rsid w:val="005E5436"/>
    <w:rsid w:val="005E5452"/>
    <w:rsid w:val="005E5A66"/>
    <w:rsid w:val="005E5CC0"/>
    <w:rsid w:val="005E6055"/>
    <w:rsid w:val="005E6E6B"/>
    <w:rsid w:val="005E7422"/>
    <w:rsid w:val="005E75AA"/>
    <w:rsid w:val="005F0123"/>
    <w:rsid w:val="005F086B"/>
    <w:rsid w:val="005F090A"/>
    <w:rsid w:val="005F110B"/>
    <w:rsid w:val="005F12C1"/>
    <w:rsid w:val="005F17F0"/>
    <w:rsid w:val="005F2E79"/>
    <w:rsid w:val="005F2EE4"/>
    <w:rsid w:val="005F310A"/>
    <w:rsid w:val="005F3235"/>
    <w:rsid w:val="005F3407"/>
    <w:rsid w:val="005F3667"/>
    <w:rsid w:val="005F3A06"/>
    <w:rsid w:val="005F3B95"/>
    <w:rsid w:val="005F402C"/>
    <w:rsid w:val="005F4274"/>
    <w:rsid w:val="005F43BE"/>
    <w:rsid w:val="005F485F"/>
    <w:rsid w:val="005F49A3"/>
    <w:rsid w:val="005F592E"/>
    <w:rsid w:val="005F598F"/>
    <w:rsid w:val="005F61CE"/>
    <w:rsid w:val="005F650C"/>
    <w:rsid w:val="005F6CEF"/>
    <w:rsid w:val="005F78A8"/>
    <w:rsid w:val="005F7BAC"/>
    <w:rsid w:val="005F7FA8"/>
    <w:rsid w:val="006008EA"/>
    <w:rsid w:val="00600ADF"/>
    <w:rsid w:val="00600BCE"/>
    <w:rsid w:val="00601010"/>
    <w:rsid w:val="00601222"/>
    <w:rsid w:val="006019C6"/>
    <w:rsid w:val="00601E85"/>
    <w:rsid w:val="00602693"/>
    <w:rsid w:val="00603279"/>
    <w:rsid w:val="006038CE"/>
    <w:rsid w:val="00603F92"/>
    <w:rsid w:val="00603FD4"/>
    <w:rsid w:val="006040EE"/>
    <w:rsid w:val="00604938"/>
    <w:rsid w:val="00604AF3"/>
    <w:rsid w:val="00604BBF"/>
    <w:rsid w:val="00604CB5"/>
    <w:rsid w:val="00604EC4"/>
    <w:rsid w:val="00604FDE"/>
    <w:rsid w:val="00605C73"/>
    <w:rsid w:val="00605E39"/>
    <w:rsid w:val="00605E42"/>
    <w:rsid w:val="00605EEF"/>
    <w:rsid w:val="00606943"/>
    <w:rsid w:val="00606964"/>
    <w:rsid w:val="00606A2B"/>
    <w:rsid w:val="00606B85"/>
    <w:rsid w:val="00606C45"/>
    <w:rsid w:val="00607071"/>
    <w:rsid w:val="006071FB"/>
    <w:rsid w:val="00607377"/>
    <w:rsid w:val="00607570"/>
    <w:rsid w:val="006078F5"/>
    <w:rsid w:val="0060799D"/>
    <w:rsid w:val="00607AD6"/>
    <w:rsid w:val="00610271"/>
    <w:rsid w:val="00610350"/>
    <w:rsid w:val="00610691"/>
    <w:rsid w:val="00610BAC"/>
    <w:rsid w:val="00610CD8"/>
    <w:rsid w:val="006110E4"/>
    <w:rsid w:val="00611426"/>
    <w:rsid w:val="0061152C"/>
    <w:rsid w:val="00611611"/>
    <w:rsid w:val="00611854"/>
    <w:rsid w:val="00611926"/>
    <w:rsid w:val="00612B98"/>
    <w:rsid w:val="00613256"/>
    <w:rsid w:val="0061370F"/>
    <w:rsid w:val="006139BE"/>
    <w:rsid w:val="00613AB2"/>
    <w:rsid w:val="0061494A"/>
    <w:rsid w:val="006150F6"/>
    <w:rsid w:val="00615352"/>
    <w:rsid w:val="0061535E"/>
    <w:rsid w:val="00615A3A"/>
    <w:rsid w:val="006162B6"/>
    <w:rsid w:val="006166AD"/>
    <w:rsid w:val="00616876"/>
    <w:rsid w:val="00616D2E"/>
    <w:rsid w:val="0061722C"/>
    <w:rsid w:val="006175CA"/>
    <w:rsid w:val="00617DB2"/>
    <w:rsid w:val="00620565"/>
    <w:rsid w:val="0062058D"/>
    <w:rsid w:val="00621103"/>
    <w:rsid w:val="00621156"/>
    <w:rsid w:val="006213B6"/>
    <w:rsid w:val="00621463"/>
    <w:rsid w:val="00621D2F"/>
    <w:rsid w:val="00621FD8"/>
    <w:rsid w:val="006220A6"/>
    <w:rsid w:val="00622143"/>
    <w:rsid w:val="006222C1"/>
    <w:rsid w:val="00622489"/>
    <w:rsid w:val="00622E90"/>
    <w:rsid w:val="006230A1"/>
    <w:rsid w:val="00623B87"/>
    <w:rsid w:val="00623E2A"/>
    <w:rsid w:val="00624B06"/>
    <w:rsid w:val="0062591A"/>
    <w:rsid w:val="00625B43"/>
    <w:rsid w:val="00625C20"/>
    <w:rsid w:val="0062612C"/>
    <w:rsid w:val="00626830"/>
    <w:rsid w:val="00626A40"/>
    <w:rsid w:val="00626AC9"/>
    <w:rsid w:val="00626F48"/>
    <w:rsid w:val="00627980"/>
    <w:rsid w:val="00627C21"/>
    <w:rsid w:val="00630270"/>
    <w:rsid w:val="00630452"/>
    <w:rsid w:val="00630628"/>
    <w:rsid w:val="00630BD4"/>
    <w:rsid w:val="0063140B"/>
    <w:rsid w:val="00631AB4"/>
    <w:rsid w:val="0063294D"/>
    <w:rsid w:val="0063303F"/>
    <w:rsid w:val="006332C8"/>
    <w:rsid w:val="0063427C"/>
    <w:rsid w:val="00634474"/>
    <w:rsid w:val="00634578"/>
    <w:rsid w:val="0063460C"/>
    <w:rsid w:val="00634696"/>
    <w:rsid w:val="00634929"/>
    <w:rsid w:val="006353E1"/>
    <w:rsid w:val="006355CD"/>
    <w:rsid w:val="006356EB"/>
    <w:rsid w:val="006357EC"/>
    <w:rsid w:val="006357FA"/>
    <w:rsid w:val="0063586D"/>
    <w:rsid w:val="0063653F"/>
    <w:rsid w:val="006366FD"/>
    <w:rsid w:val="006368E4"/>
    <w:rsid w:val="006368F1"/>
    <w:rsid w:val="00636AEA"/>
    <w:rsid w:val="00636E5A"/>
    <w:rsid w:val="00636E6D"/>
    <w:rsid w:val="0063705F"/>
    <w:rsid w:val="00640714"/>
    <w:rsid w:val="00640754"/>
    <w:rsid w:val="00640D51"/>
    <w:rsid w:val="0064101A"/>
    <w:rsid w:val="0064147D"/>
    <w:rsid w:val="00641724"/>
    <w:rsid w:val="00641E27"/>
    <w:rsid w:val="00642514"/>
    <w:rsid w:val="006426B1"/>
    <w:rsid w:val="006427C9"/>
    <w:rsid w:val="006429E4"/>
    <w:rsid w:val="00642DD7"/>
    <w:rsid w:val="00642ED3"/>
    <w:rsid w:val="00643338"/>
    <w:rsid w:val="006436C9"/>
    <w:rsid w:val="006436FE"/>
    <w:rsid w:val="00643A19"/>
    <w:rsid w:val="00643A9C"/>
    <w:rsid w:val="00643F90"/>
    <w:rsid w:val="0064476A"/>
    <w:rsid w:val="006448F0"/>
    <w:rsid w:val="00645110"/>
    <w:rsid w:val="00645272"/>
    <w:rsid w:val="006454B3"/>
    <w:rsid w:val="00645AA7"/>
    <w:rsid w:val="00645DD3"/>
    <w:rsid w:val="00645E4F"/>
    <w:rsid w:val="00646869"/>
    <w:rsid w:val="00646A07"/>
    <w:rsid w:val="00646D38"/>
    <w:rsid w:val="00646D42"/>
    <w:rsid w:val="00647456"/>
    <w:rsid w:val="0064763F"/>
    <w:rsid w:val="006478E7"/>
    <w:rsid w:val="00647FBC"/>
    <w:rsid w:val="006509F9"/>
    <w:rsid w:val="00651781"/>
    <w:rsid w:val="00651C59"/>
    <w:rsid w:val="00651D61"/>
    <w:rsid w:val="00652413"/>
    <w:rsid w:val="00652BD1"/>
    <w:rsid w:val="00652E03"/>
    <w:rsid w:val="0065306C"/>
    <w:rsid w:val="0065347D"/>
    <w:rsid w:val="00653785"/>
    <w:rsid w:val="00653A5B"/>
    <w:rsid w:val="00653C29"/>
    <w:rsid w:val="00653D3C"/>
    <w:rsid w:val="00654091"/>
    <w:rsid w:val="00654123"/>
    <w:rsid w:val="00654482"/>
    <w:rsid w:val="006544AE"/>
    <w:rsid w:val="00655562"/>
    <w:rsid w:val="00655657"/>
    <w:rsid w:val="00655C7A"/>
    <w:rsid w:val="00655E05"/>
    <w:rsid w:val="00655EFA"/>
    <w:rsid w:val="006561A8"/>
    <w:rsid w:val="00656340"/>
    <w:rsid w:val="006564EC"/>
    <w:rsid w:val="0065671D"/>
    <w:rsid w:val="0065714C"/>
    <w:rsid w:val="00657308"/>
    <w:rsid w:val="00657403"/>
    <w:rsid w:val="006575A3"/>
    <w:rsid w:val="006575B6"/>
    <w:rsid w:val="00657692"/>
    <w:rsid w:val="00660167"/>
    <w:rsid w:val="00660BF2"/>
    <w:rsid w:val="006612D1"/>
    <w:rsid w:val="00661AAA"/>
    <w:rsid w:val="0066224E"/>
    <w:rsid w:val="00662504"/>
    <w:rsid w:val="0066261E"/>
    <w:rsid w:val="0066308B"/>
    <w:rsid w:val="006633A5"/>
    <w:rsid w:val="006640F5"/>
    <w:rsid w:val="00664A3D"/>
    <w:rsid w:val="00664CCD"/>
    <w:rsid w:val="00664D84"/>
    <w:rsid w:val="00664F4A"/>
    <w:rsid w:val="0066523C"/>
    <w:rsid w:val="00665301"/>
    <w:rsid w:val="0066562C"/>
    <w:rsid w:val="006656EA"/>
    <w:rsid w:val="0066574E"/>
    <w:rsid w:val="00665784"/>
    <w:rsid w:val="0066601D"/>
    <w:rsid w:val="00666165"/>
    <w:rsid w:val="006665B6"/>
    <w:rsid w:val="0066664A"/>
    <w:rsid w:val="00666D99"/>
    <w:rsid w:val="006673FB"/>
    <w:rsid w:val="00667517"/>
    <w:rsid w:val="00670686"/>
    <w:rsid w:val="00671232"/>
    <w:rsid w:val="0067144C"/>
    <w:rsid w:val="0067224B"/>
    <w:rsid w:val="006725AA"/>
    <w:rsid w:val="00672A80"/>
    <w:rsid w:val="00672DBC"/>
    <w:rsid w:val="00673026"/>
    <w:rsid w:val="006732A6"/>
    <w:rsid w:val="006733DE"/>
    <w:rsid w:val="0067360B"/>
    <w:rsid w:val="00673641"/>
    <w:rsid w:val="006736EF"/>
    <w:rsid w:val="00673A54"/>
    <w:rsid w:val="00673B8E"/>
    <w:rsid w:val="00673C74"/>
    <w:rsid w:val="00673D08"/>
    <w:rsid w:val="00673FE4"/>
    <w:rsid w:val="00674697"/>
    <w:rsid w:val="006748BC"/>
    <w:rsid w:val="00674FE7"/>
    <w:rsid w:val="006757CA"/>
    <w:rsid w:val="00676454"/>
    <w:rsid w:val="006766F9"/>
    <w:rsid w:val="0067690B"/>
    <w:rsid w:val="00676B09"/>
    <w:rsid w:val="00676D44"/>
    <w:rsid w:val="00677039"/>
    <w:rsid w:val="00677728"/>
    <w:rsid w:val="006777DF"/>
    <w:rsid w:val="006777F6"/>
    <w:rsid w:val="006778C4"/>
    <w:rsid w:val="006808CB"/>
    <w:rsid w:val="006813DB"/>
    <w:rsid w:val="006818A2"/>
    <w:rsid w:val="00681BC9"/>
    <w:rsid w:val="00682469"/>
    <w:rsid w:val="006824D3"/>
    <w:rsid w:val="00682831"/>
    <w:rsid w:val="00682927"/>
    <w:rsid w:val="006829E6"/>
    <w:rsid w:val="00682FA6"/>
    <w:rsid w:val="00683093"/>
    <w:rsid w:val="006832B0"/>
    <w:rsid w:val="0068330C"/>
    <w:rsid w:val="0068360C"/>
    <w:rsid w:val="006836D6"/>
    <w:rsid w:val="00683E8A"/>
    <w:rsid w:val="00684DC3"/>
    <w:rsid w:val="00684FB8"/>
    <w:rsid w:val="006851FF"/>
    <w:rsid w:val="00685246"/>
    <w:rsid w:val="006855FC"/>
    <w:rsid w:val="00685AFD"/>
    <w:rsid w:val="00685C7E"/>
    <w:rsid w:val="006864B2"/>
    <w:rsid w:val="00686E5A"/>
    <w:rsid w:val="00686FDE"/>
    <w:rsid w:val="0068711D"/>
    <w:rsid w:val="006876E1"/>
    <w:rsid w:val="00687D77"/>
    <w:rsid w:val="00690084"/>
    <w:rsid w:val="00690119"/>
    <w:rsid w:val="00690987"/>
    <w:rsid w:val="00690C50"/>
    <w:rsid w:val="006917CB"/>
    <w:rsid w:val="00691F4A"/>
    <w:rsid w:val="006920C2"/>
    <w:rsid w:val="00692392"/>
    <w:rsid w:val="00692529"/>
    <w:rsid w:val="006929AB"/>
    <w:rsid w:val="0069302A"/>
    <w:rsid w:val="00693030"/>
    <w:rsid w:val="00694CFC"/>
    <w:rsid w:val="00695275"/>
    <w:rsid w:val="00695637"/>
    <w:rsid w:val="00695A93"/>
    <w:rsid w:val="0069643F"/>
    <w:rsid w:val="006964BC"/>
    <w:rsid w:val="006966F4"/>
    <w:rsid w:val="00696A0C"/>
    <w:rsid w:val="00696ADD"/>
    <w:rsid w:val="00696F4B"/>
    <w:rsid w:val="0069770B"/>
    <w:rsid w:val="006977C0"/>
    <w:rsid w:val="00697EA4"/>
    <w:rsid w:val="006A0084"/>
    <w:rsid w:val="006A08CF"/>
    <w:rsid w:val="006A0C3B"/>
    <w:rsid w:val="006A0C90"/>
    <w:rsid w:val="006A0D93"/>
    <w:rsid w:val="006A0DB9"/>
    <w:rsid w:val="006A0DE2"/>
    <w:rsid w:val="006A1235"/>
    <w:rsid w:val="006A12A9"/>
    <w:rsid w:val="006A141B"/>
    <w:rsid w:val="006A16C4"/>
    <w:rsid w:val="006A1CB4"/>
    <w:rsid w:val="006A20AE"/>
    <w:rsid w:val="006A238D"/>
    <w:rsid w:val="006A2A90"/>
    <w:rsid w:val="006A3083"/>
    <w:rsid w:val="006A3145"/>
    <w:rsid w:val="006A3AF8"/>
    <w:rsid w:val="006A3F4E"/>
    <w:rsid w:val="006A47E6"/>
    <w:rsid w:val="006A4A47"/>
    <w:rsid w:val="006A4AE6"/>
    <w:rsid w:val="006A4DE3"/>
    <w:rsid w:val="006A4EA2"/>
    <w:rsid w:val="006A58A6"/>
    <w:rsid w:val="006A58F9"/>
    <w:rsid w:val="006A5FBC"/>
    <w:rsid w:val="006A5FE0"/>
    <w:rsid w:val="006A63E0"/>
    <w:rsid w:val="006A6706"/>
    <w:rsid w:val="006A6C23"/>
    <w:rsid w:val="006A6EE3"/>
    <w:rsid w:val="006A6F00"/>
    <w:rsid w:val="006A7455"/>
    <w:rsid w:val="006B01D2"/>
    <w:rsid w:val="006B041D"/>
    <w:rsid w:val="006B0466"/>
    <w:rsid w:val="006B0FE7"/>
    <w:rsid w:val="006B10BA"/>
    <w:rsid w:val="006B135F"/>
    <w:rsid w:val="006B144B"/>
    <w:rsid w:val="006B1595"/>
    <w:rsid w:val="006B1CAD"/>
    <w:rsid w:val="006B234A"/>
    <w:rsid w:val="006B2365"/>
    <w:rsid w:val="006B257A"/>
    <w:rsid w:val="006B29B2"/>
    <w:rsid w:val="006B29D3"/>
    <w:rsid w:val="006B2CA8"/>
    <w:rsid w:val="006B2CCD"/>
    <w:rsid w:val="006B2EDF"/>
    <w:rsid w:val="006B3B16"/>
    <w:rsid w:val="006B46D1"/>
    <w:rsid w:val="006B4D2F"/>
    <w:rsid w:val="006B5359"/>
    <w:rsid w:val="006B56D0"/>
    <w:rsid w:val="006B578F"/>
    <w:rsid w:val="006B5887"/>
    <w:rsid w:val="006B5AA5"/>
    <w:rsid w:val="006B5DEB"/>
    <w:rsid w:val="006B62DB"/>
    <w:rsid w:val="006B6DA9"/>
    <w:rsid w:val="006B6F6C"/>
    <w:rsid w:val="006B79E0"/>
    <w:rsid w:val="006B7D07"/>
    <w:rsid w:val="006B7DC3"/>
    <w:rsid w:val="006C03DA"/>
    <w:rsid w:val="006C11B7"/>
    <w:rsid w:val="006C122E"/>
    <w:rsid w:val="006C13F8"/>
    <w:rsid w:val="006C1720"/>
    <w:rsid w:val="006C1BF0"/>
    <w:rsid w:val="006C1CFB"/>
    <w:rsid w:val="006C2202"/>
    <w:rsid w:val="006C2304"/>
    <w:rsid w:val="006C2491"/>
    <w:rsid w:val="006C25A9"/>
    <w:rsid w:val="006C27AA"/>
    <w:rsid w:val="006C304F"/>
    <w:rsid w:val="006C30F2"/>
    <w:rsid w:val="006C368D"/>
    <w:rsid w:val="006C3C4F"/>
    <w:rsid w:val="006C48DE"/>
    <w:rsid w:val="006C4F1D"/>
    <w:rsid w:val="006C530B"/>
    <w:rsid w:val="006C5333"/>
    <w:rsid w:val="006C53A8"/>
    <w:rsid w:val="006C545A"/>
    <w:rsid w:val="006C5475"/>
    <w:rsid w:val="006C5486"/>
    <w:rsid w:val="006C54E5"/>
    <w:rsid w:val="006C551E"/>
    <w:rsid w:val="006C566B"/>
    <w:rsid w:val="006C5899"/>
    <w:rsid w:val="006C5B59"/>
    <w:rsid w:val="006C5BC7"/>
    <w:rsid w:val="006C6C4A"/>
    <w:rsid w:val="006C701D"/>
    <w:rsid w:val="006C70C5"/>
    <w:rsid w:val="006C726F"/>
    <w:rsid w:val="006C7436"/>
    <w:rsid w:val="006C75BE"/>
    <w:rsid w:val="006C77CD"/>
    <w:rsid w:val="006D0089"/>
    <w:rsid w:val="006D0559"/>
    <w:rsid w:val="006D06E5"/>
    <w:rsid w:val="006D0F72"/>
    <w:rsid w:val="006D0FFB"/>
    <w:rsid w:val="006D1540"/>
    <w:rsid w:val="006D1853"/>
    <w:rsid w:val="006D1B3B"/>
    <w:rsid w:val="006D1C9A"/>
    <w:rsid w:val="006D1CCF"/>
    <w:rsid w:val="006D1DBC"/>
    <w:rsid w:val="006D1EAC"/>
    <w:rsid w:val="006D2359"/>
    <w:rsid w:val="006D2AEE"/>
    <w:rsid w:val="006D3040"/>
    <w:rsid w:val="006D3CDD"/>
    <w:rsid w:val="006D3FC8"/>
    <w:rsid w:val="006D40C0"/>
    <w:rsid w:val="006D4232"/>
    <w:rsid w:val="006D4388"/>
    <w:rsid w:val="006D4679"/>
    <w:rsid w:val="006D46C6"/>
    <w:rsid w:val="006D46F0"/>
    <w:rsid w:val="006D4A06"/>
    <w:rsid w:val="006D4E63"/>
    <w:rsid w:val="006D4F8E"/>
    <w:rsid w:val="006D50D6"/>
    <w:rsid w:val="006D5AD7"/>
    <w:rsid w:val="006D5E17"/>
    <w:rsid w:val="006D5FCD"/>
    <w:rsid w:val="006D5FE2"/>
    <w:rsid w:val="006D6366"/>
    <w:rsid w:val="006D6BBD"/>
    <w:rsid w:val="006D6F8B"/>
    <w:rsid w:val="006D718B"/>
    <w:rsid w:val="006D7260"/>
    <w:rsid w:val="006D7D37"/>
    <w:rsid w:val="006E0184"/>
    <w:rsid w:val="006E0785"/>
    <w:rsid w:val="006E07F8"/>
    <w:rsid w:val="006E09F7"/>
    <w:rsid w:val="006E0F77"/>
    <w:rsid w:val="006E192C"/>
    <w:rsid w:val="006E1C00"/>
    <w:rsid w:val="006E1E6D"/>
    <w:rsid w:val="006E21F2"/>
    <w:rsid w:val="006E2252"/>
    <w:rsid w:val="006E22A5"/>
    <w:rsid w:val="006E28C0"/>
    <w:rsid w:val="006E29FE"/>
    <w:rsid w:val="006E2D39"/>
    <w:rsid w:val="006E2E8D"/>
    <w:rsid w:val="006E32A7"/>
    <w:rsid w:val="006E362B"/>
    <w:rsid w:val="006E3770"/>
    <w:rsid w:val="006E3C61"/>
    <w:rsid w:val="006E3D13"/>
    <w:rsid w:val="006E3F7B"/>
    <w:rsid w:val="006E4229"/>
    <w:rsid w:val="006E4269"/>
    <w:rsid w:val="006E44D2"/>
    <w:rsid w:val="006E479A"/>
    <w:rsid w:val="006E483E"/>
    <w:rsid w:val="006E49B5"/>
    <w:rsid w:val="006E524C"/>
    <w:rsid w:val="006E5376"/>
    <w:rsid w:val="006E5461"/>
    <w:rsid w:val="006E5470"/>
    <w:rsid w:val="006E55BE"/>
    <w:rsid w:val="006E5832"/>
    <w:rsid w:val="006E606D"/>
    <w:rsid w:val="006E6648"/>
    <w:rsid w:val="006E6B38"/>
    <w:rsid w:val="006E6EBD"/>
    <w:rsid w:val="006E6F1A"/>
    <w:rsid w:val="006E7424"/>
    <w:rsid w:val="006E7A10"/>
    <w:rsid w:val="006E7C1C"/>
    <w:rsid w:val="006E7D13"/>
    <w:rsid w:val="006F0126"/>
    <w:rsid w:val="006F018C"/>
    <w:rsid w:val="006F0532"/>
    <w:rsid w:val="006F0AF8"/>
    <w:rsid w:val="006F0C4A"/>
    <w:rsid w:val="006F0D90"/>
    <w:rsid w:val="006F140A"/>
    <w:rsid w:val="006F1459"/>
    <w:rsid w:val="006F1BCA"/>
    <w:rsid w:val="006F2455"/>
    <w:rsid w:val="006F2F41"/>
    <w:rsid w:val="006F3198"/>
    <w:rsid w:val="006F3316"/>
    <w:rsid w:val="006F33ED"/>
    <w:rsid w:val="006F3480"/>
    <w:rsid w:val="006F41A8"/>
    <w:rsid w:val="006F4391"/>
    <w:rsid w:val="006F43B2"/>
    <w:rsid w:val="006F519E"/>
    <w:rsid w:val="006F529E"/>
    <w:rsid w:val="006F53D1"/>
    <w:rsid w:val="006F56BD"/>
    <w:rsid w:val="006F62B7"/>
    <w:rsid w:val="006F6737"/>
    <w:rsid w:val="006F6AFD"/>
    <w:rsid w:val="006F6BBC"/>
    <w:rsid w:val="006F7030"/>
    <w:rsid w:val="00700127"/>
    <w:rsid w:val="007003E3"/>
    <w:rsid w:val="00701025"/>
    <w:rsid w:val="007012F9"/>
    <w:rsid w:val="007014DF"/>
    <w:rsid w:val="007018DB"/>
    <w:rsid w:val="00701EDB"/>
    <w:rsid w:val="00702251"/>
    <w:rsid w:val="0070267B"/>
    <w:rsid w:val="0070269F"/>
    <w:rsid w:val="007028EA"/>
    <w:rsid w:val="00702A6D"/>
    <w:rsid w:val="00703468"/>
    <w:rsid w:val="0070355B"/>
    <w:rsid w:val="0070387F"/>
    <w:rsid w:val="007042E2"/>
    <w:rsid w:val="00704339"/>
    <w:rsid w:val="0070442F"/>
    <w:rsid w:val="007046BE"/>
    <w:rsid w:val="007051AC"/>
    <w:rsid w:val="0070538C"/>
    <w:rsid w:val="00705626"/>
    <w:rsid w:val="007057D3"/>
    <w:rsid w:val="00705B00"/>
    <w:rsid w:val="00705EA5"/>
    <w:rsid w:val="007061A4"/>
    <w:rsid w:val="007061AD"/>
    <w:rsid w:val="00706BF1"/>
    <w:rsid w:val="0070705C"/>
    <w:rsid w:val="007070D7"/>
    <w:rsid w:val="007077DD"/>
    <w:rsid w:val="007077ED"/>
    <w:rsid w:val="00707CED"/>
    <w:rsid w:val="00711319"/>
    <w:rsid w:val="0071177E"/>
    <w:rsid w:val="00711EA6"/>
    <w:rsid w:val="00712184"/>
    <w:rsid w:val="0071251A"/>
    <w:rsid w:val="007128EF"/>
    <w:rsid w:val="00712BA1"/>
    <w:rsid w:val="00712DAA"/>
    <w:rsid w:val="00712E92"/>
    <w:rsid w:val="007139CB"/>
    <w:rsid w:val="00713BF9"/>
    <w:rsid w:val="00713C0B"/>
    <w:rsid w:val="00714371"/>
    <w:rsid w:val="0071450D"/>
    <w:rsid w:val="007156E9"/>
    <w:rsid w:val="00715EBF"/>
    <w:rsid w:val="007162DF"/>
    <w:rsid w:val="00716636"/>
    <w:rsid w:val="00716D71"/>
    <w:rsid w:val="00716DF2"/>
    <w:rsid w:val="007174AF"/>
    <w:rsid w:val="00717AC3"/>
    <w:rsid w:val="007208FE"/>
    <w:rsid w:val="00720943"/>
    <w:rsid w:val="00720989"/>
    <w:rsid w:val="00720EDA"/>
    <w:rsid w:val="00721433"/>
    <w:rsid w:val="00721465"/>
    <w:rsid w:val="00721616"/>
    <w:rsid w:val="00721951"/>
    <w:rsid w:val="00721F9B"/>
    <w:rsid w:val="0072207E"/>
    <w:rsid w:val="007222DE"/>
    <w:rsid w:val="00722939"/>
    <w:rsid w:val="00722985"/>
    <w:rsid w:val="0072300D"/>
    <w:rsid w:val="0072324C"/>
    <w:rsid w:val="0072360B"/>
    <w:rsid w:val="00723644"/>
    <w:rsid w:val="00723CDF"/>
    <w:rsid w:val="00723F06"/>
    <w:rsid w:val="007243A6"/>
    <w:rsid w:val="00724ADD"/>
    <w:rsid w:val="00724B29"/>
    <w:rsid w:val="00724FEC"/>
    <w:rsid w:val="0072570D"/>
    <w:rsid w:val="00725F9D"/>
    <w:rsid w:val="007263CD"/>
    <w:rsid w:val="00726586"/>
    <w:rsid w:val="0072663B"/>
    <w:rsid w:val="00726F07"/>
    <w:rsid w:val="00726F56"/>
    <w:rsid w:val="00727100"/>
    <w:rsid w:val="007271F3"/>
    <w:rsid w:val="007302F2"/>
    <w:rsid w:val="00730942"/>
    <w:rsid w:val="00730A35"/>
    <w:rsid w:val="00730E12"/>
    <w:rsid w:val="00731055"/>
    <w:rsid w:val="00731708"/>
    <w:rsid w:val="00731CAF"/>
    <w:rsid w:val="0073203D"/>
    <w:rsid w:val="007321ED"/>
    <w:rsid w:val="00732527"/>
    <w:rsid w:val="007325D1"/>
    <w:rsid w:val="007326FB"/>
    <w:rsid w:val="007328A3"/>
    <w:rsid w:val="007336CF"/>
    <w:rsid w:val="007345CF"/>
    <w:rsid w:val="007354C9"/>
    <w:rsid w:val="00735BF8"/>
    <w:rsid w:val="00735C0A"/>
    <w:rsid w:val="0073601F"/>
    <w:rsid w:val="00736333"/>
    <w:rsid w:val="00736414"/>
    <w:rsid w:val="0073648A"/>
    <w:rsid w:val="0073649B"/>
    <w:rsid w:val="007364C1"/>
    <w:rsid w:val="00736763"/>
    <w:rsid w:val="007367D9"/>
    <w:rsid w:val="00736AA0"/>
    <w:rsid w:val="00736BB1"/>
    <w:rsid w:val="007374AD"/>
    <w:rsid w:val="007374E8"/>
    <w:rsid w:val="00737646"/>
    <w:rsid w:val="00740677"/>
    <w:rsid w:val="007413D9"/>
    <w:rsid w:val="00741576"/>
    <w:rsid w:val="00741A3D"/>
    <w:rsid w:val="00741A7E"/>
    <w:rsid w:val="00741C9E"/>
    <w:rsid w:val="00741F5D"/>
    <w:rsid w:val="00742127"/>
    <w:rsid w:val="00742862"/>
    <w:rsid w:val="00742EA6"/>
    <w:rsid w:val="0074323F"/>
    <w:rsid w:val="007437AA"/>
    <w:rsid w:val="00743B07"/>
    <w:rsid w:val="00743C03"/>
    <w:rsid w:val="00743F9C"/>
    <w:rsid w:val="007440B2"/>
    <w:rsid w:val="007444A1"/>
    <w:rsid w:val="0074462C"/>
    <w:rsid w:val="00744850"/>
    <w:rsid w:val="00744887"/>
    <w:rsid w:val="0074505D"/>
    <w:rsid w:val="007451BC"/>
    <w:rsid w:val="00745B6E"/>
    <w:rsid w:val="00745BF6"/>
    <w:rsid w:val="00745D3B"/>
    <w:rsid w:val="00747131"/>
    <w:rsid w:val="007473E1"/>
    <w:rsid w:val="0074757F"/>
    <w:rsid w:val="0074785E"/>
    <w:rsid w:val="007479F2"/>
    <w:rsid w:val="00747B7A"/>
    <w:rsid w:val="00747CC3"/>
    <w:rsid w:val="00747E1B"/>
    <w:rsid w:val="00750CC4"/>
    <w:rsid w:val="00750FDE"/>
    <w:rsid w:val="00751157"/>
    <w:rsid w:val="0075124D"/>
    <w:rsid w:val="007515D7"/>
    <w:rsid w:val="00751A64"/>
    <w:rsid w:val="00751FDB"/>
    <w:rsid w:val="00752000"/>
    <w:rsid w:val="00752885"/>
    <w:rsid w:val="007531FD"/>
    <w:rsid w:val="00753E0D"/>
    <w:rsid w:val="0075444D"/>
    <w:rsid w:val="007544C3"/>
    <w:rsid w:val="007546B2"/>
    <w:rsid w:val="0075483E"/>
    <w:rsid w:val="00754AF4"/>
    <w:rsid w:val="00755057"/>
    <w:rsid w:val="0075523A"/>
    <w:rsid w:val="007552AC"/>
    <w:rsid w:val="007554C5"/>
    <w:rsid w:val="00755C91"/>
    <w:rsid w:val="00755DCA"/>
    <w:rsid w:val="0075628A"/>
    <w:rsid w:val="0075661F"/>
    <w:rsid w:val="007567CD"/>
    <w:rsid w:val="007567ED"/>
    <w:rsid w:val="00756B9E"/>
    <w:rsid w:val="00756CC1"/>
    <w:rsid w:val="00757C61"/>
    <w:rsid w:val="00757F8D"/>
    <w:rsid w:val="007604CE"/>
    <w:rsid w:val="0076088E"/>
    <w:rsid w:val="007608DD"/>
    <w:rsid w:val="00760912"/>
    <w:rsid w:val="00760A01"/>
    <w:rsid w:val="00760E29"/>
    <w:rsid w:val="00760FEF"/>
    <w:rsid w:val="007610DB"/>
    <w:rsid w:val="00761400"/>
    <w:rsid w:val="0076171E"/>
    <w:rsid w:val="00761972"/>
    <w:rsid w:val="00761B12"/>
    <w:rsid w:val="00761E34"/>
    <w:rsid w:val="0076289D"/>
    <w:rsid w:val="00762CB9"/>
    <w:rsid w:val="00763135"/>
    <w:rsid w:val="00763245"/>
    <w:rsid w:val="007634CE"/>
    <w:rsid w:val="007636BA"/>
    <w:rsid w:val="00763915"/>
    <w:rsid w:val="00763971"/>
    <w:rsid w:val="00764136"/>
    <w:rsid w:val="007642E5"/>
    <w:rsid w:val="00764349"/>
    <w:rsid w:val="00764C32"/>
    <w:rsid w:val="00764EBE"/>
    <w:rsid w:val="007653B7"/>
    <w:rsid w:val="0076548D"/>
    <w:rsid w:val="00765A27"/>
    <w:rsid w:val="00765CFF"/>
    <w:rsid w:val="00765EF5"/>
    <w:rsid w:val="00765F48"/>
    <w:rsid w:val="0076624D"/>
    <w:rsid w:val="00766630"/>
    <w:rsid w:val="00766733"/>
    <w:rsid w:val="00766BCC"/>
    <w:rsid w:val="00766F99"/>
    <w:rsid w:val="00766FA6"/>
    <w:rsid w:val="0076723F"/>
    <w:rsid w:val="00767F07"/>
    <w:rsid w:val="007701D1"/>
    <w:rsid w:val="007706EC"/>
    <w:rsid w:val="007707C0"/>
    <w:rsid w:val="007715A9"/>
    <w:rsid w:val="00771BB0"/>
    <w:rsid w:val="00771CD3"/>
    <w:rsid w:val="00771FB0"/>
    <w:rsid w:val="0077200B"/>
    <w:rsid w:val="007722F8"/>
    <w:rsid w:val="00772728"/>
    <w:rsid w:val="0077286D"/>
    <w:rsid w:val="00772DB4"/>
    <w:rsid w:val="00773385"/>
    <w:rsid w:val="0077352E"/>
    <w:rsid w:val="00773758"/>
    <w:rsid w:val="00773811"/>
    <w:rsid w:val="0077417C"/>
    <w:rsid w:val="007743B8"/>
    <w:rsid w:val="007745AE"/>
    <w:rsid w:val="0077530B"/>
    <w:rsid w:val="007758B1"/>
    <w:rsid w:val="007758D8"/>
    <w:rsid w:val="00775C72"/>
    <w:rsid w:val="00775CEF"/>
    <w:rsid w:val="00776EEF"/>
    <w:rsid w:val="007771CD"/>
    <w:rsid w:val="00777232"/>
    <w:rsid w:val="00777666"/>
    <w:rsid w:val="0078044B"/>
    <w:rsid w:val="007808D8"/>
    <w:rsid w:val="00780B9D"/>
    <w:rsid w:val="00780BE8"/>
    <w:rsid w:val="00780C67"/>
    <w:rsid w:val="00780EB7"/>
    <w:rsid w:val="007811CB"/>
    <w:rsid w:val="007813A1"/>
    <w:rsid w:val="00781425"/>
    <w:rsid w:val="00781521"/>
    <w:rsid w:val="00781A39"/>
    <w:rsid w:val="0078243C"/>
    <w:rsid w:val="00782869"/>
    <w:rsid w:val="00782B5E"/>
    <w:rsid w:val="00782E69"/>
    <w:rsid w:val="0078309C"/>
    <w:rsid w:val="00783375"/>
    <w:rsid w:val="007835D5"/>
    <w:rsid w:val="00783640"/>
    <w:rsid w:val="00783706"/>
    <w:rsid w:val="0078370F"/>
    <w:rsid w:val="00783B32"/>
    <w:rsid w:val="00783FAE"/>
    <w:rsid w:val="0078453E"/>
    <w:rsid w:val="007848E4"/>
    <w:rsid w:val="00784DBB"/>
    <w:rsid w:val="00785101"/>
    <w:rsid w:val="0078518D"/>
    <w:rsid w:val="0078578D"/>
    <w:rsid w:val="00785A93"/>
    <w:rsid w:val="00785B79"/>
    <w:rsid w:val="0078651B"/>
    <w:rsid w:val="00786B4B"/>
    <w:rsid w:val="00786FEE"/>
    <w:rsid w:val="007871B9"/>
    <w:rsid w:val="00787332"/>
    <w:rsid w:val="0078756E"/>
    <w:rsid w:val="00787B9E"/>
    <w:rsid w:val="00787D85"/>
    <w:rsid w:val="00790103"/>
    <w:rsid w:val="00790504"/>
    <w:rsid w:val="00790EEC"/>
    <w:rsid w:val="00790EF0"/>
    <w:rsid w:val="007914A7"/>
    <w:rsid w:val="00791F8A"/>
    <w:rsid w:val="00791FFB"/>
    <w:rsid w:val="00792245"/>
    <w:rsid w:val="00793822"/>
    <w:rsid w:val="007939D3"/>
    <w:rsid w:val="00793BA6"/>
    <w:rsid w:val="00794187"/>
    <w:rsid w:val="0079434E"/>
    <w:rsid w:val="0079467B"/>
    <w:rsid w:val="00794704"/>
    <w:rsid w:val="00794A0F"/>
    <w:rsid w:val="00794FD7"/>
    <w:rsid w:val="00795301"/>
    <w:rsid w:val="00795394"/>
    <w:rsid w:val="007954C6"/>
    <w:rsid w:val="007958AF"/>
    <w:rsid w:val="00795D7E"/>
    <w:rsid w:val="00795E29"/>
    <w:rsid w:val="00796348"/>
    <w:rsid w:val="007964AB"/>
    <w:rsid w:val="007965FA"/>
    <w:rsid w:val="0079754F"/>
    <w:rsid w:val="00797B67"/>
    <w:rsid w:val="007A01F9"/>
    <w:rsid w:val="007A0619"/>
    <w:rsid w:val="007A08F6"/>
    <w:rsid w:val="007A0AA8"/>
    <w:rsid w:val="007A121C"/>
    <w:rsid w:val="007A140A"/>
    <w:rsid w:val="007A189D"/>
    <w:rsid w:val="007A191C"/>
    <w:rsid w:val="007A1F5C"/>
    <w:rsid w:val="007A1FC7"/>
    <w:rsid w:val="007A2508"/>
    <w:rsid w:val="007A2EE2"/>
    <w:rsid w:val="007A4138"/>
    <w:rsid w:val="007A487E"/>
    <w:rsid w:val="007A4904"/>
    <w:rsid w:val="007A4B1C"/>
    <w:rsid w:val="007A4B1E"/>
    <w:rsid w:val="007A503D"/>
    <w:rsid w:val="007A50C5"/>
    <w:rsid w:val="007A5169"/>
    <w:rsid w:val="007A525D"/>
    <w:rsid w:val="007A559F"/>
    <w:rsid w:val="007A5677"/>
    <w:rsid w:val="007A58EC"/>
    <w:rsid w:val="007A5905"/>
    <w:rsid w:val="007A5AAC"/>
    <w:rsid w:val="007A5E5D"/>
    <w:rsid w:val="007A6294"/>
    <w:rsid w:val="007A6AB9"/>
    <w:rsid w:val="007A6BF1"/>
    <w:rsid w:val="007A6CA2"/>
    <w:rsid w:val="007A7425"/>
    <w:rsid w:val="007A7466"/>
    <w:rsid w:val="007A7FD6"/>
    <w:rsid w:val="007B0078"/>
    <w:rsid w:val="007B0263"/>
    <w:rsid w:val="007B04C0"/>
    <w:rsid w:val="007B066C"/>
    <w:rsid w:val="007B06FE"/>
    <w:rsid w:val="007B0747"/>
    <w:rsid w:val="007B0A74"/>
    <w:rsid w:val="007B0B00"/>
    <w:rsid w:val="007B0EF8"/>
    <w:rsid w:val="007B100F"/>
    <w:rsid w:val="007B118D"/>
    <w:rsid w:val="007B140B"/>
    <w:rsid w:val="007B16C7"/>
    <w:rsid w:val="007B16D5"/>
    <w:rsid w:val="007B17C0"/>
    <w:rsid w:val="007B1890"/>
    <w:rsid w:val="007B1DE0"/>
    <w:rsid w:val="007B1E84"/>
    <w:rsid w:val="007B1F9B"/>
    <w:rsid w:val="007B1FF0"/>
    <w:rsid w:val="007B2589"/>
    <w:rsid w:val="007B2832"/>
    <w:rsid w:val="007B2D3E"/>
    <w:rsid w:val="007B2E34"/>
    <w:rsid w:val="007B3CE3"/>
    <w:rsid w:val="007B43F9"/>
    <w:rsid w:val="007B4D46"/>
    <w:rsid w:val="007B4E1B"/>
    <w:rsid w:val="007B4F2E"/>
    <w:rsid w:val="007B4F50"/>
    <w:rsid w:val="007B5B61"/>
    <w:rsid w:val="007B5D47"/>
    <w:rsid w:val="007B5D79"/>
    <w:rsid w:val="007B7215"/>
    <w:rsid w:val="007B7437"/>
    <w:rsid w:val="007B76ED"/>
    <w:rsid w:val="007B7DB8"/>
    <w:rsid w:val="007C01E1"/>
    <w:rsid w:val="007C0C7F"/>
    <w:rsid w:val="007C0FCC"/>
    <w:rsid w:val="007C1657"/>
    <w:rsid w:val="007C174B"/>
    <w:rsid w:val="007C18EF"/>
    <w:rsid w:val="007C21BE"/>
    <w:rsid w:val="007C22B9"/>
    <w:rsid w:val="007C2496"/>
    <w:rsid w:val="007C292C"/>
    <w:rsid w:val="007C29BA"/>
    <w:rsid w:val="007C2A91"/>
    <w:rsid w:val="007C2B1C"/>
    <w:rsid w:val="007C3072"/>
    <w:rsid w:val="007C3333"/>
    <w:rsid w:val="007C3662"/>
    <w:rsid w:val="007C36F1"/>
    <w:rsid w:val="007C3CB2"/>
    <w:rsid w:val="007C448D"/>
    <w:rsid w:val="007C4619"/>
    <w:rsid w:val="007C477B"/>
    <w:rsid w:val="007C497C"/>
    <w:rsid w:val="007C4ADC"/>
    <w:rsid w:val="007C4EF7"/>
    <w:rsid w:val="007C5028"/>
    <w:rsid w:val="007C5277"/>
    <w:rsid w:val="007C53B5"/>
    <w:rsid w:val="007C5C6B"/>
    <w:rsid w:val="007C5D4D"/>
    <w:rsid w:val="007C5F49"/>
    <w:rsid w:val="007C60DA"/>
    <w:rsid w:val="007C6109"/>
    <w:rsid w:val="007C64C0"/>
    <w:rsid w:val="007C6678"/>
    <w:rsid w:val="007C67D4"/>
    <w:rsid w:val="007C702C"/>
    <w:rsid w:val="007C71E7"/>
    <w:rsid w:val="007C73B3"/>
    <w:rsid w:val="007C7460"/>
    <w:rsid w:val="007C7494"/>
    <w:rsid w:val="007C74F3"/>
    <w:rsid w:val="007C75D7"/>
    <w:rsid w:val="007C7898"/>
    <w:rsid w:val="007C7A9B"/>
    <w:rsid w:val="007C7AF8"/>
    <w:rsid w:val="007C7E17"/>
    <w:rsid w:val="007D0408"/>
    <w:rsid w:val="007D04FD"/>
    <w:rsid w:val="007D058A"/>
    <w:rsid w:val="007D12DA"/>
    <w:rsid w:val="007D17AB"/>
    <w:rsid w:val="007D1EE7"/>
    <w:rsid w:val="007D1F45"/>
    <w:rsid w:val="007D2691"/>
    <w:rsid w:val="007D26FA"/>
    <w:rsid w:val="007D29F9"/>
    <w:rsid w:val="007D3448"/>
    <w:rsid w:val="007D34F0"/>
    <w:rsid w:val="007D3678"/>
    <w:rsid w:val="007D3B91"/>
    <w:rsid w:val="007D3BF5"/>
    <w:rsid w:val="007D3C74"/>
    <w:rsid w:val="007D3E6E"/>
    <w:rsid w:val="007D40DD"/>
    <w:rsid w:val="007D4480"/>
    <w:rsid w:val="007D468E"/>
    <w:rsid w:val="007D509C"/>
    <w:rsid w:val="007D585B"/>
    <w:rsid w:val="007D5E07"/>
    <w:rsid w:val="007D5EAE"/>
    <w:rsid w:val="007D6B83"/>
    <w:rsid w:val="007D6F77"/>
    <w:rsid w:val="007D70A5"/>
    <w:rsid w:val="007D7489"/>
    <w:rsid w:val="007D7815"/>
    <w:rsid w:val="007D784A"/>
    <w:rsid w:val="007D7DED"/>
    <w:rsid w:val="007E052C"/>
    <w:rsid w:val="007E0A6C"/>
    <w:rsid w:val="007E11A5"/>
    <w:rsid w:val="007E19BC"/>
    <w:rsid w:val="007E1E90"/>
    <w:rsid w:val="007E1EBF"/>
    <w:rsid w:val="007E223E"/>
    <w:rsid w:val="007E2285"/>
    <w:rsid w:val="007E2295"/>
    <w:rsid w:val="007E34E0"/>
    <w:rsid w:val="007E39F1"/>
    <w:rsid w:val="007E40B9"/>
    <w:rsid w:val="007E4101"/>
    <w:rsid w:val="007E443E"/>
    <w:rsid w:val="007E4642"/>
    <w:rsid w:val="007E472A"/>
    <w:rsid w:val="007E542B"/>
    <w:rsid w:val="007E58E7"/>
    <w:rsid w:val="007E5CDD"/>
    <w:rsid w:val="007E5F51"/>
    <w:rsid w:val="007E634F"/>
    <w:rsid w:val="007E644C"/>
    <w:rsid w:val="007E67B8"/>
    <w:rsid w:val="007E68F1"/>
    <w:rsid w:val="007E6FF8"/>
    <w:rsid w:val="007E71B1"/>
    <w:rsid w:val="007E7263"/>
    <w:rsid w:val="007E7A96"/>
    <w:rsid w:val="007E7B4A"/>
    <w:rsid w:val="007E7B4F"/>
    <w:rsid w:val="007E7C50"/>
    <w:rsid w:val="007F03CA"/>
    <w:rsid w:val="007F0538"/>
    <w:rsid w:val="007F082C"/>
    <w:rsid w:val="007F11AD"/>
    <w:rsid w:val="007F143E"/>
    <w:rsid w:val="007F1BBE"/>
    <w:rsid w:val="007F1CD3"/>
    <w:rsid w:val="007F1FEE"/>
    <w:rsid w:val="007F2248"/>
    <w:rsid w:val="007F2822"/>
    <w:rsid w:val="007F2960"/>
    <w:rsid w:val="007F35D4"/>
    <w:rsid w:val="007F3A4E"/>
    <w:rsid w:val="007F3D04"/>
    <w:rsid w:val="007F3E08"/>
    <w:rsid w:val="007F41D9"/>
    <w:rsid w:val="007F4210"/>
    <w:rsid w:val="007F43D9"/>
    <w:rsid w:val="007F4724"/>
    <w:rsid w:val="007F4801"/>
    <w:rsid w:val="007F4E2B"/>
    <w:rsid w:val="007F5039"/>
    <w:rsid w:val="007F51D7"/>
    <w:rsid w:val="007F5AA6"/>
    <w:rsid w:val="007F61EE"/>
    <w:rsid w:val="007F628A"/>
    <w:rsid w:val="007F6411"/>
    <w:rsid w:val="007F6AA5"/>
    <w:rsid w:val="007F72A0"/>
    <w:rsid w:val="007F7527"/>
    <w:rsid w:val="007F7800"/>
    <w:rsid w:val="0080093C"/>
    <w:rsid w:val="00800BDC"/>
    <w:rsid w:val="00801004"/>
    <w:rsid w:val="00801056"/>
    <w:rsid w:val="0080136F"/>
    <w:rsid w:val="0080161F"/>
    <w:rsid w:val="008016C1"/>
    <w:rsid w:val="00801BEA"/>
    <w:rsid w:val="00801C6D"/>
    <w:rsid w:val="008020C0"/>
    <w:rsid w:val="008028EF"/>
    <w:rsid w:val="00802A31"/>
    <w:rsid w:val="00802C99"/>
    <w:rsid w:val="00802CA9"/>
    <w:rsid w:val="00802D33"/>
    <w:rsid w:val="00802F4D"/>
    <w:rsid w:val="00802F5F"/>
    <w:rsid w:val="00803977"/>
    <w:rsid w:val="0080405F"/>
    <w:rsid w:val="008042C1"/>
    <w:rsid w:val="00804976"/>
    <w:rsid w:val="00804ED3"/>
    <w:rsid w:val="0080509F"/>
    <w:rsid w:val="008052A2"/>
    <w:rsid w:val="0080531F"/>
    <w:rsid w:val="0080534E"/>
    <w:rsid w:val="00805847"/>
    <w:rsid w:val="00806054"/>
    <w:rsid w:val="008062DD"/>
    <w:rsid w:val="008064C8"/>
    <w:rsid w:val="008067A0"/>
    <w:rsid w:val="00806AED"/>
    <w:rsid w:val="00806F1B"/>
    <w:rsid w:val="00807030"/>
    <w:rsid w:val="0080714A"/>
    <w:rsid w:val="008072B6"/>
    <w:rsid w:val="0080739A"/>
    <w:rsid w:val="00807666"/>
    <w:rsid w:val="00807B85"/>
    <w:rsid w:val="00807CD2"/>
    <w:rsid w:val="00807DF4"/>
    <w:rsid w:val="00807E2A"/>
    <w:rsid w:val="00807EB2"/>
    <w:rsid w:val="008101F0"/>
    <w:rsid w:val="00810338"/>
    <w:rsid w:val="008105D2"/>
    <w:rsid w:val="0081120A"/>
    <w:rsid w:val="00811767"/>
    <w:rsid w:val="00811A0D"/>
    <w:rsid w:val="00812156"/>
    <w:rsid w:val="00812E4C"/>
    <w:rsid w:val="00813458"/>
    <w:rsid w:val="00813695"/>
    <w:rsid w:val="008136B7"/>
    <w:rsid w:val="0081378C"/>
    <w:rsid w:val="00813A99"/>
    <w:rsid w:val="00813AB8"/>
    <w:rsid w:val="00813BFB"/>
    <w:rsid w:val="00813CDC"/>
    <w:rsid w:val="008143C2"/>
    <w:rsid w:val="00814421"/>
    <w:rsid w:val="008146DD"/>
    <w:rsid w:val="008146E8"/>
    <w:rsid w:val="0081481D"/>
    <w:rsid w:val="0081483C"/>
    <w:rsid w:val="00814CB4"/>
    <w:rsid w:val="00814FDC"/>
    <w:rsid w:val="00815013"/>
    <w:rsid w:val="008156E3"/>
    <w:rsid w:val="008163A5"/>
    <w:rsid w:val="008166F3"/>
    <w:rsid w:val="0081683F"/>
    <w:rsid w:val="00816C11"/>
    <w:rsid w:val="00816C4D"/>
    <w:rsid w:val="00816E83"/>
    <w:rsid w:val="0081717F"/>
    <w:rsid w:val="008174A6"/>
    <w:rsid w:val="008179DD"/>
    <w:rsid w:val="00817F73"/>
    <w:rsid w:val="00820D1C"/>
    <w:rsid w:val="00820DF3"/>
    <w:rsid w:val="0082135B"/>
    <w:rsid w:val="00821360"/>
    <w:rsid w:val="008214AD"/>
    <w:rsid w:val="008215D0"/>
    <w:rsid w:val="0082168F"/>
    <w:rsid w:val="008216CD"/>
    <w:rsid w:val="0082192F"/>
    <w:rsid w:val="00821AEF"/>
    <w:rsid w:val="00821C98"/>
    <w:rsid w:val="00821D93"/>
    <w:rsid w:val="00822309"/>
    <w:rsid w:val="0082273F"/>
    <w:rsid w:val="00822791"/>
    <w:rsid w:val="008227A3"/>
    <w:rsid w:val="008229E0"/>
    <w:rsid w:val="00823E71"/>
    <w:rsid w:val="008240BE"/>
    <w:rsid w:val="008242CA"/>
    <w:rsid w:val="00824381"/>
    <w:rsid w:val="008245A2"/>
    <w:rsid w:val="008246F7"/>
    <w:rsid w:val="00824CA4"/>
    <w:rsid w:val="00824CD1"/>
    <w:rsid w:val="00825170"/>
    <w:rsid w:val="008253BD"/>
    <w:rsid w:val="008263ED"/>
    <w:rsid w:val="00826F45"/>
    <w:rsid w:val="0082712D"/>
    <w:rsid w:val="00827243"/>
    <w:rsid w:val="0082742A"/>
    <w:rsid w:val="00827A01"/>
    <w:rsid w:val="00827ACF"/>
    <w:rsid w:val="0083032E"/>
    <w:rsid w:val="00830CDC"/>
    <w:rsid w:val="00830D66"/>
    <w:rsid w:val="008310D0"/>
    <w:rsid w:val="00831253"/>
    <w:rsid w:val="008317E8"/>
    <w:rsid w:val="00831C3D"/>
    <w:rsid w:val="00831C65"/>
    <w:rsid w:val="00831C98"/>
    <w:rsid w:val="00832436"/>
    <w:rsid w:val="00832925"/>
    <w:rsid w:val="0083343A"/>
    <w:rsid w:val="008343FD"/>
    <w:rsid w:val="008347F2"/>
    <w:rsid w:val="008350BA"/>
    <w:rsid w:val="008354DF"/>
    <w:rsid w:val="0083566A"/>
    <w:rsid w:val="00835FAC"/>
    <w:rsid w:val="0083624B"/>
    <w:rsid w:val="00836727"/>
    <w:rsid w:val="00836894"/>
    <w:rsid w:val="00836C7D"/>
    <w:rsid w:val="0083705C"/>
    <w:rsid w:val="0083751D"/>
    <w:rsid w:val="00837BCE"/>
    <w:rsid w:val="00837D01"/>
    <w:rsid w:val="0084000E"/>
    <w:rsid w:val="008402D0"/>
    <w:rsid w:val="008402FB"/>
    <w:rsid w:val="008404EE"/>
    <w:rsid w:val="008408D8"/>
    <w:rsid w:val="00840B3C"/>
    <w:rsid w:val="00840B5D"/>
    <w:rsid w:val="00841130"/>
    <w:rsid w:val="008414C8"/>
    <w:rsid w:val="00841A46"/>
    <w:rsid w:val="00841B56"/>
    <w:rsid w:val="00841BF3"/>
    <w:rsid w:val="00841C31"/>
    <w:rsid w:val="008420D4"/>
    <w:rsid w:val="00842771"/>
    <w:rsid w:val="00842880"/>
    <w:rsid w:val="00842A6B"/>
    <w:rsid w:val="00842AB1"/>
    <w:rsid w:val="00842D8E"/>
    <w:rsid w:val="0084306A"/>
    <w:rsid w:val="0084332C"/>
    <w:rsid w:val="00843484"/>
    <w:rsid w:val="00843D97"/>
    <w:rsid w:val="00844225"/>
    <w:rsid w:val="00844820"/>
    <w:rsid w:val="00844F12"/>
    <w:rsid w:val="008452B4"/>
    <w:rsid w:val="00845370"/>
    <w:rsid w:val="008453EC"/>
    <w:rsid w:val="00845419"/>
    <w:rsid w:val="00845A23"/>
    <w:rsid w:val="00845F80"/>
    <w:rsid w:val="00846089"/>
    <w:rsid w:val="008460D4"/>
    <w:rsid w:val="0084693E"/>
    <w:rsid w:val="00846B6F"/>
    <w:rsid w:val="00846D99"/>
    <w:rsid w:val="00846E1C"/>
    <w:rsid w:val="00846F06"/>
    <w:rsid w:val="00846F68"/>
    <w:rsid w:val="00847330"/>
    <w:rsid w:val="008474E4"/>
    <w:rsid w:val="00847A00"/>
    <w:rsid w:val="00847A5D"/>
    <w:rsid w:val="00847C2C"/>
    <w:rsid w:val="008502D3"/>
    <w:rsid w:val="0085038A"/>
    <w:rsid w:val="008503A2"/>
    <w:rsid w:val="0085042A"/>
    <w:rsid w:val="008509B8"/>
    <w:rsid w:val="00850F82"/>
    <w:rsid w:val="008510EC"/>
    <w:rsid w:val="00851168"/>
    <w:rsid w:val="00851898"/>
    <w:rsid w:val="00851D76"/>
    <w:rsid w:val="00854032"/>
    <w:rsid w:val="008543DF"/>
    <w:rsid w:val="008545B4"/>
    <w:rsid w:val="008545F2"/>
    <w:rsid w:val="00854863"/>
    <w:rsid w:val="0085498C"/>
    <w:rsid w:val="00855470"/>
    <w:rsid w:val="00855B15"/>
    <w:rsid w:val="00856259"/>
    <w:rsid w:val="008566E5"/>
    <w:rsid w:val="00856820"/>
    <w:rsid w:val="00856841"/>
    <w:rsid w:val="008568F8"/>
    <w:rsid w:val="00856A28"/>
    <w:rsid w:val="00856A9A"/>
    <w:rsid w:val="00857170"/>
    <w:rsid w:val="00857974"/>
    <w:rsid w:val="008602CA"/>
    <w:rsid w:val="008604C2"/>
    <w:rsid w:val="0086084E"/>
    <w:rsid w:val="00860E64"/>
    <w:rsid w:val="008613CA"/>
    <w:rsid w:val="00862572"/>
    <w:rsid w:val="00862B35"/>
    <w:rsid w:val="00862DF8"/>
    <w:rsid w:val="00863311"/>
    <w:rsid w:val="0086352C"/>
    <w:rsid w:val="00863BF9"/>
    <w:rsid w:val="00863CAA"/>
    <w:rsid w:val="00863D02"/>
    <w:rsid w:val="00864249"/>
    <w:rsid w:val="008645A3"/>
    <w:rsid w:val="00864936"/>
    <w:rsid w:val="008649EE"/>
    <w:rsid w:val="00864A48"/>
    <w:rsid w:val="00864F8E"/>
    <w:rsid w:val="00865077"/>
    <w:rsid w:val="0086561C"/>
    <w:rsid w:val="008656E5"/>
    <w:rsid w:val="008658B8"/>
    <w:rsid w:val="00865CD3"/>
    <w:rsid w:val="0086626C"/>
    <w:rsid w:val="00866733"/>
    <w:rsid w:val="00866C29"/>
    <w:rsid w:val="00866EA6"/>
    <w:rsid w:val="00866F34"/>
    <w:rsid w:val="008671B3"/>
    <w:rsid w:val="008672E1"/>
    <w:rsid w:val="00867600"/>
    <w:rsid w:val="008704A9"/>
    <w:rsid w:val="008708C1"/>
    <w:rsid w:val="00871419"/>
    <w:rsid w:val="008721FA"/>
    <w:rsid w:val="00872B98"/>
    <w:rsid w:val="00872DC4"/>
    <w:rsid w:val="00872E16"/>
    <w:rsid w:val="00873125"/>
    <w:rsid w:val="0087326C"/>
    <w:rsid w:val="00873482"/>
    <w:rsid w:val="00873732"/>
    <w:rsid w:val="00873C21"/>
    <w:rsid w:val="00873CC1"/>
    <w:rsid w:val="008741BE"/>
    <w:rsid w:val="008742E8"/>
    <w:rsid w:val="008743BB"/>
    <w:rsid w:val="00874A85"/>
    <w:rsid w:val="00874C0C"/>
    <w:rsid w:val="00874C66"/>
    <w:rsid w:val="00874F08"/>
    <w:rsid w:val="0087529D"/>
    <w:rsid w:val="00875986"/>
    <w:rsid w:val="00876248"/>
    <w:rsid w:val="008766E9"/>
    <w:rsid w:val="00876D0A"/>
    <w:rsid w:val="008779D9"/>
    <w:rsid w:val="00877BD2"/>
    <w:rsid w:val="00877C1E"/>
    <w:rsid w:val="00880504"/>
    <w:rsid w:val="0088051A"/>
    <w:rsid w:val="00880850"/>
    <w:rsid w:val="00880C5D"/>
    <w:rsid w:val="008818A4"/>
    <w:rsid w:val="00881FB1"/>
    <w:rsid w:val="008832CD"/>
    <w:rsid w:val="008836FC"/>
    <w:rsid w:val="00883C38"/>
    <w:rsid w:val="00883F94"/>
    <w:rsid w:val="008846D5"/>
    <w:rsid w:val="00884FFA"/>
    <w:rsid w:val="00885239"/>
    <w:rsid w:val="0088586F"/>
    <w:rsid w:val="008859E3"/>
    <w:rsid w:val="00885ABA"/>
    <w:rsid w:val="00885BEC"/>
    <w:rsid w:val="00885D1E"/>
    <w:rsid w:val="00886357"/>
    <w:rsid w:val="0088671C"/>
    <w:rsid w:val="00886DC9"/>
    <w:rsid w:val="00886E8F"/>
    <w:rsid w:val="008870EC"/>
    <w:rsid w:val="008879D8"/>
    <w:rsid w:val="00887A6E"/>
    <w:rsid w:val="00887BAB"/>
    <w:rsid w:val="00887D70"/>
    <w:rsid w:val="008906AA"/>
    <w:rsid w:val="00890A21"/>
    <w:rsid w:val="00890B53"/>
    <w:rsid w:val="00890B7B"/>
    <w:rsid w:val="00891010"/>
    <w:rsid w:val="008910AB"/>
    <w:rsid w:val="00891CE9"/>
    <w:rsid w:val="00891CF0"/>
    <w:rsid w:val="00892696"/>
    <w:rsid w:val="00892EFF"/>
    <w:rsid w:val="00893570"/>
    <w:rsid w:val="00893768"/>
    <w:rsid w:val="0089377F"/>
    <w:rsid w:val="00893BDC"/>
    <w:rsid w:val="00893FAE"/>
    <w:rsid w:val="008949F3"/>
    <w:rsid w:val="00894C1A"/>
    <w:rsid w:val="0089512C"/>
    <w:rsid w:val="00895315"/>
    <w:rsid w:val="0089541B"/>
    <w:rsid w:val="00895711"/>
    <w:rsid w:val="0089594E"/>
    <w:rsid w:val="00896007"/>
    <w:rsid w:val="008963C6"/>
    <w:rsid w:val="0089660B"/>
    <w:rsid w:val="008968B9"/>
    <w:rsid w:val="00896EAB"/>
    <w:rsid w:val="00896F48"/>
    <w:rsid w:val="0089744D"/>
    <w:rsid w:val="008977BB"/>
    <w:rsid w:val="00897B06"/>
    <w:rsid w:val="008A08D7"/>
    <w:rsid w:val="008A0AC9"/>
    <w:rsid w:val="008A120A"/>
    <w:rsid w:val="008A1BB9"/>
    <w:rsid w:val="008A1E58"/>
    <w:rsid w:val="008A2145"/>
    <w:rsid w:val="008A2A91"/>
    <w:rsid w:val="008A2BB4"/>
    <w:rsid w:val="008A2CDB"/>
    <w:rsid w:val="008A2E90"/>
    <w:rsid w:val="008A2FB3"/>
    <w:rsid w:val="008A3017"/>
    <w:rsid w:val="008A31F5"/>
    <w:rsid w:val="008A33B4"/>
    <w:rsid w:val="008A346E"/>
    <w:rsid w:val="008A372A"/>
    <w:rsid w:val="008A3B52"/>
    <w:rsid w:val="008A3C12"/>
    <w:rsid w:val="008A400C"/>
    <w:rsid w:val="008A41B4"/>
    <w:rsid w:val="008A46EB"/>
    <w:rsid w:val="008A48E0"/>
    <w:rsid w:val="008A49C1"/>
    <w:rsid w:val="008A5463"/>
    <w:rsid w:val="008A54DE"/>
    <w:rsid w:val="008A5AD9"/>
    <w:rsid w:val="008A5E74"/>
    <w:rsid w:val="008A633A"/>
    <w:rsid w:val="008A6C6B"/>
    <w:rsid w:val="008A71E7"/>
    <w:rsid w:val="008A7DA8"/>
    <w:rsid w:val="008A7F2B"/>
    <w:rsid w:val="008B1200"/>
    <w:rsid w:val="008B13FD"/>
    <w:rsid w:val="008B1C42"/>
    <w:rsid w:val="008B1CCF"/>
    <w:rsid w:val="008B1D75"/>
    <w:rsid w:val="008B1E1A"/>
    <w:rsid w:val="008B1F45"/>
    <w:rsid w:val="008B2C68"/>
    <w:rsid w:val="008B2C80"/>
    <w:rsid w:val="008B326E"/>
    <w:rsid w:val="008B3352"/>
    <w:rsid w:val="008B3C72"/>
    <w:rsid w:val="008B3D73"/>
    <w:rsid w:val="008B3FA0"/>
    <w:rsid w:val="008B4579"/>
    <w:rsid w:val="008B474F"/>
    <w:rsid w:val="008B4D9B"/>
    <w:rsid w:val="008B503B"/>
    <w:rsid w:val="008B508F"/>
    <w:rsid w:val="008B560D"/>
    <w:rsid w:val="008B575E"/>
    <w:rsid w:val="008B577E"/>
    <w:rsid w:val="008B5800"/>
    <w:rsid w:val="008B5CFF"/>
    <w:rsid w:val="008B5E10"/>
    <w:rsid w:val="008B65D4"/>
    <w:rsid w:val="008B69D8"/>
    <w:rsid w:val="008B6B5D"/>
    <w:rsid w:val="008B6B80"/>
    <w:rsid w:val="008B72AD"/>
    <w:rsid w:val="008B7409"/>
    <w:rsid w:val="008B7633"/>
    <w:rsid w:val="008B765D"/>
    <w:rsid w:val="008B78B8"/>
    <w:rsid w:val="008B7FB3"/>
    <w:rsid w:val="008C01AE"/>
    <w:rsid w:val="008C08E9"/>
    <w:rsid w:val="008C1307"/>
    <w:rsid w:val="008C1343"/>
    <w:rsid w:val="008C1354"/>
    <w:rsid w:val="008C1801"/>
    <w:rsid w:val="008C200D"/>
    <w:rsid w:val="008C2046"/>
    <w:rsid w:val="008C2106"/>
    <w:rsid w:val="008C29EA"/>
    <w:rsid w:val="008C2A58"/>
    <w:rsid w:val="008C2ADE"/>
    <w:rsid w:val="008C2CAA"/>
    <w:rsid w:val="008C2D8B"/>
    <w:rsid w:val="008C36B5"/>
    <w:rsid w:val="008C41F6"/>
    <w:rsid w:val="008C4371"/>
    <w:rsid w:val="008C43EF"/>
    <w:rsid w:val="008C4523"/>
    <w:rsid w:val="008C497A"/>
    <w:rsid w:val="008C512E"/>
    <w:rsid w:val="008C5168"/>
    <w:rsid w:val="008C51F7"/>
    <w:rsid w:val="008C53A0"/>
    <w:rsid w:val="008C53E9"/>
    <w:rsid w:val="008C6147"/>
    <w:rsid w:val="008C629E"/>
    <w:rsid w:val="008C6EDB"/>
    <w:rsid w:val="008C6FC3"/>
    <w:rsid w:val="008C76F0"/>
    <w:rsid w:val="008C77DE"/>
    <w:rsid w:val="008C7B33"/>
    <w:rsid w:val="008C7CA7"/>
    <w:rsid w:val="008C7E75"/>
    <w:rsid w:val="008D0827"/>
    <w:rsid w:val="008D09CB"/>
    <w:rsid w:val="008D0E1E"/>
    <w:rsid w:val="008D1980"/>
    <w:rsid w:val="008D1C83"/>
    <w:rsid w:val="008D1EC1"/>
    <w:rsid w:val="008D1FBB"/>
    <w:rsid w:val="008D1FDA"/>
    <w:rsid w:val="008D2312"/>
    <w:rsid w:val="008D2AFF"/>
    <w:rsid w:val="008D2B2B"/>
    <w:rsid w:val="008D2D04"/>
    <w:rsid w:val="008D2F04"/>
    <w:rsid w:val="008D2F30"/>
    <w:rsid w:val="008D32E2"/>
    <w:rsid w:val="008D33E8"/>
    <w:rsid w:val="008D384C"/>
    <w:rsid w:val="008D3A64"/>
    <w:rsid w:val="008D3B03"/>
    <w:rsid w:val="008D402B"/>
    <w:rsid w:val="008D4204"/>
    <w:rsid w:val="008D443C"/>
    <w:rsid w:val="008D494D"/>
    <w:rsid w:val="008D4CBA"/>
    <w:rsid w:val="008D5879"/>
    <w:rsid w:val="008D590A"/>
    <w:rsid w:val="008D5CB9"/>
    <w:rsid w:val="008D69F1"/>
    <w:rsid w:val="008D6CAA"/>
    <w:rsid w:val="008D6DBE"/>
    <w:rsid w:val="008D6ECE"/>
    <w:rsid w:val="008D77FF"/>
    <w:rsid w:val="008E002A"/>
    <w:rsid w:val="008E017D"/>
    <w:rsid w:val="008E0226"/>
    <w:rsid w:val="008E07CC"/>
    <w:rsid w:val="008E0ECF"/>
    <w:rsid w:val="008E1112"/>
    <w:rsid w:val="008E1366"/>
    <w:rsid w:val="008E2111"/>
    <w:rsid w:val="008E22AD"/>
    <w:rsid w:val="008E261F"/>
    <w:rsid w:val="008E2D37"/>
    <w:rsid w:val="008E2D6C"/>
    <w:rsid w:val="008E2E6C"/>
    <w:rsid w:val="008E35A7"/>
    <w:rsid w:val="008E43BB"/>
    <w:rsid w:val="008E4A1F"/>
    <w:rsid w:val="008E5E8F"/>
    <w:rsid w:val="008E61D1"/>
    <w:rsid w:val="008E61FF"/>
    <w:rsid w:val="008E6959"/>
    <w:rsid w:val="008E6983"/>
    <w:rsid w:val="008E6C28"/>
    <w:rsid w:val="008E6C76"/>
    <w:rsid w:val="008E7019"/>
    <w:rsid w:val="008E7290"/>
    <w:rsid w:val="008E7B1A"/>
    <w:rsid w:val="008E7FBC"/>
    <w:rsid w:val="008F008F"/>
    <w:rsid w:val="008F00A1"/>
    <w:rsid w:val="008F09FE"/>
    <w:rsid w:val="008F1408"/>
    <w:rsid w:val="008F1937"/>
    <w:rsid w:val="008F1C39"/>
    <w:rsid w:val="008F1DFF"/>
    <w:rsid w:val="008F3127"/>
    <w:rsid w:val="008F34A3"/>
    <w:rsid w:val="008F35A6"/>
    <w:rsid w:val="008F3606"/>
    <w:rsid w:val="008F38F3"/>
    <w:rsid w:val="008F3B11"/>
    <w:rsid w:val="008F3E60"/>
    <w:rsid w:val="008F4086"/>
    <w:rsid w:val="008F42A7"/>
    <w:rsid w:val="008F43D5"/>
    <w:rsid w:val="008F44DA"/>
    <w:rsid w:val="008F4594"/>
    <w:rsid w:val="008F4817"/>
    <w:rsid w:val="008F4D77"/>
    <w:rsid w:val="008F514D"/>
    <w:rsid w:val="008F53C0"/>
    <w:rsid w:val="008F598D"/>
    <w:rsid w:val="008F59AC"/>
    <w:rsid w:val="008F5A1E"/>
    <w:rsid w:val="008F5D80"/>
    <w:rsid w:val="008F7409"/>
    <w:rsid w:val="008F7611"/>
    <w:rsid w:val="008F7649"/>
    <w:rsid w:val="008F76C4"/>
    <w:rsid w:val="008F7BF4"/>
    <w:rsid w:val="008F7C88"/>
    <w:rsid w:val="008F7E83"/>
    <w:rsid w:val="009000F2"/>
    <w:rsid w:val="0090050D"/>
    <w:rsid w:val="009009D5"/>
    <w:rsid w:val="009010DF"/>
    <w:rsid w:val="00901AF3"/>
    <w:rsid w:val="00901E74"/>
    <w:rsid w:val="00902121"/>
    <w:rsid w:val="009025E7"/>
    <w:rsid w:val="009028DD"/>
    <w:rsid w:val="00903089"/>
    <w:rsid w:val="00903E4F"/>
    <w:rsid w:val="009044F2"/>
    <w:rsid w:val="00904E98"/>
    <w:rsid w:val="00905053"/>
    <w:rsid w:val="00905419"/>
    <w:rsid w:val="00905776"/>
    <w:rsid w:val="0090577E"/>
    <w:rsid w:val="009057EA"/>
    <w:rsid w:val="0090623E"/>
    <w:rsid w:val="00906465"/>
    <w:rsid w:val="009066DF"/>
    <w:rsid w:val="009067D1"/>
    <w:rsid w:val="009068DF"/>
    <w:rsid w:val="00906904"/>
    <w:rsid w:val="00906EDE"/>
    <w:rsid w:val="0090741D"/>
    <w:rsid w:val="00907960"/>
    <w:rsid w:val="00907C9C"/>
    <w:rsid w:val="00910C52"/>
    <w:rsid w:val="009111AE"/>
    <w:rsid w:val="009111FC"/>
    <w:rsid w:val="0091149B"/>
    <w:rsid w:val="009115F4"/>
    <w:rsid w:val="0091165F"/>
    <w:rsid w:val="00911A0F"/>
    <w:rsid w:val="00911EA4"/>
    <w:rsid w:val="009131D3"/>
    <w:rsid w:val="00913412"/>
    <w:rsid w:val="00913576"/>
    <w:rsid w:val="00913CD4"/>
    <w:rsid w:val="00913DE5"/>
    <w:rsid w:val="00913F62"/>
    <w:rsid w:val="00914042"/>
    <w:rsid w:val="00914133"/>
    <w:rsid w:val="00914145"/>
    <w:rsid w:val="0091424A"/>
    <w:rsid w:val="0091499A"/>
    <w:rsid w:val="00914D82"/>
    <w:rsid w:val="009150A9"/>
    <w:rsid w:val="00915263"/>
    <w:rsid w:val="009153DD"/>
    <w:rsid w:val="00915A86"/>
    <w:rsid w:val="00915BDF"/>
    <w:rsid w:val="00915C6B"/>
    <w:rsid w:val="00915EC8"/>
    <w:rsid w:val="00915FF0"/>
    <w:rsid w:val="0091600F"/>
    <w:rsid w:val="009162C9"/>
    <w:rsid w:val="0091642B"/>
    <w:rsid w:val="00916661"/>
    <w:rsid w:val="00916863"/>
    <w:rsid w:val="00916D41"/>
    <w:rsid w:val="00916D58"/>
    <w:rsid w:val="00916ED1"/>
    <w:rsid w:val="0091711B"/>
    <w:rsid w:val="00917388"/>
    <w:rsid w:val="009179B2"/>
    <w:rsid w:val="00917B2A"/>
    <w:rsid w:val="00917D3C"/>
    <w:rsid w:val="00917E24"/>
    <w:rsid w:val="0092005F"/>
    <w:rsid w:val="00920139"/>
    <w:rsid w:val="00920A9A"/>
    <w:rsid w:val="00920B7E"/>
    <w:rsid w:val="00920FF5"/>
    <w:rsid w:val="009211FA"/>
    <w:rsid w:val="00921CEE"/>
    <w:rsid w:val="00921CF5"/>
    <w:rsid w:val="00921E64"/>
    <w:rsid w:val="00921F87"/>
    <w:rsid w:val="009222FB"/>
    <w:rsid w:val="0092234E"/>
    <w:rsid w:val="00922B0E"/>
    <w:rsid w:val="00922CC7"/>
    <w:rsid w:val="00922DF0"/>
    <w:rsid w:val="00923126"/>
    <w:rsid w:val="009244D3"/>
    <w:rsid w:val="00924810"/>
    <w:rsid w:val="009248DB"/>
    <w:rsid w:val="00925407"/>
    <w:rsid w:val="0092565D"/>
    <w:rsid w:val="0092569C"/>
    <w:rsid w:val="00925A9E"/>
    <w:rsid w:val="00925D0C"/>
    <w:rsid w:val="00925FBE"/>
    <w:rsid w:val="00926098"/>
    <w:rsid w:val="00926316"/>
    <w:rsid w:val="00926511"/>
    <w:rsid w:val="00926636"/>
    <w:rsid w:val="009266E8"/>
    <w:rsid w:val="0092692E"/>
    <w:rsid w:val="0092777F"/>
    <w:rsid w:val="00927AE8"/>
    <w:rsid w:val="00930115"/>
    <w:rsid w:val="0093055A"/>
    <w:rsid w:val="00930698"/>
    <w:rsid w:val="009306B2"/>
    <w:rsid w:val="00930799"/>
    <w:rsid w:val="00930CCB"/>
    <w:rsid w:val="00930EA1"/>
    <w:rsid w:val="009310E2"/>
    <w:rsid w:val="0093117A"/>
    <w:rsid w:val="009312D0"/>
    <w:rsid w:val="0093168F"/>
    <w:rsid w:val="00931913"/>
    <w:rsid w:val="00931C8F"/>
    <w:rsid w:val="00931EB8"/>
    <w:rsid w:val="00931F44"/>
    <w:rsid w:val="009320D9"/>
    <w:rsid w:val="00932170"/>
    <w:rsid w:val="00932209"/>
    <w:rsid w:val="0093220A"/>
    <w:rsid w:val="009322C2"/>
    <w:rsid w:val="00932A17"/>
    <w:rsid w:val="00932A68"/>
    <w:rsid w:val="00933225"/>
    <w:rsid w:val="0093325A"/>
    <w:rsid w:val="009335E4"/>
    <w:rsid w:val="009336B0"/>
    <w:rsid w:val="009338DE"/>
    <w:rsid w:val="0093396D"/>
    <w:rsid w:val="00933DDC"/>
    <w:rsid w:val="00933FC4"/>
    <w:rsid w:val="0093417F"/>
    <w:rsid w:val="00934214"/>
    <w:rsid w:val="00934416"/>
    <w:rsid w:val="009344FD"/>
    <w:rsid w:val="00934585"/>
    <w:rsid w:val="00934F3F"/>
    <w:rsid w:val="00935076"/>
    <w:rsid w:val="0093521F"/>
    <w:rsid w:val="00935600"/>
    <w:rsid w:val="00935E70"/>
    <w:rsid w:val="0093689B"/>
    <w:rsid w:val="009368FB"/>
    <w:rsid w:val="00936CF5"/>
    <w:rsid w:val="00937028"/>
    <w:rsid w:val="0093713A"/>
    <w:rsid w:val="009375FD"/>
    <w:rsid w:val="0093779C"/>
    <w:rsid w:val="009403BC"/>
    <w:rsid w:val="0094088E"/>
    <w:rsid w:val="00940B6F"/>
    <w:rsid w:val="00940C13"/>
    <w:rsid w:val="009410D0"/>
    <w:rsid w:val="0094122C"/>
    <w:rsid w:val="00941F38"/>
    <w:rsid w:val="00941F7A"/>
    <w:rsid w:val="009422B2"/>
    <w:rsid w:val="0094252F"/>
    <w:rsid w:val="00943279"/>
    <w:rsid w:val="00944562"/>
    <w:rsid w:val="00944563"/>
    <w:rsid w:val="00944636"/>
    <w:rsid w:val="0094478A"/>
    <w:rsid w:val="00944C31"/>
    <w:rsid w:val="00944E0E"/>
    <w:rsid w:val="00944EA6"/>
    <w:rsid w:val="00944EA7"/>
    <w:rsid w:val="00945C30"/>
    <w:rsid w:val="00945C59"/>
    <w:rsid w:val="00946787"/>
    <w:rsid w:val="00946AC9"/>
    <w:rsid w:val="00946C47"/>
    <w:rsid w:val="00947255"/>
    <w:rsid w:val="0094725C"/>
    <w:rsid w:val="00947918"/>
    <w:rsid w:val="00950034"/>
    <w:rsid w:val="0095062A"/>
    <w:rsid w:val="00950DD6"/>
    <w:rsid w:val="0095138F"/>
    <w:rsid w:val="00951916"/>
    <w:rsid w:val="00951B8C"/>
    <w:rsid w:val="00951B9D"/>
    <w:rsid w:val="00951DA2"/>
    <w:rsid w:val="00951F03"/>
    <w:rsid w:val="00952DE8"/>
    <w:rsid w:val="00953C7F"/>
    <w:rsid w:val="00953D25"/>
    <w:rsid w:val="009540B0"/>
    <w:rsid w:val="00954B9A"/>
    <w:rsid w:val="00955633"/>
    <w:rsid w:val="009556AB"/>
    <w:rsid w:val="00955967"/>
    <w:rsid w:val="00956556"/>
    <w:rsid w:val="00956C66"/>
    <w:rsid w:val="00956CEF"/>
    <w:rsid w:val="009578AF"/>
    <w:rsid w:val="00957E5D"/>
    <w:rsid w:val="009600A5"/>
    <w:rsid w:val="00960462"/>
    <w:rsid w:val="00960535"/>
    <w:rsid w:val="00960A1E"/>
    <w:rsid w:val="00960CB0"/>
    <w:rsid w:val="009613BF"/>
    <w:rsid w:val="009613D3"/>
    <w:rsid w:val="0096150D"/>
    <w:rsid w:val="00961A83"/>
    <w:rsid w:val="00961C36"/>
    <w:rsid w:val="00962626"/>
    <w:rsid w:val="009626D1"/>
    <w:rsid w:val="00962C95"/>
    <w:rsid w:val="009637BF"/>
    <w:rsid w:val="00963A84"/>
    <w:rsid w:val="00963C37"/>
    <w:rsid w:val="00963CC3"/>
    <w:rsid w:val="00964035"/>
    <w:rsid w:val="0096478B"/>
    <w:rsid w:val="0096482D"/>
    <w:rsid w:val="00964D8E"/>
    <w:rsid w:val="009651FF"/>
    <w:rsid w:val="00965CBE"/>
    <w:rsid w:val="009661C0"/>
    <w:rsid w:val="009662AA"/>
    <w:rsid w:val="00966548"/>
    <w:rsid w:val="00966B25"/>
    <w:rsid w:val="00967061"/>
    <w:rsid w:val="00967BD1"/>
    <w:rsid w:val="00967C45"/>
    <w:rsid w:val="00967FF3"/>
    <w:rsid w:val="00970685"/>
    <w:rsid w:val="00970B75"/>
    <w:rsid w:val="00970F48"/>
    <w:rsid w:val="00971738"/>
    <w:rsid w:val="00971F6E"/>
    <w:rsid w:val="00971F93"/>
    <w:rsid w:val="00972042"/>
    <w:rsid w:val="0097205E"/>
    <w:rsid w:val="00972898"/>
    <w:rsid w:val="00972902"/>
    <w:rsid w:val="00972BD0"/>
    <w:rsid w:val="00972D0C"/>
    <w:rsid w:val="00972DA1"/>
    <w:rsid w:val="00972E7E"/>
    <w:rsid w:val="00973867"/>
    <w:rsid w:val="00973C45"/>
    <w:rsid w:val="00973D19"/>
    <w:rsid w:val="00973E50"/>
    <w:rsid w:val="0097432B"/>
    <w:rsid w:val="00974662"/>
    <w:rsid w:val="00974B27"/>
    <w:rsid w:val="00974ED9"/>
    <w:rsid w:val="0097538E"/>
    <w:rsid w:val="00976074"/>
    <w:rsid w:val="009760A2"/>
    <w:rsid w:val="009761C4"/>
    <w:rsid w:val="00976327"/>
    <w:rsid w:val="009763BF"/>
    <w:rsid w:val="00976DF3"/>
    <w:rsid w:val="009775ED"/>
    <w:rsid w:val="00977712"/>
    <w:rsid w:val="00977856"/>
    <w:rsid w:val="00977C08"/>
    <w:rsid w:val="00980C18"/>
    <w:rsid w:val="00981135"/>
    <w:rsid w:val="00981554"/>
    <w:rsid w:val="009819DE"/>
    <w:rsid w:val="00981D10"/>
    <w:rsid w:val="00981E08"/>
    <w:rsid w:val="00981F44"/>
    <w:rsid w:val="00982784"/>
    <w:rsid w:val="00982FEB"/>
    <w:rsid w:val="009831E4"/>
    <w:rsid w:val="00983226"/>
    <w:rsid w:val="009832C7"/>
    <w:rsid w:val="00983392"/>
    <w:rsid w:val="009836B0"/>
    <w:rsid w:val="0098374B"/>
    <w:rsid w:val="00983946"/>
    <w:rsid w:val="00983AE6"/>
    <w:rsid w:val="00983CA4"/>
    <w:rsid w:val="009848D4"/>
    <w:rsid w:val="0098496D"/>
    <w:rsid w:val="00984C33"/>
    <w:rsid w:val="009855A3"/>
    <w:rsid w:val="009859B8"/>
    <w:rsid w:val="00985E3D"/>
    <w:rsid w:val="00985EC9"/>
    <w:rsid w:val="00986C27"/>
    <w:rsid w:val="00987276"/>
    <w:rsid w:val="0098747E"/>
    <w:rsid w:val="009878AD"/>
    <w:rsid w:val="009878FA"/>
    <w:rsid w:val="00987D09"/>
    <w:rsid w:val="00987D28"/>
    <w:rsid w:val="00990235"/>
    <w:rsid w:val="009905EA"/>
    <w:rsid w:val="009906A7"/>
    <w:rsid w:val="00990B6B"/>
    <w:rsid w:val="009914FE"/>
    <w:rsid w:val="009918CB"/>
    <w:rsid w:val="00991B21"/>
    <w:rsid w:val="00992414"/>
    <w:rsid w:val="009925CC"/>
    <w:rsid w:val="00992D32"/>
    <w:rsid w:val="00993075"/>
    <w:rsid w:val="00994307"/>
    <w:rsid w:val="0099494E"/>
    <w:rsid w:val="009949CB"/>
    <w:rsid w:val="00994B54"/>
    <w:rsid w:val="00994ED0"/>
    <w:rsid w:val="00994FB5"/>
    <w:rsid w:val="0099565F"/>
    <w:rsid w:val="00995985"/>
    <w:rsid w:val="009959F9"/>
    <w:rsid w:val="00995EA8"/>
    <w:rsid w:val="00995FEA"/>
    <w:rsid w:val="0099661F"/>
    <w:rsid w:val="009968A0"/>
    <w:rsid w:val="00997123"/>
    <w:rsid w:val="00997243"/>
    <w:rsid w:val="009976FA"/>
    <w:rsid w:val="009A03D0"/>
    <w:rsid w:val="009A08EB"/>
    <w:rsid w:val="009A0C9C"/>
    <w:rsid w:val="009A0CA7"/>
    <w:rsid w:val="009A0E9B"/>
    <w:rsid w:val="009A0EBA"/>
    <w:rsid w:val="009A1013"/>
    <w:rsid w:val="009A14F0"/>
    <w:rsid w:val="009A2194"/>
    <w:rsid w:val="009A2A02"/>
    <w:rsid w:val="009A2FE6"/>
    <w:rsid w:val="009A3494"/>
    <w:rsid w:val="009A3A0C"/>
    <w:rsid w:val="009A3A69"/>
    <w:rsid w:val="009A421F"/>
    <w:rsid w:val="009A4653"/>
    <w:rsid w:val="009A4DF1"/>
    <w:rsid w:val="009A4E5F"/>
    <w:rsid w:val="009A4FB8"/>
    <w:rsid w:val="009A51EE"/>
    <w:rsid w:val="009A52C3"/>
    <w:rsid w:val="009A600E"/>
    <w:rsid w:val="009A631C"/>
    <w:rsid w:val="009A6424"/>
    <w:rsid w:val="009A652D"/>
    <w:rsid w:val="009A68C7"/>
    <w:rsid w:val="009A6A42"/>
    <w:rsid w:val="009A6C95"/>
    <w:rsid w:val="009A72A4"/>
    <w:rsid w:val="009A73E0"/>
    <w:rsid w:val="009A7597"/>
    <w:rsid w:val="009A7907"/>
    <w:rsid w:val="009B0058"/>
    <w:rsid w:val="009B04B0"/>
    <w:rsid w:val="009B0572"/>
    <w:rsid w:val="009B102B"/>
    <w:rsid w:val="009B1210"/>
    <w:rsid w:val="009B141D"/>
    <w:rsid w:val="009B164B"/>
    <w:rsid w:val="009B185A"/>
    <w:rsid w:val="009B186F"/>
    <w:rsid w:val="009B1EEA"/>
    <w:rsid w:val="009B20DC"/>
    <w:rsid w:val="009B2324"/>
    <w:rsid w:val="009B2A1C"/>
    <w:rsid w:val="009B2DFD"/>
    <w:rsid w:val="009B30E8"/>
    <w:rsid w:val="009B30F3"/>
    <w:rsid w:val="009B3193"/>
    <w:rsid w:val="009B32A5"/>
    <w:rsid w:val="009B3B65"/>
    <w:rsid w:val="009B3CFF"/>
    <w:rsid w:val="009B4C67"/>
    <w:rsid w:val="009B5369"/>
    <w:rsid w:val="009B552C"/>
    <w:rsid w:val="009B5A3A"/>
    <w:rsid w:val="009B5E8C"/>
    <w:rsid w:val="009B5F3B"/>
    <w:rsid w:val="009B5FAE"/>
    <w:rsid w:val="009B6621"/>
    <w:rsid w:val="009B6E84"/>
    <w:rsid w:val="009B7B14"/>
    <w:rsid w:val="009C00CB"/>
    <w:rsid w:val="009C0831"/>
    <w:rsid w:val="009C0849"/>
    <w:rsid w:val="009C0F4C"/>
    <w:rsid w:val="009C1545"/>
    <w:rsid w:val="009C1B6B"/>
    <w:rsid w:val="009C1C1B"/>
    <w:rsid w:val="009C1EE6"/>
    <w:rsid w:val="009C2246"/>
    <w:rsid w:val="009C2925"/>
    <w:rsid w:val="009C306C"/>
    <w:rsid w:val="009C35A5"/>
    <w:rsid w:val="009C3C4E"/>
    <w:rsid w:val="009C3CFB"/>
    <w:rsid w:val="009C3E96"/>
    <w:rsid w:val="009C4221"/>
    <w:rsid w:val="009C471F"/>
    <w:rsid w:val="009C4D49"/>
    <w:rsid w:val="009C5CEC"/>
    <w:rsid w:val="009C5D4A"/>
    <w:rsid w:val="009C604B"/>
    <w:rsid w:val="009C61A8"/>
    <w:rsid w:val="009C6305"/>
    <w:rsid w:val="009C6417"/>
    <w:rsid w:val="009C66CD"/>
    <w:rsid w:val="009C68E2"/>
    <w:rsid w:val="009C6C08"/>
    <w:rsid w:val="009C6FCE"/>
    <w:rsid w:val="009C6FFA"/>
    <w:rsid w:val="009C73FC"/>
    <w:rsid w:val="009C752B"/>
    <w:rsid w:val="009C7A9C"/>
    <w:rsid w:val="009C7BD6"/>
    <w:rsid w:val="009D00E5"/>
    <w:rsid w:val="009D02C1"/>
    <w:rsid w:val="009D08BB"/>
    <w:rsid w:val="009D1103"/>
    <w:rsid w:val="009D1138"/>
    <w:rsid w:val="009D12D1"/>
    <w:rsid w:val="009D162D"/>
    <w:rsid w:val="009D17A7"/>
    <w:rsid w:val="009D1CA7"/>
    <w:rsid w:val="009D1E34"/>
    <w:rsid w:val="009D1E56"/>
    <w:rsid w:val="009D1ED9"/>
    <w:rsid w:val="009D27FB"/>
    <w:rsid w:val="009D2A9A"/>
    <w:rsid w:val="009D2C12"/>
    <w:rsid w:val="009D30D3"/>
    <w:rsid w:val="009D3276"/>
    <w:rsid w:val="009D3290"/>
    <w:rsid w:val="009D3398"/>
    <w:rsid w:val="009D345A"/>
    <w:rsid w:val="009D347C"/>
    <w:rsid w:val="009D349F"/>
    <w:rsid w:val="009D3749"/>
    <w:rsid w:val="009D37EF"/>
    <w:rsid w:val="009D39AD"/>
    <w:rsid w:val="009D3A1D"/>
    <w:rsid w:val="009D3DAB"/>
    <w:rsid w:val="009D4419"/>
    <w:rsid w:val="009D4855"/>
    <w:rsid w:val="009D4A80"/>
    <w:rsid w:val="009D4C85"/>
    <w:rsid w:val="009D56BD"/>
    <w:rsid w:val="009D5864"/>
    <w:rsid w:val="009D6143"/>
    <w:rsid w:val="009D65E8"/>
    <w:rsid w:val="009D6AB4"/>
    <w:rsid w:val="009D6CF4"/>
    <w:rsid w:val="009D6FFE"/>
    <w:rsid w:val="009D72C6"/>
    <w:rsid w:val="009D7570"/>
    <w:rsid w:val="009D7AA1"/>
    <w:rsid w:val="009D7C3E"/>
    <w:rsid w:val="009D7E10"/>
    <w:rsid w:val="009D7FAA"/>
    <w:rsid w:val="009E0CAB"/>
    <w:rsid w:val="009E1014"/>
    <w:rsid w:val="009E1179"/>
    <w:rsid w:val="009E1FB7"/>
    <w:rsid w:val="009E2120"/>
    <w:rsid w:val="009E218B"/>
    <w:rsid w:val="009E2292"/>
    <w:rsid w:val="009E229D"/>
    <w:rsid w:val="009E23DA"/>
    <w:rsid w:val="009E26F3"/>
    <w:rsid w:val="009E27C9"/>
    <w:rsid w:val="009E28DD"/>
    <w:rsid w:val="009E2EA9"/>
    <w:rsid w:val="009E2FF9"/>
    <w:rsid w:val="009E35F8"/>
    <w:rsid w:val="009E372F"/>
    <w:rsid w:val="009E3B75"/>
    <w:rsid w:val="009E3E19"/>
    <w:rsid w:val="009E4144"/>
    <w:rsid w:val="009E4886"/>
    <w:rsid w:val="009E4E2A"/>
    <w:rsid w:val="009E5BFB"/>
    <w:rsid w:val="009E628C"/>
    <w:rsid w:val="009E68B7"/>
    <w:rsid w:val="009E68DB"/>
    <w:rsid w:val="009E6D88"/>
    <w:rsid w:val="009E7146"/>
    <w:rsid w:val="009E7439"/>
    <w:rsid w:val="009E7615"/>
    <w:rsid w:val="009E7866"/>
    <w:rsid w:val="009E7881"/>
    <w:rsid w:val="009E7932"/>
    <w:rsid w:val="009E7B0E"/>
    <w:rsid w:val="009E7D18"/>
    <w:rsid w:val="009F01B1"/>
    <w:rsid w:val="009F0251"/>
    <w:rsid w:val="009F0696"/>
    <w:rsid w:val="009F08AF"/>
    <w:rsid w:val="009F0F49"/>
    <w:rsid w:val="009F0F9F"/>
    <w:rsid w:val="009F1017"/>
    <w:rsid w:val="009F1EC2"/>
    <w:rsid w:val="009F2470"/>
    <w:rsid w:val="009F253D"/>
    <w:rsid w:val="009F260D"/>
    <w:rsid w:val="009F3B6A"/>
    <w:rsid w:val="009F4E3F"/>
    <w:rsid w:val="009F509B"/>
    <w:rsid w:val="009F51D1"/>
    <w:rsid w:val="009F57BC"/>
    <w:rsid w:val="009F5A9E"/>
    <w:rsid w:val="009F5E1A"/>
    <w:rsid w:val="009F6008"/>
    <w:rsid w:val="009F62BC"/>
    <w:rsid w:val="009F648F"/>
    <w:rsid w:val="009F68C2"/>
    <w:rsid w:val="009F6927"/>
    <w:rsid w:val="009F6B68"/>
    <w:rsid w:val="009F78D2"/>
    <w:rsid w:val="00A0014E"/>
    <w:rsid w:val="00A001C1"/>
    <w:rsid w:val="00A00455"/>
    <w:rsid w:val="00A00756"/>
    <w:rsid w:val="00A00AB6"/>
    <w:rsid w:val="00A00B42"/>
    <w:rsid w:val="00A00D34"/>
    <w:rsid w:val="00A00D54"/>
    <w:rsid w:val="00A00DCE"/>
    <w:rsid w:val="00A01287"/>
    <w:rsid w:val="00A01FA9"/>
    <w:rsid w:val="00A02515"/>
    <w:rsid w:val="00A02A28"/>
    <w:rsid w:val="00A02CD8"/>
    <w:rsid w:val="00A02DAE"/>
    <w:rsid w:val="00A031E2"/>
    <w:rsid w:val="00A033D8"/>
    <w:rsid w:val="00A034D7"/>
    <w:rsid w:val="00A036DE"/>
    <w:rsid w:val="00A03D6A"/>
    <w:rsid w:val="00A048D6"/>
    <w:rsid w:val="00A04F63"/>
    <w:rsid w:val="00A05575"/>
    <w:rsid w:val="00A05A79"/>
    <w:rsid w:val="00A05EDC"/>
    <w:rsid w:val="00A05F1C"/>
    <w:rsid w:val="00A05F5D"/>
    <w:rsid w:val="00A06131"/>
    <w:rsid w:val="00A067D4"/>
    <w:rsid w:val="00A069C7"/>
    <w:rsid w:val="00A06B39"/>
    <w:rsid w:val="00A070B9"/>
    <w:rsid w:val="00A07262"/>
    <w:rsid w:val="00A07596"/>
    <w:rsid w:val="00A0768C"/>
    <w:rsid w:val="00A07EF1"/>
    <w:rsid w:val="00A10128"/>
    <w:rsid w:val="00A10ABE"/>
    <w:rsid w:val="00A11085"/>
    <w:rsid w:val="00A110B7"/>
    <w:rsid w:val="00A112C1"/>
    <w:rsid w:val="00A1137E"/>
    <w:rsid w:val="00A118A3"/>
    <w:rsid w:val="00A1195A"/>
    <w:rsid w:val="00A1199D"/>
    <w:rsid w:val="00A11A43"/>
    <w:rsid w:val="00A11A95"/>
    <w:rsid w:val="00A11AEF"/>
    <w:rsid w:val="00A11C32"/>
    <w:rsid w:val="00A11F83"/>
    <w:rsid w:val="00A126C4"/>
    <w:rsid w:val="00A12924"/>
    <w:rsid w:val="00A12A72"/>
    <w:rsid w:val="00A12A85"/>
    <w:rsid w:val="00A12CE2"/>
    <w:rsid w:val="00A13213"/>
    <w:rsid w:val="00A133B5"/>
    <w:rsid w:val="00A1361A"/>
    <w:rsid w:val="00A13874"/>
    <w:rsid w:val="00A13A5F"/>
    <w:rsid w:val="00A13C17"/>
    <w:rsid w:val="00A13C53"/>
    <w:rsid w:val="00A14180"/>
    <w:rsid w:val="00A1418E"/>
    <w:rsid w:val="00A14556"/>
    <w:rsid w:val="00A14B21"/>
    <w:rsid w:val="00A14E78"/>
    <w:rsid w:val="00A156BC"/>
    <w:rsid w:val="00A1585C"/>
    <w:rsid w:val="00A15952"/>
    <w:rsid w:val="00A15DFF"/>
    <w:rsid w:val="00A16069"/>
    <w:rsid w:val="00A160B3"/>
    <w:rsid w:val="00A16260"/>
    <w:rsid w:val="00A16459"/>
    <w:rsid w:val="00A17259"/>
    <w:rsid w:val="00A1783E"/>
    <w:rsid w:val="00A17B2E"/>
    <w:rsid w:val="00A17B6F"/>
    <w:rsid w:val="00A17CA5"/>
    <w:rsid w:val="00A20293"/>
    <w:rsid w:val="00A2040D"/>
    <w:rsid w:val="00A20517"/>
    <w:rsid w:val="00A219C7"/>
    <w:rsid w:val="00A21C92"/>
    <w:rsid w:val="00A21D84"/>
    <w:rsid w:val="00A22266"/>
    <w:rsid w:val="00A2244B"/>
    <w:rsid w:val="00A22753"/>
    <w:rsid w:val="00A229FB"/>
    <w:rsid w:val="00A22C79"/>
    <w:rsid w:val="00A238F0"/>
    <w:rsid w:val="00A23AE6"/>
    <w:rsid w:val="00A240F4"/>
    <w:rsid w:val="00A242C3"/>
    <w:rsid w:val="00A24375"/>
    <w:rsid w:val="00A24423"/>
    <w:rsid w:val="00A24980"/>
    <w:rsid w:val="00A24C43"/>
    <w:rsid w:val="00A250AD"/>
    <w:rsid w:val="00A2517A"/>
    <w:rsid w:val="00A254C2"/>
    <w:rsid w:val="00A25561"/>
    <w:rsid w:val="00A25574"/>
    <w:rsid w:val="00A25602"/>
    <w:rsid w:val="00A25A52"/>
    <w:rsid w:val="00A25B06"/>
    <w:rsid w:val="00A2638B"/>
    <w:rsid w:val="00A26488"/>
    <w:rsid w:val="00A26705"/>
    <w:rsid w:val="00A268A6"/>
    <w:rsid w:val="00A268DC"/>
    <w:rsid w:val="00A26AC4"/>
    <w:rsid w:val="00A27572"/>
    <w:rsid w:val="00A279D5"/>
    <w:rsid w:val="00A27AF0"/>
    <w:rsid w:val="00A305EE"/>
    <w:rsid w:val="00A30995"/>
    <w:rsid w:val="00A30DD6"/>
    <w:rsid w:val="00A3122E"/>
    <w:rsid w:val="00A315F1"/>
    <w:rsid w:val="00A31861"/>
    <w:rsid w:val="00A31E95"/>
    <w:rsid w:val="00A31E9B"/>
    <w:rsid w:val="00A32764"/>
    <w:rsid w:val="00A3291B"/>
    <w:rsid w:val="00A32AA2"/>
    <w:rsid w:val="00A32D69"/>
    <w:rsid w:val="00A33171"/>
    <w:rsid w:val="00A331CF"/>
    <w:rsid w:val="00A337E1"/>
    <w:rsid w:val="00A33E06"/>
    <w:rsid w:val="00A33E97"/>
    <w:rsid w:val="00A33F12"/>
    <w:rsid w:val="00A34071"/>
    <w:rsid w:val="00A345DE"/>
    <w:rsid w:val="00A34D96"/>
    <w:rsid w:val="00A3561F"/>
    <w:rsid w:val="00A35635"/>
    <w:rsid w:val="00A356AF"/>
    <w:rsid w:val="00A35847"/>
    <w:rsid w:val="00A3604B"/>
    <w:rsid w:val="00A3656A"/>
    <w:rsid w:val="00A366EB"/>
    <w:rsid w:val="00A36B72"/>
    <w:rsid w:val="00A36DDE"/>
    <w:rsid w:val="00A379A2"/>
    <w:rsid w:val="00A37ED9"/>
    <w:rsid w:val="00A4014C"/>
    <w:rsid w:val="00A409E0"/>
    <w:rsid w:val="00A40B58"/>
    <w:rsid w:val="00A41225"/>
    <w:rsid w:val="00A41956"/>
    <w:rsid w:val="00A41D92"/>
    <w:rsid w:val="00A4205E"/>
    <w:rsid w:val="00A421A1"/>
    <w:rsid w:val="00A42636"/>
    <w:rsid w:val="00A42FB6"/>
    <w:rsid w:val="00A4370E"/>
    <w:rsid w:val="00A4375E"/>
    <w:rsid w:val="00A44068"/>
    <w:rsid w:val="00A448BC"/>
    <w:rsid w:val="00A44ADA"/>
    <w:rsid w:val="00A44C9E"/>
    <w:rsid w:val="00A4524D"/>
    <w:rsid w:val="00A452FE"/>
    <w:rsid w:val="00A45A7D"/>
    <w:rsid w:val="00A45C02"/>
    <w:rsid w:val="00A45DF6"/>
    <w:rsid w:val="00A4652B"/>
    <w:rsid w:val="00A4704A"/>
    <w:rsid w:val="00A470FA"/>
    <w:rsid w:val="00A47103"/>
    <w:rsid w:val="00A4789B"/>
    <w:rsid w:val="00A4791E"/>
    <w:rsid w:val="00A47954"/>
    <w:rsid w:val="00A47AA4"/>
    <w:rsid w:val="00A47DAE"/>
    <w:rsid w:val="00A47F21"/>
    <w:rsid w:val="00A505AF"/>
    <w:rsid w:val="00A505B8"/>
    <w:rsid w:val="00A509F4"/>
    <w:rsid w:val="00A50A3A"/>
    <w:rsid w:val="00A50B09"/>
    <w:rsid w:val="00A50C9A"/>
    <w:rsid w:val="00A50EF7"/>
    <w:rsid w:val="00A50EFB"/>
    <w:rsid w:val="00A50F65"/>
    <w:rsid w:val="00A50FAA"/>
    <w:rsid w:val="00A5150D"/>
    <w:rsid w:val="00A5199D"/>
    <w:rsid w:val="00A51FD6"/>
    <w:rsid w:val="00A52566"/>
    <w:rsid w:val="00A529DB"/>
    <w:rsid w:val="00A52CF8"/>
    <w:rsid w:val="00A52DFB"/>
    <w:rsid w:val="00A5307A"/>
    <w:rsid w:val="00A53138"/>
    <w:rsid w:val="00A5331F"/>
    <w:rsid w:val="00A53335"/>
    <w:rsid w:val="00A534D0"/>
    <w:rsid w:val="00A53716"/>
    <w:rsid w:val="00A539F7"/>
    <w:rsid w:val="00A53ABB"/>
    <w:rsid w:val="00A53D7C"/>
    <w:rsid w:val="00A540B0"/>
    <w:rsid w:val="00A549A1"/>
    <w:rsid w:val="00A5501F"/>
    <w:rsid w:val="00A55368"/>
    <w:rsid w:val="00A56E6B"/>
    <w:rsid w:val="00A57468"/>
    <w:rsid w:val="00A57F0C"/>
    <w:rsid w:val="00A605B6"/>
    <w:rsid w:val="00A6082B"/>
    <w:rsid w:val="00A61164"/>
    <w:rsid w:val="00A618AB"/>
    <w:rsid w:val="00A61BB0"/>
    <w:rsid w:val="00A61BC2"/>
    <w:rsid w:val="00A61BD4"/>
    <w:rsid w:val="00A62165"/>
    <w:rsid w:val="00A62238"/>
    <w:rsid w:val="00A6280C"/>
    <w:rsid w:val="00A62BBF"/>
    <w:rsid w:val="00A62BD8"/>
    <w:rsid w:val="00A62C6C"/>
    <w:rsid w:val="00A6358D"/>
    <w:rsid w:val="00A636BA"/>
    <w:rsid w:val="00A641A6"/>
    <w:rsid w:val="00A64680"/>
    <w:rsid w:val="00A64948"/>
    <w:rsid w:val="00A64B15"/>
    <w:rsid w:val="00A64DBA"/>
    <w:rsid w:val="00A65030"/>
    <w:rsid w:val="00A650D5"/>
    <w:rsid w:val="00A65341"/>
    <w:rsid w:val="00A6558A"/>
    <w:rsid w:val="00A65C36"/>
    <w:rsid w:val="00A65E08"/>
    <w:rsid w:val="00A65E68"/>
    <w:rsid w:val="00A65EF3"/>
    <w:rsid w:val="00A66A32"/>
    <w:rsid w:val="00A66C8E"/>
    <w:rsid w:val="00A66E35"/>
    <w:rsid w:val="00A673E4"/>
    <w:rsid w:val="00A6766E"/>
    <w:rsid w:val="00A67850"/>
    <w:rsid w:val="00A67C88"/>
    <w:rsid w:val="00A67D36"/>
    <w:rsid w:val="00A704EF"/>
    <w:rsid w:val="00A71491"/>
    <w:rsid w:val="00A71821"/>
    <w:rsid w:val="00A718BC"/>
    <w:rsid w:val="00A71B1D"/>
    <w:rsid w:val="00A71D1E"/>
    <w:rsid w:val="00A72185"/>
    <w:rsid w:val="00A72244"/>
    <w:rsid w:val="00A728DB"/>
    <w:rsid w:val="00A72A5A"/>
    <w:rsid w:val="00A72BD9"/>
    <w:rsid w:val="00A73A69"/>
    <w:rsid w:val="00A73C11"/>
    <w:rsid w:val="00A7447E"/>
    <w:rsid w:val="00A74616"/>
    <w:rsid w:val="00A7483F"/>
    <w:rsid w:val="00A74AB0"/>
    <w:rsid w:val="00A74B2F"/>
    <w:rsid w:val="00A74FA4"/>
    <w:rsid w:val="00A7505C"/>
    <w:rsid w:val="00A75175"/>
    <w:rsid w:val="00A754AF"/>
    <w:rsid w:val="00A75C17"/>
    <w:rsid w:val="00A75E97"/>
    <w:rsid w:val="00A7605B"/>
    <w:rsid w:val="00A76095"/>
    <w:rsid w:val="00A76127"/>
    <w:rsid w:val="00A761D5"/>
    <w:rsid w:val="00A76400"/>
    <w:rsid w:val="00A76453"/>
    <w:rsid w:val="00A76936"/>
    <w:rsid w:val="00A76EB9"/>
    <w:rsid w:val="00A772A3"/>
    <w:rsid w:val="00A772E3"/>
    <w:rsid w:val="00A7750A"/>
    <w:rsid w:val="00A7785A"/>
    <w:rsid w:val="00A80232"/>
    <w:rsid w:val="00A80BDE"/>
    <w:rsid w:val="00A80D3B"/>
    <w:rsid w:val="00A8104D"/>
    <w:rsid w:val="00A811BF"/>
    <w:rsid w:val="00A812C1"/>
    <w:rsid w:val="00A816F0"/>
    <w:rsid w:val="00A817DB"/>
    <w:rsid w:val="00A81BA8"/>
    <w:rsid w:val="00A81C1C"/>
    <w:rsid w:val="00A81F74"/>
    <w:rsid w:val="00A81F92"/>
    <w:rsid w:val="00A827B6"/>
    <w:rsid w:val="00A827EB"/>
    <w:rsid w:val="00A82BC1"/>
    <w:rsid w:val="00A830A6"/>
    <w:rsid w:val="00A83AC4"/>
    <w:rsid w:val="00A846D0"/>
    <w:rsid w:val="00A84CDB"/>
    <w:rsid w:val="00A84E26"/>
    <w:rsid w:val="00A85745"/>
    <w:rsid w:val="00A85C27"/>
    <w:rsid w:val="00A86758"/>
    <w:rsid w:val="00A86A21"/>
    <w:rsid w:val="00A9005B"/>
    <w:rsid w:val="00A909DB"/>
    <w:rsid w:val="00A90C4E"/>
    <w:rsid w:val="00A90D26"/>
    <w:rsid w:val="00A90DAD"/>
    <w:rsid w:val="00A90F5B"/>
    <w:rsid w:val="00A91300"/>
    <w:rsid w:val="00A91324"/>
    <w:rsid w:val="00A9152D"/>
    <w:rsid w:val="00A915C7"/>
    <w:rsid w:val="00A91BE2"/>
    <w:rsid w:val="00A9248E"/>
    <w:rsid w:val="00A929D2"/>
    <w:rsid w:val="00A92C08"/>
    <w:rsid w:val="00A93970"/>
    <w:rsid w:val="00A93B5F"/>
    <w:rsid w:val="00A94453"/>
    <w:rsid w:val="00A94739"/>
    <w:rsid w:val="00A94825"/>
    <w:rsid w:val="00A94D21"/>
    <w:rsid w:val="00A94E52"/>
    <w:rsid w:val="00A95057"/>
    <w:rsid w:val="00A95501"/>
    <w:rsid w:val="00A9567F"/>
    <w:rsid w:val="00A9589E"/>
    <w:rsid w:val="00A959B9"/>
    <w:rsid w:val="00A95B9E"/>
    <w:rsid w:val="00A95CB9"/>
    <w:rsid w:val="00A95F4A"/>
    <w:rsid w:val="00A967C1"/>
    <w:rsid w:val="00A967D8"/>
    <w:rsid w:val="00A97165"/>
    <w:rsid w:val="00A972BF"/>
    <w:rsid w:val="00A97609"/>
    <w:rsid w:val="00AA02BD"/>
    <w:rsid w:val="00AA0AD7"/>
    <w:rsid w:val="00AA10FE"/>
    <w:rsid w:val="00AA1224"/>
    <w:rsid w:val="00AA1893"/>
    <w:rsid w:val="00AA1FBE"/>
    <w:rsid w:val="00AA23DF"/>
    <w:rsid w:val="00AA2517"/>
    <w:rsid w:val="00AA2DBA"/>
    <w:rsid w:val="00AA2E99"/>
    <w:rsid w:val="00AA3493"/>
    <w:rsid w:val="00AA37A3"/>
    <w:rsid w:val="00AA3EB4"/>
    <w:rsid w:val="00AA4676"/>
    <w:rsid w:val="00AA4B12"/>
    <w:rsid w:val="00AA4D54"/>
    <w:rsid w:val="00AA51C5"/>
    <w:rsid w:val="00AA5875"/>
    <w:rsid w:val="00AA5CEA"/>
    <w:rsid w:val="00AA5D25"/>
    <w:rsid w:val="00AA6005"/>
    <w:rsid w:val="00AA64F3"/>
    <w:rsid w:val="00AA6D61"/>
    <w:rsid w:val="00AA705F"/>
    <w:rsid w:val="00AA78F3"/>
    <w:rsid w:val="00AA7A3F"/>
    <w:rsid w:val="00AB0134"/>
    <w:rsid w:val="00AB0A04"/>
    <w:rsid w:val="00AB0B2B"/>
    <w:rsid w:val="00AB1156"/>
    <w:rsid w:val="00AB13D7"/>
    <w:rsid w:val="00AB18D7"/>
    <w:rsid w:val="00AB1B8F"/>
    <w:rsid w:val="00AB1C93"/>
    <w:rsid w:val="00AB208F"/>
    <w:rsid w:val="00AB2150"/>
    <w:rsid w:val="00AB244A"/>
    <w:rsid w:val="00AB2484"/>
    <w:rsid w:val="00AB2F1B"/>
    <w:rsid w:val="00AB413D"/>
    <w:rsid w:val="00AB441F"/>
    <w:rsid w:val="00AB4FFD"/>
    <w:rsid w:val="00AB5047"/>
    <w:rsid w:val="00AB5262"/>
    <w:rsid w:val="00AB5700"/>
    <w:rsid w:val="00AB5738"/>
    <w:rsid w:val="00AB590F"/>
    <w:rsid w:val="00AB5F28"/>
    <w:rsid w:val="00AB6719"/>
    <w:rsid w:val="00AB7A02"/>
    <w:rsid w:val="00AB7ADF"/>
    <w:rsid w:val="00AC066A"/>
    <w:rsid w:val="00AC0813"/>
    <w:rsid w:val="00AC0AFB"/>
    <w:rsid w:val="00AC0FB9"/>
    <w:rsid w:val="00AC11DD"/>
    <w:rsid w:val="00AC1385"/>
    <w:rsid w:val="00AC16E6"/>
    <w:rsid w:val="00AC1BF8"/>
    <w:rsid w:val="00AC237D"/>
    <w:rsid w:val="00AC2565"/>
    <w:rsid w:val="00AC2CEB"/>
    <w:rsid w:val="00AC2FB8"/>
    <w:rsid w:val="00AC308C"/>
    <w:rsid w:val="00AC37B8"/>
    <w:rsid w:val="00AC3BAB"/>
    <w:rsid w:val="00AC3E91"/>
    <w:rsid w:val="00AC3FF6"/>
    <w:rsid w:val="00AC41CE"/>
    <w:rsid w:val="00AC41CF"/>
    <w:rsid w:val="00AC426C"/>
    <w:rsid w:val="00AC42FB"/>
    <w:rsid w:val="00AC453F"/>
    <w:rsid w:val="00AC45DF"/>
    <w:rsid w:val="00AC516F"/>
    <w:rsid w:val="00AC52E9"/>
    <w:rsid w:val="00AC5477"/>
    <w:rsid w:val="00AC591D"/>
    <w:rsid w:val="00AC654F"/>
    <w:rsid w:val="00AC6A3A"/>
    <w:rsid w:val="00AC6E19"/>
    <w:rsid w:val="00AC74A9"/>
    <w:rsid w:val="00AC7D6C"/>
    <w:rsid w:val="00AC7F3E"/>
    <w:rsid w:val="00AD0207"/>
    <w:rsid w:val="00AD02C5"/>
    <w:rsid w:val="00AD05E7"/>
    <w:rsid w:val="00AD0BCA"/>
    <w:rsid w:val="00AD134C"/>
    <w:rsid w:val="00AD140F"/>
    <w:rsid w:val="00AD147C"/>
    <w:rsid w:val="00AD1611"/>
    <w:rsid w:val="00AD1799"/>
    <w:rsid w:val="00AD1999"/>
    <w:rsid w:val="00AD1F4F"/>
    <w:rsid w:val="00AD21D3"/>
    <w:rsid w:val="00AD2323"/>
    <w:rsid w:val="00AD246F"/>
    <w:rsid w:val="00AD2536"/>
    <w:rsid w:val="00AD2598"/>
    <w:rsid w:val="00AD3D7F"/>
    <w:rsid w:val="00AD3E9B"/>
    <w:rsid w:val="00AD3FEE"/>
    <w:rsid w:val="00AD41F8"/>
    <w:rsid w:val="00AD4892"/>
    <w:rsid w:val="00AD4F90"/>
    <w:rsid w:val="00AD4FB2"/>
    <w:rsid w:val="00AD5769"/>
    <w:rsid w:val="00AD5E86"/>
    <w:rsid w:val="00AD6320"/>
    <w:rsid w:val="00AD63D5"/>
    <w:rsid w:val="00AD68AE"/>
    <w:rsid w:val="00AD6DC7"/>
    <w:rsid w:val="00AD73D3"/>
    <w:rsid w:val="00AD7767"/>
    <w:rsid w:val="00AD7D18"/>
    <w:rsid w:val="00AD7EBD"/>
    <w:rsid w:val="00AD7F36"/>
    <w:rsid w:val="00AE016A"/>
    <w:rsid w:val="00AE0A1A"/>
    <w:rsid w:val="00AE0A64"/>
    <w:rsid w:val="00AE0DD1"/>
    <w:rsid w:val="00AE0FB0"/>
    <w:rsid w:val="00AE0FF1"/>
    <w:rsid w:val="00AE1235"/>
    <w:rsid w:val="00AE18FE"/>
    <w:rsid w:val="00AE1ABA"/>
    <w:rsid w:val="00AE1C41"/>
    <w:rsid w:val="00AE2533"/>
    <w:rsid w:val="00AE25F8"/>
    <w:rsid w:val="00AE2843"/>
    <w:rsid w:val="00AE2B18"/>
    <w:rsid w:val="00AE2C8B"/>
    <w:rsid w:val="00AE2F37"/>
    <w:rsid w:val="00AE2FAC"/>
    <w:rsid w:val="00AE3000"/>
    <w:rsid w:val="00AE3136"/>
    <w:rsid w:val="00AE3E60"/>
    <w:rsid w:val="00AE3FB9"/>
    <w:rsid w:val="00AE40C7"/>
    <w:rsid w:val="00AE41B8"/>
    <w:rsid w:val="00AE42A6"/>
    <w:rsid w:val="00AE51A5"/>
    <w:rsid w:val="00AE5280"/>
    <w:rsid w:val="00AE541C"/>
    <w:rsid w:val="00AE560E"/>
    <w:rsid w:val="00AE5857"/>
    <w:rsid w:val="00AE5C4F"/>
    <w:rsid w:val="00AE5DFF"/>
    <w:rsid w:val="00AE61CC"/>
    <w:rsid w:val="00AE6AD4"/>
    <w:rsid w:val="00AE72AD"/>
    <w:rsid w:val="00AE746C"/>
    <w:rsid w:val="00AE7544"/>
    <w:rsid w:val="00AE75AF"/>
    <w:rsid w:val="00AE77D9"/>
    <w:rsid w:val="00AE7F6E"/>
    <w:rsid w:val="00AF0668"/>
    <w:rsid w:val="00AF0D18"/>
    <w:rsid w:val="00AF0DB3"/>
    <w:rsid w:val="00AF0E1F"/>
    <w:rsid w:val="00AF1089"/>
    <w:rsid w:val="00AF12FA"/>
    <w:rsid w:val="00AF1438"/>
    <w:rsid w:val="00AF145D"/>
    <w:rsid w:val="00AF185A"/>
    <w:rsid w:val="00AF191C"/>
    <w:rsid w:val="00AF19F7"/>
    <w:rsid w:val="00AF208E"/>
    <w:rsid w:val="00AF28EA"/>
    <w:rsid w:val="00AF29ED"/>
    <w:rsid w:val="00AF30E4"/>
    <w:rsid w:val="00AF3417"/>
    <w:rsid w:val="00AF34D1"/>
    <w:rsid w:val="00AF35A4"/>
    <w:rsid w:val="00AF3E5F"/>
    <w:rsid w:val="00AF40B2"/>
    <w:rsid w:val="00AF42BF"/>
    <w:rsid w:val="00AF44C2"/>
    <w:rsid w:val="00AF4C79"/>
    <w:rsid w:val="00AF4D26"/>
    <w:rsid w:val="00AF4E0F"/>
    <w:rsid w:val="00AF4EE3"/>
    <w:rsid w:val="00AF5778"/>
    <w:rsid w:val="00AF5977"/>
    <w:rsid w:val="00AF6067"/>
    <w:rsid w:val="00AF614F"/>
    <w:rsid w:val="00AF6A0D"/>
    <w:rsid w:val="00AF6BC7"/>
    <w:rsid w:val="00AF7204"/>
    <w:rsid w:val="00AF7222"/>
    <w:rsid w:val="00AF7595"/>
    <w:rsid w:val="00AF7829"/>
    <w:rsid w:val="00AF7D16"/>
    <w:rsid w:val="00AF7E25"/>
    <w:rsid w:val="00B00224"/>
    <w:rsid w:val="00B0045B"/>
    <w:rsid w:val="00B00B81"/>
    <w:rsid w:val="00B011B6"/>
    <w:rsid w:val="00B01222"/>
    <w:rsid w:val="00B0188A"/>
    <w:rsid w:val="00B01D35"/>
    <w:rsid w:val="00B01F2D"/>
    <w:rsid w:val="00B02B5A"/>
    <w:rsid w:val="00B02D85"/>
    <w:rsid w:val="00B0368A"/>
    <w:rsid w:val="00B0380F"/>
    <w:rsid w:val="00B03B3A"/>
    <w:rsid w:val="00B03C24"/>
    <w:rsid w:val="00B0420E"/>
    <w:rsid w:val="00B0425D"/>
    <w:rsid w:val="00B0426F"/>
    <w:rsid w:val="00B04411"/>
    <w:rsid w:val="00B044B9"/>
    <w:rsid w:val="00B0482D"/>
    <w:rsid w:val="00B04942"/>
    <w:rsid w:val="00B050C7"/>
    <w:rsid w:val="00B05851"/>
    <w:rsid w:val="00B06018"/>
    <w:rsid w:val="00B06297"/>
    <w:rsid w:val="00B0669E"/>
    <w:rsid w:val="00B073A7"/>
    <w:rsid w:val="00B07706"/>
    <w:rsid w:val="00B07A49"/>
    <w:rsid w:val="00B07DA3"/>
    <w:rsid w:val="00B10110"/>
    <w:rsid w:val="00B1016F"/>
    <w:rsid w:val="00B101F5"/>
    <w:rsid w:val="00B10B41"/>
    <w:rsid w:val="00B11185"/>
    <w:rsid w:val="00B11676"/>
    <w:rsid w:val="00B1168F"/>
    <w:rsid w:val="00B11C03"/>
    <w:rsid w:val="00B11E6B"/>
    <w:rsid w:val="00B1218C"/>
    <w:rsid w:val="00B12C57"/>
    <w:rsid w:val="00B13A8E"/>
    <w:rsid w:val="00B14685"/>
    <w:rsid w:val="00B151CA"/>
    <w:rsid w:val="00B1521C"/>
    <w:rsid w:val="00B1579B"/>
    <w:rsid w:val="00B158EE"/>
    <w:rsid w:val="00B15D3F"/>
    <w:rsid w:val="00B1642D"/>
    <w:rsid w:val="00B16B02"/>
    <w:rsid w:val="00B17093"/>
    <w:rsid w:val="00B17759"/>
    <w:rsid w:val="00B178DC"/>
    <w:rsid w:val="00B17CB2"/>
    <w:rsid w:val="00B17F47"/>
    <w:rsid w:val="00B17F66"/>
    <w:rsid w:val="00B20F9B"/>
    <w:rsid w:val="00B21445"/>
    <w:rsid w:val="00B21B10"/>
    <w:rsid w:val="00B21E95"/>
    <w:rsid w:val="00B2213D"/>
    <w:rsid w:val="00B227DB"/>
    <w:rsid w:val="00B22D77"/>
    <w:rsid w:val="00B232E8"/>
    <w:rsid w:val="00B2330A"/>
    <w:rsid w:val="00B23402"/>
    <w:rsid w:val="00B2351E"/>
    <w:rsid w:val="00B23A16"/>
    <w:rsid w:val="00B23A64"/>
    <w:rsid w:val="00B23AF5"/>
    <w:rsid w:val="00B240DA"/>
    <w:rsid w:val="00B24771"/>
    <w:rsid w:val="00B24D97"/>
    <w:rsid w:val="00B24EB5"/>
    <w:rsid w:val="00B253D8"/>
    <w:rsid w:val="00B255A1"/>
    <w:rsid w:val="00B255A2"/>
    <w:rsid w:val="00B255FE"/>
    <w:rsid w:val="00B25E98"/>
    <w:rsid w:val="00B26286"/>
    <w:rsid w:val="00B262AE"/>
    <w:rsid w:val="00B262DD"/>
    <w:rsid w:val="00B26970"/>
    <w:rsid w:val="00B26CD2"/>
    <w:rsid w:val="00B270FB"/>
    <w:rsid w:val="00B27D09"/>
    <w:rsid w:val="00B27D59"/>
    <w:rsid w:val="00B27D90"/>
    <w:rsid w:val="00B30378"/>
    <w:rsid w:val="00B307FE"/>
    <w:rsid w:val="00B30F39"/>
    <w:rsid w:val="00B31010"/>
    <w:rsid w:val="00B31BEF"/>
    <w:rsid w:val="00B31D1C"/>
    <w:rsid w:val="00B31F88"/>
    <w:rsid w:val="00B33255"/>
    <w:rsid w:val="00B33487"/>
    <w:rsid w:val="00B33546"/>
    <w:rsid w:val="00B338AD"/>
    <w:rsid w:val="00B33A10"/>
    <w:rsid w:val="00B33C76"/>
    <w:rsid w:val="00B33DDB"/>
    <w:rsid w:val="00B33F01"/>
    <w:rsid w:val="00B3441C"/>
    <w:rsid w:val="00B34AE6"/>
    <w:rsid w:val="00B34B2D"/>
    <w:rsid w:val="00B34D5E"/>
    <w:rsid w:val="00B34DB5"/>
    <w:rsid w:val="00B35015"/>
    <w:rsid w:val="00B350AF"/>
    <w:rsid w:val="00B352D0"/>
    <w:rsid w:val="00B3532D"/>
    <w:rsid w:val="00B354B6"/>
    <w:rsid w:val="00B3551C"/>
    <w:rsid w:val="00B356BE"/>
    <w:rsid w:val="00B35B6E"/>
    <w:rsid w:val="00B35DD1"/>
    <w:rsid w:val="00B3655A"/>
    <w:rsid w:val="00B36632"/>
    <w:rsid w:val="00B368CE"/>
    <w:rsid w:val="00B40403"/>
    <w:rsid w:val="00B408F6"/>
    <w:rsid w:val="00B41453"/>
    <w:rsid w:val="00B415C2"/>
    <w:rsid w:val="00B417F7"/>
    <w:rsid w:val="00B41AEF"/>
    <w:rsid w:val="00B41CEE"/>
    <w:rsid w:val="00B421F0"/>
    <w:rsid w:val="00B42200"/>
    <w:rsid w:val="00B42BB7"/>
    <w:rsid w:val="00B42CA3"/>
    <w:rsid w:val="00B42D9D"/>
    <w:rsid w:val="00B437DD"/>
    <w:rsid w:val="00B439A1"/>
    <w:rsid w:val="00B43A71"/>
    <w:rsid w:val="00B43E1E"/>
    <w:rsid w:val="00B43E70"/>
    <w:rsid w:val="00B43FA7"/>
    <w:rsid w:val="00B43FB8"/>
    <w:rsid w:val="00B44213"/>
    <w:rsid w:val="00B444CE"/>
    <w:rsid w:val="00B44705"/>
    <w:rsid w:val="00B45086"/>
    <w:rsid w:val="00B45113"/>
    <w:rsid w:val="00B451D1"/>
    <w:rsid w:val="00B452F9"/>
    <w:rsid w:val="00B45454"/>
    <w:rsid w:val="00B45873"/>
    <w:rsid w:val="00B45AF9"/>
    <w:rsid w:val="00B4650D"/>
    <w:rsid w:val="00B467B4"/>
    <w:rsid w:val="00B46F5D"/>
    <w:rsid w:val="00B474CA"/>
    <w:rsid w:val="00B47A03"/>
    <w:rsid w:val="00B500BF"/>
    <w:rsid w:val="00B5041A"/>
    <w:rsid w:val="00B5077D"/>
    <w:rsid w:val="00B50FE0"/>
    <w:rsid w:val="00B51316"/>
    <w:rsid w:val="00B513B3"/>
    <w:rsid w:val="00B516D4"/>
    <w:rsid w:val="00B51775"/>
    <w:rsid w:val="00B51C4C"/>
    <w:rsid w:val="00B51D40"/>
    <w:rsid w:val="00B51E88"/>
    <w:rsid w:val="00B51F57"/>
    <w:rsid w:val="00B52111"/>
    <w:rsid w:val="00B5230D"/>
    <w:rsid w:val="00B529A6"/>
    <w:rsid w:val="00B52A44"/>
    <w:rsid w:val="00B53294"/>
    <w:rsid w:val="00B53E55"/>
    <w:rsid w:val="00B541CC"/>
    <w:rsid w:val="00B54907"/>
    <w:rsid w:val="00B54E15"/>
    <w:rsid w:val="00B54F2D"/>
    <w:rsid w:val="00B5565A"/>
    <w:rsid w:val="00B556F0"/>
    <w:rsid w:val="00B55AD1"/>
    <w:rsid w:val="00B55C3C"/>
    <w:rsid w:val="00B55CFD"/>
    <w:rsid w:val="00B55D52"/>
    <w:rsid w:val="00B55F48"/>
    <w:rsid w:val="00B566CB"/>
    <w:rsid w:val="00B567FE"/>
    <w:rsid w:val="00B56C6D"/>
    <w:rsid w:val="00B60279"/>
    <w:rsid w:val="00B602FF"/>
    <w:rsid w:val="00B60648"/>
    <w:rsid w:val="00B613AA"/>
    <w:rsid w:val="00B6174C"/>
    <w:rsid w:val="00B61800"/>
    <w:rsid w:val="00B62845"/>
    <w:rsid w:val="00B62C3C"/>
    <w:rsid w:val="00B63127"/>
    <w:rsid w:val="00B631AF"/>
    <w:rsid w:val="00B63B75"/>
    <w:rsid w:val="00B63BD4"/>
    <w:rsid w:val="00B63E85"/>
    <w:rsid w:val="00B64359"/>
    <w:rsid w:val="00B645C4"/>
    <w:rsid w:val="00B64716"/>
    <w:rsid w:val="00B650C5"/>
    <w:rsid w:val="00B651F4"/>
    <w:rsid w:val="00B653A0"/>
    <w:rsid w:val="00B6541E"/>
    <w:rsid w:val="00B65B56"/>
    <w:rsid w:val="00B65B5F"/>
    <w:rsid w:val="00B65DD7"/>
    <w:rsid w:val="00B65F08"/>
    <w:rsid w:val="00B662E5"/>
    <w:rsid w:val="00B66405"/>
    <w:rsid w:val="00B66690"/>
    <w:rsid w:val="00B66E14"/>
    <w:rsid w:val="00B67034"/>
    <w:rsid w:val="00B673AF"/>
    <w:rsid w:val="00B67B1E"/>
    <w:rsid w:val="00B67B75"/>
    <w:rsid w:val="00B67F4C"/>
    <w:rsid w:val="00B70412"/>
    <w:rsid w:val="00B7045E"/>
    <w:rsid w:val="00B70779"/>
    <w:rsid w:val="00B70DFB"/>
    <w:rsid w:val="00B70E4C"/>
    <w:rsid w:val="00B71197"/>
    <w:rsid w:val="00B7149B"/>
    <w:rsid w:val="00B719FA"/>
    <w:rsid w:val="00B71A61"/>
    <w:rsid w:val="00B725E2"/>
    <w:rsid w:val="00B72ABE"/>
    <w:rsid w:val="00B72BD7"/>
    <w:rsid w:val="00B73C0C"/>
    <w:rsid w:val="00B7417A"/>
    <w:rsid w:val="00B746A0"/>
    <w:rsid w:val="00B746AE"/>
    <w:rsid w:val="00B74CED"/>
    <w:rsid w:val="00B7540D"/>
    <w:rsid w:val="00B755D3"/>
    <w:rsid w:val="00B75AD6"/>
    <w:rsid w:val="00B760DE"/>
    <w:rsid w:val="00B7632A"/>
    <w:rsid w:val="00B76371"/>
    <w:rsid w:val="00B76779"/>
    <w:rsid w:val="00B76C63"/>
    <w:rsid w:val="00B76E02"/>
    <w:rsid w:val="00B76FAF"/>
    <w:rsid w:val="00B77396"/>
    <w:rsid w:val="00B77B4D"/>
    <w:rsid w:val="00B8006D"/>
    <w:rsid w:val="00B8091C"/>
    <w:rsid w:val="00B80DD2"/>
    <w:rsid w:val="00B819E6"/>
    <w:rsid w:val="00B8228C"/>
    <w:rsid w:val="00B82C7C"/>
    <w:rsid w:val="00B830AD"/>
    <w:rsid w:val="00B83A71"/>
    <w:rsid w:val="00B83FA8"/>
    <w:rsid w:val="00B84026"/>
    <w:rsid w:val="00B840C0"/>
    <w:rsid w:val="00B843F4"/>
    <w:rsid w:val="00B84DF7"/>
    <w:rsid w:val="00B84EEC"/>
    <w:rsid w:val="00B85302"/>
    <w:rsid w:val="00B85610"/>
    <w:rsid w:val="00B85E13"/>
    <w:rsid w:val="00B8620A"/>
    <w:rsid w:val="00B8637F"/>
    <w:rsid w:val="00B864F6"/>
    <w:rsid w:val="00B864FF"/>
    <w:rsid w:val="00B86E86"/>
    <w:rsid w:val="00B86EC8"/>
    <w:rsid w:val="00B8787F"/>
    <w:rsid w:val="00B879D3"/>
    <w:rsid w:val="00B87ED1"/>
    <w:rsid w:val="00B9073F"/>
    <w:rsid w:val="00B908FC"/>
    <w:rsid w:val="00B90A98"/>
    <w:rsid w:val="00B90B11"/>
    <w:rsid w:val="00B90C05"/>
    <w:rsid w:val="00B90C40"/>
    <w:rsid w:val="00B91163"/>
    <w:rsid w:val="00B911B4"/>
    <w:rsid w:val="00B916A3"/>
    <w:rsid w:val="00B919C5"/>
    <w:rsid w:val="00B919D1"/>
    <w:rsid w:val="00B91C0E"/>
    <w:rsid w:val="00B935F8"/>
    <w:rsid w:val="00B9376F"/>
    <w:rsid w:val="00B9378E"/>
    <w:rsid w:val="00B937E1"/>
    <w:rsid w:val="00B93810"/>
    <w:rsid w:val="00B940C9"/>
    <w:rsid w:val="00B94642"/>
    <w:rsid w:val="00B946E0"/>
    <w:rsid w:val="00B9486F"/>
    <w:rsid w:val="00B94A68"/>
    <w:rsid w:val="00B951DF"/>
    <w:rsid w:val="00B952DC"/>
    <w:rsid w:val="00B95533"/>
    <w:rsid w:val="00B957D0"/>
    <w:rsid w:val="00B96AB7"/>
    <w:rsid w:val="00B96AC8"/>
    <w:rsid w:val="00B97066"/>
    <w:rsid w:val="00B9723B"/>
    <w:rsid w:val="00B973EE"/>
    <w:rsid w:val="00B97CAF"/>
    <w:rsid w:val="00BA0F49"/>
    <w:rsid w:val="00BA18FD"/>
    <w:rsid w:val="00BA1A99"/>
    <w:rsid w:val="00BA1DBB"/>
    <w:rsid w:val="00BA2026"/>
    <w:rsid w:val="00BA23C5"/>
    <w:rsid w:val="00BA25A6"/>
    <w:rsid w:val="00BA2707"/>
    <w:rsid w:val="00BA2C57"/>
    <w:rsid w:val="00BA2C6C"/>
    <w:rsid w:val="00BA2CDF"/>
    <w:rsid w:val="00BA2CFE"/>
    <w:rsid w:val="00BA2E40"/>
    <w:rsid w:val="00BA2E62"/>
    <w:rsid w:val="00BA35F1"/>
    <w:rsid w:val="00BA3606"/>
    <w:rsid w:val="00BA39EE"/>
    <w:rsid w:val="00BA3AF2"/>
    <w:rsid w:val="00BA40FA"/>
    <w:rsid w:val="00BA4347"/>
    <w:rsid w:val="00BA46B6"/>
    <w:rsid w:val="00BA4B88"/>
    <w:rsid w:val="00BA4C89"/>
    <w:rsid w:val="00BA4CAB"/>
    <w:rsid w:val="00BA529A"/>
    <w:rsid w:val="00BA583C"/>
    <w:rsid w:val="00BA59AC"/>
    <w:rsid w:val="00BA59EE"/>
    <w:rsid w:val="00BA5E84"/>
    <w:rsid w:val="00BA6006"/>
    <w:rsid w:val="00BA6419"/>
    <w:rsid w:val="00BA641C"/>
    <w:rsid w:val="00BA6556"/>
    <w:rsid w:val="00BA669F"/>
    <w:rsid w:val="00BA6793"/>
    <w:rsid w:val="00BA688A"/>
    <w:rsid w:val="00BA6C02"/>
    <w:rsid w:val="00BA6C7F"/>
    <w:rsid w:val="00BA6D94"/>
    <w:rsid w:val="00BA7645"/>
    <w:rsid w:val="00BA7856"/>
    <w:rsid w:val="00BA79CD"/>
    <w:rsid w:val="00BB12DA"/>
    <w:rsid w:val="00BB1B16"/>
    <w:rsid w:val="00BB1B31"/>
    <w:rsid w:val="00BB1BB9"/>
    <w:rsid w:val="00BB216C"/>
    <w:rsid w:val="00BB2261"/>
    <w:rsid w:val="00BB2DC2"/>
    <w:rsid w:val="00BB341A"/>
    <w:rsid w:val="00BB3450"/>
    <w:rsid w:val="00BB3567"/>
    <w:rsid w:val="00BB3778"/>
    <w:rsid w:val="00BB3FEA"/>
    <w:rsid w:val="00BB440A"/>
    <w:rsid w:val="00BB448D"/>
    <w:rsid w:val="00BB481D"/>
    <w:rsid w:val="00BB4CB8"/>
    <w:rsid w:val="00BB4E5E"/>
    <w:rsid w:val="00BB4E6C"/>
    <w:rsid w:val="00BB5572"/>
    <w:rsid w:val="00BB5BF6"/>
    <w:rsid w:val="00BB6881"/>
    <w:rsid w:val="00BB689D"/>
    <w:rsid w:val="00BB6D03"/>
    <w:rsid w:val="00BB6E0A"/>
    <w:rsid w:val="00BB6EC3"/>
    <w:rsid w:val="00BB6F23"/>
    <w:rsid w:val="00BB75AD"/>
    <w:rsid w:val="00BB7778"/>
    <w:rsid w:val="00BB7998"/>
    <w:rsid w:val="00BB7CA8"/>
    <w:rsid w:val="00BB7EF6"/>
    <w:rsid w:val="00BC0102"/>
    <w:rsid w:val="00BC095A"/>
    <w:rsid w:val="00BC0AF1"/>
    <w:rsid w:val="00BC0CA0"/>
    <w:rsid w:val="00BC1975"/>
    <w:rsid w:val="00BC2036"/>
    <w:rsid w:val="00BC235E"/>
    <w:rsid w:val="00BC25FA"/>
    <w:rsid w:val="00BC36C9"/>
    <w:rsid w:val="00BC3A1B"/>
    <w:rsid w:val="00BC3B33"/>
    <w:rsid w:val="00BC3FE9"/>
    <w:rsid w:val="00BC43AA"/>
    <w:rsid w:val="00BC44B8"/>
    <w:rsid w:val="00BC4631"/>
    <w:rsid w:val="00BC4756"/>
    <w:rsid w:val="00BC4CD0"/>
    <w:rsid w:val="00BC52B6"/>
    <w:rsid w:val="00BC5683"/>
    <w:rsid w:val="00BC5E75"/>
    <w:rsid w:val="00BC633F"/>
    <w:rsid w:val="00BC66BB"/>
    <w:rsid w:val="00BC6BBD"/>
    <w:rsid w:val="00BC77A8"/>
    <w:rsid w:val="00BC78C9"/>
    <w:rsid w:val="00BC7990"/>
    <w:rsid w:val="00BC7AF7"/>
    <w:rsid w:val="00BC7CE0"/>
    <w:rsid w:val="00BC7D82"/>
    <w:rsid w:val="00BC7DE5"/>
    <w:rsid w:val="00BC7DEA"/>
    <w:rsid w:val="00BC7EB2"/>
    <w:rsid w:val="00BD0091"/>
    <w:rsid w:val="00BD00BA"/>
    <w:rsid w:val="00BD027C"/>
    <w:rsid w:val="00BD0523"/>
    <w:rsid w:val="00BD0596"/>
    <w:rsid w:val="00BD0CFC"/>
    <w:rsid w:val="00BD1270"/>
    <w:rsid w:val="00BD132E"/>
    <w:rsid w:val="00BD188A"/>
    <w:rsid w:val="00BD190E"/>
    <w:rsid w:val="00BD1CE5"/>
    <w:rsid w:val="00BD2813"/>
    <w:rsid w:val="00BD2AE1"/>
    <w:rsid w:val="00BD2BC2"/>
    <w:rsid w:val="00BD2CC4"/>
    <w:rsid w:val="00BD2DDF"/>
    <w:rsid w:val="00BD34D9"/>
    <w:rsid w:val="00BD38F7"/>
    <w:rsid w:val="00BD3BD6"/>
    <w:rsid w:val="00BD3DB9"/>
    <w:rsid w:val="00BD3F14"/>
    <w:rsid w:val="00BD3F4A"/>
    <w:rsid w:val="00BD3FC0"/>
    <w:rsid w:val="00BD4155"/>
    <w:rsid w:val="00BD42FE"/>
    <w:rsid w:val="00BD442D"/>
    <w:rsid w:val="00BD4AAA"/>
    <w:rsid w:val="00BD4B58"/>
    <w:rsid w:val="00BD4C1F"/>
    <w:rsid w:val="00BD4F4A"/>
    <w:rsid w:val="00BD6416"/>
    <w:rsid w:val="00BD68FD"/>
    <w:rsid w:val="00BD6AFA"/>
    <w:rsid w:val="00BD6DA6"/>
    <w:rsid w:val="00BD6F05"/>
    <w:rsid w:val="00BD7967"/>
    <w:rsid w:val="00BD7E7B"/>
    <w:rsid w:val="00BE0261"/>
    <w:rsid w:val="00BE0487"/>
    <w:rsid w:val="00BE0A04"/>
    <w:rsid w:val="00BE0C14"/>
    <w:rsid w:val="00BE0D0C"/>
    <w:rsid w:val="00BE1528"/>
    <w:rsid w:val="00BE16AB"/>
    <w:rsid w:val="00BE1728"/>
    <w:rsid w:val="00BE1EFA"/>
    <w:rsid w:val="00BE2146"/>
    <w:rsid w:val="00BE2265"/>
    <w:rsid w:val="00BE22D8"/>
    <w:rsid w:val="00BE27EE"/>
    <w:rsid w:val="00BE2BC4"/>
    <w:rsid w:val="00BE2DBA"/>
    <w:rsid w:val="00BE2FC6"/>
    <w:rsid w:val="00BE359F"/>
    <w:rsid w:val="00BE3988"/>
    <w:rsid w:val="00BE39F9"/>
    <w:rsid w:val="00BE3F80"/>
    <w:rsid w:val="00BE45D5"/>
    <w:rsid w:val="00BE4B5E"/>
    <w:rsid w:val="00BE4E61"/>
    <w:rsid w:val="00BE4E9D"/>
    <w:rsid w:val="00BE510B"/>
    <w:rsid w:val="00BE574F"/>
    <w:rsid w:val="00BE5DAF"/>
    <w:rsid w:val="00BE6CBA"/>
    <w:rsid w:val="00BE7073"/>
    <w:rsid w:val="00BE716D"/>
    <w:rsid w:val="00BE7712"/>
    <w:rsid w:val="00BE7983"/>
    <w:rsid w:val="00BF023E"/>
    <w:rsid w:val="00BF050C"/>
    <w:rsid w:val="00BF0750"/>
    <w:rsid w:val="00BF08BF"/>
    <w:rsid w:val="00BF15DB"/>
    <w:rsid w:val="00BF18CC"/>
    <w:rsid w:val="00BF2EB1"/>
    <w:rsid w:val="00BF2F4C"/>
    <w:rsid w:val="00BF32BE"/>
    <w:rsid w:val="00BF3681"/>
    <w:rsid w:val="00BF3722"/>
    <w:rsid w:val="00BF3C29"/>
    <w:rsid w:val="00BF3FA3"/>
    <w:rsid w:val="00BF451D"/>
    <w:rsid w:val="00BF458D"/>
    <w:rsid w:val="00BF4D61"/>
    <w:rsid w:val="00BF4E01"/>
    <w:rsid w:val="00BF4EDE"/>
    <w:rsid w:val="00BF5945"/>
    <w:rsid w:val="00BF626A"/>
    <w:rsid w:val="00BF64CB"/>
    <w:rsid w:val="00BF65C3"/>
    <w:rsid w:val="00BF6745"/>
    <w:rsid w:val="00BF693D"/>
    <w:rsid w:val="00BF69CF"/>
    <w:rsid w:val="00BF6C3E"/>
    <w:rsid w:val="00BF6F1A"/>
    <w:rsid w:val="00BF73D3"/>
    <w:rsid w:val="00BF7909"/>
    <w:rsid w:val="00BF7A82"/>
    <w:rsid w:val="00BF7B4F"/>
    <w:rsid w:val="00BF7B8A"/>
    <w:rsid w:val="00BF7DFC"/>
    <w:rsid w:val="00C00133"/>
    <w:rsid w:val="00C004CB"/>
    <w:rsid w:val="00C00581"/>
    <w:rsid w:val="00C00717"/>
    <w:rsid w:val="00C007F9"/>
    <w:rsid w:val="00C008A6"/>
    <w:rsid w:val="00C00BDB"/>
    <w:rsid w:val="00C00E77"/>
    <w:rsid w:val="00C011FE"/>
    <w:rsid w:val="00C017FA"/>
    <w:rsid w:val="00C01883"/>
    <w:rsid w:val="00C018BB"/>
    <w:rsid w:val="00C01C2C"/>
    <w:rsid w:val="00C01DEF"/>
    <w:rsid w:val="00C01F05"/>
    <w:rsid w:val="00C02543"/>
    <w:rsid w:val="00C02BB9"/>
    <w:rsid w:val="00C02CA3"/>
    <w:rsid w:val="00C02F95"/>
    <w:rsid w:val="00C032CB"/>
    <w:rsid w:val="00C034C1"/>
    <w:rsid w:val="00C03A7F"/>
    <w:rsid w:val="00C03C9A"/>
    <w:rsid w:val="00C046C0"/>
    <w:rsid w:val="00C04715"/>
    <w:rsid w:val="00C049AF"/>
    <w:rsid w:val="00C04D4F"/>
    <w:rsid w:val="00C04F82"/>
    <w:rsid w:val="00C052A9"/>
    <w:rsid w:val="00C056DF"/>
    <w:rsid w:val="00C06113"/>
    <w:rsid w:val="00C061A2"/>
    <w:rsid w:val="00C06529"/>
    <w:rsid w:val="00C065D7"/>
    <w:rsid w:val="00C067FF"/>
    <w:rsid w:val="00C0691E"/>
    <w:rsid w:val="00C06A7C"/>
    <w:rsid w:val="00C06E74"/>
    <w:rsid w:val="00C07695"/>
    <w:rsid w:val="00C07842"/>
    <w:rsid w:val="00C101E4"/>
    <w:rsid w:val="00C10884"/>
    <w:rsid w:val="00C10C53"/>
    <w:rsid w:val="00C10EB1"/>
    <w:rsid w:val="00C10F69"/>
    <w:rsid w:val="00C11132"/>
    <w:rsid w:val="00C1165F"/>
    <w:rsid w:val="00C11741"/>
    <w:rsid w:val="00C11B26"/>
    <w:rsid w:val="00C11F55"/>
    <w:rsid w:val="00C11FA8"/>
    <w:rsid w:val="00C12089"/>
    <w:rsid w:val="00C121C8"/>
    <w:rsid w:val="00C12528"/>
    <w:rsid w:val="00C12F71"/>
    <w:rsid w:val="00C13126"/>
    <w:rsid w:val="00C13410"/>
    <w:rsid w:val="00C13DDA"/>
    <w:rsid w:val="00C1408F"/>
    <w:rsid w:val="00C14511"/>
    <w:rsid w:val="00C14711"/>
    <w:rsid w:val="00C149FA"/>
    <w:rsid w:val="00C14B28"/>
    <w:rsid w:val="00C15139"/>
    <w:rsid w:val="00C158F1"/>
    <w:rsid w:val="00C15ABC"/>
    <w:rsid w:val="00C15D78"/>
    <w:rsid w:val="00C15E01"/>
    <w:rsid w:val="00C16014"/>
    <w:rsid w:val="00C16233"/>
    <w:rsid w:val="00C16526"/>
    <w:rsid w:val="00C17B78"/>
    <w:rsid w:val="00C17CA5"/>
    <w:rsid w:val="00C17DB7"/>
    <w:rsid w:val="00C21066"/>
    <w:rsid w:val="00C210DF"/>
    <w:rsid w:val="00C21659"/>
    <w:rsid w:val="00C217DB"/>
    <w:rsid w:val="00C21A87"/>
    <w:rsid w:val="00C21E4D"/>
    <w:rsid w:val="00C21F7F"/>
    <w:rsid w:val="00C21FA6"/>
    <w:rsid w:val="00C22139"/>
    <w:rsid w:val="00C22D80"/>
    <w:rsid w:val="00C2328D"/>
    <w:rsid w:val="00C232EB"/>
    <w:rsid w:val="00C235E0"/>
    <w:rsid w:val="00C23881"/>
    <w:rsid w:val="00C23B03"/>
    <w:rsid w:val="00C24525"/>
    <w:rsid w:val="00C24DB6"/>
    <w:rsid w:val="00C24ECF"/>
    <w:rsid w:val="00C24FFD"/>
    <w:rsid w:val="00C250F6"/>
    <w:rsid w:val="00C2522C"/>
    <w:rsid w:val="00C255FD"/>
    <w:rsid w:val="00C2585C"/>
    <w:rsid w:val="00C25A40"/>
    <w:rsid w:val="00C261E4"/>
    <w:rsid w:val="00C2648E"/>
    <w:rsid w:val="00C264CF"/>
    <w:rsid w:val="00C26708"/>
    <w:rsid w:val="00C269F7"/>
    <w:rsid w:val="00C26C68"/>
    <w:rsid w:val="00C26E7E"/>
    <w:rsid w:val="00C2706A"/>
    <w:rsid w:val="00C27071"/>
    <w:rsid w:val="00C27D6E"/>
    <w:rsid w:val="00C27D82"/>
    <w:rsid w:val="00C27DB1"/>
    <w:rsid w:val="00C27F5F"/>
    <w:rsid w:val="00C30447"/>
    <w:rsid w:val="00C306BC"/>
    <w:rsid w:val="00C3104D"/>
    <w:rsid w:val="00C31237"/>
    <w:rsid w:val="00C31263"/>
    <w:rsid w:val="00C3172A"/>
    <w:rsid w:val="00C320C8"/>
    <w:rsid w:val="00C3241C"/>
    <w:rsid w:val="00C3284B"/>
    <w:rsid w:val="00C328AE"/>
    <w:rsid w:val="00C328C2"/>
    <w:rsid w:val="00C32A39"/>
    <w:rsid w:val="00C32B98"/>
    <w:rsid w:val="00C32BD7"/>
    <w:rsid w:val="00C32EB7"/>
    <w:rsid w:val="00C337D1"/>
    <w:rsid w:val="00C339E4"/>
    <w:rsid w:val="00C33C62"/>
    <w:rsid w:val="00C33E68"/>
    <w:rsid w:val="00C33F35"/>
    <w:rsid w:val="00C34264"/>
    <w:rsid w:val="00C3431D"/>
    <w:rsid w:val="00C343B5"/>
    <w:rsid w:val="00C3448C"/>
    <w:rsid w:val="00C34493"/>
    <w:rsid w:val="00C34AAB"/>
    <w:rsid w:val="00C34B1B"/>
    <w:rsid w:val="00C34C4E"/>
    <w:rsid w:val="00C3509A"/>
    <w:rsid w:val="00C355E8"/>
    <w:rsid w:val="00C356A2"/>
    <w:rsid w:val="00C359B6"/>
    <w:rsid w:val="00C369D8"/>
    <w:rsid w:val="00C374FD"/>
    <w:rsid w:val="00C37996"/>
    <w:rsid w:val="00C37BB4"/>
    <w:rsid w:val="00C40088"/>
    <w:rsid w:val="00C40596"/>
    <w:rsid w:val="00C408F2"/>
    <w:rsid w:val="00C40F7A"/>
    <w:rsid w:val="00C40FF2"/>
    <w:rsid w:val="00C41529"/>
    <w:rsid w:val="00C415E8"/>
    <w:rsid w:val="00C416B0"/>
    <w:rsid w:val="00C41ABB"/>
    <w:rsid w:val="00C41B75"/>
    <w:rsid w:val="00C421A4"/>
    <w:rsid w:val="00C422E5"/>
    <w:rsid w:val="00C42800"/>
    <w:rsid w:val="00C42A8A"/>
    <w:rsid w:val="00C43204"/>
    <w:rsid w:val="00C43D12"/>
    <w:rsid w:val="00C4402B"/>
    <w:rsid w:val="00C445BD"/>
    <w:rsid w:val="00C448B8"/>
    <w:rsid w:val="00C44AEF"/>
    <w:rsid w:val="00C45847"/>
    <w:rsid w:val="00C458E4"/>
    <w:rsid w:val="00C45E4D"/>
    <w:rsid w:val="00C46286"/>
    <w:rsid w:val="00C463DA"/>
    <w:rsid w:val="00C464D1"/>
    <w:rsid w:val="00C467C2"/>
    <w:rsid w:val="00C469BA"/>
    <w:rsid w:val="00C46A06"/>
    <w:rsid w:val="00C46BB3"/>
    <w:rsid w:val="00C47258"/>
    <w:rsid w:val="00C4729F"/>
    <w:rsid w:val="00C47384"/>
    <w:rsid w:val="00C478C1"/>
    <w:rsid w:val="00C47A58"/>
    <w:rsid w:val="00C47C39"/>
    <w:rsid w:val="00C47EE4"/>
    <w:rsid w:val="00C505A8"/>
    <w:rsid w:val="00C50A9A"/>
    <w:rsid w:val="00C50BDA"/>
    <w:rsid w:val="00C51232"/>
    <w:rsid w:val="00C5173B"/>
    <w:rsid w:val="00C52221"/>
    <w:rsid w:val="00C528BD"/>
    <w:rsid w:val="00C529F1"/>
    <w:rsid w:val="00C52D5B"/>
    <w:rsid w:val="00C53454"/>
    <w:rsid w:val="00C53607"/>
    <w:rsid w:val="00C5387D"/>
    <w:rsid w:val="00C53A69"/>
    <w:rsid w:val="00C53FA6"/>
    <w:rsid w:val="00C54149"/>
    <w:rsid w:val="00C542BF"/>
    <w:rsid w:val="00C54354"/>
    <w:rsid w:val="00C545AF"/>
    <w:rsid w:val="00C547F7"/>
    <w:rsid w:val="00C54B99"/>
    <w:rsid w:val="00C55204"/>
    <w:rsid w:val="00C5539A"/>
    <w:rsid w:val="00C55773"/>
    <w:rsid w:val="00C559DE"/>
    <w:rsid w:val="00C55ADD"/>
    <w:rsid w:val="00C55DEF"/>
    <w:rsid w:val="00C564EA"/>
    <w:rsid w:val="00C5671B"/>
    <w:rsid w:val="00C56A61"/>
    <w:rsid w:val="00C56AB0"/>
    <w:rsid w:val="00C5737C"/>
    <w:rsid w:val="00C5771E"/>
    <w:rsid w:val="00C57B01"/>
    <w:rsid w:val="00C6034C"/>
    <w:rsid w:val="00C60834"/>
    <w:rsid w:val="00C60F97"/>
    <w:rsid w:val="00C612BF"/>
    <w:rsid w:val="00C61372"/>
    <w:rsid w:val="00C61DF3"/>
    <w:rsid w:val="00C61E16"/>
    <w:rsid w:val="00C620F4"/>
    <w:rsid w:val="00C6216C"/>
    <w:rsid w:val="00C62176"/>
    <w:rsid w:val="00C621EE"/>
    <w:rsid w:val="00C628CA"/>
    <w:rsid w:val="00C628EE"/>
    <w:rsid w:val="00C6290D"/>
    <w:rsid w:val="00C62BA0"/>
    <w:rsid w:val="00C62C28"/>
    <w:rsid w:val="00C6304A"/>
    <w:rsid w:val="00C631E6"/>
    <w:rsid w:val="00C64627"/>
    <w:rsid w:val="00C6479A"/>
    <w:rsid w:val="00C65626"/>
    <w:rsid w:val="00C65BA4"/>
    <w:rsid w:val="00C65C9D"/>
    <w:rsid w:val="00C66CB8"/>
    <w:rsid w:val="00C675FA"/>
    <w:rsid w:val="00C67604"/>
    <w:rsid w:val="00C67803"/>
    <w:rsid w:val="00C6799B"/>
    <w:rsid w:val="00C67B51"/>
    <w:rsid w:val="00C700AD"/>
    <w:rsid w:val="00C70193"/>
    <w:rsid w:val="00C702D7"/>
    <w:rsid w:val="00C704C4"/>
    <w:rsid w:val="00C70780"/>
    <w:rsid w:val="00C70AB2"/>
    <w:rsid w:val="00C70BDD"/>
    <w:rsid w:val="00C70DD0"/>
    <w:rsid w:val="00C70DED"/>
    <w:rsid w:val="00C70E14"/>
    <w:rsid w:val="00C716EF"/>
    <w:rsid w:val="00C718E3"/>
    <w:rsid w:val="00C71C75"/>
    <w:rsid w:val="00C72122"/>
    <w:rsid w:val="00C722D9"/>
    <w:rsid w:val="00C7242A"/>
    <w:rsid w:val="00C72CFE"/>
    <w:rsid w:val="00C7316C"/>
    <w:rsid w:val="00C732D9"/>
    <w:rsid w:val="00C7346E"/>
    <w:rsid w:val="00C738A9"/>
    <w:rsid w:val="00C73912"/>
    <w:rsid w:val="00C74095"/>
    <w:rsid w:val="00C747F8"/>
    <w:rsid w:val="00C74AD7"/>
    <w:rsid w:val="00C75241"/>
    <w:rsid w:val="00C7528B"/>
    <w:rsid w:val="00C75A0B"/>
    <w:rsid w:val="00C75F49"/>
    <w:rsid w:val="00C75FE1"/>
    <w:rsid w:val="00C7689A"/>
    <w:rsid w:val="00C76C67"/>
    <w:rsid w:val="00C76EAA"/>
    <w:rsid w:val="00C77174"/>
    <w:rsid w:val="00C771F5"/>
    <w:rsid w:val="00C774C4"/>
    <w:rsid w:val="00C77517"/>
    <w:rsid w:val="00C7775A"/>
    <w:rsid w:val="00C77B53"/>
    <w:rsid w:val="00C77D83"/>
    <w:rsid w:val="00C80982"/>
    <w:rsid w:val="00C81179"/>
    <w:rsid w:val="00C81CDE"/>
    <w:rsid w:val="00C81D9B"/>
    <w:rsid w:val="00C822CE"/>
    <w:rsid w:val="00C82714"/>
    <w:rsid w:val="00C829D6"/>
    <w:rsid w:val="00C82CE9"/>
    <w:rsid w:val="00C82F2A"/>
    <w:rsid w:val="00C83263"/>
    <w:rsid w:val="00C83E84"/>
    <w:rsid w:val="00C846A5"/>
    <w:rsid w:val="00C84991"/>
    <w:rsid w:val="00C84D0C"/>
    <w:rsid w:val="00C851B6"/>
    <w:rsid w:val="00C85531"/>
    <w:rsid w:val="00C8566B"/>
    <w:rsid w:val="00C858FD"/>
    <w:rsid w:val="00C85999"/>
    <w:rsid w:val="00C860F4"/>
    <w:rsid w:val="00C8677E"/>
    <w:rsid w:val="00C86A4A"/>
    <w:rsid w:val="00C87153"/>
    <w:rsid w:val="00C8730C"/>
    <w:rsid w:val="00C87500"/>
    <w:rsid w:val="00C87E30"/>
    <w:rsid w:val="00C90438"/>
    <w:rsid w:val="00C91938"/>
    <w:rsid w:val="00C91B78"/>
    <w:rsid w:val="00C92B1D"/>
    <w:rsid w:val="00C932BC"/>
    <w:rsid w:val="00C93561"/>
    <w:rsid w:val="00C93A11"/>
    <w:rsid w:val="00C941C4"/>
    <w:rsid w:val="00C94701"/>
    <w:rsid w:val="00C949A5"/>
    <w:rsid w:val="00C94C7F"/>
    <w:rsid w:val="00C94CA9"/>
    <w:rsid w:val="00C94CB7"/>
    <w:rsid w:val="00C95B4D"/>
    <w:rsid w:val="00C95B50"/>
    <w:rsid w:val="00C95C94"/>
    <w:rsid w:val="00C96571"/>
    <w:rsid w:val="00C97610"/>
    <w:rsid w:val="00C97B6B"/>
    <w:rsid w:val="00CA0AFC"/>
    <w:rsid w:val="00CA10DD"/>
    <w:rsid w:val="00CA1615"/>
    <w:rsid w:val="00CA1F69"/>
    <w:rsid w:val="00CA23FC"/>
    <w:rsid w:val="00CA2561"/>
    <w:rsid w:val="00CA25A5"/>
    <w:rsid w:val="00CA26E4"/>
    <w:rsid w:val="00CA2BB2"/>
    <w:rsid w:val="00CA302D"/>
    <w:rsid w:val="00CA34CD"/>
    <w:rsid w:val="00CA34E9"/>
    <w:rsid w:val="00CA3572"/>
    <w:rsid w:val="00CA35A3"/>
    <w:rsid w:val="00CA3778"/>
    <w:rsid w:val="00CA3C41"/>
    <w:rsid w:val="00CA4737"/>
    <w:rsid w:val="00CA52E9"/>
    <w:rsid w:val="00CA581D"/>
    <w:rsid w:val="00CA5DEF"/>
    <w:rsid w:val="00CA5E99"/>
    <w:rsid w:val="00CA6119"/>
    <w:rsid w:val="00CA6365"/>
    <w:rsid w:val="00CA6496"/>
    <w:rsid w:val="00CA6755"/>
    <w:rsid w:val="00CA67DA"/>
    <w:rsid w:val="00CA69A8"/>
    <w:rsid w:val="00CA711E"/>
    <w:rsid w:val="00CA718E"/>
    <w:rsid w:val="00CA7382"/>
    <w:rsid w:val="00CA7819"/>
    <w:rsid w:val="00CA7F23"/>
    <w:rsid w:val="00CA7F54"/>
    <w:rsid w:val="00CB03B1"/>
    <w:rsid w:val="00CB0467"/>
    <w:rsid w:val="00CB08E6"/>
    <w:rsid w:val="00CB0938"/>
    <w:rsid w:val="00CB15CA"/>
    <w:rsid w:val="00CB19FA"/>
    <w:rsid w:val="00CB24D7"/>
    <w:rsid w:val="00CB2746"/>
    <w:rsid w:val="00CB326B"/>
    <w:rsid w:val="00CB3AF2"/>
    <w:rsid w:val="00CB3FCE"/>
    <w:rsid w:val="00CB40E8"/>
    <w:rsid w:val="00CB49A0"/>
    <w:rsid w:val="00CB4C35"/>
    <w:rsid w:val="00CB4C3D"/>
    <w:rsid w:val="00CB5273"/>
    <w:rsid w:val="00CB5730"/>
    <w:rsid w:val="00CB5C46"/>
    <w:rsid w:val="00CB6478"/>
    <w:rsid w:val="00CB6932"/>
    <w:rsid w:val="00CB6C7A"/>
    <w:rsid w:val="00CB6C94"/>
    <w:rsid w:val="00CB7140"/>
    <w:rsid w:val="00CB75E4"/>
    <w:rsid w:val="00CB7DE4"/>
    <w:rsid w:val="00CC0BEB"/>
    <w:rsid w:val="00CC0E04"/>
    <w:rsid w:val="00CC10DC"/>
    <w:rsid w:val="00CC118B"/>
    <w:rsid w:val="00CC1289"/>
    <w:rsid w:val="00CC1883"/>
    <w:rsid w:val="00CC1D59"/>
    <w:rsid w:val="00CC2318"/>
    <w:rsid w:val="00CC2522"/>
    <w:rsid w:val="00CC262A"/>
    <w:rsid w:val="00CC2BF4"/>
    <w:rsid w:val="00CC2E46"/>
    <w:rsid w:val="00CC30A2"/>
    <w:rsid w:val="00CC3133"/>
    <w:rsid w:val="00CC34B0"/>
    <w:rsid w:val="00CC34DB"/>
    <w:rsid w:val="00CC3780"/>
    <w:rsid w:val="00CC37F2"/>
    <w:rsid w:val="00CC3E16"/>
    <w:rsid w:val="00CC3FA4"/>
    <w:rsid w:val="00CC40C8"/>
    <w:rsid w:val="00CC420B"/>
    <w:rsid w:val="00CC47B2"/>
    <w:rsid w:val="00CC4826"/>
    <w:rsid w:val="00CC4E04"/>
    <w:rsid w:val="00CC552F"/>
    <w:rsid w:val="00CC598C"/>
    <w:rsid w:val="00CC59C3"/>
    <w:rsid w:val="00CC5DB3"/>
    <w:rsid w:val="00CC5F7D"/>
    <w:rsid w:val="00CC6207"/>
    <w:rsid w:val="00CC6469"/>
    <w:rsid w:val="00CC661B"/>
    <w:rsid w:val="00CC6922"/>
    <w:rsid w:val="00CC6DC4"/>
    <w:rsid w:val="00CC6FBF"/>
    <w:rsid w:val="00CC734F"/>
    <w:rsid w:val="00CC7546"/>
    <w:rsid w:val="00CD00A6"/>
    <w:rsid w:val="00CD07FB"/>
    <w:rsid w:val="00CD08F6"/>
    <w:rsid w:val="00CD0922"/>
    <w:rsid w:val="00CD0CF6"/>
    <w:rsid w:val="00CD0F48"/>
    <w:rsid w:val="00CD164F"/>
    <w:rsid w:val="00CD18BB"/>
    <w:rsid w:val="00CD2084"/>
    <w:rsid w:val="00CD2552"/>
    <w:rsid w:val="00CD25CD"/>
    <w:rsid w:val="00CD2708"/>
    <w:rsid w:val="00CD29B0"/>
    <w:rsid w:val="00CD2BAA"/>
    <w:rsid w:val="00CD2C34"/>
    <w:rsid w:val="00CD367E"/>
    <w:rsid w:val="00CD3A52"/>
    <w:rsid w:val="00CD3D9A"/>
    <w:rsid w:val="00CD4626"/>
    <w:rsid w:val="00CD4908"/>
    <w:rsid w:val="00CD5143"/>
    <w:rsid w:val="00CD5950"/>
    <w:rsid w:val="00CD5999"/>
    <w:rsid w:val="00CD5A40"/>
    <w:rsid w:val="00CD6CDE"/>
    <w:rsid w:val="00CD7519"/>
    <w:rsid w:val="00CD75B8"/>
    <w:rsid w:val="00CD76A4"/>
    <w:rsid w:val="00CD7767"/>
    <w:rsid w:val="00CD793A"/>
    <w:rsid w:val="00CD7986"/>
    <w:rsid w:val="00CD7B90"/>
    <w:rsid w:val="00CD7C47"/>
    <w:rsid w:val="00CD7CB8"/>
    <w:rsid w:val="00CE0C86"/>
    <w:rsid w:val="00CE10ED"/>
    <w:rsid w:val="00CE13AE"/>
    <w:rsid w:val="00CE1457"/>
    <w:rsid w:val="00CE169C"/>
    <w:rsid w:val="00CE16B5"/>
    <w:rsid w:val="00CE19E5"/>
    <w:rsid w:val="00CE19F5"/>
    <w:rsid w:val="00CE1BA6"/>
    <w:rsid w:val="00CE252E"/>
    <w:rsid w:val="00CE2733"/>
    <w:rsid w:val="00CE27BD"/>
    <w:rsid w:val="00CE2980"/>
    <w:rsid w:val="00CE315F"/>
    <w:rsid w:val="00CE3612"/>
    <w:rsid w:val="00CE37FF"/>
    <w:rsid w:val="00CE3D5E"/>
    <w:rsid w:val="00CE4558"/>
    <w:rsid w:val="00CE5162"/>
    <w:rsid w:val="00CE53F4"/>
    <w:rsid w:val="00CE5475"/>
    <w:rsid w:val="00CE59DE"/>
    <w:rsid w:val="00CE5B95"/>
    <w:rsid w:val="00CE5CF2"/>
    <w:rsid w:val="00CE6322"/>
    <w:rsid w:val="00CE6509"/>
    <w:rsid w:val="00CE6840"/>
    <w:rsid w:val="00CE7092"/>
    <w:rsid w:val="00CE720E"/>
    <w:rsid w:val="00CE74E3"/>
    <w:rsid w:val="00CE75C6"/>
    <w:rsid w:val="00CE77D2"/>
    <w:rsid w:val="00CF0BCD"/>
    <w:rsid w:val="00CF0CB3"/>
    <w:rsid w:val="00CF1C69"/>
    <w:rsid w:val="00CF1FFB"/>
    <w:rsid w:val="00CF207E"/>
    <w:rsid w:val="00CF220E"/>
    <w:rsid w:val="00CF2333"/>
    <w:rsid w:val="00CF246B"/>
    <w:rsid w:val="00CF2841"/>
    <w:rsid w:val="00CF2A06"/>
    <w:rsid w:val="00CF3112"/>
    <w:rsid w:val="00CF3F8C"/>
    <w:rsid w:val="00CF4201"/>
    <w:rsid w:val="00CF42FA"/>
    <w:rsid w:val="00CF4514"/>
    <w:rsid w:val="00CF4519"/>
    <w:rsid w:val="00CF45A1"/>
    <w:rsid w:val="00CF470A"/>
    <w:rsid w:val="00CF4F5B"/>
    <w:rsid w:val="00CF52EE"/>
    <w:rsid w:val="00CF5437"/>
    <w:rsid w:val="00CF556B"/>
    <w:rsid w:val="00CF58DE"/>
    <w:rsid w:val="00CF5BD7"/>
    <w:rsid w:val="00CF5D7A"/>
    <w:rsid w:val="00CF605D"/>
    <w:rsid w:val="00CF66FE"/>
    <w:rsid w:val="00CF6797"/>
    <w:rsid w:val="00CF6B12"/>
    <w:rsid w:val="00CF6D53"/>
    <w:rsid w:val="00CF70D8"/>
    <w:rsid w:val="00CF715D"/>
    <w:rsid w:val="00CF7467"/>
    <w:rsid w:val="00CF772D"/>
    <w:rsid w:val="00CF7AA5"/>
    <w:rsid w:val="00CF7DF7"/>
    <w:rsid w:val="00D000E4"/>
    <w:rsid w:val="00D000E6"/>
    <w:rsid w:val="00D00763"/>
    <w:rsid w:val="00D00856"/>
    <w:rsid w:val="00D0098C"/>
    <w:rsid w:val="00D00AF8"/>
    <w:rsid w:val="00D00CB9"/>
    <w:rsid w:val="00D015AD"/>
    <w:rsid w:val="00D01AEF"/>
    <w:rsid w:val="00D01D38"/>
    <w:rsid w:val="00D0232F"/>
    <w:rsid w:val="00D02B42"/>
    <w:rsid w:val="00D02EE9"/>
    <w:rsid w:val="00D033D8"/>
    <w:rsid w:val="00D03B81"/>
    <w:rsid w:val="00D03CB4"/>
    <w:rsid w:val="00D04A7E"/>
    <w:rsid w:val="00D05613"/>
    <w:rsid w:val="00D05635"/>
    <w:rsid w:val="00D058EE"/>
    <w:rsid w:val="00D05A2F"/>
    <w:rsid w:val="00D05B77"/>
    <w:rsid w:val="00D05BB2"/>
    <w:rsid w:val="00D05E2B"/>
    <w:rsid w:val="00D06245"/>
    <w:rsid w:val="00D06608"/>
    <w:rsid w:val="00D06613"/>
    <w:rsid w:val="00D06978"/>
    <w:rsid w:val="00D06AD8"/>
    <w:rsid w:val="00D06D30"/>
    <w:rsid w:val="00D073AC"/>
    <w:rsid w:val="00D07742"/>
    <w:rsid w:val="00D07BF9"/>
    <w:rsid w:val="00D07C36"/>
    <w:rsid w:val="00D100FE"/>
    <w:rsid w:val="00D101F1"/>
    <w:rsid w:val="00D10CB3"/>
    <w:rsid w:val="00D1149B"/>
    <w:rsid w:val="00D1174D"/>
    <w:rsid w:val="00D11B5A"/>
    <w:rsid w:val="00D11CCA"/>
    <w:rsid w:val="00D11ED1"/>
    <w:rsid w:val="00D11F49"/>
    <w:rsid w:val="00D12808"/>
    <w:rsid w:val="00D12BC8"/>
    <w:rsid w:val="00D12DC1"/>
    <w:rsid w:val="00D1339F"/>
    <w:rsid w:val="00D133FA"/>
    <w:rsid w:val="00D13A03"/>
    <w:rsid w:val="00D13C67"/>
    <w:rsid w:val="00D1450D"/>
    <w:rsid w:val="00D149EA"/>
    <w:rsid w:val="00D152E3"/>
    <w:rsid w:val="00D15625"/>
    <w:rsid w:val="00D15C8E"/>
    <w:rsid w:val="00D1625C"/>
    <w:rsid w:val="00D1638E"/>
    <w:rsid w:val="00D16DAF"/>
    <w:rsid w:val="00D170FE"/>
    <w:rsid w:val="00D1730B"/>
    <w:rsid w:val="00D17E8C"/>
    <w:rsid w:val="00D17F37"/>
    <w:rsid w:val="00D20729"/>
    <w:rsid w:val="00D208E4"/>
    <w:rsid w:val="00D2104C"/>
    <w:rsid w:val="00D21265"/>
    <w:rsid w:val="00D21426"/>
    <w:rsid w:val="00D21560"/>
    <w:rsid w:val="00D215CB"/>
    <w:rsid w:val="00D21DB1"/>
    <w:rsid w:val="00D22035"/>
    <w:rsid w:val="00D223C8"/>
    <w:rsid w:val="00D224D8"/>
    <w:rsid w:val="00D224E2"/>
    <w:rsid w:val="00D226BB"/>
    <w:rsid w:val="00D2279A"/>
    <w:rsid w:val="00D2285F"/>
    <w:rsid w:val="00D22BF5"/>
    <w:rsid w:val="00D23599"/>
    <w:rsid w:val="00D23798"/>
    <w:rsid w:val="00D23B27"/>
    <w:rsid w:val="00D23F86"/>
    <w:rsid w:val="00D23FE0"/>
    <w:rsid w:val="00D24025"/>
    <w:rsid w:val="00D242DC"/>
    <w:rsid w:val="00D244E1"/>
    <w:rsid w:val="00D252E1"/>
    <w:rsid w:val="00D262D7"/>
    <w:rsid w:val="00D26463"/>
    <w:rsid w:val="00D2658C"/>
    <w:rsid w:val="00D2704D"/>
    <w:rsid w:val="00D272B1"/>
    <w:rsid w:val="00D27319"/>
    <w:rsid w:val="00D2744F"/>
    <w:rsid w:val="00D2747F"/>
    <w:rsid w:val="00D27556"/>
    <w:rsid w:val="00D27655"/>
    <w:rsid w:val="00D27AA2"/>
    <w:rsid w:val="00D27BBC"/>
    <w:rsid w:val="00D27E00"/>
    <w:rsid w:val="00D27F09"/>
    <w:rsid w:val="00D3031D"/>
    <w:rsid w:val="00D30BFF"/>
    <w:rsid w:val="00D30EB9"/>
    <w:rsid w:val="00D31084"/>
    <w:rsid w:val="00D31414"/>
    <w:rsid w:val="00D3154B"/>
    <w:rsid w:val="00D31602"/>
    <w:rsid w:val="00D318C5"/>
    <w:rsid w:val="00D3216C"/>
    <w:rsid w:val="00D32632"/>
    <w:rsid w:val="00D33110"/>
    <w:rsid w:val="00D332D9"/>
    <w:rsid w:val="00D33393"/>
    <w:rsid w:val="00D334C0"/>
    <w:rsid w:val="00D3377A"/>
    <w:rsid w:val="00D33A41"/>
    <w:rsid w:val="00D342AD"/>
    <w:rsid w:val="00D34308"/>
    <w:rsid w:val="00D34E67"/>
    <w:rsid w:val="00D34E75"/>
    <w:rsid w:val="00D357D1"/>
    <w:rsid w:val="00D35D41"/>
    <w:rsid w:val="00D36CF8"/>
    <w:rsid w:val="00D36FF6"/>
    <w:rsid w:val="00D370D7"/>
    <w:rsid w:val="00D37419"/>
    <w:rsid w:val="00D37A34"/>
    <w:rsid w:val="00D37A72"/>
    <w:rsid w:val="00D402EF"/>
    <w:rsid w:val="00D408EF"/>
    <w:rsid w:val="00D40EC8"/>
    <w:rsid w:val="00D421AB"/>
    <w:rsid w:val="00D42E04"/>
    <w:rsid w:val="00D4305F"/>
    <w:rsid w:val="00D4320C"/>
    <w:rsid w:val="00D436D2"/>
    <w:rsid w:val="00D43711"/>
    <w:rsid w:val="00D43E0E"/>
    <w:rsid w:val="00D441CE"/>
    <w:rsid w:val="00D44E6F"/>
    <w:rsid w:val="00D45243"/>
    <w:rsid w:val="00D45382"/>
    <w:rsid w:val="00D455DB"/>
    <w:rsid w:val="00D4609F"/>
    <w:rsid w:val="00D46699"/>
    <w:rsid w:val="00D46A94"/>
    <w:rsid w:val="00D46B35"/>
    <w:rsid w:val="00D47193"/>
    <w:rsid w:val="00D47FB0"/>
    <w:rsid w:val="00D50678"/>
    <w:rsid w:val="00D5129A"/>
    <w:rsid w:val="00D51484"/>
    <w:rsid w:val="00D5194B"/>
    <w:rsid w:val="00D51B2E"/>
    <w:rsid w:val="00D52109"/>
    <w:rsid w:val="00D5290A"/>
    <w:rsid w:val="00D52ED0"/>
    <w:rsid w:val="00D53122"/>
    <w:rsid w:val="00D5347F"/>
    <w:rsid w:val="00D5361F"/>
    <w:rsid w:val="00D53640"/>
    <w:rsid w:val="00D5388D"/>
    <w:rsid w:val="00D53CFE"/>
    <w:rsid w:val="00D545BB"/>
    <w:rsid w:val="00D545DC"/>
    <w:rsid w:val="00D54FE4"/>
    <w:rsid w:val="00D55032"/>
    <w:rsid w:val="00D55096"/>
    <w:rsid w:val="00D55331"/>
    <w:rsid w:val="00D5578B"/>
    <w:rsid w:val="00D5586C"/>
    <w:rsid w:val="00D55B68"/>
    <w:rsid w:val="00D55E82"/>
    <w:rsid w:val="00D55EDA"/>
    <w:rsid w:val="00D56353"/>
    <w:rsid w:val="00D5640B"/>
    <w:rsid w:val="00D56898"/>
    <w:rsid w:val="00D568FD"/>
    <w:rsid w:val="00D56CDF"/>
    <w:rsid w:val="00D56EE5"/>
    <w:rsid w:val="00D5778F"/>
    <w:rsid w:val="00D57A3F"/>
    <w:rsid w:val="00D6040D"/>
    <w:rsid w:val="00D60862"/>
    <w:rsid w:val="00D61172"/>
    <w:rsid w:val="00D611AF"/>
    <w:rsid w:val="00D61299"/>
    <w:rsid w:val="00D61439"/>
    <w:rsid w:val="00D6146E"/>
    <w:rsid w:val="00D6197A"/>
    <w:rsid w:val="00D61989"/>
    <w:rsid w:val="00D622E0"/>
    <w:rsid w:val="00D62937"/>
    <w:rsid w:val="00D62A27"/>
    <w:rsid w:val="00D62B4E"/>
    <w:rsid w:val="00D631A9"/>
    <w:rsid w:val="00D6376A"/>
    <w:rsid w:val="00D645BF"/>
    <w:rsid w:val="00D64633"/>
    <w:rsid w:val="00D64C19"/>
    <w:rsid w:val="00D6518F"/>
    <w:rsid w:val="00D65717"/>
    <w:rsid w:val="00D65F01"/>
    <w:rsid w:val="00D661B1"/>
    <w:rsid w:val="00D667B8"/>
    <w:rsid w:val="00D66B4C"/>
    <w:rsid w:val="00D66CA5"/>
    <w:rsid w:val="00D6766F"/>
    <w:rsid w:val="00D67826"/>
    <w:rsid w:val="00D679C3"/>
    <w:rsid w:val="00D67DE8"/>
    <w:rsid w:val="00D67FF8"/>
    <w:rsid w:val="00D70283"/>
    <w:rsid w:val="00D70470"/>
    <w:rsid w:val="00D705D3"/>
    <w:rsid w:val="00D70630"/>
    <w:rsid w:val="00D707A8"/>
    <w:rsid w:val="00D7094E"/>
    <w:rsid w:val="00D70C6B"/>
    <w:rsid w:val="00D7112F"/>
    <w:rsid w:val="00D714BF"/>
    <w:rsid w:val="00D71F69"/>
    <w:rsid w:val="00D721A8"/>
    <w:rsid w:val="00D7224E"/>
    <w:rsid w:val="00D725C7"/>
    <w:rsid w:val="00D727EF"/>
    <w:rsid w:val="00D729AB"/>
    <w:rsid w:val="00D72FCA"/>
    <w:rsid w:val="00D73104"/>
    <w:rsid w:val="00D73311"/>
    <w:rsid w:val="00D735C4"/>
    <w:rsid w:val="00D73846"/>
    <w:rsid w:val="00D73DAA"/>
    <w:rsid w:val="00D73F80"/>
    <w:rsid w:val="00D74556"/>
    <w:rsid w:val="00D7479C"/>
    <w:rsid w:val="00D749A4"/>
    <w:rsid w:val="00D74A68"/>
    <w:rsid w:val="00D7543E"/>
    <w:rsid w:val="00D75A81"/>
    <w:rsid w:val="00D761A4"/>
    <w:rsid w:val="00D762C6"/>
    <w:rsid w:val="00D76514"/>
    <w:rsid w:val="00D767FC"/>
    <w:rsid w:val="00D76800"/>
    <w:rsid w:val="00D76B4B"/>
    <w:rsid w:val="00D76CE2"/>
    <w:rsid w:val="00D76E43"/>
    <w:rsid w:val="00D76E56"/>
    <w:rsid w:val="00D77BA0"/>
    <w:rsid w:val="00D802E6"/>
    <w:rsid w:val="00D80609"/>
    <w:rsid w:val="00D81517"/>
    <w:rsid w:val="00D82141"/>
    <w:rsid w:val="00D82AE4"/>
    <w:rsid w:val="00D82B0A"/>
    <w:rsid w:val="00D82B5C"/>
    <w:rsid w:val="00D82C15"/>
    <w:rsid w:val="00D82CF1"/>
    <w:rsid w:val="00D83113"/>
    <w:rsid w:val="00D83233"/>
    <w:rsid w:val="00D8356D"/>
    <w:rsid w:val="00D83FC7"/>
    <w:rsid w:val="00D84291"/>
    <w:rsid w:val="00D84D93"/>
    <w:rsid w:val="00D84E84"/>
    <w:rsid w:val="00D8598C"/>
    <w:rsid w:val="00D85D44"/>
    <w:rsid w:val="00D85F06"/>
    <w:rsid w:val="00D865BF"/>
    <w:rsid w:val="00D86E18"/>
    <w:rsid w:val="00D8758A"/>
    <w:rsid w:val="00D876DB"/>
    <w:rsid w:val="00D87A5C"/>
    <w:rsid w:val="00D87D01"/>
    <w:rsid w:val="00D87EA6"/>
    <w:rsid w:val="00D87FE5"/>
    <w:rsid w:val="00D904B1"/>
    <w:rsid w:val="00D906E8"/>
    <w:rsid w:val="00D9072A"/>
    <w:rsid w:val="00D91018"/>
    <w:rsid w:val="00D916B9"/>
    <w:rsid w:val="00D919C8"/>
    <w:rsid w:val="00D91A16"/>
    <w:rsid w:val="00D91B58"/>
    <w:rsid w:val="00D924AB"/>
    <w:rsid w:val="00D92DE4"/>
    <w:rsid w:val="00D92DF4"/>
    <w:rsid w:val="00D92E2A"/>
    <w:rsid w:val="00D931AA"/>
    <w:rsid w:val="00D931CC"/>
    <w:rsid w:val="00D931FC"/>
    <w:rsid w:val="00D93375"/>
    <w:rsid w:val="00D93B21"/>
    <w:rsid w:val="00D93E21"/>
    <w:rsid w:val="00D93E97"/>
    <w:rsid w:val="00D93F9C"/>
    <w:rsid w:val="00D94334"/>
    <w:rsid w:val="00D94405"/>
    <w:rsid w:val="00D94FB9"/>
    <w:rsid w:val="00D951D0"/>
    <w:rsid w:val="00D9562D"/>
    <w:rsid w:val="00D957B1"/>
    <w:rsid w:val="00D9654D"/>
    <w:rsid w:val="00D968A5"/>
    <w:rsid w:val="00D96B60"/>
    <w:rsid w:val="00D973C7"/>
    <w:rsid w:val="00D97B45"/>
    <w:rsid w:val="00DA01D1"/>
    <w:rsid w:val="00DA044F"/>
    <w:rsid w:val="00DA045C"/>
    <w:rsid w:val="00DA071F"/>
    <w:rsid w:val="00DA0742"/>
    <w:rsid w:val="00DA09D6"/>
    <w:rsid w:val="00DA0A8C"/>
    <w:rsid w:val="00DA0BBF"/>
    <w:rsid w:val="00DA0CA9"/>
    <w:rsid w:val="00DA0F2D"/>
    <w:rsid w:val="00DA10DF"/>
    <w:rsid w:val="00DA193B"/>
    <w:rsid w:val="00DA1C19"/>
    <w:rsid w:val="00DA1D85"/>
    <w:rsid w:val="00DA24A7"/>
    <w:rsid w:val="00DA2799"/>
    <w:rsid w:val="00DA2BE6"/>
    <w:rsid w:val="00DA3087"/>
    <w:rsid w:val="00DA30AA"/>
    <w:rsid w:val="00DA314D"/>
    <w:rsid w:val="00DA34CE"/>
    <w:rsid w:val="00DA3921"/>
    <w:rsid w:val="00DA3AD9"/>
    <w:rsid w:val="00DA3C57"/>
    <w:rsid w:val="00DA3EC4"/>
    <w:rsid w:val="00DA40B6"/>
    <w:rsid w:val="00DA435A"/>
    <w:rsid w:val="00DA479D"/>
    <w:rsid w:val="00DA4BEE"/>
    <w:rsid w:val="00DA4C05"/>
    <w:rsid w:val="00DA5425"/>
    <w:rsid w:val="00DA5A40"/>
    <w:rsid w:val="00DA683C"/>
    <w:rsid w:val="00DA6A6F"/>
    <w:rsid w:val="00DA6E7B"/>
    <w:rsid w:val="00DA6F4C"/>
    <w:rsid w:val="00DA736B"/>
    <w:rsid w:val="00DA7971"/>
    <w:rsid w:val="00DA7986"/>
    <w:rsid w:val="00DA7B93"/>
    <w:rsid w:val="00DA7D7F"/>
    <w:rsid w:val="00DB0278"/>
    <w:rsid w:val="00DB0B35"/>
    <w:rsid w:val="00DB1036"/>
    <w:rsid w:val="00DB118A"/>
    <w:rsid w:val="00DB15D4"/>
    <w:rsid w:val="00DB173D"/>
    <w:rsid w:val="00DB18B9"/>
    <w:rsid w:val="00DB1FB1"/>
    <w:rsid w:val="00DB204A"/>
    <w:rsid w:val="00DB21AC"/>
    <w:rsid w:val="00DB2309"/>
    <w:rsid w:val="00DB2536"/>
    <w:rsid w:val="00DB283B"/>
    <w:rsid w:val="00DB3303"/>
    <w:rsid w:val="00DB351C"/>
    <w:rsid w:val="00DB39D2"/>
    <w:rsid w:val="00DB3AB1"/>
    <w:rsid w:val="00DB3B81"/>
    <w:rsid w:val="00DB3BE2"/>
    <w:rsid w:val="00DB3CFF"/>
    <w:rsid w:val="00DB3E74"/>
    <w:rsid w:val="00DB3F43"/>
    <w:rsid w:val="00DB4433"/>
    <w:rsid w:val="00DB446A"/>
    <w:rsid w:val="00DB44BF"/>
    <w:rsid w:val="00DB4666"/>
    <w:rsid w:val="00DB4D62"/>
    <w:rsid w:val="00DB4D88"/>
    <w:rsid w:val="00DB4F58"/>
    <w:rsid w:val="00DB4F67"/>
    <w:rsid w:val="00DB5AC7"/>
    <w:rsid w:val="00DB5CF1"/>
    <w:rsid w:val="00DB6163"/>
    <w:rsid w:val="00DB6363"/>
    <w:rsid w:val="00DB6697"/>
    <w:rsid w:val="00DB748A"/>
    <w:rsid w:val="00DB754F"/>
    <w:rsid w:val="00DB7903"/>
    <w:rsid w:val="00DB7A70"/>
    <w:rsid w:val="00DB7C4D"/>
    <w:rsid w:val="00DB7CC8"/>
    <w:rsid w:val="00DB7F03"/>
    <w:rsid w:val="00DC0279"/>
    <w:rsid w:val="00DC05CC"/>
    <w:rsid w:val="00DC0919"/>
    <w:rsid w:val="00DC0BF1"/>
    <w:rsid w:val="00DC0CA5"/>
    <w:rsid w:val="00DC16E9"/>
    <w:rsid w:val="00DC1B0D"/>
    <w:rsid w:val="00DC1D28"/>
    <w:rsid w:val="00DC210D"/>
    <w:rsid w:val="00DC249C"/>
    <w:rsid w:val="00DC26F1"/>
    <w:rsid w:val="00DC27D3"/>
    <w:rsid w:val="00DC33D2"/>
    <w:rsid w:val="00DC3825"/>
    <w:rsid w:val="00DC3F63"/>
    <w:rsid w:val="00DC41A1"/>
    <w:rsid w:val="00DC443C"/>
    <w:rsid w:val="00DC4975"/>
    <w:rsid w:val="00DC4B82"/>
    <w:rsid w:val="00DC51DF"/>
    <w:rsid w:val="00DC53D8"/>
    <w:rsid w:val="00DC644D"/>
    <w:rsid w:val="00DC652B"/>
    <w:rsid w:val="00DC665C"/>
    <w:rsid w:val="00DC66B6"/>
    <w:rsid w:val="00DC6AEB"/>
    <w:rsid w:val="00DC6B54"/>
    <w:rsid w:val="00DC6E39"/>
    <w:rsid w:val="00DC705F"/>
    <w:rsid w:val="00DC776D"/>
    <w:rsid w:val="00DD066E"/>
    <w:rsid w:val="00DD0779"/>
    <w:rsid w:val="00DD0C46"/>
    <w:rsid w:val="00DD0CA3"/>
    <w:rsid w:val="00DD1559"/>
    <w:rsid w:val="00DD1724"/>
    <w:rsid w:val="00DD19CD"/>
    <w:rsid w:val="00DD22C6"/>
    <w:rsid w:val="00DD242B"/>
    <w:rsid w:val="00DD28F8"/>
    <w:rsid w:val="00DD2B53"/>
    <w:rsid w:val="00DD2F0E"/>
    <w:rsid w:val="00DD34A6"/>
    <w:rsid w:val="00DD3CE1"/>
    <w:rsid w:val="00DD44D0"/>
    <w:rsid w:val="00DD4B70"/>
    <w:rsid w:val="00DD5108"/>
    <w:rsid w:val="00DD5788"/>
    <w:rsid w:val="00DD5A82"/>
    <w:rsid w:val="00DD5B43"/>
    <w:rsid w:val="00DD60DE"/>
    <w:rsid w:val="00DD649E"/>
    <w:rsid w:val="00DD660B"/>
    <w:rsid w:val="00DD6CEF"/>
    <w:rsid w:val="00DD6D80"/>
    <w:rsid w:val="00DD702F"/>
    <w:rsid w:val="00DD7F95"/>
    <w:rsid w:val="00DE02A5"/>
    <w:rsid w:val="00DE08AA"/>
    <w:rsid w:val="00DE0987"/>
    <w:rsid w:val="00DE0A62"/>
    <w:rsid w:val="00DE0F7A"/>
    <w:rsid w:val="00DE185B"/>
    <w:rsid w:val="00DE1F30"/>
    <w:rsid w:val="00DE1F4E"/>
    <w:rsid w:val="00DE1FE0"/>
    <w:rsid w:val="00DE239F"/>
    <w:rsid w:val="00DE357D"/>
    <w:rsid w:val="00DE36E4"/>
    <w:rsid w:val="00DE371A"/>
    <w:rsid w:val="00DE37C7"/>
    <w:rsid w:val="00DE4159"/>
    <w:rsid w:val="00DE42E0"/>
    <w:rsid w:val="00DE46A6"/>
    <w:rsid w:val="00DE48EF"/>
    <w:rsid w:val="00DE4954"/>
    <w:rsid w:val="00DE49DF"/>
    <w:rsid w:val="00DE4C36"/>
    <w:rsid w:val="00DE4FDC"/>
    <w:rsid w:val="00DE528E"/>
    <w:rsid w:val="00DE5A3E"/>
    <w:rsid w:val="00DE62D9"/>
    <w:rsid w:val="00DE64A9"/>
    <w:rsid w:val="00DE6B34"/>
    <w:rsid w:val="00DE701E"/>
    <w:rsid w:val="00DE70BF"/>
    <w:rsid w:val="00DF015E"/>
    <w:rsid w:val="00DF0463"/>
    <w:rsid w:val="00DF08B7"/>
    <w:rsid w:val="00DF090C"/>
    <w:rsid w:val="00DF099E"/>
    <w:rsid w:val="00DF0B7B"/>
    <w:rsid w:val="00DF0DE1"/>
    <w:rsid w:val="00DF0EFD"/>
    <w:rsid w:val="00DF1B0E"/>
    <w:rsid w:val="00DF1F1E"/>
    <w:rsid w:val="00DF2195"/>
    <w:rsid w:val="00DF2A8B"/>
    <w:rsid w:val="00DF2BC3"/>
    <w:rsid w:val="00DF2CC6"/>
    <w:rsid w:val="00DF38C2"/>
    <w:rsid w:val="00DF3FDA"/>
    <w:rsid w:val="00DF4D37"/>
    <w:rsid w:val="00DF4D43"/>
    <w:rsid w:val="00DF4F51"/>
    <w:rsid w:val="00DF52F5"/>
    <w:rsid w:val="00DF551F"/>
    <w:rsid w:val="00DF560D"/>
    <w:rsid w:val="00DF58F2"/>
    <w:rsid w:val="00DF5978"/>
    <w:rsid w:val="00DF5B1D"/>
    <w:rsid w:val="00DF5D73"/>
    <w:rsid w:val="00DF61C6"/>
    <w:rsid w:val="00DF62F7"/>
    <w:rsid w:val="00DF6A87"/>
    <w:rsid w:val="00DF6AAA"/>
    <w:rsid w:val="00DF7522"/>
    <w:rsid w:val="00DF7616"/>
    <w:rsid w:val="00DF7791"/>
    <w:rsid w:val="00DF7F1F"/>
    <w:rsid w:val="00DF7FBE"/>
    <w:rsid w:val="00E0018A"/>
    <w:rsid w:val="00E00A2D"/>
    <w:rsid w:val="00E00B0C"/>
    <w:rsid w:val="00E00DFD"/>
    <w:rsid w:val="00E0191A"/>
    <w:rsid w:val="00E01EC4"/>
    <w:rsid w:val="00E02504"/>
    <w:rsid w:val="00E025E8"/>
    <w:rsid w:val="00E02C55"/>
    <w:rsid w:val="00E02D61"/>
    <w:rsid w:val="00E03446"/>
    <w:rsid w:val="00E03583"/>
    <w:rsid w:val="00E0483A"/>
    <w:rsid w:val="00E04966"/>
    <w:rsid w:val="00E05063"/>
    <w:rsid w:val="00E0566D"/>
    <w:rsid w:val="00E059A4"/>
    <w:rsid w:val="00E05C23"/>
    <w:rsid w:val="00E05DF2"/>
    <w:rsid w:val="00E06272"/>
    <w:rsid w:val="00E06582"/>
    <w:rsid w:val="00E066D6"/>
    <w:rsid w:val="00E06A3D"/>
    <w:rsid w:val="00E06B16"/>
    <w:rsid w:val="00E06C72"/>
    <w:rsid w:val="00E07604"/>
    <w:rsid w:val="00E076E7"/>
    <w:rsid w:val="00E07B1F"/>
    <w:rsid w:val="00E07CB2"/>
    <w:rsid w:val="00E10082"/>
    <w:rsid w:val="00E1021F"/>
    <w:rsid w:val="00E105BB"/>
    <w:rsid w:val="00E10D1E"/>
    <w:rsid w:val="00E10D26"/>
    <w:rsid w:val="00E10E4E"/>
    <w:rsid w:val="00E10FA2"/>
    <w:rsid w:val="00E111BD"/>
    <w:rsid w:val="00E1129A"/>
    <w:rsid w:val="00E11426"/>
    <w:rsid w:val="00E11492"/>
    <w:rsid w:val="00E12376"/>
    <w:rsid w:val="00E12A9F"/>
    <w:rsid w:val="00E12BD4"/>
    <w:rsid w:val="00E12D14"/>
    <w:rsid w:val="00E12D77"/>
    <w:rsid w:val="00E12E62"/>
    <w:rsid w:val="00E1358F"/>
    <w:rsid w:val="00E13788"/>
    <w:rsid w:val="00E13CE6"/>
    <w:rsid w:val="00E13D3A"/>
    <w:rsid w:val="00E13DAD"/>
    <w:rsid w:val="00E1419D"/>
    <w:rsid w:val="00E1496D"/>
    <w:rsid w:val="00E14B96"/>
    <w:rsid w:val="00E14BB4"/>
    <w:rsid w:val="00E14C8A"/>
    <w:rsid w:val="00E14DC2"/>
    <w:rsid w:val="00E14DF9"/>
    <w:rsid w:val="00E15472"/>
    <w:rsid w:val="00E15966"/>
    <w:rsid w:val="00E15BC2"/>
    <w:rsid w:val="00E16902"/>
    <w:rsid w:val="00E16A26"/>
    <w:rsid w:val="00E16B13"/>
    <w:rsid w:val="00E16C78"/>
    <w:rsid w:val="00E1744B"/>
    <w:rsid w:val="00E178DE"/>
    <w:rsid w:val="00E17F54"/>
    <w:rsid w:val="00E20428"/>
    <w:rsid w:val="00E204EB"/>
    <w:rsid w:val="00E20541"/>
    <w:rsid w:val="00E210F1"/>
    <w:rsid w:val="00E21370"/>
    <w:rsid w:val="00E216BC"/>
    <w:rsid w:val="00E21A29"/>
    <w:rsid w:val="00E21DD0"/>
    <w:rsid w:val="00E22883"/>
    <w:rsid w:val="00E22AB9"/>
    <w:rsid w:val="00E22E7B"/>
    <w:rsid w:val="00E235FC"/>
    <w:rsid w:val="00E239AE"/>
    <w:rsid w:val="00E23CCD"/>
    <w:rsid w:val="00E24338"/>
    <w:rsid w:val="00E243B3"/>
    <w:rsid w:val="00E2486A"/>
    <w:rsid w:val="00E24D05"/>
    <w:rsid w:val="00E252E9"/>
    <w:rsid w:val="00E254A6"/>
    <w:rsid w:val="00E256CA"/>
    <w:rsid w:val="00E25C53"/>
    <w:rsid w:val="00E2626D"/>
    <w:rsid w:val="00E2667A"/>
    <w:rsid w:val="00E266AD"/>
    <w:rsid w:val="00E2676E"/>
    <w:rsid w:val="00E2678E"/>
    <w:rsid w:val="00E26B52"/>
    <w:rsid w:val="00E26FB4"/>
    <w:rsid w:val="00E27151"/>
    <w:rsid w:val="00E271A0"/>
    <w:rsid w:val="00E27A49"/>
    <w:rsid w:val="00E27E9A"/>
    <w:rsid w:val="00E3138A"/>
    <w:rsid w:val="00E3152A"/>
    <w:rsid w:val="00E316E8"/>
    <w:rsid w:val="00E31767"/>
    <w:rsid w:val="00E317F4"/>
    <w:rsid w:val="00E31A1A"/>
    <w:rsid w:val="00E31A7A"/>
    <w:rsid w:val="00E32053"/>
    <w:rsid w:val="00E32224"/>
    <w:rsid w:val="00E32F2F"/>
    <w:rsid w:val="00E330E9"/>
    <w:rsid w:val="00E333EE"/>
    <w:rsid w:val="00E3345C"/>
    <w:rsid w:val="00E33DEF"/>
    <w:rsid w:val="00E33E37"/>
    <w:rsid w:val="00E34217"/>
    <w:rsid w:val="00E34265"/>
    <w:rsid w:val="00E34497"/>
    <w:rsid w:val="00E345D6"/>
    <w:rsid w:val="00E353F1"/>
    <w:rsid w:val="00E3588C"/>
    <w:rsid w:val="00E358EF"/>
    <w:rsid w:val="00E35EBF"/>
    <w:rsid w:val="00E36A20"/>
    <w:rsid w:val="00E36C08"/>
    <w:rsid w:val="00E36DC0"/>
    <w:rsid w:val="00E3745D"/>
    <w:rsid w:val="00E37471"/>
    <w:rsid w:val="00E375C3"/>
    <w:rsid w:val="00E3765B"/>
    <w:rsid w:val="00E3777C"/>
    <w:rsid w:val="00E402DD"/>
    <w:rsid w:val="00E40FFF"/>
    <w:rsid w:val="00E41048"/>
    <w:rsid w:val="00E4127B"/>
    <w:rsid w:val="00E41585"/>
    <w:rsid w:val="00E41AF8"/>
    <w:rsid w:val="00E41B93"/>
    <w:rsid w:val="00E41D75"/>
    <w:rsid w:val="00E42031"/>
    <w:rsid w:val="00E42910"/>
    <w:rsid w:val="00E42B9E"/>
    <w:rsid w:val="00E435F2"/>
    <w:rsid w:val="00E437FD"/>
    <w:rsid w:val="00E43C9B"/>
    <w:rsid w:val="00E448BA"/>
    <w:rsid w:val="00E44921"/>
    <w:rsid w:val="00E44CE4"/>
    <w:rsid w:val="00E44E0F"/>
    <w:rsid w:val="00E458DC"/>
    <w:rsid w:val="00E460F5"/>
    <w:rsid w:val="00E461FD"/>
    <w:rsid w:val="00E46298"/>
    <w:rsid w:val="00E467CA"/>
    <w:rsid w:val="00E468BE"/>
    <w:rsid w:val="00E46A44"/>
    <w:rsid w:val="00E46AC7"/>
    <w:rsid w:val="00E46B79"/>
    <w:rsid w:val="00E46C43"/>
    <w:rsid w:val="00E47092"/>
    <w:rsid w:val="00E47235"/>
    <w:rsid w:val="00E4753B"/>
    <w:rsid w:val="00E47A89"/>
    <w:rsid w:val="00E47BBE"/>
    <w:rsid w:val="00E47F62"/>
    <w:rsid w:val="00E47F84"/>
    <w:rsid w:val="00E50218"/>
    <w:rsid w:val="00E50802"/>
    <w:rsid w:val="00E50864"/>
    <w:rsid w:val="00E5093B"/>
    <w:rsid w:val="00E509E9"/>
    <w:rsid w:val="00E50FB9"/>
    <w:rsid w:val="00E510F8"/>
    <w:rsid w:val="00E5132E"/>
    <w:rsid w:val="00E51675"/>
    <w:rsid w:val="00E51780"/>
    <w:rsid w:val="00E524B1"/>
    <w:rsid w:val="00E524EB"/>
    <w:rsid w:val="00E528AB"/>
    <w:rsid w:val="00E5299E"/>
    <w:rsid w:val="00E54177"/>
    <w:rsid w:val="00E545F3"/>
    <w:rsid w:val="00E54ACA"/>
    <w:rsid w:val="00E55C79"/>
    <w:rsid w:val="00E5648E"/>
    <w:rsid w:val="00E5654D"/>
    <w:rsid w:val="00E5669D"/>
    <w:rsid w:val="00E56DBC"/>
    <w:rsid w:val="00E56FDE"/>
    <w:rsid w:val="00E5710E"/>
    <w:rsid w:val="00E57312"/>
    <w:rsid w:val="00E576FA"/>
    <w:rsid w:val="00E57A5A"/>
    <w:rsid w:val="00E57BD0"/>
    <w:rsid w:val="00E57C65"/>
    <w:rsid w:val="00E57E81"/>
    <w:rsid w:val="00E57ECC"/>
    <w:rsid w:val="00E600F7"/>
    <w:rsid w:val="00E602BD"/>
    <w:rsid w:val="00E602E1"/>
    <w:rsid w:val="00E60A45"/>
    <w:rsid w:val="00E60A4E"/>
    <w:rsid w:val="00E61135"/>
    <w:rsid w:val="00E6126A"/>
    <w:rsid w:val="00E61502"/>
    <w:rsid w:val="00E615FC"/>
    <w:rsid w:val="00E618C2"/>
    <w:rsid w:val="00E618D8"/>
    <w:rsid w:val="00E61916"/>
    <w:rsid w:val="00E61970"/>
    <w:rsid w:val="00E61973"/>
    <w:rsid w:val="00E61974"/>
    <w:rsid w:val="00E61D91"/>
    <w:rsid w:val="00E6215D"/>
    <w:rsid w:val="00E624DB"/>
    <w:rsid w:val="00E62718"/>
    <w:rsid w:val="00E62A07"/>
    <w:rsid w:val="00E62BB2"/>
    <w:rsid w:val="00E6350C"/>
    <w:rsid w:val="00E638A8"/>
    <w:rsid w:val="00E639D8"/>
    <w:rsid w:val="00E63F40"/>
    <w:rsid w:val="00E640C6"/>
    <w:rsid w:val="00E64EF3"/>
    <w:rsid w:val="00E6502E"/>
    <w:rsid w:val="00E65E76"/>
    <w:rsid w:val="00E65F91"/>
    <w:rsid w:val="00E66044"/>
    <w:rsid w:val="00E6667D"/>
    <w:rsid w:val="00E66BB0"/>
    <w:rsid w:val="00E66EF1"/>
    <w:rsid w:val="00E66F19"/>
    <w:rsid w:val="00E671A7"/>
    <w:rsid w:val="00E672AE"/>
    <w:rsid w:val="00E673DF"/>
    <w:rsid w:val="00E6748F"/>
    <w:rsid w:val="00E6793C"/>
    <w:rsid w:val="00E67A7C"/>
    <w:rsid w:val="00E7097A"/>
    <w:rsid w:val="00E70D3E"/>
    <w:rsid w:val="00E70DBF"/>
    <w:rsid w:val="00E70E1D"/>
    <w:rsid w:val="00E70EF9"/>
    <w:rsid w:val="00E70FF2"/>
    <w:rsid w:val="00E712E1"/>
    <w:rsid w:val="00E71582"/>
    <w:rsid w:val="00E7170E"/>
    <w:rsid w:val="00E7171A"/>
    <w:rsid w:val="00E718AC"/>
    <w:rsid w:val="00E719AE"/>
    <w:rsid w:val="00E71BA2"/>
    <w:rsid w:val="00E727CB"/>
    <w:rsid w:val="00E72953"/>
    <w:rsid w:val="00E72EF9"/>
    <w:rsid w:val="00E73C9A"/>
    <w:rsid w:val="00E73ED6"/>
    <w:rsid w:val="00E740B2"/>
    <w:rsid w:val="00E74583"/>
    <w:rsid w:val="00E745D9"/>
    <w:rsid w:val="00E75217"/>
    <w:rsid w:val="00E75295"/>
    <w:rsid w:val="00E7570E"/>
    <w:rsid w:val="00E7662E"/>
    <w:rsid w:val="00E76A35"/>
    <w:rsid w:val="00E76D06"/>
    <w:rsid w:val="00E76D31"/>
    <w:rsid w:val="00E77037"/>
    <w:rsid w:val="00E774DF"/>
    <w:rsid w:val="00E778AA"/>
    <w:rsid w:val="00E77B41"/>
    <w:rsid w:val="00E80966"/>
    <w:rsid w:val="00E809A2"/>
    <w:rsid w:val="00E80A1F"/>
    <w:rsid w:val="00E80B86"/>
    <w:rsid w:val="00E8118E"/>
    <w:rsid w:val="00E8122E"/>
    <w:rsid w:val="00E8129C"/>
    <w:rsid w:val="00E8131A"/>
    <w:rsid w:val="00E81777"/>
    <w:rsid w:val="00E8197E"/>
    <w:rsid w:val="00E81A03"/>
    <w:rsid w:val="00E81B18"/>
    <w:rsid w:val="00E81D62"/>
    <w:rsid w:val="00E823E2"/>
    <w:rsid w:val="00E8254C"/>
    <w:rsid w:val="00E8326F"/>
    <w:rsid w:val="00E839FA"/>
    <w:rsid w:val="00E84197"/>
    <w:rsid w:val="00E84609"/>
    <w:rsid w:val="00E85402"/>
    <w:rsid w:val="00E85920"/>
    <w:rsid w:val="00E85ABC"/>
    <w:rsid w:val="00E86592"/>
    <w:rsid w:val="00E86A66"/>
    <w:rsid w:val="00E86A7B"/>
    <w:rsid w:val="00E86B4C"/>
    <w:rsid w:val="00E86BB7"/>
    <w:rsid w:val="00E86C88"/>
    <w:rsid w:val="00E86D0F"/>
    <w:rsid w:val="00E86D8F"/>
    <w:rsid w:val="00E86E26"/>
    <w:rsid w:val="00E86ED8"/>
    <w:rsid w:val="00E86EDE"/>
    <w:rsid w:val="00E87CD5"/>
    <w:rsid w:val="00E87D4C"/>
    <w:rsid w:val="00E9000D"/>
    <w:rsid w:val="00E905D4"/>
    <w:rsid w:val="00E9106F"/>
    <w:rsid w:val="00E9142B"/>
    <w:rsid w:val="00E918D5"/>
    <w:rsid w:val="00E91954"/>
    <w:rsid w:val="00E9197C"/>
    <w:rsid w:val="00E91BEF"/>
    <w:rsid w:val="00E923BD"/>
    <w:rsid w:val="00E93104"/>
    <w:rsid w:val="00E9314B"/>
    <w:rsid w:val="00E93230"/>
    <w:rsid w:val="00E936B5"/>
    <w:rsid w:val="00E93B00"/>
    <w:rsid w:val="00E93F88"/>
    <w:rsid w:val="00E940F4"/>
    <w:rsid w:val="00E94105"/>
    <w:rsid w:val="00E942C2"/>
    <w:rsid w:val="00E942D6"/>
    <w:rsid w:val="00E94301"/>
    <w:rsid w:val="00E94347"/>
    <w:rsid w:val="00E94607"/>
    <w:rsid w:val="00E949DE"/>
    <w:rsid w:val="00E94BEB"/>
    <w:rsid w:val="00E95628"/>
    <w:rsid w:val="00E958F9"/>
    <w:rsid w:val="00E95DC7"/>
    <w:rsid w:val="00E95EBD"/>
    <w:rsid w:val="00E96024"/>
    <w:rsid w:val="00E96864"/>
    <w:rsid w:val="00E96933"/>
    <w:rsid w:val="00E969F9"/>
    <w:rsid w:val="00E96D1D"/>
    <w:rsid w:val="00E96D57"/>
    <w:rsid w:val="00E96EE1"/>
    <w:rsid w:val="00E971AD"/>
    <w:rsid w:val="00E976B3"/>
    <w:rsid w:val="00E97746"/>
    <w:rsid w:val="00E97DA5"/>
    <w:rsid w:val="00E97E87"/>
    <w:rsid w:val="00E97EEE"/>
    <w:rsid w:val="00EA04B4"/>
    <w:rsid w:val="00EA0F9B"/>
    <w:rsid w:val="00EA1056"/>
    <w:rsid w:val="00EA12DE"/>
    <w:rsid w:val="00EA146F"/>
    <w:rsid w:val="00EA16DA"/>
    <w:rsid w:val="00EA1D41"/>
    <w:rsid w:val="00EA1F0E"/>
    <w:rsid w:val="00EA22E5"/>
    <w:rsid w:val="00EA26A7"/>
    <w:rsid w:val="00EA27E9"/>
    <w:rsid w:val="00EA2CCF"/>
    <w:rsid w:val="00EA330E"/>
    <w:rsid w:val="00EA33B2"/>
    <w:rsid w:val="00EA3924"/>
    <w:rsid w:val="00EA3C82"/>
    <w:rsid w:val="00EA3DC4"/>
    <w:rsid w:val="00EA3EEE"/>
    <w:rsid w:val="00EA3F9C"/>
    <w:rsid w:val="00EA4108"/>
    <w:rsid w:val="00EA41AC"/>
    <w:rsid w:val="00EA41E1"/>
    <w:rsid w:val="00EA4801"/>
    <w:rsid w:val="00EA4920"/>
    <w:rsid w:val="00EA4AC8"/>
    <w:rsid w:val="00EA4CD6"/>
    <w:rsid w:val="00EA5529"/>
    <w:rsid w:val="00EA5736"/>
    <w:rsid w:val="00EA5BC6"/>
    <w:rsid w:val="00EA5DB3"/>
    <w:rsid w:val="00EA5F8C"/>
    <w:rsid w:val="00EA6094"/>
    <w:rsid w:val="00EA6311"/>
    <w:rsid w:val="00EA7273"/>
    <w:rsid w:val="00EA78B3"/>
    <w:rsid w:val="00EA791B"/>
    <w:rsid w:val="00EA795A"/>
    <w:rsid w:val="00EB00C7"/>
    <w:rsid w:val="00EB0264"/>
    <w:rsid w:val="00EB038D"/>
    <w:rsid w:val="00EB0888"/>
    <w:rsid w:val="00EB09DC"/>
    <w:rsid w:val="00EB0D9A"/>
    <w:rsid w:val="00EB10F9"/>
    <w:rsid w:val="00EB1C2C"/>
    <w:rsid w:val="00EB1C67"/>
    <w:rsid w:val="00EB258B"/>
    <w:rsid w:val="00EB2864"/>
    <w:rsid w:val="00EB2969"/>
    <w:rsid w:val="00EB2A2C"/>
    <w:rsid w:val="00EB2C29"/>
    <w:rsid w:val="00EB2DBB"/>
    <w:rsid w:val="00EB2EB3"/>
    <w:rsid w:val="00EB2F6A"/>
    <w:rsid w:val="00EB36E6"/>
    <w:rsid w:val="00EB3750"/>
    <w:rsid w:val="00EB37E3"/>
    <w:rsid w:val="00EB39D9"/>
    <w:rsid w:val="00EB40B3"/>
    <w:rsid w:val="00EB430C"/>
    <w:rsid w:val="00EB46D8"/>
    <w:rsid w:val="00EB4C19"/>
    <w:rsid w:val="00EB5321"/>
    <w:rsid w:val="00EB5CA6"/>
    <w:rsid w:val="00EB6073"/>
    <w:rsid w:val="00EB620A"/>
    <w:rsid w:val="00EB63BA"/>
    <w:rsid w:val="00EB6567"/>
    <w:rsid w:val="00EB68B3"/>
    <w:rsid w:val="00EB7628"/>
    <w:rsid w:val="00EB7BF0"/>
    <w:rsid w:val="00EC04C9"/>
    <w:rsid w:val="00EC0658"/>
    <w:rsid w:val="00EC0677"/>
    <w:rsid w:val="00EC0EF6"/>
    <w:rsid w:val="00EC1094"/>
    <w:rsid w:val="00EC13D2"/>
    <w:rsid w:val="00EC1A96"/>
    <w:rsid w:val="00EC1D62"/>
    <w:rsid w:val="00EC22D7"/>
    <w:rsid w:val="00EC248C"/>
    <w:rsid w:val="00EC271E"/>
    <w:rsid w:val="00EC2930"/>
    <w:rsid w:val="00EC2CA6"/>
    <w:rsid w:val="00EC2CF2"/>
    <w:rsid w:val="00EC2F00"/>
    <w:rsid w:val="00EC2F30"/>
    <w:rsid w:val="00EC3145"/>
    <w:rsid w:val="00EC3AB2"/>
    <w:rsid w:val="00EC3B6F"/>
    <w:rsid w:val="00EC3C4B"/>
    <w:rsid w:val="00EC3DFA"/>
    <w:rsid w:val="00EC3E17"/>
    <w:rsid w:val="00EC417F"/>
    <w:rsid w:val="00EC4229"/>
    <w:rsid w:val="00EC4637"/>
    <w:rsid w:val="00EC49CE"/>
    <w:rsid w:val="00EC4D1B"/>
    <w:rsid w:val="00EC51FF"/>
    <w:rsid w:val="00EC526F"/>
    <w:rsid w:val="00EC5282"/>
    <w:rsid w:val="00EC531A"/>
    <w:rsid w:val="00EC545C"/>
    <w:rsid w:val="00EC558C"/>
    <w:rsid w:val="00EC5A04"/>
    <w:rsid w:val="00EC5BD6"/>
    <w:rsid w:val="00EC5F3B"/>
    <w:rsid w:val="00EC6153"/>
    <w:rsid w:val="00EC6420"/>
    <w:rsid w:val="00EC705B"/>
    <w:rsid w:val="00EC72C8"/>
    <w:rsid w:val="00EC73C0"/>
    <w:rsid w:val="00EC78B9"/>
    <w:rsid w:val="00ED0169"/>
    <w:rsid w:val="00ED04C3"/>
    <w:rsid w:val="00ED0556"/>
    <w:rsid w:val="00ED0871"/>
    <w:rsid w:val="00ED09C6"/>
    <w:rsid w:val="00ED2824"/>
    <w:rsid w:val="00ED2D02"/>
    <w:rsid w:val="00ED2D98"/>
    <w:rsid w:val="00ED3140"/>
    <w:rsid w:val="00ED31C3"/>
    <w:rsid w:val="00ED4073"/>
    <w:rsid w:val="00ED43E4"/>
    <w:rsid w:val="00ED456A"/>
    <w:rsid w:val="00ED4ADC"/>
    <w:rsid w:val="00ED51F1"/>
    <w:rsid w:val="00ED5603"/>
    <w:rsid w:val="00ED578B"/>
    <w:rsid w:val="00ED5C73"/>
    <w:rsid w:val="00ED65C1"/>
    <w:rsid w:val="00ED6921"/>
    <w:rsid w:val="00ED69F1"/>
    <w:rsid w:val="00ED7A3F"/>
    <w:rsid w:val="00EE0797"/>
    <w:rsid w:val="00EE0BFB"/>
    <w:rsid w:val="00EE0C0B"/>
    <w:rsid w:val="00EE0C64"/>
    <w:rsid w:val="00EE0DB1"/>
    <w:rsid w:val="00EE10FD"/>
    <w:rsid w:val="00EE1162"/>
    <w:rsid w:val="00EE1EA3"/>
    <w:rsid w:val="00EE2306"/>
    <w:rsid w:val="00EE250D"/>
    <w:rsid w:val="00EE2AEB"/>
    <w:rsid w:val="00EE2C87"/>
    <w:rsid w:val="00EE2E09"/>
    <w:rsid w:val="00EE33AA"/>
    <w:rsid w:val="00EE35AA"/>
    <w:rsid w:val="00EE3912"/>
    <w:rsid w:val="00EE3962"/>
    <w:rsid w:val="00EE4253"/>
    <w:rsid w:val="00EE43DE"/>
    <w:rsid w:val="00EE4AE0"/>
    <w:rsid w:val="00EE5038"/>
    <w:rsid w:val="00EE60ED"/>
    <w:rsid w:val="00EE622D"/>
    <w:rsid w:val="00EE6512"/>
    <w:rsid w:val="00EE6997"/>
    <w:rsid w:val="00EE7080"/>
    <w:rsid w:val="00EE71DD"/>
    <w:rsid w:val="00EE7CE0"/>
    <w:rsid w:val="00EE7FA2"/>
    <w:rsid w:val="00EF01F8"/>
    <w:rsid w:val="00EF0324"/>
    <w:rsid w:val="00EF042B"/>
    <w:rsid w:val="00EF0BBA"/>
    <w:rsid w:val="00EF0FF9"/>
    <w:rsid w:val="00EF106C"/>
    <w:rsid w:val="00EF152F"/>
    <w:rsid w:val="00EF18A1"/>
    <w:rsid w:val="00EF1905"/>
    <w:rsid w:val="00EF1A50"/>
    <w:rsid w:val="00EF2103"/>
    <w:rsid w:val="00EF22C4"/>
    <w:rsid w:val="00EF288A"/>
    <w:rsid w:val="00EF292E"/>
    <w:rsid w:val="00EF2946"/>
    <w:rsid w:val="00EF2957"/>
    <w:rsid w:val="00EF31EE"/>
    <w:rsid w:val="00EF39DD"/>
    <w:rsid w:val="00EF3A67"/>
    <w:rsid w:val="00EF3C64"/>
    <w:rsid w:val="00EF4B20"/>
    <w:rsid w:val="00EF4E70"/>
    <w:rsid w:val="00EF4EA3"/>
    <w:rsid w:val="00EF5026"/>
    <w:rsid w:val="00EF5151"/>
    <w:rsid w:val="00EF5B02"/>
    <w:rsid w:val="00EF5BE4"/>
    <w:rsid w:val="00EF5FB0"/>
    <w:rsid w:val="00EF6179"/>
    <w:rsid w:val="00EF61A9"/>
    <w:rsid w:val="00EF647B"/>
    <w:rsid w:val="00EF69BB"/>
    <w:rsid w:val="00EF6DBB"/>
    <w:rsid w:val="00EF7532"/>
    <w:rsid w:val="00EF77F5"/>
    <w:rsid w:val="00EF789E"/>
    <w:rsid w:val="00EF7A7D"/>
    <w:rsid w:val="00EF7D1B"/>
    <w:rsid w:val="00F00623"/>
    <w:rsid w:val="00F00F56"/>
    <w:rsid w:val="00F013AD"/>
    <w:rsid w:val="00F014E0"/>
    <w:rsid w:val="00F0153E"/>
    <w:rsid w:val="00F01712"/>
    <w:rsid w:val="00F0176A"/>
    <w:rsid w:val="00F01ABF"/>
    <w:rsid w:val="00F01C0A"/>
    <w:rsid w:val="00F01ECA"/>
    <w:rsid w:val="00F02398"/>
    <w:rsid w:val="00F02926"/>
    <w:rsid w:val="00F02C8E"/>
    <w:rsid w:val="00F02D61"/>
    <w:rsid w:val="00F02E7C"/>
    <w:rsid w:val="00F0311D"/>
    <w:rsid w:val="00F03CAA"/>
    <w:rsid w:val="00F03DB1"/>
    <w:rsid w:val="00F03DD9"/>
    <w:rsid w:val="00F03FBC"/>
    <w:rsid w:val="00F048C8"/>
    <w:rsid w:val="00F04E31"/>
    <w:rsid w:val="00F0572D"/>
    <w:rsid w:val="00F0577C"/>
    <w:rsid w:val="00F057D0"/>
    <w:rsid w:val="00F05D87"/>
    <w:rsid w:val="00F05FFF"/>
    <w:rsid w:val="00F062B6"/>
    <w:rsid w:val="00F064FA"/>
    <w:rsid w:val="00F06673"/>
    <w:rsid w:val="00F06D6A"/>
    <w:rsid w:val="00F071F3"/>
    <w:rsid w:val="00F07944"/>
    <w:rsid w:val="00F07FB4"/>
    <w:rsid w:val="00F10165"/>
    <w:rsid w:val="00F10281"/>
    <w:rsid w:val="00F1036E"/>
    <w:rsid w:val="00F1040A"/>
    <w:rsid w:val="00F10434"/>
    <w:rsid w:val="00F10449"/>
    <w:rsid w:val="00F10C2E"/>
    <w:rsid w:val="00F10FB4"/>
    <w:rsid w:val="00F1127F"/>
    <w:rsid w:val="00F11646"/>
    <w:rsid w:val="00F11DF9"/>
    <w:rsid w:val="00F11E2A"/>
    <w:rsid w:val="00F11FD3"/>
    <w:rsid w:val="00F12228"/>
    <w:rsid w:val="00F125E9"/>
    <w:rsid w:val="00F12C39"/>
    <w:rsid w:val="00F12FEE"/>
    <w:rsid w:val="00F13690"/>
    <w:rsid w:val="00F137BB"/>
    <w:rsid w:val="00F13B1A"/>
    <w:rsid w:val="00F13F43"/>
    <w:rsid w:val="00F141FC"/>
    <w:rsid w:val="00F146E5"/>
    <w:rsid w:val="00F149A8"/>
    <w:rsid w:val="00F149D6"/>
    <w:rsid w:val="00F14D34"/>
    <w:rsid w:val="00F151C2"/>
    <w:rsid w:val="00F1522A"/>
    <w:rsid w:val="00F15E25"/>
    <w:rsid w:val="00F1648F"/>
    <w:rsid w:val="00F16777"/>
    <w:rsid w:val="00F16E85"/>
    <w:rsid w:val="00F17029"/>
    <w:rsid w:val="00F17147"/>
    <w:rsid w:val="00F17505"/>
    <w:rsid w:val="00F176A5"/>
    <w:rsid w:val="00F17A10"/>
    <w:rsid w:val="00F17E95"/>
    <w:rsid w:val="00F17EFF"/>
    <w:rsid w:val="00F17F9B"/>
    <w:rsid w:val="00F200BB"/>
    <w:rsid w:val="00F205E9"/>
    <w:rsid w:val="00F20881"/>
    <w:rsid w:val="00F20B0E"/>
    <w:rsid w:val="00F20BA9"/>
    <w:rsid w:val="00F217F6"/>
    <w:rsid w:val="00F21DBC"/>
    <w:rsid w:val="00F21EC1"/>
    <w:rsid w:val="00F21EE3"/>
    <w:rsid w:val="00F22025"/>
    <w:rsid w:val="00F22810"/>
    <w:rsid w:val="00F2295C"/>
    <w:rsid w:val="00F229DD"/>
    <w:rsid w:val="00F22A28"/>
    <w:rsid w:val="00F22A79"/>
    <w:rsid w:val="00F22FE7"/>
    <w:rsid w:val="00F23187"/>
    <w:rsid w:val="00F232FB"/>
    <w:rsid w:val="00F233FC"/>
    <w:rsid w:val="00F23443"/>
    <w:rsid w:val="00F235E8"/>
    <w:rsid w:val="00F2366C"/>
    <w:rsid w:val="00F23FA5"/>
    <w:rsid w:val="00F24097"/>
    <w:rsid w:val="00F24248"/>
    <w:rsid w:val="00F243AB"/>
    <w:rsid w:val="00F2455E"/>
    <w:rsid w:val="00F248DD"/>
    <w:rsid w:val="00F25229"/>
    <w:rsid w:val="00F2546F"/>
    <w:rsid w:val="00F25B12"/>
    <w:rsid w:val="00F25EC1"/>
    <w:rsid w:val="00F25F6D"/>
    <w:rsid w:val="00F2710D"/>
    <w:rsid w:val="00F271FD"/>
    <w:rsid w:val="00F272B0"/>
    <w:rsid w:val="00F273C3"/>
    <w:rsid w:val="00F27442"/>
    <w:rsid w:val="00F27512"/>
    <w:rsid w:val="00F2767E"/>
    <w:rsid w:val="00F27EE6"/>
    <w:rsid w:val="00F31047"/>
    <w:rsid w:val="00F31242"/>
    <w:rsid w:val="00F313B1"/>
    <w:rsid w:val="00F32070"/>
    <w:rsid w:val="00F323A8"/>
    <w:rsid w:val="00F323B8"/>
    <w:rsid w:val="00F328EC"/>
    <w:rsid w:val="00F33AF3"/>
    <w:rsid w:val="00F33D62"/>
    <w:rsid w:val="00F340DD"/>
    <w:rsid w:val="00F3441F"/>
    <w:rsid w:val="00F346A9"/>
    <w:rsid w:val="00F354D1"/>
    <w:rsid w:val="00F35786"/>
    <w:rsid w:val="00F3598D"/>
    <w:rsid w:val="00F360AB"/>
    <w:rsid w:val="00F36437"/>
    <w:rsid w:val="00F36B89"/>
    <w:rsid w:val="00F36DFD"/>
    <w:rsid w:val="00F36FF1"/>
    <w:rsid w:val="00F37571"/>
    <w:rsid w:val="00F4008E"/>
    <w:rsid w:val="00F40318"/>
    <w:rsid w:val="00F405A9"/>
    <w:rsid w:val="00F40681"/>
    <w:rsid w:val="00F40A24"/>
    <w:rsid w:val="00F41089"/>
    <w:rsid w:val="00F41713"/>
    <w:rsid w:val="00F41B13"/>
    <w:rsid w:val="00F42E61"/>
    <w:rsid w:val="00F4310B"/>
    <w:rsid w:val="00F431B0"/>
    <w:rsid w:val="00F432AE"/>
    <w:rsid w:val="00F43414"/>
    <w:rsid w:val="00F4349A"/>
    <w:rsid w:val="00F4369B"/>
    <w:rsid w:val="00F437B7"/>
    <w:rsid w:val="00F43A39"/>
    <w:rsid w:val="00F43A5E"/>
    <w:rsid w:val="00F43D45"/>
    <w:rsid w:val="00F440CB"/>
    <w:rsid w:val="00F443BA"/>
    <w:rsid w:val="00F44923"/>
    <w:rsid w:val="00F44DDF"/>
    <w:rsid w:val="00F451F3"/>
    <w:rsid w:val="00F453EB"/>
    <w:rsid w:val="00F45C35"/>
    <w:rsid w:val="00F45DA0"/>
    <w:rsid w:val="00F45E47"/>
    <w:rsid w:val="00F462A8"/>
    <w:rsid w:val="00F46638"/>
    <w:rsid w:val="00F469FE"/>
    <w:rsid w:val="00F47000"/>
    <w:rsid w:val="00F47106"/>
    <w:rsid w:val="00F471D1"/>
    <w:rsid w:val="00F47868"/>
    <w:rsid w:val="00F479B4"/>
    <w:rsid w:val="00F47F8D"/>
    <w:rsid w:val="00F5014E"/>
    <w:rsid w:val="00F5059B"/>
    <w:rsid w:val="00F506EA"/>
    <w:rsid w:val="00F50ED3"/>
    <w:rsid w:val="00F51269"/>
    <w:rsid w:val="00F51557"/>
    <w:rsid w:val="00F51641"/>
    <w:rsid w:val="00F516B6"/>
    <w:rsid w:val="00F516E2"/>
    <w:rsid w:val="00F51A4A"/>
    <w:rsid w:val="00F51D1B"/>
    <w:rsid w:val="00F52281"/>
    <w:rsid w:val="00F5241A"/>
    <w:rsid w:val="00F525D4"/>
    <w:rsid w:val="00F52693"/>
    <w:rsid w:val="00F52A42"/>
    <w:rsid w:val="00F52DDE"/>
    <w:rsid w:val="00F534CC"/>
    <w:rsid w:val="00F535E0"/>
    <w:rsid w:val="00F53A03"/>
    <w:rsid w:val="00F542BA"/>
    <w:rsid w:val="00F54332"/>
    <w:rsid w:val="00F547F1"/>
    <w:rsid w:val="00F54F80"/>
    <w:rsid w:val="00F5579B"/>
    <w:rsid w:val="00F557FA"/>
    <w:rsid w:val="00F55E1D"/>
    <w:rsid w:val="00F561D4"/>
    <w:rsid w:val="00F56519"/>
    <w:rsid w:val="00F5686C"/>
    <w:rsid w:val="00F56951"/>
    <w:rsid w:val="00F56AF5"/>
    <w:rsid w:val="00F56CF5"/>
    <w:rsid w:val="00F57656"/>
    <w:rsid w:val="00F578DC"/>
    <w:rsid w:val="00F57A9F"/>
    <w:rsid w:val="00F57B7F"/>
    <w:rsid w:val="00F57FF4"/>
    <w:rsid w:val="00F60013"/>
    <w:rsid w:val="00F603D2"/>
    <w:rsid w:val="00F603DF"/>
    <w:rsid w:val="00F6071F"/>
    <w:rsid w:val="00F60810"/>
    <w:rsid w:val="00F608C4"/>
    <w:rsid w:val="00F60EFA"/>
    <w:rsid w:val="00F61012"/>
    <w:rsid w:val="00F611BE"/>
    <w:rsid w:val="00F61632"/>
    <w:rsid w:val="00F61977"/>
    <w:rsid w:val="00F62378"/>
    <w:rsid w:val="00F623AB"/>
    <w:rsid w:val="00F62611"/>
    <w:rsid w:val="00F62695"/>
    <w:rsid w:val="00F62F69"/>
    <w:rsid w:val="00F63005"/>
    <w:rsid w:val="00F631C3"/>
    <w:rsid w:val="00F633FD"/>
    <w:rsid w:val="00F63676"/>
    <w:rsid w:val="00F63894"/>
    <w:rsid w:val="00F63A88"/>
    <w:rsid w:val="00F63EF8"/>
    <w:rsid w:val="00F63EFC"/>
    <w:rsid w:val="00F647F0"/>
    <w:rsid w:val="00F64999"/>
    <w:rsid w:val="00F65E4C"/>
    <w:rsid w:val="00F66462"/>
    <w:rsid w:val="00F668FD"/>
    <w:rsid w:val="00F66DF5"/>
    <w:rsid w:val="00F670F0"/>
    <w:rsid w:val="00F673B2"/>
    <w:rsid w:val="00F67628"/>
    <w:rsid w:val="00F67933"/>
    <w:rsid w:val="00F67984"/>
    <w:rsid w:val="00F67A43"/>
    <w:rsid w:val="00F67DBD"/>
    <w:rsid w:val="00F704F1"/>
    <w:rsid w:val="00F70C5B"/>
    <w:rsid w:val="00F7129F"/>
    <w:rsid w:val="00F712D5"/>
    <w:rsid w:val="00F71562"/>
    <w:rsid w:val="00F7220F"/>
    <w:rsid w:val="00F72227"/>
    <w:rsid w:val="00F7275F"/>
    <w:rsid w:val="00F728D0"/>
    <w:rsid w:val="00F72D4E"/>
    <w:rsid w:val="00F73105"/>
    <w:rsid w:val="00F73A82"/>
    <w:rsid w:val="00F73AFD"/>
    <w:rsid w:val="00F73E71"/>
    <w:rsid w:val="00F7433D"/>
    <w:rsid w:val="00F744FC"/>
    <w:rsid w:val="00F7450A"/>
    <w:rsid w:val="00F7490B"/>
    <w:rsid w:val="00F7510A"/>
    <w:rsid w:val="00F754F9"/>
    <w:rsid w:val="00F75ACD"/>
    <w:rsid w:val="00F762E3"/>
    <w:rsid w:val="00F76591"/>
    <w:rsid w:val="00F76AB6"/>
    <w:rsid w:val="00F76F62"/>
    <w:rsid w:val="00F77AE3"/>
    <w:rsid w:val="00F77DBC"/>
    <w:rsid w:val="00F81126"/>
    <w:rsid w:val="00F8123B"/>
    <w:rsid w:val="00F8156C"/>
    <w:rsid w:val="00F815DD"/>
    <w:rsid w:val="00F816E8"/>
    <w:rsid w:val="00F81897"/>
    <w:rsid w:val="00F81F57"/>
    <w:rsid w:val="00F82D21"/>
    <w:rsid w:val="00F834E7"/>
    <w:rsid w:val="00F83F9A"/>
    <w:rsid w:val="00F8423E"/>
    <w:rsid w:val="00F84520"/>
    <w:rsid w:val="00F8478F"/>
    <w:rsid w:val="00F849FF"/>
    <w:rsid w:val="00F84C41"/>
    <w:rsid w:val="00F85042"/>
    <w:rsid w:val="00F851F9"/>
    <w:rsid w:val="00F85CCA"/>
    <w:rsid w:val="00F86255"/>
    <w:rsid w:val="00F86440"/>
    <w:rsid w:val="00F86B75"/>
    <w:rsid w:val="00F86D93"/>
    <w:rsid w:val="00F87A3A"/>
    <w:rsid w:val="00F87CFF"/>
    <w:rsid w:val="00F908C8"/>
    <w:rsid w:val="00F90C86"/>
    <w:rsid w:val="00F90D87"/>
    <w:rsid w:val="00F917A1"/>
    <w:rsid w:val="00F9215E"/>
    <w:rsid w:val="00F92185"/>
    <w:rsid w:val="00F923A7"/>
    <w:rsid w:val="00F92F0D"/>
    <w:rsid w:val="00F934C8"/>
    <w:rsid w:val="00F938C3"/>
    <w:rsid w:val="00F939CC"/>
    <w:rsid w:val="00F93B7F"/>
    <w:rsid w:val="00F94581"/>
    <w:rsid w:val="00F948A9"/>
    <w:rsid w:val="00F94929"/>
    <w:rsid w:val="00F949A1"/>
    <w:rsid w:val="00F95635"/>
    <w:rsid w:val="00F956A5"/>
    <w:rsid w:val="00F956BF"/>
    <w:rsid w:val="00F9574D"/>
    <w:rsid w:val="00F95816"/>
    <w:rsid w:val="00F958B4"/>
    <w:rsid w:val="00F959F9"/>
    <w:rsid w:val="00F95DFA"/>
    <w:rsid w:val="00F95F55"/>
    <w:rsid w:val="00F96378"/>
    <w:rsid w:val="00F96697"/>
    <w:rsid w:val="00F966C6"/>
    <w:rsid w:val="00F966E4"/>
    <w:rsid w:val="00F96E20"/>
    <w:rsid w:val="00F97479"/>
    <w:rsid w:val="00F97553"/>
    <w:rsid w:val="00F975B8"/>
    <w:rsid w:val="00F9796F"/>
    <w:rsid w:val="00F97F1B"/>
    <w:rsid w:val="00FA066C"/>
    <w:rsid w:val="00FA06EA"/>
    <w:rsid w:val="00FA095D"/>
    <w:rsid w:val="00FA14A3"/>
    <w:rsid w:val="00FA14B8"/>
    <w:rsid w:val="00FA14DD"/>
    <w:rsid w:val="00FA1BA8"/>
    <w:rsid w:val="00FA1F6A"/>
    <w:rsid w:val="00FA2059"/>
    <w:rsid w:val="00FA2186"/>
    <w:rsid w:val="00FA2670"/>
    <w:rsid w:val="00FA26FD"/>
    <w:rsid w:val="00FA28EE"/>
    <w:rsid w:val="00FA3262"/>
    <w:rsid w:val="00FA3472"/>
    <w:rsid w:val="00FA41DF"/>
    <w:rsid w:val="00FA46A5"/>
    <w:rsid w:val="00FA4885"/>
    <w:rsid w:val="00FA48D9"/>
    <w:rsid w:val="00FA50BA"/>
    <w:rsid w:val="00FA526A"/>
    <w:rsid w:val="00FA5327"/>
    <w:rsid w:val="00FA5CDF"/>
    <w:rsid w:val="00FA5DD1"/>
    <w:rsid w:val="00FA6100"/>
    <w:rsid w:val="00FA6378"/>
    <w:rsid w:val="00FA6CB7"/>
    <w:rsid w:val="00FA70C2"/>
    <w:rsid w:val="00FA72DD"/>
    <w:rsid w:val="00FA7CE8"/>
    <w:rsid w:val="00FA7EAE"/>
    <w:rsid w:val="00FB0083"/>
    <w:rsid w:val="00FB01B5"/>
    <w:rsid w:val="00FB03D8"/>
    <w:rsid w:val="00FB0C17"/>
    <w:rsid w:val="00FB0D02"/>
    <w:rsid w:val="00FB0D28"/>
    <w:rsid w:val="00FB1189"/>
    <w:rsid w:val="00FB1772"/>
    <w:rsid w:val="00FB17C0"/>
    <w:rsid w:val="00FB1A11"/>
    <w:rsid w:val="00FB1B56"/>
    <w:rsid w:val="00FB1C03"/>
    <w:rsid w:val="00FB1FA5"/>
    <w:rsid w:val="00FB2214"/>
    <w:rsid w:val="00FB2550"/>
    <w:rsid w:val="00FB296A"/>
    <w:rsid w:val="00FB29F0"/>
    <w:rsid w:val="00FB2D70"/>
    <w:rsid w:val="00FB31D2"/>
    <w:rsid w:val="00FB32C8"/>
    <w:rsid w:val="00FB32F8"/>
    <w:rsid w:val="00FB3427"/>
    <w:rsid w:val="00FB39A3"/>
    <w:rsid w:val="00FB3F62"/>
    <w:rsid w:val="00FB4518"/>
    <w:rsid w:val="00FB4833"/>
    <w:rsid w:val="00FB4ED6"/>
    <w:rsid w:val="00FB5342"/>
    <w:rsid w:val="00FB5E83"/>
    <w:rsid w:val="00FB5ED1"/>
    <w:rsid w:val="00FB5FF2"/>
    <w:rsid w:val="00FB652B"/>
    <w:rsid w:val="00FB6C27"/>
    <w:rsid w:val="00FB6E7C"/>
    <w:rsid w:val="00FB7043"/>
    <w:rsid w:val="00FB79A2"/>
    <w:rsid w:val="00FB7E80"/>
    <w:rsid w:val="00FB7F0B"/>
    <w:rsid w:val="00FC056E"/>
    <w:rsid w:val="00FC07B8"/>
    <w:rsid w:val="00FC0957"/>
    <w:rsid w:val="00FC09CD"/>
    <w:rsid w:val="00FC0E2E"/>
    <w:rsid w:val="00FC0E66"/>
    <w:rsid w:val="00FC112C"/>
    <w:rsid w:val="00FC1385"/>
    <w:rsid w:val="00FC13A9"/>
    <w:rsid w:val="00FC1AA1"/>
    <w:rsid w:val="00FC1F2C"/>
    <w:rsid w:val="00FC27C2"/>
    <w:rsid w:val="00FC2C9E"/>
    <w:rsid w:val="00FC2D7D"/>
    <w:rsid w:val="00FC2F40"/>
    <w:rsid w:val="00FC31C2"/>
    <w:rsid w:val="00FC38A5"/>
    <w:rsid w:val="00FC3DAC"/>
    <w:rsid w:val="00FC4085"/>
    <w:rsid w:val="00FC43CD"/>
    <w:rsid w:val="00FC45FA"/>
    <w:rsid w:val="00FC541C"/>
    <w:rsid w:val="00FC5496"/>
    <w:rsid w:val="00FC5883"/>
    <w:rsid w:val="00FC5B64"/>
    <w:rsid w:val="00FC5C5F"/>
    <w:rsid w:val="00FC602B"/>
    <w:rsid w:val="00FC6217"/>
    <w:rsid w:val="00FC656A"/>
    <w:rsid w:val="00FC69DA"/>
    <w:rsid w:val="00FC6A07"/>
    <w:rsid w:val="00FC6B81"/>
    <w:rsid w:val="00FC6DA3"/>
    <w:rsid w:val="00FC6F59"/>
    <w:rsid w:val="00FC7134"/>
    <w:rsid w:val="00FC7223"/>
    <w:rsid w:val="00FC79A9"/>
    <w:rsid w:val="00FC7A52"/>
    <w:rsid w:val="00FC7DDB"/>
    <w:rsid w:val="00FD0233"/>
    <w:rsid w:val="00FD0C84"/>
    <w:rsid w:val="00FD0E6D"/>
    <w:rsid w:val="00FD12ED"/>
    <w:rsid w:val="00FD14D9"/>
    <w:rsid w:val="00FD193F"/>
    <w:rsid w:val="00FD1B92"/>
    <w:rsid w:val="00FD1BBD"/>
    <w:rsid w:val="00FD1E38"/>
    <w:rsid w:val="00FD1E62"/>
    <w:rsid w:val="00FD2005"/>
    <w:rsid w:val="00FD27FA"/>
    <w:rsid w:val="00FD2BC1"/>
    <w:rsid w:val="00FD2C17"/>
    <w:rsid w:val="00FD2F97"/>
    <w:rsid w:val="00FD310E"/>
    <w:rsid w:val="00FD3C9F"/>
    <w:rsid w:val="00FD3CCF"/>
    <w:rsid w:val="00FD3EAC"/>
    <w:rsid w:val="00FD4034"/>
    <w:rsid w:val="00FD43FB"/>
    <w:rsid w:val="00FD5596"/>
    <w:rsid w:val="00FD5657"/>
    <w:rsid w:val="00FD576F"/>
    <w:rsid w:val="00FD5ADA"/>
    <w:rsid w:val="00FD5FAA"/>
    <w:rsid w:val="00FD610A"/>
    <w:rsid w:val="00FD64BA"/>
    <w:rsid w:val="00FD64EE"/>
    <w:rsid w:val="00FD769D"/>
    <w:rsid w:val="00FD7906"/>
    <w:rsid w:val="00FD7F04"/>
    <w:rsid w:val="00FE01D3"/>
    <w:rsid w:val="00FE052A"/>
    <w:rsid w:val="00FE0C73"/>
    <w:rsid w:val="00FE0F64"/>
    <w:rsid w:val="00FE1133"/>
    <w:rsid w:val="00FE1793"/>
    <w:rsid w:val="00FE216B"/>
    <w:rsid w:val="00FE23A2"/>
    <w:rsid w:val="00FE2717"/>
    <w:rsid w:val="00FE2AC6"/>
    <w:rsid w:val="00FE31B0"/>
    <w:rsid w:val="00FE3294"/>
    <w:rsid w:val="00FE36A8"/>
    <w:rsid w:val="00FE39CA"/>
    <w:rsid w:val="00FE3AE9"/>
    <w:rsid w:val="00FE3D3B"/>
    <w:rsid w:val="00FE3D85"/>
    <w:rsid w:val="00FE3E75"/>
    <w:rsid w:val="00FE3ED5"/>
    <w:rsid w:val="00FE3FC5"/>
    <w:rsid w:val="00FE4622"/>
    <w:rsid w:val="00FE47ED"/>
    <w:rsid w:val="00FE517D"/>
    <w:rsid w:val="00FE531E"/>
    <w:rsid w:val="00FE53BA"/>
    <w:rsid w:val="00FE5AC9"/>
    <w:rsid w:val="00FE5E78"/>
    <w:rsid w:val="00FE622E"/>
    <w:rsid w:val="00FE6600"/>
    <w:rsid w:val="00FE6774"/>
    <w:rsid w:val="00FE68CF"/>
    <w:rsid w:val="00FE69A3"/>
    <w:rsid w:val="00FE6A15"/>
    <w:rsid w:val="00FE6D0F"/>
    <w:rsid w:val="00FE74C9"/>
    <w:rsid w:val="00FE765F"/>
    <w:rsid w:val="00FE79C1"/>
    <w:rsid w:val="00FE7B1A"/>
    <w:rsid w:val="00FE7B76"/>
    <w:rsid w:val="00FE7E43"/>
    <w:rsid w:val="00FE7FE9"/>
    <w:rsid w:val="00FF0B8C"/>
    <w:rsid w:val="00FF0D92"/>
    <w:rsid w:val="00FF154A"/>
    <w:rsid w:val="00FF227D"/>
    <w:rsid w:val="00FF25A5"/>
    <w:rsid w:val="00FF2EC8"/>
    <w:rsid w:val="00FF306A"/>
    <w:rsid w:val="00FF3188"/>
    <w:rsid w:val="00FF31D6"/>
    <w:rsid w:val="00FF34BC"/>
    <w:rsid w:val="00FF3635"/>
    <w:rsid w:val="00FF387F"/>
    <w:rsid w:val="00FF3C08"/>
    <w:rsid w:val="00FF3D80"/>
    <w:rsid w:val="00FF3DBA"/>
    <w:rsid w:val="00FF3DF1"/>
    <w:rsid w:val="00FF4041"/>
    <w:rsid w:val="00FF4760"/>
    <w:rsid w:val="00FF4CD5"/>
    <w:rsid w:val="00FF4D0A"/>
    <w:rsid w:val="00FF5135"/>
    <w:rsid w:val="00FF5193"/>
    <w:rsid w:val="00FF5408"/>
    <w:rsid w:val="00FF5DC0"/>
    <w:rsid w:val="00FF64EC"/>
    <w:rsid w:val="00FF6696"/>
    <w:rsid w:val="00FF6BC2"/>
    <w:rsid w:val="00FF6FFE"/>
    <w:rsid w:val="00FF71B3"/>
    <w:rsid w:val="00FF75DC"/>
    <w:rsid w:val="00FF7864"/>
    <w:rsid w:val="00FF7AFF"/>
    <w:rsid w:val="01161C6B"/>
    <w:rsid w:val="012A5806"/>
    <w:rsid w:val="01541418"/>
    <w:rsid w:val="015E1C4F"/>
    <w:rsid w:val="01674DB3"/>
    <w:rsid w:val="018502B5"/>
    <w:rsid w:val="019E25C3"/>
    <w:rsid w:val="02190440"/>
    <w:rsid w:val="022A0485"/>
    <w:rsid w:val="02444B5C"/>
    <w:rsid w:val="02CB7632"/>
    <w:rsid w:val="02DA01E2"/>
    <w:rsid w:val="0319026B"/>
    <w:rsid w:val="032334C4"/>
    <w:rsid w:val="03681D0D"/>
    <w:rsid w:val="03912F41"/>
    <w:rsid w:val="03B971F4"/>
    <w:rsid w:val="04081149"/>
    <w:rsid w:val="041F4C7F"/>
    <w:rsid w:val="041F78A1"/>
    <w:rsid w:val="04350A3B"/>
    <w:rsid w:val="043616D3"/>
    <w:rsid w:val="04383A1E"/>
    <w:rsid w:val="04504BAA"/>
    <w:rsid w:val="045226B8"/>
    <w:rsid w:val="04635CCB"/>
    <w:rsid w:val="04A85751"/>
    <w:rsid w:val="04AB3D71"/>
    <w:rsid w:val="04AF15DC"/>
    <w:rsid w:val="04BA5BDA"/>
    <w:rsid w:val="04D11CF5"/>
    <w:rsid w:val="04D43044"/>
    <w:rsid w:val="05501C89"/>
    <w:rsid w:val="055B6861"/>
    <w:rsid w:val="0574491D"/>
    <w:rsid w:val="06017863"/>
    <w:rsid w:val="0645084E"/>
    <w:rsid w:val="064E7CC2"/>
    <w:rsid w:val="0656033C"/>
    <w:rsid w:val="067B4FBD"/>
    <w:rsid w:val="06DF3687"/>
    <w:rsid w:val="07141CA5"/>
    <w:rsid w:val="0732514D"/>
    <w:rsid w:val="073836D3"/>
    <w:rsid w:val="07504FBD"/>
    <w:rsid w:val="078D5486"/>
    <w:rsid w:val="07991051"/>
    <w:rsid w:val="07A1316E"/>
    <w:rsid w:val="07BE007D"/>
    <w:rsid w:val="08192A99"/>
    <w:rsid w:val="084A7291"/>
    <w:rsid w:val="086A2E85"/>
    <w:rsid w:val="086E0189"/>
    <w:rsid w:val="088B4007"/>
    <w:rsid w:val="08BD42FA"/>
    <w:rsid w:val="08BE3AA0"/>
    <w:rsid w:val="08C97C14"/>
    <w:rsid w:val="08E63B5F"/>
    <w:rsid w:val="08F80E90"/>
    <w:rsid w:val="09250A73"/>
    <w:rsid w:val="096E52C3"/>
    <w:rsid w:val="09910447"/>
    <w:rsid w:val="099524D8"/>
    <w:rsid w:val="09BC7A75"/>
    <w:rsid w:val="0A185D1B"/>
    <w:rsid w:val="0A1E7D15"/>
    <w:rsid w:val="0A224230"/>
    <w:rsid w:val="0B064214"/>
    <w:rsid w:val="0B4B13CA"/>
    <w:rsid w:val="0B5605CC"/>
    <w:rsid w:val="0B5731A0"/>
    <w:rsid w:val="0B60640F"/>
    <w:rsid w:val="0BD6320F"/>
    <w:rsid w:val="0C0E128E"/>
    <w:rsid w:val="0C446EC6"/>
    <w:rsid w:val="0C5C7E64"/>
    <w:rsid w:val="0C812C03"/>
    <w:rsid w:val="0C983621"/>
    <w:rsid w:val="0CAC7F43"/>
    <w:rsid w:val="0CF62067"/>
    <w:rsid w:val="0D4D42FA"/>
    <w:rsid w:val="0D670C3F"/>
    <w:rsid w:val="0D755341"/>
    <w:rsid w:val="0D931124"/>
    <w:rsid w:val="0D96074B"/>
    <w:rsid w:val="0DA40E02"/>
    <w:rsid w:val="0DD471A6"/>
    <w:rsid w:val="0E10273F"/>
    <w:rsid w:val="0E1D664B"/>
    <w:rsid w:val="0E4E4EAD"/>
    <w:rsid w:val="0E6A0556"/>
    <w:rsid w:val="0EBC16FB"/>
    <w:rsid w:val="0EBD02B9"/>
    <w:rsid w:val="0EEA6907"/>
    <w:rsid w:val="0EF80307"/>
    <w:rsid w:val="0F31164D"/>
    <w:rsid w:val="0F3423C2"/>
    <w:rsid w:val="0F7756E1"/>
    <w:rsid w:val="0F85496E"/>
    <w:rsid w:val="0F925469"/>
    <w:rsid w:val="0FAB63C3"/>
    <w:rsid w:val="0FD27B12"/>
    <w:rsid w:val="10CD48D0"/>
    <w:rsid w:val="10F226A8"/>
    <w:rsid w:val="1102754C"/>
    <w:rsid w:val="111E4A4C"/>
    <w:rsid w:val="11395163"/>
    <w:rsid w:val="114776A4"/>
    <w:rsid w:val="11EE3C7D"/>
    <w:rsid w:val="11FB5F18"/>
    <w:rsid w:val="120534D9"/>
    <w:rsid w:val="1212349F"/>
    <w:rsid w:val="126E03F6"/>
    <w:rsid w:val="127A7444"/>
    <w:rsid w:val="12ED211B"/>
    <w:rsid w:val="13102782"/>
    <w:rsid w:val="13270406"/>
    <w:rsid w:val="13467864"/>
    <w:rsid w:val="136A7050"/>
    <w:rsid w:val="136E2957"/>
    <w:rsid w:val="1378692F"/>
    <w:rsid w:val="13902C32"/>
    <w:rsid w:val="13AD3635"/>
    <w:rsid w:val="13E818B0"/>
    <w:rsid w:val="142D18C7"/>
    <w:rsid w:val="143A5F89"/>
    <w:rsid w:val="1455447B"/>
    <w:rsid w:val="14C6704B"/>
    <w:rsid w:val="1514141F"/>
    <w:rsid w:val="153F3E41"/>
    <w:rsid w:val="15474548"/>
    <w:rsid w:val="154B2F52"/>
    <w:rsid w:val="15806814"/>
    <w:rsid w:val="15BD06ED"/>
    <w:rsid w:val="15E207F5"/>
    <w:rsid w:val="15ED6881"/>
    <w:rsid w:val="15F93D72"/>
    <w:rsid w:val="16040A17"/>
    <w:rsid w:val="16980E09"/>
    <w:rsid w:val="169E7183"/>
    <w:rsid w:val="16B514CE"/>
    <w:rsid w:val="16F646AF"/>
    <w:rsid w:val="16FE2B67"/>
    <w:rsid w:val="171E3259"/>
    <w:rsid w:val="172A3039"/>
    <w:rsid w:val="17381E41"/>
    <w:rsid w:val="177B43B7"/>
    <w:rsid w:val="17936C35"/>
    <w:rsid w:val="17A9196F"/>
    <w:rsid w:val="17C52E06"/>
    <w:rsid w:val="17F35F2B"/>
    <w:rsid w:val="17F7557E"/>
    <w:rsid w:val="18211855"/>
    <w:rsid w:val="185648E8"/>
    <w:rsid w:val="18585F62"/>
    <w:rsid w:val="18804A0D"/>
    <w:rsid w:val="18851D86"/>
    <w:rsid w:val="18980476"/>
    <w:rsid w:val="18AB63FB"/>
    <w:rsid w:val="18C2412B"/>
    <w:rsid w:val="18E11E1D"/>
    <w:rsid w:val="19277C40"/>
    <w:rsid w:val="19393878"/>
    <w:rsid w:val="19796421"/>
    <w:rsid w:val="1989410F"/>
    <w:rsid w:val="198E64C4"/>
    <w:rsid w:val="19A84D5E"/>
    <w:rsid w:val="19B92F98"/>
    <w:rsid w:val="19F2025E"/>
    <w:rsid w:val="1A0872DA"/>
    <w:rsid w:val="1A4B5A12"/>
    <w:rsid w:val="1A9F65D1"/>
    <w:rsid w:val="1AA172CC"/>
    <w:rsid w:val="1AAF7BD4"/>
    <w:rsid w:val="1AB36643"/>
    <w:rsid w:val="1AC70BAF"/>
    <w:rsid w:val="1AE33E0E"/>
    <w:rsid w:val="1B0413FC"/>
    <w:rsid w:val="1B1A0756"/>
    <w:rsid w:val="1B4C75FD"/>
    <w:rsid w:val="1B650173"/>
    <w:rsid w:val="1B6C44ED"/>
    <w:rsid w:val="1C122A9F"/>
    <w:rsid w:val="1C1231E0"/>
    <w:rsid w:val="1C13053F"/>
    <w:rsid w:val="1C3700F7"/>
    <w:rsid w:val="1C3F653E"/>
    <w:rsid w:val="1C7861CA"/>
    <w:rsid w:val="1C7F5BD5"/>
    <w:rsid w:val="1C9839A1"/>
    <w:rsid w:val="1CCA2D74"/>
    <w:rsid w:val="1CD70403"/>
    <w:rsid w:val="1CEC3959"/>
    <w:rsid w:val="1CF34E02"/>
    <w:rsid w:val="1CF80F65"/>
    <w:rsid w:val="1D0E6AF9"/>
    <w:rsid w:val="1D1F61FE"/>
    <w:rsid w:val="1DB971ED"/>
    <w:rsid w:val="1E3D57BC"/>
    <w:rsid w:val="1E4114C8"/>
    <w:rsid w:val="1E4D6C9E"/>
    <w:rsid w:val="1EAB175B"/>
    <w:rsid w:val="1EB57011"/>
    <w:rsid w:val="1ECB34E1"/>
    <w:rsid w:val="1F0419FB"/>
    <w:rsid w:val="1F244811"/>
    <w:rsid w:val="1F747257"/>
    <w:rsid w:val="1FF976B3"/>
    <w:rsid w:val="203F5D37"/>
    <w:rsid w:val="2064464C"/>
    <w:rsid w:val="20B02E89"/>
    <w:rsid w:val="20F67CE8"/>
    <w:rsid w:val="21183B39"/>
    <w:rsid w:val="213071B8"/>
    <w:rsid w:val="213578D1"/>
    <w:rsid w:val="21D1773F"/>
    <w:rsid w:val="21D61F46"/>
    <w:rsid w:val="21DD3916"/>
    <w:rsid w:val="21E12E8E"/>
    <w:rsid w:val="220426D8"/>
    <w:rsid w:val="223F251B"/>
    <w:rsid w:val="227C54F3"/>
    <w:rsid w:val="22846C67"/>
    <w:rsid w:val="22C6451F"/>
    <w:rsid w:val="22D34F9A"/>
    <w:rsid w:val="232B64CF"/>
    <w:rsid w:val="2341649A"/>
    <w:rsid w:val="234A3A17"/>
    <w:rsid w:val="23960F83"/>
    <w:rsid w:val="23EF7392"/>
    <w:rsid w:val="24A37238"/>
    <w:rsid w:val="24BD6D69"/>
    <w:rsid w:val="24C06D8A"/>
    <w:rsid w:val="24D429B4"/>
    <w:rsid w:val="24E31E1C"/>
    <w:rsid w:val="24F04BDF"/>
    <w:rsid w:val="254479BB"/>
    <w:rsid w:val="2553169E"/>
    <w:rsid w:val="255711DB"/>
    <w:rsid w:val="25A00DAB"/>
    <w:rsid w:val="25C92269"/>
    <w:rsid w:val="26444C81"/>
    <w:rsid w:val="26934F4F"/>
    <w:rsid w:val="26CC7602"/>
    <w:rsid w:val="26DD14A4"/>
    <w:rsid w:val="27055EED"/>
    <w:rsid w:val="27AB62A7"/>
    <w:rsid w:val="280629B1"/>
    <w:rsid w:val="283C3344"/>
    <w:rsid w:val="28707158"/>
    <w:rsid w:val="28856661"/>
    <w:rsid w:val="289B0478"/>
    <w:rsid w:val="28AA5AA1"/>
    <w:rsid w:val="290C0AE8"/>
    <w:rsid w:val="291122AA"/>
    <w:rsid w:val="29641F51"/>
    <w:rsid w:val="297220D8"/>
    <w:rsid w:val="299C4CC3"/>
    <w:rsid w:val="29C92B85"/>
    <w:rsid w:val="29CC5566"/>
    <w:rsid w:val="29DA2AAA"/>
    <w:rsid w:val="2A0E616D"/>
    <w:rsid w:val="2A3B10D5"/>
    <w:rsid w:val="2A872D43"/>
    <w:rsid w:val="2A9D1477"/>
    <w:rsid w:val="2ACD0453"/>
    <w:rsid w:val="2AE3597B"/>
    <w:rsid w:val="2B2C3206"/>
    <w:rsid w:val="2BAE0B66"/>
    <w:rsid w:val="2BB81219"/>
    <w:rsid w:val="2BF40BCB"/>
    <w:rsid w:val="2C0C2156"/>
    <w:rsid w:val="2C583CB1"/>
    <w:rsid w:val="2C853EF4"/>
    <w:rsid w:val="2CA64C2E"/>
    <w:rsid w:val="2D9E400A"/>
    <w:rsid w:val="2DD52104"/>
    <w:rsid w:val="2DE643D8"/>
    <w:rsid w:val="2E0306D9"/>
    <w:rsid w:val="2E094081"/>
    <w:rsid w:val="2E19059B"/>
    <w:rsid w:val="2E2C0D6F"/>
    <w:rsid w:val="2E6B304B"/>
    <w:rsid w:val="2E8B2FC7"/>
    <w:rsid w:val="2ECC3CAF"/>
    <w:rsid w:val="2EE1627B"/>
    <w:rsid w:val="2EE276DC"/>
    <w:rsid w:val="2EE30245"/>
    <w:rsid w:val="2EF97FF1"/>
    <w:rsid w:val="2F2E54B3"/>
    <w:rsid w:val="2F44099D"/>
    <w:rsid w:val="2F5B7547"/>
    <w:rsid w:val="2F9F0840"/>
    <w:rsid w:val="2FB97B7D"/>
    <w:rsid w:val="2FC5071D"/>
    <w:rsid w:val="2FF23DA8"/>
    <w:rsid w:val="300E4C34"/>
    <w:rsid w:val="301113B6"/>
    <w:rsid w:val="305A0773"/>
    <w:rsid w:val="30A13EBE"/>
    <w:rsid w:val="30C54B0C"/>
    <w:rsid w:val="30D91CD6"/>
    <w:rsid w:val="311D56D7"/>
    <w:rsid w:val="31510C46"/>
    <w:rsid w:val="31522F94"/>
    <w:rsid w:val="3166255C"/>
    <w:rsid w:val="31BA690E"/>
    <w:rsid w:val="31CA0D0E"/>
    <w:rsid w:val="32005F60"/>
    <w:rsid w:val="320C4D8F"/>
    <w:rsid w:val="32281537"/>
    <w:rsid w:val="325E46E7"/>
    <w:rsid w:val="327959FB"/>
    <w:rsid w:val="32B14D68"/>
    <w:rsid w:val="32BB5354"/>
    <w:rsid w:val="32CD62DF"/>
    <w:rsid w:val="32CF6EA6"/>
    <w:rsid w:val="33566A79"/>
    <w:rsid w:val="338537FB"/>
    <w:rsid w:val="33A77D30"/>
    <w:rsid w:val="33A83403"/>
    <w:rsid w:val="33AB42A7"/>
    <w:rsid w:val="33BA52ED"/>
    <w:rsid w:val="33C20C6F"/>
    <w:rsid w:val="33D126B5"/>
    <w:rsid w:val="33D4570C"/>
    <w:rsid w:val="34546C0C"/>
    <w:rsid w:val="34BF2B60"/>
    <w:rsid w:val="34C44A02"/>
    <w:rsid w:val="351521B6"/>
    <w:rsid w:val="35215C48"/>
    <w:rsid w:val="35496928"/>
    <w:rsid w:val="35D7161A"/>
    <w:rsid w:val="36064819"/>
    <w:rsid w:val="361B077B"/>
    <w:rsid w:val="36302A1E"/>
    <w:rsid w:val="36316B94"/>
    <w:rsid w:val="36441BD2"/>
    <w:rsid w:val="364B6F26"/>
    <w:rsid w:val="367A51B6"/>
    <w:rsid w:val="369A5EF2"/>
    <w:rsid w:val="36AD47C6"/>
    <w:rsid w:val="36CA55C6"/>
    <w:rsid w:val="36D526FA"/>
    <w:rsid w:val="36EF3804"/>
    <w:rsid w:val="36F32FEF"/>
    <w:rsid w:val="37265952"/>
    <w:rsid w:val="372D17BE"/>
    <w:rsid w:val="37465815"/>
    <w:rsid w:val="37645799"/>
    <w:rsid w:val="37861069"/>
    <w:rsid w:val="37862E15"/>
    <w:rsid w:val="37CB22AA"/>
    <w:rsid w:val="37F6691A"/>
    <w:rsid w:val="380F69A9"/>
    <w:rsid w:val="382C45DA"/>
    <w:rsid w:val="38755C7B"/>
    <w:rsid w:val="388270D7"/>
    <w:rsid w:val="389556CA"/>
    <w:rsid w:val="38D83564"/>
    <w:rsid w:val="38DC217D"/>
    <w:rsid w:val="38E40E03"/>
    <w:rsid w:val="3909473A"/>
    <w:rsid w:val="39450BA1"/>
    <w:rsid w:val="399C7FC2"/>
    <w:rsid w:val="39C53158"/>
    <w:rsid w:val="39E55A62"/>
    <w:rsid w:val="3A0F02EC"/>
    <w:rsid w:val="3A3201C2"/>
    <w:rsid w:val="3A50432A"/>
    <w:rsid w:val="3A5079F3"/>
    <w:rsid w:val="3A58393B"/>
    <w:rsid w:val="3A720DB6"/>
    <w:rsid w:val="3A9F4C93"/>
    <w:rsid w:val="3AC11D66"/>
    <w:rsid w:val="3B037BEE"/>
    <w:rsid w:val="3B086309"/>
    <w:rsid w:val="3B281976"/>
    <w:rsid w:val="3B295FEF"/>
    <w:rsid w:val="3B45642B"/>
    <w:rsid w:val="3B5B43E3"/>
    <w:rsid w:val="3B7144B9"/>
    <w:rsid w:val="3B806E1C"/>
    <w:rsid w:val="3BEB24E7"/>
    <w:rsid w:val="3C0C31C7"/>
    <w:rsid w:val="3C2C7366"/>
    <w:rsid w:val="3C2D1827"/>
    <w:rsid w:val="3C361083"/>
    <w:rsid w:val="3C5D324F"/>
    <w:rsid w:val="3C7314B6"/>
    <w:rsid w:val="3C887A8B"/>
    <w:rsid w:val="3CCE178D"/>
    <w:rsid w:val="3CDC693C"/>
    <w:rsid w:val="3CE913DA"/>
    <w:rsid w:val="3D211736"/>
    <w:rsid w:val="3D3305EA"/>
    <w:rsid w:val="3D365327"/>
    <w:rsid w:val="3D466A5D"/>
    <w:rsid w:val="3D8212AE"/>
    <w:rsid w:val="3D8A7898"/>
    <w:rsid w:val="3DB844FE"/>
    <w:rsid w:val="3E113F2B"/>
    <w:rsid w:val="3E204A79"/>
    <w:rsid w:val="3E8754B5"/>
    <w:rsid w:val="3EA96C3A"/>
    <w:rsid w:val="3ED63230"/>
    <w:rsid w:val="3F25098C"/>
    <w:rsid w:val="3F5B1F0D"/>
    <w:rsid w:val="3FAC33B4"/>
    <w:rsid w:val="3FB34F28"/>
    <w:rsid w:val="3FD63515"/>
    <w:rsid w:val="3FED6268"/>
    <w:rsid w:val="400133EE"/>
    <w:rsid w:val="400A17E0"/>
    <w:rsid w:val="402241F5"/>
    <w:rsid w:val="40310316"/>
    <w:rsid w:val="40321CCA"/>
    <w:rsid w:val="403E7096"/>
    <w:rsid w:val="40760B19"/>
    <w:rsid w:val="4093656F"/>
    <w:rsid w:val="40BA773C"/>
    <w:rsid w:val="40CF51A3"/>
    <w:rsid w:val="40DE5358"/>
    <w:rsid w:val="410D4CAE"/>
    <w:rsid w:val="410F60FC"/>
    <w:rsid w:val="41296109"/>
    <w:rsid w:val="41561B02"/>
    <w:rsid w:val="41B41A24"/>
    <w:rsid w:val="41BC207E"/>
    <w:rsid w:val="41C815D8"/>
    <w:rsid w:val="41D629E0"/>
    <w:rsid w:val="41E62C4A"/>
    <w:rsid w:val="421C0655"/>
    <w:rsid w:val="426E1E16"/>
    <w:rsid w:val="4274757F"/>
    <w:rsid w:val="427C5DA8"/>
    <w:rsid w:val="42A31643"/>
    <w:rsid w:val="42D96A5F"/>
    <w:rsid w:val="42E52C18"/>
    <w:rsid w:val="42EF4B38"/>
    <w:rsid w:val="43063A21"/>
    <w:rsid w:val="4321759A"/>
    <w:rsid w:val="438C45B0"/>
    <w:rsid w:val="438F13AF"/>
    <w:rsid w:val="43B91334"/>
    <w:rsid w:val="43C34104"/>
    <w:rsid w:val="43F05796"/>
    <w:rsid w:val="43FA1C05"/>
    <w:rsid w:val="441A7810"/>
    <w:rsid w:val="44404A7B"/>
    <w:rsid w:val="44786EE4"/>
    <w:rsid w:val="44A67B31"/>
    <w:rsid w:val="44AB3940"/>
    <w:rsid w:val="44AF631A"/>
    <w:rsid w:val="44EA6461"/>
    <w:rsid w:val="4509373F"/>
    <w:rsid w:val="450C4953"/>
    <w:rsid w:val="452306EA"/>
    <w:rsid w:val="453D7416"/>
    <w:rsid w:val="45550913"/>
    <w:rsid w:val="45637B3F"/>
    <w:rsid w:val="45D1274E"/>
    <w:rsid w:val="45E85956"/>
    <w:rsid w:val="46164604"/>
    <w:rsid w:val="461E334C"/>
    <w:rsid w:val="4642364B"/>
    <w:rsid w:val="46462EEB"/>
    <w:rsid w:val="466435C2"/>
    <w:rsid w:val="466D602E"/>
    <w:rsid w:val="46994CDF"/>
    <w:rsid w:val="46A15D2C"/>
    <w:rsid w:val="46B034E7"/>
    <w:rsid w:val="46C201CD"/>
    <w:rsid w:val="47097360"/>
    <w:rsid w:val="470B3129"/>
    <w:rsid w:val="472F6522"/>
    <w:rsid w:val="47377BE4"/>
    <w:rsid w:val="474F35C1"/>
    <w:rsid w:val="47627207"/>
    <w:rsid w:val="47C3112F"/>
    <w:rsid w:val="47F0451E"/>
    <w:rsid w:val="47FF27CA"/>
    <w:rsid w:val="481664DE"/>
    <w:rsid w:val="48186B9A"/>
    <w:rsid w:val="4831775A"/>
    <w:rsid w:val="487D3D7D"/>
    <w:rsid w:val="487E29DB"/>
    <w:rsid w:val="489C3FF5"/>
    <w:rsid w:val="48B12150"/>
    <w:rsid w:val="49651288"/>
    <w:rsid w:val="49A83E50"/>
    <w:rsid w:val="49B11720"/>
    <w:rsid w:val="49F32F14"/>
    <w:rsid w:val="4A0A598B"/>
    <w:rsid w:val="4A23119B"/>
    <w:rsid w:val="4A554513"/>
    <w:rsid w:val="4A5F5660"/>
    <w:rsid w:val="4A870B98"/>
    <w:rsid w:val="4AA77A88"/>
    <w:rsid w:val="4AF8015E"/>
    <w:rsid w:val="4B045107"/>
    <w:rsid w:val="4B0D2B00"/>
    <w:rsid w:val="4B252B3F"/>
    <w:rsid w:val="4B274ECF"/>
    <w:rsid w:val="4B3D7452"/>
    <w:rsid w:val="4B5000C4"/>
    <w:rsid w:val="4B543FE3"/>
    <w:rsid w:val="4B6A4681"/>
    <w:rsid w:val="4B986211"/>
    <w:rsid w:val="4BCE3916"/>
    <w:rsid w:val="4C0D1067"/>
    <w:rsid w:val="4C147838"/>
    <w:rsid w:val="4C151199"/>
    <w:rsid w:val="4C234E0A"/>
    <w:rsid w:val="4C3A1E08"/>
    <w:rsid w:val="4C42348D"/>
    <w:rsid w:val="4C9307F0"/>
    <w:rsid w:val="4D002791"/>
    <w:rsid w:val="4D0D39B5"/>
    <w:rsid w:val="4D3652FB"/>
    <w:rsid w:val="4D517FF8"/>
    <w:rsid w:val="4DA4699A"/>
    <w:rsid w:val="4DBC5E9B"/>
    <w:rsid w:val="4DEC63B1"/>
    <w:rsid w:val="4E0849A7"/>
    <w:rsid w:val="4E0A1873"/>
    <w:rsid w:val="4E1006A6"/>
    <w:rsid w:val="4E115752"/>
    <w:rsid w:val="4E26314C"/>
    <w:rsid w:val="4E593C28"/>
    <w:rsid w:val="4E9E72BE"/>
    <w:rsid w:val="4EC32B68"/>
    <w:rsid w:val="4EC7035A"/>
    <w:rsid w:val="4ED446E7"/>
    <w:rsid w:val="4EDD4020"/>
    <w:rsid w:val="4EE169D5"/>
    <w:rsid w:val="4EF32C76"/>
    <w:rsid w:val="4F01411C"/>
    <w:rsid w:val="4F244236"/>
    <w:rsid w:val="4F5916B4"/>
    <w:rsid w:val="4F792D65"/>
    <w:rsid w:val="4FA33873"/>
    <w:rsid w:val="4FB40F6B"/>
    <w:rsid w:val="4FC414BB"/>
    <w:rsid w:val="4FD456DD"/>
    <w:rsid w:val="5014381E"/>
    <w:rsid w:val="501C3E87"/>
    <w:rsid w:val="50334005"/>
    <w:rsid w:val="50493828"/>
    <w:rsid w:val="504B4849"/>
    <w:rsid w:val="506F328F"/>
    <w:rsid w:val="50812266"/>
    <w:rsid w:val="50953CB6"/>
    <w:rsid w:val="50E00C05"/>
    <w:rsid w:val="510D69FE"/>
    <w:rsid w:val="511B4E80"/>
    <w:rsid w:val="514E348D"/>
    <w:rsid w:val="519933D1"/>
    <w:rsid w:val="51B71737"/>
    <w:rsid w:val="51D96A64"/>
    <w:rsid w:val="52094E9C"/>
    <w:rsid w:val="52296707"/>
    <w:rsid w:val="522A494F"/>
    <w:rsid w:val="52687572"/>
    <w:rsid w:val="52A47972"/>
    <w:rsid w:val="52FE08FA"/>
    <w:rsid w:val="53493715"/>
    <w:rsid w:val="536B6632"/>
    <w:rsid w:val="536B6C7D"/>
    <w:rsid w:val="539022F6"/>
    <w:rsid w:val="53AE397C"/>
    <w:rsid w:val="53DC2CA4"/>
    <w:rsid w:val="53EE3946"/>
    <w:rsid w:val="53EF6D89"/>
    <w:rsid w:val="5402344C"/>
    <w:rsid w:val="54030928"/>
    <w:rsid w:val="542B76AE"/>
    <w:rsid w:val="54512E84"/>
    <w:rsid w:val="54862B82"/>
    <w:rsid w:val="54F102FD"/>
    <w:rsid w:val="55036310"/>
    <w:rsid w:val="55503752"/>
    <w:rsid w:val="556D5105"/>
    <w:rsid w:val="55774994"/>
    <w:rsid w:val="557D0CB5"/>
    <w:rsid w:val="558B4F16"/>
    <w:rsid w:val="55E6367E"/>
    <w:rsid w:val="56010E2D"/>
    <w:rsid w:val="563934FD"/>
    <w:rsid w:val="56484914"/>
    <w:rsid w:val="56686400"/>
    <w:rsid w:val="57315742"/>
    <w:rsid w:val="57A676EE"/>
    <w:rsid w:val="57AE02F8"/>
    <w:rsid w:val="57F6378F"/>
    <w:rsid w:val="58105195"/>
    <w:rsid w:val="58271C57"/>
    <w:rsid w:val="585D4E78"/>
    <w:rsid w:val="58874986"/>
    <w:rsid w:val="58AF248D"/>
    <w:rsid w:val="58D4539D"/>
    <w:rsid w:val="5939374C"/>
    <w:rsid w:val="59A40268"/>
    <w:rsid w:val="59B36773"/>
    <w:rsid w:val="59B630AC"/>
    <w:rsid w:val="5A0F7614"/>
    <w:rsid w:val="5A526C51"/>
    <w:rsid w:val="5A557CBB"/>
    <w:rsid w:val="5A57262F"/>
    <w:rsid w:val="5A6476E8"/>
    <w:rsid w:val="5AD760BB"/>
    <w:rsid w:val="5AF81F48"/>
    <w:rsid w:val="5AFA505E"/>
    <w:rsid w:val="5B265D84"/>
    <w:rsid w:val="5B4414F6"/>
    <w:rsid w:val="5B443062"/>
    <w:rsid w:val="5B676F19"/>
    <w:rsid w:val="5B807C7B"/>
    <w:rsid w:val="5BEF3EDB"/>
    <w:rsid w:val="5BF136F2"/>
    <w:rsid w:val="5C39244B"/>
    <w:rsid w:val="5C7E509F"/>
    <w:rsid w:val="5C843FF9"/>
    <w:rsid w:val="5C8C4586"/>
    <w:rsid w:val="5C9861C7"/>
    <w:rsid w:val="5CD32960"/>
    <w:rsid w:val="5CD9690D"/>
    <w:rsid w:val="5CDC368A"/>
    <w:rsid w:val="5CF63D13"/>
    <w:rsid w:val="5D96523F"/>
    <w:rsid w:val="5DB91FC5"/>
    <w:rsid w:val="5DD12DA4"/>
    <w:rsid w:val="5DD86D3C"/>
    <w:rsid w:val="5E5823A6"/>
    <w:rsid w:val="5E9B2EE4"/>
    <w:rsid w:val="5EC05E39"/>
    <w:rsid w:val="5ECC399C"/>
    <w:rsid w:val="5EDA34E3"/>
    <w:rsid w:val="5EDD680E"/>
    <w:rsid w:val="5EF966C0"/>
    <w:rsid w:val="5F010A7F"/>
    <w:rsid w:val="5F013871"/>
    <w:rsid w:val="5F0658D2"/>
    <w:rsid w:val="5F295255"/>
    <w:rsid w:val="5F536036"/>
    <w:rsid w:val="5F78399D"/>
    <w:rsid w:val="5F7E5892"/>
    <w:rsid w:val="5FD710E9"/>
    <w:rsid w:val="5FD84437"/>
    <w:rsid w:val="601C6864"/>
    <w:rsid w:val="601E7412"/>
    <w:rsid w:val="606472C0"/>
    <w:rsid w:val="6072391C"/>
    <w:rsid w:val="60746C02"/>
    <w:rsid w:val="60906DB4"/>
    <w:rsid w:val="60980D0C"/>
    <w:rsid w:val="609D43B9"/>
    <w:rsid w:val="60B14498"/>
    <w:rsid w:val="60E37357"/>
    <w:rsid w:val="60FC56A3"/>
    <w:rsid w:val="616D2D99"/>
    <w:rsid w:val="618734DF"/>
    <w:rsid w:val="61C7767E"/>
    <w:rsid w:val="61E37F7C"/>
    <w:rsid w:val="626C13D3"/>
    <w:rsid w:val="62767C80"/>
    <w:rsid w:val="627C4370"/>
    <w:rsid w:val="62AB3E4D"/>
    <w:rsid w:val="62D93DAE"/>
    <w:rsid w:val="62F40C3F"/>
    <w:rsid w:val="63035044"/>
    <w:rsid w:val="632F5D7C"/>
    <w:rsid w:val="635A52D6"/>
    <w:rsid w:val="63871979"/>
    <w:rsid w:val="643373F5"/>
    <w:rsid w:val="647642FC"/>
    <w:rsid w:val="64A070E4"/>
    <w:rsid w:val="64D160D4"/>
    <w:rsid w:val="654B202F"/>
    <w:rsid w:val="65A50ADB"/>
    <w:rsid w:val="65BA41F1"/>
    <w:rsid w:val="65CB57CD"/>
    <w:rsid w:val="65E8624E"/>
    <w:rsid w:val="660F7C7A"/>
    <w:rsid w:val="6617255E"/>
    <w:rsid w:val="6621093E"/>
    <w:rsid w:val="663732CE"/>
    <w:rsid w:val="664005CD"/>
    <w:rsid w:val="666739AF"/>
    <w:rsid w:val="66822DFB"/>
    <w:rsid w:val="66D460EA"/>
    <w:rsid w:val="670642DE"/>
    <w:rsid w:val="6747380D"/>
    <w:rsid w:val="677602AB"/>
    <w:rsid w:val="67916833"/>
    <w:rsid w:val="67B54302"/>
    <w:rsid w:val="67B9696F"/>
    <w:rsid w:val="67BD44D7"/>
    <w:rsid w:val="67C75816"/>
    <w:rsid w:val="67D961FB"/>
    <w:rsid w:val="67FA31D2"/>
    <w:rsid w:val="68134854"/>
    <w:rsid w:val="6865117C"/>
    <w:rsid w:val="689D681E"/>
    <w:rsid w:val="68AA0EB0"/>
    <w:rsid w:val="68F92E24"/>
    <w:rsid w:val="69217B6C"/>
    <w:rsid w:val="696E280C"/>
    <w:rsid w:val="697274F4"/>
    <w:rsid w:val="69A851D0"/>
    <w:rsid w:val="69C1710D"/>
    <w:rsid w:val="6A05409D"/>
    <w:rsid w:val="6A1A0C10"/>
    <w:rsid w:val="6A3356DC"/>
    <w:rsid w:val="6A4E1D48"/>
    <w:rsid w:val="6A56470A"/>
    <w:rsid w:val="6AC41FD2"/>
    <w:rsid w:val="6AE54329"/>
    <w:rsid w:val="6AF801AB"/>
    <w:rsid w:val="6B2A51A7"/>
    <w:rsid w:val="6B8E1AFF"/>
    <w:rsid w:val="6BAF20BC"/>
    <w:rsid w:val="6BBF1934"/>
    <w:rsid w:val="6C0E15CB"/>
    <w:rsid w:val="6C1964F1"/>
    <w:rsid w:val="6CD160B8"/>
    <w:rsid w:val="6CE179F3"/>
    <w:rsid w:val="6CE4190F"/>
    <w:rsid w:val="6D2560C2"/>
    <w:rsid w:val="6D271F41"/>
    <w:rsid w:val="6D603160"/>
    <w:rsid w:val="6DC7730C"/>
    <w:rsid w:val="6E416E6E"/>
    <w:rsid w:val="6E88549E"/>
    <w:rsid w:val="6EC2098B"/>
    <w:rsid w:val="6EF6543D"/>
    <w:rsid w:val="703B7834"/>
    <w:rsid w:val="70855983"/>
    <w:rsid w:val="70A0528E"/>
    <w:rsid w:val="70BC6B65"/>
    <w:rsid w:val="70C07453"/>
    <w:rsid w:val="70C27F4D"/>
    <w:rsid w:val="71123A50"/>
    <w:rsid w:val="711B0131"/>
    <w:rsid w:val="713D1899"/>
    <w:rsid w:val="7198718A"/>
    <w:rsid w:val="71CF1332"/>
    <w:rsid w:val="72100FE8"/>
    <w:rsid w:val="721E7CA5"/>
    <w:rsid w:val="723D7666"/>
    <w:rsid w:val="724A66CB"/>
    <w:rsid w:val="72AE2DB6"/>
    <w:rsid w:val="73142535"/>
    <w:rsid w:val="732336C4"/>
    <w:rsid w:val="73812510"/>
    <w:rsid w:val="73905AE9"/>
    <w:rsid w:val="7391074D"/>
    <w:rsid w:val="73EF5920"/>
    <w:rsid w:val="740A0FD3"/>
    <w:rsid w:val="742F02EA"/>
    <w:rsid w:val="743C55A5"/>
    <w:rsid w:val="744844F7"/>
    <w:rsid w:val="74531FDC"/>
    <w:rsid w:val="746F0739"/>
    <w:rsid w:val="74E7348C"/>
    <w:rsid w:val="75175D00"/>
    <w:rsid w:val="75337EE9"/>
    <w:rsid w:val="754C53E0"/>
    <w:rsid w:val="755955BA"/>
    <w:rsid w:val="755B7563"/>
    <w:rsid w:val="75861907"/>
    <w:rsid w:val="75B6399B"/>
    <w:rsid w:val="763E0069"/>
    <w:rsid w:val="76700851"/>
    <w:rsid w:val="767A018E"/>
    <w:rsid w:val="767A07FD"/>
    <w:rsid w:val="769F5A6E"/>
    <w:rsid w:val="76B8557F"/>
    <w:rsid w:val="76C128E7"/>
    <w:rsid w:val="76FA162C"/>
    <w:rsid w:val="771D1A03"/>
    <w:rsid w:val="7743097E"/>
    <w:rsid w:val="77514FB2"/>
    <w:rsid w:val="778B59F9"/>
    <w:rsid w:val="779E2207"/>
    <w:rsid w:val="77BF012D"/>
    <w:rsid w:val="782D00FA"/>
    <w:rsid w:val="7859644F"/>
    <w:rsid w:val="786530F1"/>
    <w:rsid w:val="788373F4"/>
    <w:rsid w:val="78923136"/>
    <w:rsid w:val="7895079B"/>
    <w:rsid w:val="78A07BDA"/>
    <w:rsid w:val="78AE585D"/>
    <w:rsid w:val="78D54C3B"/>
    <w:rsid w:val="78DC76CC"/>
    <w:rsid w:val="78F509DD"/>
    <w:rsid w:val="79256303"/>
    <w:rsid w:val="793214F1"/>
    <w:rsid w:val="793F14FF"/>
    <w:rsid w:val="794C7D62"/>
    <w:rsid w:val="795D4526"/>
    <w:rsid w:val="79616433"/>
    <w:rsid w:val="799B0220"/>
    <w:rsid w:val="79B40DB7"/>
    <w:rsid w:val="79D641D8"/>
    <w:rsid w:val="79FC11B7"/>
    <w:rsid w:val="7A03462C"/>
    <w:rsid w:val="7A264444"/>
    <w:rsid w:val="7A2801C1"/>
    <w:rsid w:val="7A4510D8"/>
    <w:rsid w:val="7A5C5D83"/>
    <w:rsid w:val="7A644C6A"/>
    <w:rsid w:val="7A69439B"/>
    <w:rsid w:val="7A6B640D"/>
    <w:rsid w:val="7ACE5999"/>
    <w:rsid w:val="7AD95625"/>
    <w:rsid w:val="7B04559A"/>
    <w:rsid w:val="7B346CFF"/>
    <w:rsid w:val="7B4E7530"/>
    <w:rsid w:val="7B6A55CB"/>
    <w:rsid w:val="7BC57E1C"/>
    <w:rsid w:val="7BE06610"/>
    <w:rsid w:val="7C105737"/>
    <w:rsid w:val="7C522A21"/>
    <w:rsid w:val="7C767A9D"/>
    <w:rsid w:val="7C896A33"/>
    <w:rsid w:val="7CCA2407"/>
    <w:rsid w:val="7CD64954"/>
    <w:rsid w:val="7D404956"/>
    <w:rsid w:val="7DDA43EA"/>
    <w:rsid w:val="7DEE3415"/>
    <w:rsid w:val="7DF145C9"/>
    <w:rsid w:val="7E0E019A"/>
    <w:rsid w:val="7E551957"/>
    <w:rsid w:val="7E9B3555"/>
    <w:rsid w:val="7EEE1BA7"/>
    <w:rsid w:val="7EFB6DC3"/>
    <w:rsid w:val="7EFE4FF4"/>
    <w:rsid w:val="7F833F39"/>
    <w:rsid w:val="7F946DF9"/>
    <w:rsid w:val="7FA1624F"/>
    <w:rsid w:val="7FA22864"/>
    <w:rsid w:val="7FC60D11"/>
    <w:rsid w:val="7FCC5AF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42C8891B"/>
  <w15:docId w15:val="{AAF8E759-C42F-41C3-92BE-D7983DF0D5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index 2" w:semiHidden="1" w:unhideWhenUsed="1"/>
    <w:lsdException w:name="index 3" w:semiHidden="1" w:unhideWhenUsed="1"/>
    <w:lsdException w:name="index 4" w:semiHidden="1" w:unhideWhenUsed="1"/>
    <w:lsdException w:name="index 5" w:semiHidden="1" w:unhideWhenUsed="1"/>
    <w:lsdException w:name="index 6" w:qFormat="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semiHidden="1" w:qFormat="1"/>
    <w:lsdException w:name="annotation text" w:qFormat="1"/>
    <w:lsdException w:name="header" w:qFormat="1"/>
    <w:lsdException w:name="footer" w:uiPriority="99" w:qFormat="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qFormat="1"/>
    <w:lsdException w:name="List 2" w:qFormat="1"/>
    <w:lsdException w:name="List 3" w:semiHidden="1" w:unhideWhenUsed="1"/>
    <w:lsdException w:name="List 4" w:semiHidden="1" w:unhideWhenUsed="1"/>
    <w:lsdException w:name="List 5" w:semiHidden="1" w:unhideWhenUsed="1"/>
    <w:lsdException w:name="List Bullet 2"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qFormat="1"/>
    <w:lsdException w:name="Signature" w:qFormat="1"/>
    <w:lsdException w:name="Default Paragraph Font" w:semiHidden="1" w:uiPriority="1" w:unhideWhenUsed="1" w:qFormat="1"/>
    <w:lsdException w:name="Body Text" w:qFormat="1"/>
    <w:lsdException w:name="Body Text Indent" w:qFormat="1"/>
    <w:lsdException w:name="List Continue" w:semiHidden="1" w:unhideWhenUsed="1"/>
    <w:lsdException w:name="List Continue 2" w:semiHidden="1" w:unhideWhenUsed="1"/>
    <w:lsdException w:name="Message Header" w:qFormat="1"/>
    <w:lsdException w:name="Subtitle" w:qFormat="1"/>
    <w:lsdException w:name="Salutation" w:qFormat="1"/>
    <w:lsdException w:name="Date" w:qFormat="1"/>
    <w:lsdException w:name="Body Text First Indent" w:qFormat="1"/>
    <w:lsdException w:name="Body Text First Indent 2" w:qFormat="1"/>
    <w:lsdException w:name="Note Heading" w:qFormat="1"/>
    <w:lsdException w:name="Body Tex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qFormat="1"/>
    <w:lsdException w:name="Strong" w:qFormat="1"/>
    <w:lsdException w:name="Emphasis" w:qFormat="1"/>
    <w:lsdException w:name="Document Map" w:qFormat="1"/>
    <w:lsdException w:name="Plain Text" w:qFormat="1"/>
    <w:lsdException w:name="E-mail Signature" w:qFormat="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qFormat="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99" w:qFormat="1"/>
    <w:lsdException w:name="HTML Sample" w:semiHidden="1" w:unhideWhenUsed="1"/>
    <w:lsdException w:name="HTML Typewriter" w:qFormat="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qFormat="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qFormat="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qFormat="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semiHidden="1" w:unhideWhenUsed="1" w:qFormat="1"/>
    <w:lsdException w:name="Table Theme" w:semiHidden="1" w:unhideWhenUsed="1" w:qFormat="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99"/>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spacing w:line="360" w:lineRule="auto"/>
      <w:ind w:firstLineChars="200" w:firstLine="200"/>
      <w:textAlignment w:val="bottom"/>
    </w:pPr>
    <w:rPr>
      <w:sz w:val="28"/>
    </w:rPr>
  </w:style>
  <w:style w:type="paragraph" w:styleId="1">
    <w:name w:val="heading 1"/>
    <w:basedOn w:val="a"/>
    <w:next w:val="a"/>
    <w:link w:val="10"/>
    <w:qFormat/>
    <w:pPr>
      <w:keepNext/>
      <w:keepLines/>
      <w:spacing w:before="240" w:after="240" w:line="240" w:lineRule="auto"/>
      <w:ind w:firstLineChars="0" w:firstLine="0"/>
      <w:textAlignment w:val="auto"/>
      <w:outlineLvl w:val="0"/>
    </w:pPr>
    <w:rPr>
      <w:rFonts w:ascii="隶书" w:hAnsi="隶书"/>
      <w:b/>
      <w:bCs/>
      <w:kern w:val="44"/>
      <w:sz w:val="44"/>
    </w:rPr>
  </w:style>
  <w:style w:type="paragraph" w:styleId="2">
    <w:name w:val="heading 2"/>
    <w:basedOn w:val="a"/>
    <w:next w:val="a"/>
    <w:link w:val="21"/>
    <w:qFormat/>
    <w:pPr>
      <w:keepNext/>
      <w:keepLines/>
      <w:spacing w:before="260" w:after="260" w:line="416" w:lineRule="auto"/>
      <w:ind w:firstLineChars="0" w:firstLine="0"/>
      <w:jc w:val="both"/>
      <w:textAlignment w:val="auto"/>
      <w:outlineLvl w:val="1"/>
    </w:pPr>
    <w:rPr>
      <w:rFonts w:ascii="Arial" w:eastAsia="黑体" w:hAnsi="Arial"/>
      <w:b/>
      <w:bCs/>
      <w:kern w:val="2"/>
      <w:sz w:val="32"/>
      <w:szCs w:val="32"/>
    </w:rPr>
  </w:style>
  <w:style w:type="paragraph" w:styleId="3">
    <w:name w:val="heading 3"/>
    <w:basedOn w:val="a"/>
    <w:next w:val="a"/>
    <w:link w:val="31"/>
    <w:qFormat/>
    <w:pPr>
      <w:keepNext/>
      <w:keepLines/>
      <w:ind w:firstLineChars="0" w:firstLine="0"/>
      <w:jc w:val="both"/>
      <w:textAlignment w:val="auto"/>
      <w:outlineLvl w:val="2"/>
    </w:pPr>
    <w:rPr>
      <w:b/>
      <w:bCs/>
      <w:kern w:val="2"/>
      <w:szCs w:val="32"/>
    </w:rPr>
  </w:style>
  <w:style w:type="paragraph" w:styleId="4">
    <w:name w:val="heading 4"/>
    <w:basedOn w:val="a"/>
    <w:next w:val="a0"/>
    <w:link w:val="41"/>
    <w:qFormat/>
    <w:pPr>
      <w:keepNext/>
      <w:keepLines/>
      <w:ind w:firstLineChars="0" w:firstLine="0"/>
      <w:outlineLvl w:val="3"/>
    </w:pPr>
    <w:rPr>
      <w:rFonts w:eastAsia="黑体"/>
      <w:bCs/>
      <w:sz w:val="24"/>
      <w:szCs w:val="28"/>
    </w:rPr>
  </w:style>
  <w:style w:type="paragraph" w:styleId="5">
    <w:name w:val="heading 5"/>
    <w:basedOn w:val="a"/>
    <w:next w:val="a"/>
    <w:link w:val="50"/>
    <w:qFormat/>
    <w:pPr>
      <w:keepNext/>
      <w:keepLines/>
      <w:tabs>
        <w:tab w:val="left" w:pos="240"/>
        <w:tab w:val="left" w:pos="480"/>
        <w:tab w:val="left" w:pos="720"/>
      </w:tabs>
      <w:adjustRightInd w:val="0"/>
      <w:spacing w:before="280" w:after="290" w:line="376" w:lineRule="atLeast"/>
      <w:ind w:left="2100" w:firstLineChars="0" w:hanging="420"/>
      <w:textAlignment w:val="baseline"/>
      <w:outlineLvl w:val="4"/>
    </w:pPr>
    <w:rPr>
      <w:b/>
      <w:color w:val="FF0000"/>
    </w:rPr>
  </w:style>
  <w:style w:type="paragraph" w:styleId="6">
    <w:name w:val="heading 6"/>
    <w:basedOn w:val="a"/>
    <w:next w:val="a"/>
    <w:link w:val="60"/>
    <w:qFormat/>
    <w:pPr>
      <w:keepNext/>
      <w:keepLines/>
      <w:tabs>
        <w:tab w:val="left" w:pos="240"/>
        <w:tab w:val="left" w:pos="480"/>
        <w:tab w:val="left" w:pos="720"/>
      </w:tabs>
      <w:adjustRightInd w:val="0"/>
      <w:spacing w:before="240" w:after="64" w:line="320" w:lineRule="atLeast"/>
      <w:ind w:left="2520" w:firstLineChars="0" w:hanging="420"/>
      <w:textAlignment w:val="baseline"/>
      <w:outlineLvl w:val="5"/>
    </w:pPr>
    <w:rPr>
      <w:rFonts w:ascii="Arial" w:eastAsia="黑体" w:hAnsi="Arial"/>
      <w:b/>
      <w:color w:val="FF0000"/>
      <w:sz w:val="24"/>
    </w:rPr>
  </w:style>
  <w:style w:type="paragraph" w:styleId="7">
    <w:name w:val="heading 7"/>
    <w:basedOn w:val="a"/>
    <w:next w:val="a"/>
    <w:link w:val="70"/>
    <w:qFormat/>
    <w:pPr>
      <w:keepNext/>
      <w:keepLines/>
      <w:tabs>
        <w:tab w:val="left" w:pos="240"/>
        <w:tab w:val="left" w:pos="480"/>
        <w:tab w:val="left" w:pos="720"/>
      </w:tabs>
      <w:adjustRightInd w:val="0"/>
      <w:spacing w:before="240" w:after="64" w:line="320" w:lineRule="atLeast"/>
      <w:ind w:left="2940" w:firstLineChars="0" w:hanging="420"/>
      <w:textAlignment w:val="baseline"/>
      <w:outlineLvl w:val="6"/>
    </w:pPr>
    <w:rPr>
      <w:b/>
      <w:color w:val="FF0000"/>
      <w:sz w:val="24"/>
    </w:rPr>
  </w:style>
  <w:style w:type="paragraph" w:styleId="8">
    <w:name w:val="heading 8"/>
    <w:basedOn w:val="a"/>
    <w:next w:val="a"/>
    <w:link w:val="80"/>
    <w:qFormat/>
    <w:pPr>
      <w:keepNext/>
      <w:keepLines/>
      <w:tabs>
        <w:tab w:val="left" w:pos="240"/>
        <w:tab w:val="left" w:pos="480"/>
        <w:tab w:val="left" w:pos="720"/>
      </w:tabs>
      <w:adjustRightInd w:val="0"/>
      <w:spacing w:before="240" w:after="64" w:line="320" w:lineRule="atLeast"/>
      <w:ind w:left="3360" w:firstLineChars="0" w:hanging="420"/>
      <w:textAlignment w:val="baseline"/>
      <w:outlineLvl w:val="7"/>
    </w:pPr>
    <w:rPr>
      <w:rFonts w:ascii="Arial" w:eastAsia="黑体" w:hAnsi="Arial"/>
      <w:b/>
      <w:color w:val="FF0000"/>
      <w:sz w:val="24"/>
    </w:rPr>
  </w:style>
  <w:style w:type="paragraph" w:styleId="9">
    <w:name w:val="heading 9"/>
    <w:basedOn w:val="a"/>
    <w:next w:val="a"/>
    <w:link w:val="90"/>
    <w:qFormat/>
    <w:pPr>
      <w:keepNext/>
      <w:keepLines/>
      <w:tabs>
        <w:tab w:val="left" w:pos="240"/>
        <w:tab w:val="left" w:pos="480"/>
        <w:tab w:val="left" w:pos="720"/>
      </w:tabs>
      <w:adjustRightInd w:val="0"/>
      <w:spacing w:before="240" w:after="64" w:line="320" w:lineRule="atLeast"/>
      <w:ind w:left="3780" w:firstLineChars="0" w:hanging="420"/>
      <w:textAlignment w:val="baseline"/>
      <w:outlineLvl w:val="8"/>
    </w:pPr>
    <w:rPr>
      <w:rFonts w:ascii="Arial" w:eastAsia="黑体" w:hAnsi="Arial"/>
      <w:b/>
      <w:color w:val="FF0000"/>
      <w:sz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next w:val="4"/>
    <w:link w:val="a4"/>
    <w:qFormat/>
    <w:pPr>
      <w:spacing w:line="240" w:lineRule="auto"/>
      <w:ind w:firstLine="420"/>
      <w:jc w:val="both"/>
      <w:textAlignment w:val="auto"/>
    </w:pPr>
    <w:rPr>
      <w:kern w:val="2"/>
    </w:rPr>
  </w:style>
  <w:style w:type="paragraph" w:styleId="71">
    <w:name w:val="toc 7"/>
    <w:basedOn w:val="a"/>
    <w:next w:val="a"/>
    <w:qFormat/>
    <w:pPr>
      <w:ind w:left="1680"/>
    </w:pPr>
    <w:rPr>
      <w:rFonts w:asciiTheme="minorHAnsi" w:hAnsiTheme="minorHAnsi" w:cstheme="minorHAnsi"/>
      <w:sz w:val="18"/>
      <w:szCs w:val="18"/>
    </w:rPr>
  </w:style>
  <w:style w:type="paragraph" w:styleId="a5">
    <w:name w:val="Note Heading"/>
    <w:basedOn w:val="a"/>
    <w:next w:val="a"/>
    <w:link w:val="a6"/>
    <w:qFormat/>
    <w:pPr>
      <w:spacing w:line="240" w:lineRule="auto"/>
      <w:ind w:firstLineChars="0" w:firstLine="0"/>
      <w:jc w:val="center"/>
      <w:textAlignment w:val="auto"/>
    </w:pPr>
    <w:rPr>
      <w:rFonts w:ascii="宋体" w:hAnsi="宋体"/>
      <w:sz w:val="20"/>
      <w:szCs w:val="24"/>
    </w:rPr>
  </w:style>
  <w:style w:type="paragraph" w:styleId="a7">
    <w:name w:val="E-mail Signature"/>
    <w:basedOn w:val="a"/>
    <w:link w:val="a8"/>
    <w:qFormat/>
    <w:pPr>
      <w:spacing w:line="240" w:lineRule="auto"/>
      <w:ind w:firstLineChars="0" w:firstLine="0"/>
      <w:jc w:val="both"/>
      <w:textAlignment w:val="auto"/>
    </w:pPr>
    <w:rPr>
      <w:rFonts w:ascii="宋体" w:hAnsi="宋体"/>
      <w:sz w:val="20"/>
      <w:szCs w:val="24"/>
    </w:rPr>
  </w:style>
  <w:style w:type="paragraph" w:styleId="a9">
    <w:name w:val="caption"/>
    <w:basedOn w:val="a"/>
    <w:next w:val="a"/>
    <w:link w:val="aa"/>
    <w:qFormat/>
    <w:pPr>
      <w:spacing w:line="240" w:lineRule="auto"/>
      <w:ind w:firstLineChars="0" w:firstLine="0"/>
      <w:jc w:val="center"/>
      <w:textAlignment w:val="auto"/>
    </w:pPr>
    <w:rPr>
      <w:rFonts w:ascii="Arial" w:hAnsi="Arial" w:cs="Arial"/>
      <w:b/>
      <w:snapToGrid w:val="0"/>
      <w:sz w:val="24"/>
      <w:szCs w:val="24"/>
    </w:rPr>
  </w:style>
  <w:style w:type="paragraph" w:styleId="ab">
    <w:name w:val="Document Map"/>
    <w:basedOn w:val="a"/>
    <w:link w:val="ac"/>
    <w:qFormat/>
    <w:pPr>
      <w:spacing w:line="240" w:lineRule="auto"/>
      <w:ind w:firstLineChars="0" w:firstLine="0"/>
      <w:jc w:val="both"/>
      <w:textAlignment w:val="auto"/>
    </w:pPr>
    <w:rPr>
      <w:rFonts w:ascii="宋体"/>
      <w:kern w:val="2"/>
      <w:sz w:val="18"/>
      <w:szCs w:val="18"/>
    </w:rPr>
  </w:style>
  <w:style w:type="paragraph" w:styleId="ad">
    <w:name w:val="annotation text"/>
    <w:basedOn w:val="a"/>
    <w:link w:val="11"/>
    <w:qFormat/>
    <w:pPr>
      <w:spacing w:line="240" w:lineRule="auto"/>
      <w:ind w:firstLineChars="0" w:firstLine="0"/>
      <w:textAlignment w:val="auto"/>
    </w:pPr>
    <w:rPr>
      <w:kern w:val="2"/>
      <w:sz w:val="21"/>
      <w:szCs w:val="24"/>
    </w:rPr>
  </w:style>
  <w:style w:type="paragraph" w:styleId="61">
    <w:name w:val="index 6"/>
    <w:basedOn w:val="a"/>
    <w:next w:val="a"/>
    <w:qFormat/>
    <w:pPr>
      <w:ind w:leftChars="1000" w:left="1000" w:firstLine="0"/>
    </w:pPr>
  </w:style>
  <w:style w:type="paragraph" w:styleId="ae">
    <w:name w:val="Salutation"/>
    <w:basedOn w:val="a"/>
    <w:next w:val="a"/>
    <w:link w:val="af"/>
    <w:qFormat/>
    <w:pPr>
      <w:spacing w:line="240" w:lineRule="auto"/>
      <w:ind w:firstLineChars="0" w:firstLine="0"/>
      <w:jc w:val="both"/>
      <w:textAlignment w:val="auto"/>
    </w:pPr>
    <w:rPr>
      <w:rFonts w:ascii="宋体" w:hAnsi="宋体"/>
      <w:sz w:val="20"/>
      <w:szCs w:val="24"/>
    </w:rPr>
  </w:style>
  <w:style w:type="paragraph" w:styleId="30">
    <w:name w:val="Body Text 3"/>
    <w:basedOn w:val="a"/>
    <w:link w:val="32"/>
    <w:qFormat/>
    <w:pPr>
      <w:spacing w:line="320" w:lineRule="exact"/>
      <w:ind w:firstLineChars="0" w:firstLine="0"/>
      <w:jc w:val="both"/>
      <w:textAlignment w:val="auto"/>
    </w:pPr>
    <w:rPr>
      <w:color w:val="000000"/>
      <w:kern w:val="2"/>
      <w:sz w:val="24"/>
      <w:szCs w:val="24"/>
    </w:rPr>
  </w:style>
  <w:style w:type="paragraph" w:styleId="af0">
    <w:name w:val="Closing"/>
    <w:basedOn w:val="a"/>
    <w:link w:val="af1"/>
    <w:qFormat/>
    <w:pPr>
      <w:spacing w:line="240" w:lineRule="auto"/>
      <w:ind w:leftChars="2100" w:left="100" w:firstLineChars="0" w:firstLine="0"/>
      <w:jc w:val="both"/>
      <w:textAlignment w:val="auto"/>
    </w:pPr>
    <w:rPr>
      <w:rFonts w:ascii="宋体" w:hAnsi="宋体"/>
      <w:sz w:val="20"/>
      <w:szCs w:val="24"/>
    </w:rPr>
  </w:style>
  <w:style w:type="paragraph" w:styleId="af2">
    <w:name w:val="Body Text"/>
    <w:basedOn w:val="a"/>
    <w:next w:val="a"/>
    <w:link w:val="af3"/>
    <w:qFormat/>
    <w:pPr>
      <w:spacing w:after="120"/>
    </w:pPr>
  </w:style>
  <w:style w:type="paragraph" w:styleId="af4">
    <w:name w:val="Body Text Indent"/>
    <w:basedOn w:val="a"/>
    <w:next w:val="a9"/>
    <w:link w:val="af5"/>
    <w:qFormat/>
    <w:pPr>
      <w:spacing w:after="120" w:line="240" w:lineRule="auto"/>
      <w:ind w:leftChars="200" w:left="420" w:firstLineChars="0" w:firstLine="0"/>
      <w:jc w:val="both"/>
      <w:textAlignment w:val="auto"/>
    </w:pPr>
    <w:rPr>
      <w:kern w:val="2"/>
    </w:rPr>
  </w:style>
  <w:style w:type="paragraph" w:styleId="20">
    <w:name w:val="List 2"/>
    <w:next w:val="a"/>
    <w:link w:val="22"/>
    <w:qFormat/>
    <w:pPr>
      <w:jc w:val="center"/>
    </w:pPr>
    <w:rPr>
      <w:rFonts w:eastAsia="Times New Roman"/>
    </w:rPr>
  </w:style>
  <w:style w:type="paragraph" w:styleId="af6">
    <w:name w:val="Block Text"/>
    <w:basedOn w:val="a"/>
    <w:qFormat/>
    <w:pPr>
      <w:spacing w:after="120"/>
      <w:ind w:leftChars="700" w:left="1440" w:rightChars="700" w:right="1440"/>
    </w:pPr>
  </w:style>
  <w:style w:type="paragraph" w:styleId="23">
    <w:name w:val="List Bullet 2"/>
    <w:basedOn w:val="a"/>
    <w:qFormat/>
    <w:pPr>
      <w:tabs>
        <w:tab w:val="left" w:pos="360"/>
      </w:tabs>
      <w:spacing w:line="500" w:lineRule="exact"/>
      <w:ind w:left="360" w:firstLineChars="0" w:hanging="360"/>
      <w:jc w:val="both"/>
      <w:textAlignment w:val="auto"/>
    </w:pPr>
    <w:rPr>
      <w:rFonts w:eastAsia="仿宋_GB2312"/>
      <w:snapToGrid w:val="0"/>
      <w:color w:val="000000"/>
      <w:szCs w:val="32"/>
    </w:rPr>
  </w:style>
  <w:style w:type="paragraph" w:styleId="HTML">
    <w:name w:val="HTML Address"/>
    <w:basedOn w:val="a"/>
    <w:link w:val="HTML0"/>
    <w:qFormat/>
    <w:pPr>
      <w:spacing w:line="240" w:lineRule="auto"/>
      <w:ind w:firstLineChars="0" w:firstLine="0"/>
      <w:jc w:val="both"/>
      <w:textAlignment w:val="auto"/>
    </w:pPr>
    <w:rPr>
      <w:rFonts w:ascii="Courier New" w:hAnsi="Courier New" w:cs="Courier New"/>
      <w:sz w:val="20"/>
    </w:rPr>
  </w:style>
  <w:style w:type="paragraph" w:styleId="51">
    <w:name w:val="toc 5"/>
    <w:basedOn w:val="a"/>
    <w:next w:val="a"/>
    <w:qFormat/>
    <w:pPr>
      <w:ind w:left="1120"/>
    </w:pPr>
    <w:rPr>
      <w:rFonts w:asciiTheme="minorHAnsi" w:hAnsiTheme="minorHAnsi" w:cstheme="minorHAnsi"/>
      <w:sz w:val="18"/>
      <w:szCs w:val="18"/>
    </w:rPr>
  </w:style>
  <w:style w:type="paragraph" w:styleId="33">
    <w:name w:val="toc 3"/>
    <w:basedOn w:val="a"/>
    <w:next w:val="a"/>
    <w:uiPriority w:val="39"/>
    <w:qFormat/>
    <w:pPr>
      <w:ind w:left="560"/>
    </w:pPr>
    <w:rPr>
      <w:rFonts w:asciiTheme="minorHAnsi" w:hAnsiTheme="minorHAnsi" w:cstheme="minorHAnsi"/>
      <w:i/>
      <w:iCs/>
      <w:sz w:val="20"/>
    </w:rPr>
  </w:style>
  <w:style w:type="paragraph" w:styleId="af7">
    <w:name w:val="Plain Text"/>
    <w:basedOn w:val="a"/>
    <w:link w:val="af8"/>
    <w:qFormat/>
    <w:pPr>
      <w:spacing w:line="240" w:lineRule="auto"/>
      <w:ind w:firstLineChars="0" w:firstLine="0"/>
      <w:jc w:val="both"/>
      <w:textAlignment w:val="auto"/>
    </w:pPr>
    <w:rPr>
      <w:rFonts w:ascii="宋体" w:hAnsi="Courier New"/>
      <w:kern w:val="2"/>
      <w:sz w:val="21"/>
      <w:szCs w:val="21"/>
    </w:rPr>
  </w:style>
  <w:style w:type="paragraph" w:styleId="81">
    <w:name w:val="toc 8"/>
    <w:basedOn w:val="a"/>
    <w:next w:val="a"/>
    <w:qFormat/>
    <w:pPr>
      <w:ind w:left="1960"/>
    </w:pPr>
    <w:rPr>
      <w:rFonts w:asciiTheme="minorHAnsi" w:hAnsiTheme="minorHAnsi" w:cstheme="minorHAnsi"/>
      <w:sz w:val="18"/>
      <w:szCs w:val="18"/>
    </w:rPr>
  </w:style>
  <w:style w:type="paragraph" w:styleId="af9">
    <w:name w:val="Date"/>
    <w:basedOn w:val="a"/>
    <w:next w:val="a"/>
    <w:link w:val="afa"/>
    <w:qFormat/>
    <w:pPr>
      <w:spacing w:line="240" w:lineRule="auto"/>
      <w:ind w:leftChars="2500" w:left="100" w:firstLineChars="0" w:firstLine="0"/>
      <w:jc w:val="both"/>
      <w:textAlignment w:val="auto"/>
    </w:pPr>
    <w:rPr>
      <w:kern w:val="2"/>
    </w:rPr>
  </w:style>
  <w:style w:type="paragraph" w:styleId="24">
    <w:name w:val="Body Text Indent 2"/>
    <w:basedOn w:val="a"/>
    <w:link w:val="25"/>
    <w:qFormat/>
    <w:pPr>
      <w:spacing w:after="120" w:line="480" w:lineRule="auto"/>
      <w:ind w:leftChars="200" w:left="420" w:firstLineChars="0" w:firstLine="0"/>
      <w:jc w:val="both"/>
      <w:textAlignment w:val="auto"/>
    </w:pPr>
    <w:rPr>
      <w:kern w:val="2"/>
      <w:sz w:val="21"/>
      <w:szCs w:val="24"/>
    </w:rPr>
  </w:style>
  <w:style w:type="paragraph" w:styleId="afb">
    <w:name w:val="Balloon Text"/>
    <w:basedOn w:val="a"/>
    <w:link w:val="afc"/>
    <w:qFormat/>
    <w:pPr>
      <w:spacing w:line="240" w:lineRule="auto"/>
      <w:ind w:firstLineChars="0" w:firstLine="0"/>
      <w:jc w:val="both"/>
      <w:textAlignment w:val="auto"/>
    </w:pPr>
    <w:rPr>
      <w:kern w:val="2"/>
      <w:sz w:val="18"/>
      <w:szCs w:val="18"/>
    </w:rPr>
  </w:style>
  <w:style w:type="paragraph" w:styleId="afd">
    <w:name w:val="footer"/>
    <w:basedOn w:val="a"/>
    <w:link w:val="afe"/>
    <w:uiPriority w:val="99"/>
    <w:qFormat/>
    <w:pPr>
      <w:tabs>
        <w:tab w:val="center" w:pos="4153"/>
        <w:tab w:val="right" w:pos="8306"/>
      </w:tabs>
      <w:snapToGrid w:val="0"/>
      <w:spacing w:line="240" w:lineRule="auto"/>
      <w:ind w:firstLineChars="0" w:firstLine="0"/>
      <w:textAlignment w:val="auto"/>
    </w:pPr>
    <w:rPr>
      <w:kern w:val="2"/>
      <w:sz w:val="18"/>
      <w:szCs w:val="18"/>
    </w:rPr>
  </w:style>
  <w:style w:type="paragraph" w:styleId="aff">
    <w:name w:val="header"/>
    <w:basedOn w:val="a"/>
    <w:link w:val="12"/>
    <w:qFormat/>
    <w:pPr>
      <w:pBdr>
        <w:bottom w:val="single" w:sz="6" w:space="1" w:color="auto"/>
      </w:pBdr>
      <w:tabs>
        <w:tab w:val="center" w:pos="4153"/>
        <w:tab w:val="right" w:pos="8306"/>
      </w:tabs>
      <w:snapToGrid w:val="0"/>
      <w:spacing w:line="240" w:lineRule="auto"/>
      <w:jc w:val="center"/>
    </w:pPr>
    <w:rPr>
      <w:sz w:val="18"/>
      <w:szCs w:val="18"/>
    </w:rPr>
  </w:style>
  <w:style w:type="paragraph" w:styleId="aff0">
    <w:name w:val="Signature"/>
    <w:basedOn w:val="a"/>
    <w:link w:val="aff1"/>
    <w:qFormat/>
    <w:pPr>
      <w:spacing w:line="240" w:lineRule="auto"/>
      <w:ind w:leftChars="2100" w:left="100" w:firstLineChars="0" w:firstLine="0"/>
      <w:jc w:val="both"/>
      <w:textAlignment w:val="auto"/>
    </w:pPr>
    <w:rPr>
      <w:rFonts w:ascii="宋体" w:hAnsi="宋体"/>
      <w:sz w:val="20"/>
      <w:szCs w:val="24"/>
    </w:rPr>
  </w:style>
  <w:style w:type="paragraph" w:styleId="13">
    <w:name w:val="toc 1"/>
    <w:basedOn w:val="a"/>
    <w:next w:val="a"/>
    <w:uiPriority w:val="39"/>
    <w:qFormat/>
    <w:pPr>
      <w:spacing w:before="120" w:after="120"/>
    </w:pPr>
    <w:rPr>
      <w:rFonts w:asciiTheme="minorHAnsi" w:hAnsiTheme="minorHAnsi" w:cstheme="minorHAnsi"/>
      <w:b/>
      <w:bCs/>
      <w:caps/>
      <w:sz w:val="20"/>
    </w:rPr>
  </w:style>
  <w:style w:type="paragraph" w:styleId="40">
    <w:name w:val="toc 4"/>
    <w:basedOn w:val="a"/>
    <w:next w:val="a"/>
    <w:qFormat/>
    <w:pPr>
      <w:ind w:left="840"/>
    </w:pPr>
    <w:rPr>
      <w:rFonts w:asciiTheme="minorHAnsi" w:hAnsiTheme="minorHAnsi" w:cstheme="minorHAnsi"/>
      <w:sz w:val="18"/>
      <w:szCs w:val="18"/>
    </w:rPr>
  </w:style>
  <w:style w:type="paragraph" w:styleId="aff2">
    <w:name w:val="Subtitle"/>
    <w:basedOn w:val="a"/>
    <w:link w:val="aff3"/>
    <w:qFormat/>
    <w:pPr>
      <w:spacing w:before="240" w:after="60" w:line="312" w:lineRule="auto"/>
      <w:ind w:firstLineChars="0" w:firstLine="0"/>
      <w:jc w:val="center"/>
      <w:textAlignment w:val="auto"/>
      <w:outlineLvl w:val="1"/>
    </w:pPr>
    <w:rPr>
      <w:rFonts w:ascii="Arial" w:hAnsi="Arial" w:cs="Arial"/>
      <w:b/>
      <w:bCs/>
      <w:kern w:val="28"/>
      <w:sz w:val="32"/>
      <w:szCs w:val="32"/>
    </w:rPr>
  </w:style>
  <w:style w:type="paragraph" w:styleId="aff4">
    <w:name w:val="List"/>
    <w:basedOn w:val="a"/>
    <w:qFormat/>
    <w:pPr>
      <w:ind w:left="200" w:hangingChars="200" w:hanging="200"/>
    </w:pPr>
  </w:style>
  <w:style w:type="paragraph" w:styleId="aff5">
    <w:name w:val="footnote text"/>
    <w:basedOn w:val="a"/>
    <w:link w:val="aff6"/>
    <w:semiHidden/>
    <w:qFormat/>
    <w:pPr>
      <w:snapToGrid w:val="0"/>
      <w:spacing w:line="240" w:lineRule="auto"/>
      <w:ind w:firstLineChars="0" w:firstLine="0"/>
      <w:textAlignment w:val="auto"/>
    </w:pPr>
    <w:rPr>
      <w:rFonts w:ascii="宋体" w:hAnsi="宋体"/>
      <w:sz w:val="18"/>
      <w:szCs w:val="18"/>
    </w:rPr>
  </w:style>
  <w:style w:type="paragraph" w:styleId="62">
    <w:name w:val="toc 6"/>
    <w:basedOn w:val="a"/>
    <w:next w:val="a"/>
    <w:qFormat/>
    <w:pPr>
      <w:ind w:left="1400"/>
    </w:pPr>
    <w:rPr>
      <w:rFonts w:asciiTheme="minorHAnsi" w:hAnsiTheme="minorHAnsi" w:cstheme="minorHAnsi"/>
      <w:sz w:val="18"/>
      <w:szCs w:val="18"/>
    </w:rPr>
  </w:style>
  <w:style w:type="paragraph" w:styleId="34">
    <w:name w:val="Body Text Indent 3"/>
    <w:basedOn w:val="a"/>
    <w:link w:val="35"/>
    <w:qFormat/>
    <w:pPr>
      <w:spacing w:after="120" w:line="240" w:lineRule="auto"/>
      <w:ind w:leftChars="200" w:left="420" w:firstLineChars="0" w:firstLine="0"/>
      <w:jc w:val="both"/>
      <w:textAlignment w:val="auto"/>
    </w:pPr>
    <w:rPr>
      <w:kern w:val="2"/>
      <w:sz w:val="16"/>
      <w:szCs w:val="16"/>
    </w:rPr>
  </w:style>
  <w:style w:type="paragraph" w:styleId="26">
    <w:name w:val="toc 2"/>
    <w:basedOn w:val="a"/>
    <w:next w:val="a"/>
    <w:uiPriority w:val="39"/>
    <w:qFormat/>
    <w:pPr>
      <w:ind w:left="280"/>
    </w:pPr>
    <w:rPr>
      <w:rFonts w:asciiTheme="minorHAnsi" w:hAnsiTheme="minorHAnsi" w:cstheme="minorHAnsi"/>
      <w:smallCaps/>
      <w:sz w:val="20"/>
    </w:rPr>
  </w:style>
  <w:style w:type="paragraph" w:styleId="91">
    <w:name w:val="toc 9"/>
    <w:basedOn w:val="a"/>
    <w:next w:val="a"/>
    <w:qFormat/>
    <w:pPr>
      <w:ind w:left="2240"/>
    </w:pPr>
    <w:rPr>
      <w:rFonts w:asciiTheme="minorHAnsi" w:hAnsiTheme="minorHAnsi" w:cstheme="minorHAnsi"/>
      <w:sz w:val="18"/>
      <w:szCs w:val="18"/>
    </w:rPr>
  </w:style>
  <w:style w:type="paragraph" w:styleId="27">
    <w:name w:val="Body Text 2"/>
    <w:basedOn w:val="a"/>
    <w:link w:val="28"/>
    <w:qFormat/>
    <w:pPr>
      <w:spacing w:after="120" w:line="480" w:lineRule="auto"/>
      <w:ind w:firstLineChars="0" w:firstLine="0"/>
      <w:jc w:val="both"/>
      <w:textAlignment w:val="auto"/>
    </w:pPr>
    <w:rPr>
      <w:kern w:val="2"/>
    </w:rPr>
  </w:style>
  <w:style w:type="paragraph" w:styleId="aff7">
    <w:name w:val="Message Header"/>
    <w:basedOn w:val="a"/>
    <w:link w:val="aff8"/>
    <w:qFormat/>
    <w:pPr>
      <w:pBdr>
        <w:top w:val="single" w:sz="6" w:space="1" w:color="auto"/>
        <w:left w:val="single" w:sz="6" w:space="1" w:color="auto"/>
        <w:bottom w:val="single" w:sz="6" w:space="1" w:color="auto"/>
        <w:right w:val="single" w:sz="6" w:space="1" w:color="auto"/>
      </w:pBdr>
      <w:shd w:val="pct20" w:color="auto" w:fill="auto"/>
      <w:spacing w:line="240" w:lineRule="auto"/>
      <w:ind w:leftChars="500" w:left="1080" w:hangingChars="500" w:hanging="1080"/>
      <w:jc w:val="both"/>
      <w:textAlignment w:val="auto"/>
    </w:pPr>
    <w:rPr>
      <w:rFonts w:ascii="Arial" w:hAnsi="Arial" w:cs="Arial"/>
      <w:sz w:val="24"/>
      <w:szCs w:val="24"/>
    </w:rPr>
  </w:style>
  <w:style w:type="paragraph" w:styleId="HTML1">
    <w:name w:val="HTML Preformatted"/>
    <w:basedOn w:val="a"/>
    <w:link w:val="HTML2"/>
    <w:uiPriority w:val="99"/>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ind w:firstLineChars="0" w:firstLine="0"/>
      <w:textAlignment w:val="auto"/>
    </w:pPr>
    <w:rPr>
      <w:rFonts w:ascii="Arial" w:hAnsi="Arial"/>
      <w:sz w:val="21"/>
      <w:szCs w:val="21"/>
    </w:rPr>
  </w:style>
  <w:style w:type="paragraph" w:styleId="aff9">
    <w:name w:val="Normal (Web)"/>
    <w:basedOn w:val="a"/>
    <w:link w:val="affa"/>
    <w:qFormat/>
    <w:pPr>
      <w:widowControl/>
      <w:spacing w:before="100" w:beforeAutospacing="1" w:after="100" w:afterAutospacing="1" w:line="240" w:lineRule="auto"/>
      <w:ind w:firstLineChars="0" w:firstLine="0"/>
      <w:textAlignment w:val="auto"/>
    </w:pPr>
    <w:rPr>
      <w:rFonts w:ascii="宋体" w:hAnsi="宋体" w:cs="宋体"/>
      <w:sz w:val="24"/>
      <w:szCs w:val="24"/>
    </w:rPr>
  </w:style>
  <w:style w:type="paragraph" w:styleId="14">
    <w:name w:val="index 1"/>
    <w:basedOn w:val="a"/>
    <w:next w:val="a"/>
    <w:qFormat/>
    <w:pPr>
      <w:tabs>
        <w:tab w:val="left" w:pos="5580"/>
      </w:tabs>
      <w:spacing w:line="280" w:lineRule="exact"/>
      <w:ind w:firstLineChars="0" w:firstLine="0"/>
      <w:jc w:val="both"/>
      <w:textAlignment w:val="auto"/>
    </w:pPr>
    <w:rPr>
      <w:rFonts w:ascii="宋体" w:hAnsi="宋体"/>
      <w:spacing w:val="10"/>
      <w:kern w:val="2"/>
      <w:sz w:val="21"/>
      <w:szCs w:val="24"/>
    </w:rPr>
  </w:style>
  <w:style w:type="paragraph" w:styleId="affb">
    <w:name w:val="Title"/>
    <w:basedOn w:val="a"/>
    <w:next w:val="a"/>
    <w:link w:val="affc"/>
    <w:qFormat/>
    <w:pPr>
      <w:spacing w:before="240" w:after="60" w:line="240" w:lineRule="auto"/>
      <w:ind w:firstLineChars="0" w:firstLine="0"/>
      <w:jc w:val="center"/>
      <w:textAlignment w:val="auto"/>
      <w:outlineLvl w:val="0"/>
    </w:pPr>
    <w:rPr>
      <w:rFonts w:ascii="Cambria" w:hAnsi="Cambria"/>
      <w:b/>
      <w:bCs/>
      <w:kern w:val="2"/>
      <w:sz w:val="32"/>
      <w:szCs w:val="32"/>
    </w:rPr>
  </w:style>
  <w:style w:type="paragraph" w:styleId="affd">
    <w:name w:val="annotation subject"/>
    <w:basedOn w:val="ad"/>
    <w:next w:val="ad"/>
    <w:link w:val="affe"/>
    <w:qFormat/>
    <w:rPr>
      <w:b/>
      <w:bCs/>
    </w:rPr>
  </w:style>
  <w:style w:type="paragraph" w:styleId="afff">
    <w:name w:val="Body Text First Indent"/>
    <w:basedOn w:val="a"/>
    <w:link w:val="afff0"/>
    <w:qFormat/>
    <w:pPr>
      <w:suppressAutoHyphens/>
      <w:topLinePunct/>
      <w:adjustRightInd w:val="0"/>
      <w:ind w:firstLineChars="0" w:firstLine="567"/>
      <w:jc w:val="both"/>
      <w:textAlignment w:val="baseline"/>
    </w:pPr>
  </w:style>
  <w:style w:type="paragraph" w:styleId="29">
    <w:name w:val="Body Text First Indent 2"/>
    <w:basedOn w:val="af4"/>
    <w:next w:val="a"/>
    <w:link w:val="2a"/>
    <w:qFormat/>
    <w:pPr>
      <w:ind w:firstLineChars="200" w:firstLine="420"/>
    </w:pPr>
    <w:rPr>
      <w:sz w:val="21"/>
      <w:szCs w:val="24"/>
    </w:rPr>
  </w:style>
  <w:style w:type="table" w:styleId="afff1">
    <w:name w:val="Table Grid"/>
    <w:basedOn w:val="a2"/>
    <w:qFormat/>
    <w:pPr>
      <w:widowControl w:val="0"/>
      <w:spacing w:line="360" w:lineRule="auto"/>
      <w:ind w:firstLineChars="200" w:firstLine="200"/>
      <w:textAlignment w:val="bottom"/>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2">
    <w:name w:val="Table Theme"/>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72">
    <w:name w:val="Table List 7"/>
    <w:basedOn w:val="a2"/>
    <w:qFormat/>
    <w:pPr>
      <w:widowControl w:val="0"/>
      <w:jc w:val="both"/>
    </w:pPr>
    <w:tblPr>
      <w:tblBorders>
        <w:top w:val="single" w:sz="12" w:space="0" w:color="008000"/>
        <w:left w:val="single" w:sz="6" w:space="0" w:color="008000"/>
        <w:bottom w:val="single" w:sz="12" w:space="0" w:color="008000"/>
        <w:right w:val="single" w:sz="6" w:space="0" w:color="008000"/>
        <w:insideH w:val="single" w:sz="6" w:space="0" w:color="auto"/>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15">
    <w:name w:val="Table Grid 1"/>
    <w:basedOn w:val="a2"/>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afff3">
    <w:name w:val="Table Professional"/>
    <w:basedOn w:val="a2"/>
    <w:qFormat/>
    <w:pPr>
      <w:widowControl w:val="0"/>
      <w:jc w:val="both"/>
    </w:p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afff4">
    <w:name w:val="Strong"/>
    <w:qFormat/>
    <w:rPr>
      <w:rFonts w:ascii="Times New Roman" w:eastAsia="宋体" w:hAnsi="Times New Roman" w:cs="Times New Roman"/>
      <w:b/>
      <w:bCs/>
    </w:rPr>
  </w:style>
  <w:style w:type="character" w:styleId="afff5">
    <w:name w:val="page number"/>
    <w:qFormat/>
    <w:rPr>
      <w:rFonts w:ascii="Times New Roman" w:eastAsia="宋体" w:hAnsi="Times New Roman" w:cs="Times New Roman"/>
      <w:b/>
      <w:sz w:val="21"/>
    </w:rPr>
  </w:style>
  <w:style w:type="character" w:styleId="afff6">
    <w:name w:val="FollowedHyperlink"/>
    <w:qFormat/>
    <w:rPr>
      <w:rFonts w:ascii="Times New Roman" w:eastAsia="宋体" w:hAnsi="Times New Roman" w:cs="Times New Roman"/>
      <w:color w:val="800080"/>
      <w:u w:val="single"/>
    </w:rPr>
  </w:style>
  <w:style w:type="character" w:styleId="afff7">
    <w:name w:val="Emphasis"/>
    <w:qFormat/>
    <w:rPr>
      <w:rFonts w:ascii="Times New Roman" w:eastAsia="宋体" w:hAnsi="Times New Roman" w:cs="Times New Roman"/>
      <w:color w:val="CC0000"/>
    </w:rPr>
  </w:style>
  <w:style w:type="character" w:styleId="HTML3">
    <w:name w:val="HTML Typewriter"/>
    <w:qFormat/>
    <w:rPr>
      <w:rFonts w:ascii="黑体" w:eastAsia="黑体" w:hAnsi="Courier New" w:cs="Courier New" w:hint="eastAsia"/>
      <w:sz w:val="18"/>
      <w:szCs w:val="18"/>
      <w:lang w:val="en-US" w:eastAsia="en-US" w:bidi="ar-SA"/>
    </w:rPr>
  </w:style>
  <w:style w:type="character" w:styleId="afff8">
    <w:name w:val="Hyperlink"/>
    <w:uiPriority w:val="99"/>
    <w:qFormat/>
    <w:rPr>
      <w:rFonts w:ascii="Times New Roman" w:eastAsia="宋体" w:hAnsi="Times New Roman" w:cs="Times New Roman"/>
      <w:color w:val="0000FF"/>
      <w:u w:val="single"/>
    </w:rPr>
  </w:style>
  <w:style w:type="character" w:styleId="afff9">
    <w:name w:val="annotation reference"/>
    <w:qFormat/>
    <w:rPr>
      <w:rFonts w:ascii="Times New Roman" w:eastAsia="宋体" w:hAnsi="Times New Roman" w:cs="Times New Roman"/>
      <w:sz w:val="21"/>
      <w:szCs w:val="21"/>
    </w:rPr>
  </w:style>
  <w:style w:type="character" w:customStyle="1" w:styleId="31">
    <w:name w:val="标题 3 字符1"/>
    <w:link w:val="3"/>
    <w:qFormat/>
    <w:rPr>
      <w:rFonts w:ascii="Times New Roman" w:eastAsia="宋体" w:hAnsi="Times New Roman" w:cs="Times New Roman"/>
      <w:b/>
      <w:bCs/>
      <w:kern w:val="2"/>
      <w:sz w:val="28"/>
      <w:szCs w:val="32"/>
    </w:rPr>
  </w:style>
  <w:style w:type="character" w:customStyle="1" w:styleId="10">
    <w:name w:val="标题 1 字符"/>
    <w:link w:val="1"/>
    <w:qFormat/>
    <w:rPr>
      <w:rFonts w:ascii="隶书" w:eastAsia="宋体" w:hAnsi="隶书" w:cs="Times New Roman"/>
      <w:b/>
      <w:bCs/>
      <w:kern w:val="44"/>
      <w:sz w:val="44"/>
    </w:rPr>
  </w:style>
  <w:style w:type="character" w:customStyle="1" w:styleId="21">
    <w:name w:val="标题 2 字符1"/>
    <w:link w:val="2"/>
    <w:qFormat/>
    <w:rPr>
      <w:rFonts w:ascii="Arial" w:eastAsia="黑体" w:hAnsi="Arial" w:cs="Times New Roman"/>
      <w:b/>
      <w:bCs/>
      <w:kern w:val="2"/>
      <w:sz w:val="32"/>
      <w:szCs w:val="32"/>
      <w:lang w:val="en-US" w:eastAsia="zh-CN" w:bidi="ar-SA"/>
    </w:rPr>
  </w:style>
  <w:style w:type="character" w:customStyle="1" w:styleId="41">
    <w:name w:val="标题 4 字符1"/>
    <w:link w:val="4"/>
    <w:qFormat/>
    <w:rPr>
      <w:rFonts w:ascii="Times New Roman" w:eastAsia="黑体" w:hAnsi="Times New Roman" w:cs="Times New Roman"/>
      <w:bCs/>
      <w:sz w:val="24"/>
      <w:szCs w:val="28"/>
    </w:rPr>
  </w:style>
  <w:style w:type="character" w:customStyle="1" w:styleId="50">
    <w:name w:val="标题 5 字符"/>
    <w:link w:val="5"/>
    <w:qFormat/>
    <w:rPr>
      <w:rFonts w:ascii="Times New Roman" w:eastAsia="宋体" w:hAnsi="Times New Roman" w:cs="Times New Roman"/>
      <w:b/>
      <w:color w:val="FF0000"/>
      <w:sz w:val="28"/>
      <w:lang w:bidi="ar-SA"/>
    </w:rPr>
  </w:style>
  <w:style w:type="character" w:customStyle="1" w:styleId="60">
    <w:name w:val="标题 6 字符"/>
    <w:link w:val="6"/>
    <w:qFormat/>
    <w:rPr>
      <w:rFonts w:ascii="Arial" w:eastAsia="黑体" w:hAnsi="Arial" w:cs="Times New Roman"/>
      <w:b/>
      <w:color w:val="FF0000"/>
      <w:sz w:val="24"/>
      <w:lang w:bidi="ar-SA"/>
    </w:rPr>
  </w:style>
  <w:style w:type="character" w:customStyle="1" w:styleId="70">
    <w:name w:val="标题 7 字符"/>
    <w:link w:val="7"/>
    <w:qFormat/>
    <w:rPr>
      <w:rFonts w:ascii="Times New Roman" w:eastAsia="宋体" w:hAnsi="Times New Roman" w:cs="Times New Roman"/>
      <w:b/>
      <w:color w:val="FF0000"/>
      <w:sz w:val="24"/>
      <w:lang w:bidi="ar-SA"/>
    </w:rPr>
  </w:style>
  <w:style w:type="character" w:customStyle="1" w:styleId="80">
    <w:name w:val="标题 8 字符"/>
    <w:link w:val="8"/>
    <w:qFormat/>
    <w:rPr>
      <w:rFonts w:ascii="Arial" w:eastAsia="黑体" w:hAnsi="Arial" w:cs="Times New Roman"/>
      <w:b/>
      <w:color w:val="FF0000"/>
      <w:sz w:val="24"/>
      <w:lang w:bidi="ar-SA"/>
    </w:rPr>
  </w:style>
  <w:style w:type="character" w:customStyle="1" w:styleId="90">
    <w:name w:val="标题 9 字符"/>
    <w:link w:val="9"/>
    <w:qFormat/>
    <w:rPr>
      <w:rFonts w:ascii="Arial" w:eastAsia="黑体" w:hAnsi="Arial" w:cs="Times New Roman"/>
      <w:b/>
      <w:color w:val="FF0000"/>
      <w:sz w:val="21"/>
      <w:lang w:bidi="ar-SA"/>
    </w:rPr>
  </w:style>
  <w:style w:type="character" w:customStyle="1" w:styleId="11">
    <w:name w:val="批注文字 字符1"/>
    <w:link w:val="ad"/>
    <w:qFormat/>
    <w:rPr>
      <w:rFonts w:ascii="Times New Roman" w:eastAsia="宋体" w:hAnsi="Times New Roman" w:cs="Times New Roman"/>
      <w:kern w:val="2"/>
      <w:sz w:val="21"/>
      <w:szCs w:val="24"/>
      <w:lang w:bidi="ar-SA"/>
    </w:rPr>
  </w:style>
  <w:style w:type="character" w:customStyle="1" w:styleId="affe">
    <w:name w:val="批注主题 字符"/>
    <w:link w:val="affd"/>
    <w:qFormat/>
    <w:locked/>
    <w:rPr>
      <w:b/>
      <w:bCs/>
      <w:kern w:val="2"/>
      <w:sz w:val="21"/>
      <w:szCs w:val="24"/>
    </w:rPr>
  </w:style>
  <w:style w:type="character" w:customStyle="1" w:styleId="afff0">
    <w:name w:val="正文首行缩进 字符"/>
    <w:link w:val="afff"/>
    <w:qFormat/>
    <w:rPr>
      <w:rFonts w:ascii="Times New Roman" w:eastAsia="宋体" w:hAnsi="Times New Roman" w:cs="Times New Roman"/>
      <w:sz w:val="28"/>
      <w:lang w:val="en-US" w:eastAsia="zh-CN" w:bidi="ar-SA"/>
    </w:rPr>
  </w:style>
  <w:style w:type="character" w:customStyle="1" w:styleId="a4">
    <w:name w:val="正文缩进 字符"/>
    <w:link w:val="a0"/>
    <w:qFormat/>
    <w:rPr>
      <w:rFonts w:ascii="Times New Roman" w:eastAsia="宋体" w:hAnsi="Times New Roman" w:cs="Times New Roman"/>
      <w:kern w:val="2"/>
      <w:sz w:val="28"/>
      <w:lang w:bidi="ar-SA"/>
    </w:rPr>
  </w:style>
  <w:style w:type="character" w:customStyle="1" w:styleId="ac">
    <w:name w:val="文档结构图 字符"/>
    <w:link w:val="ab"/>
    <w:qFormat/>
    <w:rPr>
      <w:rFonts w:ascii="宋体" w:eastAsia="宋体" w:hAnsi="Times New Roman" w:cs="Times New Roman"/>
      <w:kern w:val="2"/>
      <w:sz w:val="18"/>
      <w:szCs w:val="18"/>
      <w:lang w:bidi="ar-SA"/>
    </w:rPr>
  </w:style>
  <w:style w:type="character" w:customStyle="1" w:styleId="af">
    <w:name w:val="称呼 字符"/>
    <w:link w:val="ae"/>
    <w:qFormat/>
    <w:locked/>
    <w:rPr>
      <w:rFonts w:ascii="宋体" w:hAnsi="宋体"/>
      <w:szCs w:val="24"/>
    </w:rPr>
  </w:style>
  <w:style w:type="character" w:customStyle="1" w:styleId="32">
    <w:name w:val="正文文本 3 字符"/>
    <w:link w:val="30"/>
    <w:qFormat/>
    <w:rPr>
      <w:rFonts w:ascii="Times New Roman" w:eastAsia="宋体" w:hAnsi="Times New Roman" w:cs="Times New Roman"/>
      <w:color w:val="000000"/>
      <w:kern w:val="2"/>
      <w:sz w:val="24"/>
      <w:szCs w:val="24"/>
      <w:lang w:bidi="ar-SA"/>
    </w:rPr>
  </w:style>
  <w:style w:type="character" w:customStyle="1" w:styleId="af3">
    <w:name w:val="正文文本 字符"/>
    <w:link w:val="af2"/>
    <w:qFormat/>
    <w:rPr>
      <w:rFonts w:ascii="Times New Roman" w:eastAsia="宋体" w:hAnsi="Times New Roman" w:cs="Times New Roman"/>
      <w:sz w:val="28"/>
      <w:lang w:val="en-US" w:eastAsia="zh-CN" w:bidi="ar-SA"/>
    </w:rPr>
  </w:style>
  <w:style w:type="character" w:customStyle="1" w:styleId="af5">
    <w:name w:val="正文文本缩进 字符"/>
    <w:link w:val="af4"/>
    <w:qFormat/>
    <w:rPr>
      <w:rFonts w:ascii="Times New Roman" w:eastAsia="宋体" w:hAnsi="Times New Roman" w:cs="Times New Roman"/>
      <w:kern w:val="2"/>
      <w:sz w:val="28"/>
      <w:lang w:bidi="ar-SA"/>
    </w:rPr>
  </w:style>
  <w:style w:type="character" w:customStyle="1" w:styleId="22">
    <w:name w:val="列表 2 字符"/>
    <w:link w:val="20"/>
    <w:qFormat/>
    <w:rPr>
      <w:rFonts w:eastAsia="Times New Roman"/>
      <w:lang w:val="en-US" w:eastAsia="zh-CN" w:bidi="ar-SA"/>
    </w:rPr>
  </w:style>
  <w:style w:type="character" w:customStyle="1" w:styleId="af8">
    <w:name w:val="纯文本 字符"/>
    <w:link w:val="af7"/>
    <w:qFormat/>
    <w:rPr>
      <w:rFonts w:ascii="宋体" w:eastAsia="宋体" w:hAnsi="Courier New" w:cs="Times New Roman"/>
      <w:kern w:val="2"/>
      <w:sz w:val="21"/>
      <w:szCs w:val="21"/>
      <w:lang w:bidi="ar-SA"/>
    </w:rPr>
  </w:style>
  <w:style w:type="character" w:customStyle="1" w:styleId="afa">
    <w:name w:val="日期 字符"/>
    <w:link w:val="af9"/>
    <w:qFormat/>
    <w:rPr>
      <w:rFonts w:ascii="Times New Roman" w:eastAsia="宋体" w:hAnsi="Times New Roman" w:cs="Times New Roman"/>
      <w:kern w:val="2"/>
      <w:sz w:val="28"/>
      <w:lang w:bidi="ar-SA"/>
    </w:rPr>
  </w:style>
  <w:style w:type="character" w:customStyle="1" w:styleId="25">
    <w:name w:val="正文文本缩进 2 字符"/>
    <w:link w:val="24"/>
    <w:qFormat/>
    <w:rPr>
      <w:rFonts w:ascii="Times New Roman" w:eastAsia="宋体" w:hAnsi="Times New Roman" w:cs="Times New Roman"/>
      <w:kern w:val="2"/>
      <w:sz w:val="21"/>
      <w:szCs w:val="24"/>
      <w:lang w:bidi="ar-SA"/>
    </w:rPr>
  </w:style>
  <w:style w:type="character" w:customStyle="1" w:styleId="afc">
    <w:name w:val="批注框文本 字符"/>
    <w:link w:val="afb"/>
    <w:qFormat/>
    <w:rPr>
      <w:rFonts w:ascii="Times New Roman" w:eastAsia="宋体" w:hAnsi="Times New Roman" w:cs="Times New Roman"/>
      <w:kern w:val="2"/>
      <w:sz w:val="18"/>
      <w:szCs w:val="18"/>
      <w:lang w:bidi="ar-SA"/>
    </w:rPr>
  </w:style>
  <w:style w:type="character" w:customStyle="1" w:styleId="afe">
    <w:name w:val="页脚 字符"/>
    <w:link w:val="afd"/>
    <w:uiPriority w:val="99"/>
    <w:qFormat/>
    <w:rPr>
      <w:rFonts w:ascii="Times New Roman" w:eastAsia="宋体" w:hAnsi="Times New Roman" w:cs="Times New Roman"/>
      <w:kern w:val="2"/>
      <w:sz w:val="18"/>
      <w:szCs w:val="18"/>
      <w:lang w:bidi="ar-SA"/>
    </w:rPr>
  </w:style>
  <w:style w:type="character" w:customStyle="1" w:styleId="2a">
    <w:name w:val="正文首行缩进 2 字符"/>
    <w:link w:val="29"/>
    <w:qFormat/>
    <w:rPr>
      <w:rFonts w:ascii="Times New Roman" w:eastAsia="宋体" w:hAnsi="Times New Roman" w:cs="Times New Roman"/>
      <w:kern w:val="2"/>
      <w:sz w:val="21"/>
      <w:szCs w:val="24"/>
      <w:lang w:val="en-US" w:eastAsia="zh-CN" w:bidi="ar-SA"/>
    </w:rPr>
  </w:style>
  <w:style w:type="character" w:customStyle="1" w:styleId="12">
    <w:name w:val="页眉 字符1"/>
    <w:link w:val="aff"/>
    <w:qFormat/>
    <w:rPr>
      <w:rFonts w:ascii="Times New Roman" w:eastAsia="宋体" w:hAnsi="Times New Roman" w:cs="Times New Roman"/>
      <w:sz w:val="18"/>
      <w:szCs w:val="18"/>
      <w:lang w:val="en-US" w:eastAsia="zh-CN" w:bidi="ar-SA"/>
    </w:rPr>
  </w:style>
  <w:style w:type="character" w:customStyle="1" w:styleId="35">
    <w:name w:val="正文文本缩进 3 字符"/>
    <w:link w:val="34"/>
    <w:qFormat/>
    <w:rPr>
      <w:rFonts w:ascii="Times New Roman" w:eastAsia="宋体" w:hAnsi="Times New Roman" w:cs="Times New Roman"/>
      <w:kern w:val="2"/>
      <w:sz w:val="16"/>
      <w:szCs w:val="16"/>
      <w:lang w:bidi="ar-SA"/>
    </w:rPr>
  </w:style>
  <w:style w:type="character" w:customStyle="1" w:styleId="28">
    <w:name w:val="正文文本 2 字符"/>
    <w:link w:val="27"/>
    <w:qFormat/>
    <w:rPr>
      <w:rFonts w:ascii="Times New Roman" w:eastAsia="宋体" w:hAnsi="Times New Roman" w:cs="Times New Roman"/>
      <w:kern w:val="2"/>
      <w:sz w:val="28"/>
      <w:lang w:bidi="ar-SA"/>
    </w:rPr>
  </w:style>
  <w:style w:type="character" w:customStyle="1" w:styleId="HTML2">
    <w:name w:val="HTML 预设格式 字符"/>
    <w:link w:val="HTML1"/>
    <w:uiPriority w:val="99"/>
    <w:qFormat/>
    <w:rPr>
      <w:rFonts w:ascii="Arial" w:eastAsia="宋体" w:hAnsi="Arial" w:cs="Times New Roman"/>
      <w:sz w:val="21"/>
      <w:szCs w:val="21"/>
      <w:lang w:bidi="ar-SA"/>
    </w:rPr>
  </w:style>
  <w:style w:type="character" w:customStyle="1" w:styleId="affa">
    <w:name w:val="普通(网站) 字符"/>
    <w:link w:val="aff9"/>
    <w:qFormat/>
    <w:locked/>
    <w:rPr>
      <w:rFonts w:ascii="宋体" w:hAnsi="宋体" w:cs="宋体"/>
      <w:sz w:val="24"/>
      <w:szCs w:val="24"/>
    </w:rPr>
  </w:style>
  <w:style w:type="character" w:customStyle="1" w:styleId="affc">
    <w:name w:val="标题 字符"/>
    <w:link w:val="affb"/>
    <w:qFormat/>
    <w:rPr>
      <w:rFonts w:ascii="Cambria" w:eastAsia="宋体" w:hAnsi="Cambria" w:cs="Times New Roman"/>
      <w:b/>
      <w:bCs/>
      <w:kern w:val="2"/>
      <w:sz w:val="32"/>
      <w:szCs w:val="32"/>
      <w:lang w:bidi="ar-SA"/>
    </w:rPr>
  </w:style>
  <w:style w:type="character" w:customStyle="1" w:styleId="CharChar">
    <w:name w:val="内容 Char Char"/>
    <w:qFormat/>
    <w:rPr>
      <w:rFonts w:ascii="Times New Roman" w:eastAsia="宋体" w:hAnsi="Times New Roman" w:cs="宋体"/>
      <w:sz w:val="24"/>
    </w:rPr>
  </w:style>
  <w:style w:type="character" w:customStyle="1" w:styleId="Footer-EvenChar">
    <w:name w:val="Footer-Even Char"/>
    <w:qFormat/>
    <w:rPr>
      <w:rFonts w:ascii="Times New Roman" w:eastAsia="宋体" w:hAnsi="Times New Roman" w:cs="Times New Roman"/>
      <w:kern w:val="2"/>
      <w:sz w:val="18"/>
      <w:szCs w:val="18"/>
      <w:lang w:val="en-US" w:eastAsia="zh-CN" w:bidi="ar-SA"/>
    </w:rPr>
  </w:style>
  <w:style w:type="character" w:customStyle="1" w:styleId="1Char">
    <w:name w:val="正文1 Char"/>
    <w:link w:val="110"/>
    <w:qFormat/>
    <w:rPr>
      <w:rFonts w:ascii="Times New Roman" w:eastAsia="宋体" w:hAnsi="Times New Roman" w:cs="Times New Roman"/>
      <w:kern w:val="2"/>
      <w:sz w:val="28"/>
      <w:lang w:bidi="ar-SA"/>
    </w:rPr>
  </w:style>
  <w:style w:type="paragraph" w:customStyle="1" w:styleId="110">
    <w:name w:val="正文11"/>
    <w:basedOn w:val="a"/>
    <w:link w:val="1Char"/>
    <w:qFormat/>
    <w:pPr>
      <w:adjustRightInd w:val="0"/>
      <w:snapToGrid w:val="0"/>
      <w:spacing w:line="500" w:lineRule="atLeast"/>
      <w:ind w:firstLineChars="0" w:firstLine="567"/>
      <w:jc w:val="both"/>
      <w:textAlignment w:val="auto"/>
    </w:pPr>
    <w:rPr>
      <w:kern w:val="2"/>
    </w:rPr>
  </w:style>
  <w:style w:type="character" w:customStyle="1" w:styleId="font181">
    <w:name w:val="font181"/>
    <w:qFormat/>
    <w:rPr>
      <w:rFonts w:ascii="宋体" w:eastAsia="宋体" w:hAnsi="宋体" w:cs="宋体" w:hint="eastAsia"/>
      <w:b/>
      <w:color w:val="000000"/>
      <w:sz w:val="22"/>
      <w:szCs w:val="22"/>
      <w:u w:val="none"/>
    </w:rPr>
  </w:style>
  <w:style w:type="character" w:customStyle="1" w:styleId="Char">
    <w:name w:val="文本 Char"/>
    <w:link w:val="afffa"/>
    <w:qFormat/>
    <w:rPr>
      <w:rFonts w:ascii="Times New Roman" w:eastAsia="宋体" w:hAnsi="Times New Roman" w:cs="Times New Roman"/>
      <w:kern w:val="2"/>
      <w:sz w:val="24"/>
      <w:szCs w:val="24"/>
      <w:lang w:bidi="ar-SA"/>
    </w:rPr>
  </w:style>
  <w:style w:type="paragraph" w:customStyle="1" w:styleId="afffa">
    <w:name w:val="文本"/>
    <w:basedOn w:val="a"/>
    <w:link w:val="Char"/>
    <w:qFormat/>
    <w:pPr>
      <w:ind w:firstLine="480"/>
      <w:jc w:val="both"/>
      <w:textAlignment w:val="auto"/>
    </w:pPr>
    <w:rPr>
      <w:kern w:val="2"/>
      <w:sz w:val="24"/>
      <w:szCs w:val="24"/>
    </w:rPr>
  </w:style>
  <w:style w:type="character" w:customStyle="1" w:styleId="Char2">
    <w:name w:val="普通文字 Char2"/>
    <w:link w:val="111"/>
    <w:qFormat/>
    <w:rPr>
      <w:rFonts w:ascii="宋体" w:eastAsia="宋体" w:hAnsi="Courier New"/>
      <w:sz w:val="22"/>
      <w:lang w:val="en-US" w:eastAsia="en-US" w:bidi="ar-SA"/>
    </w:rPr>
  </w:style>
  <w:style w:type="paragraph" w:customStyle="1" w:styleId="111">
    <w:name w:val="纯文本11"/>
    <w:basedOn w:val="a"/>
    <w:link w:val="Char2"/>
    <w:qFormat/>
    <w:pPr>
      <w:spacing w:line="240" w:lineRule="auto"/>
      <w:ind w:firstLineChars="0" w:firstLine="0"/>
      <w:jc w:val="both"/>
      <w:textAlignment w:val="auto"/>
    </w:pPr>
    <w:rPr>
      <w:rFonts w:ascii="宋体" w:hAnsi="Courier New"/>
      <w:sz w:val="22"/>
      <w:lang w:eastAsia="en-US"/>
    </w:rPr>
  </w:style>
  <w:style w:type="character" w:customStyle="1" w:styleId="font131">
    <w:name w:val="font131"/>
    <w:qFormat/>
    <w:rPr>
      <w:rFonts w:ascii="Times New Roman" w:eastAsia="宋体" w:hAnsi="Times New Roman" w:cs="Times New Roman" w:hint="default"/>
      <w:b/>
      <w:color w:val="000000"/>
      <w:sz w:val="22"/>
      <w:szCs w:val="22"/>
      <w:u w:val="none"/>
    </w:rPr>
  </w:style>
  <w:style w:type="character" w:customStyle="1" w:styleId="CharChar0">
    <w:name w:val="表头 Char Char"/>
    <w:qFormat/>
    <w:rPr>
      <w:rFonts w:ascii="Times New Roman" w:eastAsia="宋体" w:hAnsi="Times New Roman" w:cs="宋体"/>
      <w:b/>
      <w:kern w:val="2"/>
      <w:sz w:val="24"/>
      <w:lang w:val="en-US" w:eastAsia="zh-CN" w:bidi="ar-SA"/>
    </w:rPr>
  </w:style>
  <w:style w:type="character" w:customStyle="1" w:styleId="ReChar">
    <w:name w:val="Re Char"/>
    <w:qFormat/>
    <w:rPr>
      <w:rFonts w:ascii="Times New Roman" w:eastAsia="宋体" w:hAnsi="Times New Roman" w:cs="Times New Roman"/>
      <w:b/>
      <w:bCs/>
      <w:kern w:val="2"/>
      <w:sz w:val="32"/>
      <w:szCs w:val="32"/>
    </w:rPr>
  </w:style>
  <w:style w:type="character" w:customStyle="1" w:styleId="Char0">
    <w:name w:val="正文文本 Char"/>
    <w:qFormat/>
    <w:rPr>
      <w:rFonts w:eastAsia="宋体"/>
      <w:sz w:val="28"/>
      <w:lang w:val="en-US" w:eastAsia="zh-CN" w:bidi="ar-SA"/>
    </w:rPr>
  </w:style>
  <w:style w:type="character" w:customStyle="1" w:styleId="1CharCharCharChar">
    <w:name w:val="标题 1 Char Char Char Char"/>
    <w:qFormat/>
    <w:rPr>
      <w:rFonts w:ascii="宋体" w:eastAsia="宋体" w:hAnsi="宋体" w:cs="Times New Roman"/>
      <w:b/>
      <w:bCs/>
      <w:kern w:val="44"/>
      <w:sz w:val="44"/>
      <w:szCs w:val="44"/>
      <w:lang w:val="en-US" w:eastAsia="zh-CN" w:bidi="ar-SA"/>
    </w:rPr>
  </w:style>
  <w:style w:type="character" w:customStyle="1" w:styleId="16">
    <w:name w:val="页码1"/>
    <w:qFormat/>
    <w:rPr>
      <w:rFonts w:ascii="Times New Roman" w:eastAsia="宋体" w:hAnsi="Times New Roman" w:cs="Times New Roman"/>
    </w:rPr>
  </w:style>
  <w:style w:type="character" w:customStyle="1" w:styleId="13Char">
    <w:name w:val="正文小四首缩1.3行距 Char"/>
    <w:link w:val="130"/>
    <w:qFormat/>
    <w:rPr>
      <w:rFonts w:ascii="Times New Roman" w:eastAsia="宋体" w:hAnsi="Times New Roman" w:cs="Times New Roman"/>
      <w:kern w:val="2"/>
      <w:sz w:val="24"/>
      <w:szCs w:val="24"/>
    </w:rPr>
  </w:style>
  <w:style w:type="paragraph" w:customStyle="1" w:styleId="130">
    <w:name w:val="正文小四首缩1.3行距"/>
    <w:basedOn w:val="a"/>
    <w:link w:val="13Char"/>
    <w:qFormat/>
    <w:pPr>
      <w:spacing w:line="312" w:lineRule="auto"/>
      <w:ind w:firstLine="420"/>
      <w:jc w:val="both"/>
      <w:textAlignment w:val="auto"/>
    </w:pPr>
    <w:rPr>
      <w:kern w:val="2"/>
      <w:sz w:val="24"/>
      <w:szCs w:val="24"/>
    </w:rPr>
  </w:style>
  <w:style w:type="character" w:customStyle="1" w:styleId="font171">
    <w:name w:val="font171"/>
    <w:qFormat/>
    <w:rPr>
      <w:rFonts w:ascii="Times New Roman" w:eastAsia="宋体" w:hAnsi="Times New Roman" w:cs="Times New Roman" w:hint="default"/>
      <w:color w:val="000000"/>
      <w:sz w:val="16"/>
      <w:szCs w:val="16"/>
      <w:u w:val="none"/>
    </w:rPr>
  </w:style>
  <w:style w:type="character" w:customStyle="1" w:styleId="font01">
    <w:name w:val="font01"/>
    <w:qFormat/>
    <w:rPr>
      <w:rFonts w:ascii="宋体" w:eastAsia="宋体" w:hAnsi="宋体" w:cs="宋体" w:hint="eastAsia"/>
      <w:b/>
      <w:color w:val="000000"/>
      <w:sz w:val="18"/>
      <w:szCs w:val="18"/>
      <w:u w:val="none"/>
    </w:rPr>
  </w:style>
  <w:style w:type="character" w:customStyle="1" w:styleId="18Char">
    <w:name w:val="页眉18 Char"/>
    <w:qFormat/>
    <w:rPr>
      <w:rFonts w:ascii="Times New Roman" w:eastAsia="宋体" w:hAnsi="Times New Roman" w:cs="Times New Roman"/>
      <w:kern w:val="2"/>
      <w:sz w:val="18"/>
      <w:szCs w:val="18"/>
      <w:lang w:val="en-US" w:eastAsia="zh-CN" w:bidi="ar-SA"/>
    </w:rPr>
  </w:style>
  <w:style w:type="character" w:customStyle="1" w:styleId="Char1">
    <w:name w:val="表格名 Char"/>
    <w:link w:val="afffb"/>
    <w:qFormat/>
    <w:rPr>
      <w:rFonts w:ascii="Times New Roman" w:eastAsia="宋体" w:hAnsi="Times New Roman" w:cs="Times New Roman"/>
      <w:b/>
      <w:bCs/>
      <w:color w:val="000000"/>
      <w:kern w:val="2"/>
      <w:sz w:val="21"/>
      <w:szCs w:val="21"/>
      <w:lang w:bidi="ar-SA"/>
    </w:rPr>
  </w:style>
  <w:style w:type="paragraph" w:customStyle="1" w:styleId="afffb">
    <w:name w:val="表格名"/>
    <w:basedOn w:val="a"/>
    <w:link w:val="Char1"/>
    <w:qFormat/>
    <w:pPr>
      <w:spacing w:beforeLines="50" w:afterLines="50" w:line="240" w:lineRule="auto"/>
      <w:ind w:firstLineChars="0" w:firstLine="0"/>
      <w:jc w:val="center"/>
      <w:textAlignment w:val="auto"/>
    </w:pPr>
    <w:rPr>
      <w:b/>
      <w:bCs/>
      <w:color w:val="000000"/>
      <w:kern w:val="2"/>
      <w:sz w:val="21"/>
      <w:szCs w:val="21"/>
    </w:rPr>
  </w:style>
  <w:style w:type="character" w:customStyle="1" w:styleId="style1">
    <w:name w:val="style1"/>
    <w:qFormat/>
    <w:rPr>
      <w:rFonts w:ascii="Times" w:eastAsia="宋体" w:hAnsi="Times" w:cs="Times New Roman" w:hint="default"/>
      <w:color w:val="000000"/>
      <w:sz w:val="18"/>
      <w:szCs w:val="18"/>
    </w:rPr>
  </w:style>
  <w:style w:type="character" w:customStyle="1" w:styleId="Char3">
    <w:name w:val="表格标题 Char"/>
    <w:link w:val="afffc"/>
    <w:qFormat/>
    <w:rPr>
      <w:rFonts w:ascii="Times New Roman" w:eastAsia="黑体" w:hAnsi="Times New Roman" w:cs="Times New Roman"/>
      <w:b/>
      <w:snapToGrid w:val="0"/>
      <w:sz w:val="24"/>
      <w:szCs w:val="24"/>
      <w:lang w:bidi="ar-SA"/>
    </w:rPr>
  </w:style>
  <w:style w:type="paragraph" w:customStyle="1" w:styleId="afffc">
    <w:name w:val="表格标题"/>
    <w:basedOn w:val="a"/>
    <w:link w:val="Char3"/>
    <w:qFormat/>
    <w:pPr>
      <w:adjustRightInd w:val="0"/>
      <w:snapToGrid w:val="0"/>
      <w:spacing w:beforeLines="10" w:line="460" w:lineRule="exact"/>
      <w:ind w:firstLineChars="0" w:firstLine="0"/>
      <w:jc w:val="center"/>
      <w:textAlignment w:val="auto"/>
    </w:pPr>
    <w:rPr>
      <w:rFonts w:eastAsia="黑体"/>
      <w:b/>
      <w:snapToGrid w:val="0"/>
      <w:sz w:val="24"/>
      <w:szCs w:val="24"/>
    </w:rPr>
  </w:style>
  <w:style w:type="character" w:customStyle="1" w:styleId="font81">
    <w:name w:val="font81"/>
    <w:qFormat/>
    <w:rPr>
      <w:rFonts w:ascii="宋体" w:eastAsia="宋体" w:hAnsi="宋体" w:cs="宋体" w:hint="eastAsia"/>
      <w:color w:val="000000"/>
      <w:sz w:val="22"/>
      <w:szCs w:val="22"/>
      <w:u w:val="none"/>
    </w:rPr>
  </w:style>
  <w:style w:type="character" w:customStyle="1" w:styleId="afffd">
    <w:name w:val="无间隔 字符"/>
    <w:link w:val="afffe"/>
    <w:qFormat/>
    <w:rPr>
      <w:rFonts w:ascii="Calibri" w:hAnsi="Calibri"/>
      <w:sz w:val="22"/>
      <w:szCs w:val="22"/>
      <w:lang w:val="en-US" w:eastAsia="zh-CN" w:bidi="ar-SA"/>
    </w:rPr>
  </w:style>
  <w:style w:type="paragraph" w:styleId="afffe">
    <w:name w:val="No Spacing"/>
    <w:link w:val="afffd"/>
    <w:qFormat/>
    <w:rPr>
      <w:rFonts w:ascii="Calibri" w:hAnsi="Calibri"/>
      <w:sz w:val="22"/>
      <w:szCs w:val="22"/>
    </w:rPr>
  </w:style>
  <w:style w:type="character" w:customStyle="1" w:styleId="1Char0">
    <w:name w:val="1正文段落 Char"/>
    <w:link w:val="17"/>
    <w:qFormat/>
    <w:rPr>
      <w:rFonts w:ascii="Times New Roman" w:eastAsia="宋体" w:hAnsi="Times New Roman" w:cs="Times New Roman"/>
      <w:snapToGrid w:val="0"/>
      <w:szCs w:val="24"/>
      <w:lang w:bidi="ar-SA"/>
    </w:rPr>
  </w:style>
  <w:style w:type="paragraph" w:customStyle="1" w:styleId="17">
    <w:name w:val="1正文段落"/>
    <w:basedOn w:val="a"/>
    <w:link w:val="1Char0"/>
    <w:qFormat/>
    <w:pPr>
      <w:ind w:firstLine="480"/>
      <w:textAlignment w:val="auto"/>
    </w:pPr>
    <w:rPr>
      <w:snapToGrid w:val="0"/>
      <w:sz w:val="20"/>
      <w:szCs w:val="24"/>
    </w:rPr>
  </w:style>
  <w:style w:type="character" w:customStyle="1" w:styleId="CharChar1">
    <w:name w:val="表格 Char Char"/>
    <w:qFormat/>
    <w:rPr>
      <w:rFonts w:ascii="Times New Roman" w:eastAsia="宋体" w:hAnsi="Times New Roman" w:cs="Times New Roman"/>
      <w:sz w:val="24"/>
      <w:szCs w:val="24"/>
    </w:rPr>
  </w:style>
  <w:style w:type="character" w:customStyle="1" w:styleId="Char4">
    <w:name w:val="表格 Char"/>
    <w:link w:val="affff"/>
    <w:qFormat/>
    <w:rPr>
      <w:rFonts w:ascii="Times New Roman" w:eastAsia="宋体" w:hAnsi="Times New Roman" w:cs="Times New Roman"/>
      <w:color w:val="000000"/>
      <w:sz w:val="21"/>
      <w:szCs w:val="24"/>
      <w:lang w:bidi="ar-SA"/>
    </w:rPr>
  </w:style>
  <w:style w:type="paragraph" w:customStyle="1" w:styleId="affff">
    <w:name w:val="表格"/>
    <w:basedOn w:val="a"/>
    <w:link w:val="Char4"/>
    <w:qFormat/>
    <w:pPr>
      <w:spacing w:line="400" w:lineRule="exact"/>
      <w:ind w:firstLineChars="0" w:firstLine="0"/>
      <w:jc w:val="center"/>
      <w:textAlignment w:val="auto"/>
    </w:pPr>
    <w:rPr>
      <w:color w:val="000000"/>
      <w:sz w:val="21"/>
      <w:szCs w:val="24"/>
    </w:rPr>
  </w:style>
  <w:style w:type="character" w:customStyle="1" w:styleId="px14">
    <w:name w:val="px14"/>
    <w:basedOn w:val="a1"/>
    <w:qFormat/>
  </w:style>
  <w:style w:type="character" w:customStyle="1" w:styleId="Char5">
    <w:name w:val="报告正文 Char"/>
    <w:qFormat/>
    <w:rPr>
      <w:rFonts w:ascii="Times New Roman" w:eastAsia="宋体" w:hAnsi="Times New Roman" w:cs="Times New Roman"/>
      <w:sz w:val="28"/>
      <w:szCs w:val="20"/>
    </w:rPr>
  </w:style>
  <w:style w:type="character" w:customStyle="1" w:styleId="CharChar2">
    <w:name w:val="~~表内容 Char Char"/>
    <w:link w:val="affff0"/>
    <w:qFormat/>
    <w:rPr>
      <w:rFonts w:ascii="Times New Roman" w:eastAsia="宋体" w:hAnsi="Times New Roman" w:cs="Times New Roman"/>
      <w:kern w:val="2"/>
      <w:sz w:val="21"/>
      <w:szCs w:val="21"/>
      <w:lang w:bidi="ar-SA"/>
    </w:rPr>
  </w:style>
  <w:style w:type="paragraph" w:customStyle="1" w:styleId="affff0">
    <w:name w:val="~~表内容"/>
    <w:basedOn w:val="a"/>
    <w:link w:val="CharChar2"/>
    <w:qFormat/>
    <w:pPr>
      <w:spacing w:line="240" w:lineRule="auto"/>
      <w:ind w:firstLineChars="0" w:firstLine="0"/>
      <w:jc w:val="center"/>
      <w:textAlignment w:val="auto"/>
    </w:pPr>
    <w:rPr>
      <w:kern w:val="2"/>
      <w:sz w:val="21"/>
      <w:szCs w:val="21"/>
    </w:rPr>
  </w:style>
  <w:style w:type="character" w:customStyle="1" w:styleId="font111">
    <w:name w:val="font111"/>
    <w:qFormat/>
    <w:rPr>
      <w:rFonts w:ascii="Times New Roman" w:eastAsia="宋体" w:hAnsi="Times New Roman" w:cs="Times New Roman" w:hint="default"/>
      <w:color w:val="000000"/>
      <w:sz w:val="22"/>
      <w:szCs w:val="22"/>
      <w:u w:val="none"/>
    </w:rPr>
  </w:style>
  <w:style w:type="character" w:customStyle="1" w:styleId="CharCharChar3">
    <w:name w:val="普通文字 Char Char Char3"/>
    <w:qFormat/>
    <w:rPr>
      <w:rFonts w:ascii="宋体" w:eastAsia="仿宋_GB2312" w:hAnsi="Courier New" w:cs="Courier New"/>
      <w:kern w:val="2"/>
      <w:sz w:val="28"/>
      <w:szCs w:val="21"/>
      <w:lang w:val="en-US" w:eastAsia="zh-CN" w:bidi="ar-SA"/>
    </w:rPr>
  </w:style>
  <w:style w:type="character" w:customStyle="1" w:styleId="01Char">
    <w:name w:val="正文01 Char"/>
    <w:link w:val="01"/>
    <w:qFormat/>
    <w:rPr>
      <w:rFonts w:ascii="Times New Roman" w:eastAsia="宋体" w:hAnsi="Times New Roman" w:cs="Times New Roman"/>
      <w:kern w:val="2"/>
      <w:sz w:val="24"/>
      <w:lang w:bidi="ar-SA"/>
    </w:rPr>
  </w:style>
  <w:style w:type="paragraph" w:customStyle="1" w:styleId="01">
    <w:name w:val="正文01"/>
    <w:basedOn w:val="a0"/>
    <w:link w:val="01Char"/>
    <w:qFormat/>
    <w:pPr>
      <w:spacing w:line="360" w:lineRule="auto"/>
      <w:ind w:firstLine="480"/>
    </w:pPr>
    <w:rPr>
      <w:sz w:val="24"/>
    </w:rPr>
  </w:style>
  <w:style w:type="character" w:customStyle="1" w:styleId="1522Char">
    <w:name w:val="正文正文 正文 正文 正文 正文  1.5 倍行距 首行缩进:  2 字符 + 首行缩进:  2 字符 Char"/>
    <w:link w:val="1522"/>
    <w:qFormat/>
    <w:rPr>
      <w:rFonts w:ascii="Times New Roman" w:eastAsia="宋体" w:hAnsi="Times New Roman" w:cs="Times New Roman"/>
      <w:kern w:val="2"/>
      <w:sz w:val="24"/>
      <w:szCs w:val="24"/>
      <w:lang w:bidi="ar-SA"/>
    </w:rPr>
  </w:style>
  <w:style w:type="paragraph" w:customStyle="1" w:styleId="1522">
    <w:name w:val="正文正文 正文 正文 正文 正文  1.5 倍行距 首行缩进:  2 字符 + 首行缩进:  2 字符"/>
    <w:basedOn w:val="a"/>
    <w:link w:val="1522Char"/>
    <w:qFormat/>
    <w:pPr>
      <w:spacing w:line="500" w:lineRule="exact"/>
      <w:ind w:firstLine="480"/>
      <w:jc w:val="both"/>
      <w:textAlignment w:val="auto"/>
    </w:pPr>
    <w:rPr>
      <w:kern w:val="2"/>
      <w:sz w:val="24"/>
      <w:szCs w:val="24"/>
    </w:rPr>
  </w:style>
  <w:style w:type="character" w:customStyle="1" w:styleId="111Char">
    <w:name w:val="正文111 Char"/>
    <w:link w:val="1110"/>
    <w:qFormat/>
    <w:rPr>
      <w:rFonts w:ascii="Times New Roman" w:eastAsia="宋体" w:hAnsi="Times New Roman" w:cs="Times New Roman"/>
      <w:b/>
      <w:spacing w:val="6"/>
      <w:sz w:val="21"/>
      <w:szCs w:val="21"/>
      <w:lang w:bidi="ar-SA"/>
    </w:rPr>
  </w:style>
  <w:style w:type="paragraph" w:customStyle="1" w:styleId="1110">
    <w:name w:val="正文111"/>
    <w:basedOn w:val="a"/>
    <w:link w:val="111Char"/>
    <w:qFormat/>
    <w:pPr>
      <w:spacing w:line="520" w:lineRule="exact"/>
      <w:ind w:firstLine="446"/>
      <w:jc w:val="center"/>
      <w:textAlignment w:val="auto"/>
    </w:pPr>
    <w:rPr>
      <w:b/>
      <w:spacing w:val="6"/>
      <w:sz w:val="21"/>
      <w:szCs w:val="21"/>
    </w:rPr>
  </w:style>
  <w:style w:type="character" w:customStyle="1" w:styleId="font151">
    <w:name w:val="font151"/>
    <w:qFormat/>
    <w:rPr>
      <w:rFonts w:ascii="宋体" w:eastAsia="宋体" w:hAnsi="宋体" w:cs="宋体" w:hint="eastAsia"/>
      <w:color w:val="000000"/>
      <w:sz w:val="16"/>
      <w:szCs w:val="16"/>
      <w:u w:val="none"/>
    </w:rPr>
  </w:style>
  <w:style w:type="character" w:customStyle="1" w:styleId="font101">
    <w:name w:val="font101"/>
    <w:qFormat/>
    <w:rPr>
      <w:rFonts w:ascii="Times New Roman" w:eastAsia="宋体" w:hAnsi="Times New Roman" w:cs="Times New Roman" w:hint="default"/>
      <w:b/>
      <w:color w:val="000000"/>
      <w:sz w:val="18"/>
      <w:szCs w:val="18"/>
      <w:u w:val="none"/>
    </w:rPr>
  </w:style>
  <w:style w:type="character" w:customStyle="1" w:styleId="Char10">
    <w:name w:val="表头 Char1"/>
    <w:link w:val="affff1"/>
    <w:qFormat/>
    <w:rPr>
      <w:rFonts w:ascii="仿宋_GB2312" w:eastAsia="仿宋_GB2312" w:hAnsi="Times New Roman" w:cs="Times New Roman"/>
      <w:sz w:val="24"/>
      <w:lang w:bidi="ar-SA"/>
    </w:rPr>
  </w:style>
  <w:style w:type="paragraph" w:customStyle="1" w:styleId="affff1">
    <w:name w:val="表头"/>
    <w:basedOn w:val="a"/>
    <w:next w:val="a"/>
    <w:link w:val="Char10"/>
    <w:qFormat/>
    <w:pPr>
      <w:adjustRightInd w:val="0"/>
      <w:spacing w:before="80" w:after="80" w:line="240" w:lineRule="auto"/>
      <w:ind w:firstLineChars="0" w:firstLine="0"/>
      <w:jc w:val="center"/>
      <w:textAlignment w:val="baseline"/>
    </w:pPr>
    <w:rPr>
      <w:rFonts w:ascii="仿宋_GB2312" w:eastAsia="仿宋_GB2312"/>
      <w:sz w:val="24"/>
    </w:rPr>
  </w:style>
  <w:style w:type="character" w:customStyle="1" w:styleId="font21">
    <w:name w:val="font21"/>
    <w:qFormat/>
    <w:rPr>
      <w:rFonts w:ascii="Times New Roman" w:eastAsia="宋体" w:hAnsi="Times New Roman" w:cs="Times New Roman" w:hint="default"/>
      <w:b/>
      <w:color w:val="000000"/>
      <w:sz w:val="18"/>
      <w:szCs w:val="18"/>
      <w:u w:val="none"/>
    </w:rPr>
  </w:style>
  <w:style w:type="character" w:customStyle="1" w:styleId="Char6">
    <w:name w:val="正文(首行缩进) Char"/>
    <w:link w:val="affff2"/>
    <w:qFormat/>
    <w:rPr>
      <w:rFonts w:ascii="Times New Roman" w:eastAsia="宋体" w:hAnsi="Times New Roman" w:cs="Times New Roman"/>
      <w:snapToGrid w:val="0"/>
      <w:sz w:val="24"/>
      <w:szCs w:val="24"/>
      <w:lang w:bidi="ar-SA"/>
    </w:rPr>
  </w:style>
  <w:style w:type="paragraph" w:customStyle="1" w:styleId="affff2">
    <w:name w:val="正文(首行缩进)"/>
    <w:basedOn w:val="a"/>
    <w:link w:val="Char6"/>
    <w:qFormat/>
    <w:pPr>
      <w:adjustRightInd w:val="0"/>
      <w:snapToGrid w:val="0"/>
      <w:jc w:val="both"/>
      <w:textAlignment w:val="auto"/>
    </w:pPr>
    <w:rPr>
      <w:snapToGrid w:val="0"/>
      <w:sz w:val="24"/>
      <w:szCs w:val="24"/>
    </w:rPr>
  </w:style>
  <w:style w:type="character" w:customStyle="1" w:styleId="Char7">
    <w:name w:val="报告书正文 Char"/>
    <w:qFormat/>
    <w:rPr>
      <w:rFonts w:ascii="Times New Roman" w:eastAsia="宋体" w:hAnsi="Times New Roman" w:cs="Times New Roman"/>
      <w:kern w:val="2"/>
      <w:sz w:val="24"/>
      <w:szCs w:val="24"/>
    </w:rPr>
  </w:style>
  <w:style w:type="character" w:customStyle="1" w:styleId="112">
    <w:name w:val="页码11"/>
    <w:qFormat/>
    <w:rPr>
      <w:rFonts w:ascii="Times New Roman" w:eastAsia="宋体" w:hAnsi="Times New Roman" w:cs="Times New Roman"/>
    </w:rPr>
  </w:style>
  <w:style w:type="character" w:customStyle="1" w:styleId="Char8">
    <w:name w:val="表格内容 Char"/>
    <w:link w:val="affff3"/>
    <w:qFormat/>
    <w:rPr>
      <w:rFonts w:ascii="宋体" w:hAnsi="宋体"/>
      <w:kern w:val="2"/>
      <w:sz w:val="21"/>
      <w:szCs w:val="21"/>
      <w:lang w:val="en-US" w:eastAsia="zh-CN" w:bidi="ar-SA"/>
    </w:rPr>
  </w:style>
  <w:style w:type="paragraph" w:customStyle="1" w:styleId="affff3">
    <w:name w:val="表格内容"/>
    <w:link w:val="Char8"/>
    <w:qFormat/>
    <w:pPr>
      <w:widowControl w:val="0"/>
      <w:snapToGrid w:val="0"/>
      <w:spacing w:line="240" w:lineRule="atLeast"/>
      <w:jc w:val="center"/>
    </w:pPr>
    <w:rPr>
      <w:rFonts w:ascii="宋体" w:hAnsi="宋体"/>
      <w:kern w:val="2"/>
      <w:sz w:val="21"/>
      <w:szCs w:val="21"/>
    </w:rPr>
  </w:style>
  <w:style w:type="character" w:customStyle="1" w:styleId="CharChar3">
    <w:name w:val="报告正文 Char Char"/>
    <w:link w:val="affff4"/>
    <w:qFormat/>
    <w:rPr>
      <w:rFonts w:ascii="宋体" w:eastAsia="宋体" w:hAnsi="Times New Roman" w:cs="Times New Roman"/>
      <w:kern w:val="2"/>
      <w:sz w:val="24"/>
      <w:lang w:bidi="ar-SA"/>
    </w:rPr>
  </w:style>
  <w:style w:type="paragraph" w:customStyle="1" w:styleId="affff4">
    <w:name w:val="报告正文"/>
    <w:basedOn w:val="a"/>
    <w:link w:val="CharChar3"/>
    <w:qFormat/>
    <w:pPr>
      <w:adjustRightInd w:val="0"/>
      <w:snapToGrid w:val="0"/>
      <w:jc w:val="both"/>
      <w:textAlignment w:val="auto"/>
    </w:pPr>
    <w:rPr>
      <w:rFonts w:ascii="宋体"/>
      <w:kern w:val="2"/>
      <w:sz w:val="24"/>
    </w:rPr>
  </w:style>
  <w:style w:type="character" w:customStyle="1" w:styleId="yypChar">
    <w:name w:val="yyp Char"/>
    <w:link w:val="yyp"/>
    <w:qFormat/>
    <w:locked/>
    <w:rPr>
      <w:rFonts w:ascii="宋体" w:hAnsi="宋体"/>
      <w:sz w:val="24"/>
      <w:szCs w:val="24"/>
    </w:rPr>
  </w:style>
  <w:style w:type="paragraph" w:customStyle="1" w:styleId="yyp">
    <w:name w:val="yyp"/>
    <w:basedOn w:val="a"/>
    <w:next w:val="a"/>
    <w:link w:val="yypChar"/>
    <w:qFormat/>
    <w:pPr>
      <w:widowControl/>
      <w:spacing w:after="120"/>
      <w:ind w:firstLine="480"/>
      <w:textAlignment w:val="auto"/>
    </w:pPr>
    <w:rPr>
      <w:rFonts w:ascii="宋体" w:hAnsi="宋体"/>
      <w:sz w:val="24"/>
      <w:szCs w:val="24"/>
    </w:rPr>
  </w:style>
  <w:style w:type="character" w:customStyle="1" w:styleId="2Char">
    <w:name w:val="标题 2 Char"/>
    <w:qFormat/>
    <w:rPr>
      <w:rFonts w:ascii="Arial" w:eastAsia="黑体" w:hAnsi="Arial" w:cs="Times New Roman"/>
      <w:b/>
      <w:bCs/>
      <w:kern w:val="2"/>
      <w:sz w:val="32"/>
      <w:szCs w:val="32"/>
      <w:lang w:val="en-US" w:eastAsia="zh-CN" w:bidi="ar-SA"/>
    </w:rPr>
  </w:style>
  <w:style w:type="character" w:customStyle="1" w:styleId="CharChar4">
    <w:name w:val="报告书正文 Char Char"/>
    <w:link w:val="affff5"/>
    <w:qFormat/>
    <w:rPr>
      <w:rFonts w:ascii="Times New Roman" w:eastAsia="宋体" w:hAnsi="Times New Roman" w:cs="Times New Roman"/>
      <w:kern w:val="2"/>
      <w:sz w:val="24"/>
      <w:szCs w:val="24"/>
      <w:lang w:bidi="ar-SA"/>
    </w:rPr>
  </w:style>
  <w:style w:type="paragraph" w:customStyle="1" w:styleId="affff5">
    <w:name w:val="报告书正文"/>
    <w:basedOn w:val="a"/>
    <w:next w:val="a"/>
    <w:link w:val="CharChar4"/>
    <w:qFormat/>
    <w:pPr>
      <w:jc w:val="both"/>
      <w:textAlignment w:val="auto"/>
    </w:pPr>
    <w:rPr>
      <w:kern w:val="2"/>
      <w:sz w:val="24"/>
      <w:szCs w:val="24"/>
    </w:rPr>
  </w:style>
  <w:style w:type="character" w:customStyle="1" w:styleId="font51">
    <w:name w:val="font51"/>
    <w:qFormat/>
    <w:rPr>
      <w:rFonts w:ascii="Times New Roman" w:eastAsia="宋体" w:hAnsi="Times New Roman" w:cs="Times New Roman" w:hint="default"/>
      <w:b/>
      <w:color w:val="000000"/>
      <w:sz w:val="18"/>
      <w:szCs w:val="18"/>
      <w:u w:val="none"/>
      <w:vertAlign w:val="superscript"/>
    </w:rPr>
  </w:style>
  <w:style w:type="character" w:customStyle="1" w:styleId="Char9">
    <w:name w:val="标准 Char"/>
    <w:link w:val="affff6"/>
    <w:qFormat/>
    <w:rPr>
      <w:rFonts w:ascii="楷体_GB2312" w:eastAsia="楷体_GB2312" w:hAnsi="Times New Roman" w:cs="Times New Roman"/>
      <w:sz w:val="28"/>
    </w:rPr>
  </w:style>
  <w:style w:type="paragraph" w:customStyle="1" w:styleId="affff6">
    <w:name w:val="标准"/>
    <w:basedOn w:val="a"/>
    <w:link w:val="Char9"/>
    <w:qFormat/>
    <w:pPr>
      <w:adjustRightInd w:val="0"/>
      <w:ind w:firstLineChars="0" w:firstLine="0"/>
      <w:jc w:val="both"/>
      <w:textAlignment w:val="baseline"/>
    </w:pPr>
    <w:rPr>
      <w:rFonts w:ascii="楷体_GB2312" w:eastAsia="楷体_GB2312"/>
    </w:rPr>
  </w:style>
  <w:style w:type="character" w:customStyle="1" w:styleId="Char11">
    <w:name w:val="表文字 Char1"/>
    <w:link w:val="affff7"/>
    <w:qFormat/>
    <w:rPr>
      <w:rFonts w:ascii="Times New Roman" w:eastAsia="宋体" w:hAnsi="Times New Roman" w:cs="Times New Roman"/>
      <w:sz w:val="24"/>
      <w:lang w:val="en-US" w:eastAsia="zh-CN" w:bidi="ar-SA"/>
    </w:rPr>
  </w:style>
  <w:style w:type="paragraph" w:customStyle="1" w:styleId="affff7">
    <w:name w:val="表文字"/>
    <w:basedOn w:val="a"/>
    <w:link w:val="Char11"/>
    <w:qFormat/>
    <w:pPr>
      <w:overflowPunct w:val="0"/>
      <w:autoSpaceDE w:val="0"/>
      <w:autoSpaceDN w:val="0"/>
      <w:adjustRightInd w:val="0"/>
      <w:spacing w:line="240" w:lineRule="atLeast"/>
      <w:ind w:firstLineChars="0" w:firstLine="0"/>
      <w:jc w:val="center"/>
      <w:textAlignment w:val="baseline"/>
    </w:pPr>
    <w:rPr>
      <w:sz w:val="24"/>
    </w:rPr>
  </w:style>
  <w:style w:type="character" w:customStyle="1" w:styleId="CharChar15">
    <w:name w:val="Char Char15"/>
    <w:qFormat/>
    <w:rPr>
      <w:rFonts w:ascii="Times New Roman" w:eastAsia="宋体" w:hAnsi="Times New Roman" w:cs="Times New Roman"/>
      <w:kern w:val="2"/>
      <w:sz w:val="18"/>
      <w:szCs w:val="18"/>
    </w:rPr>
  </w:style>
  <w:style w:type="character" w:customStyle="1" w:styleId="Chara">
    <w:name w:val="正文四号 Char"/>
    <w:link w:val="affff8"/>
    <w:qFormat/>
    <w:rPr>
      <w:rFonts w:ascii="Times New Roman" w:eastAsia="宋体" w:hAnsi="Times New Roman" w:cs="Times New Roman"/>
      <w:sz w:val="28"/>
      <w:lang w:bidi="ar-SA"/>
    </w:rPr>
  </w:style>
  <w:style w:type="paragraph" w:customStyle="1" w:styleId="affff8">
    <w:name w:val="正文四号"/>
    <w:basedOn w:val="a"/>
    <w:link w:val="Chara"/>
    <w:qFormat/>
    <w:pPr>
      <w:jc w:val="both"/>
      <w:textAlignment w:val="auto"/>
    </w:pPr>
  </w:style>
  <w:style w:type="character" w:customStyle="1" w:styleId="CharChar5">
    <w:name w:val="正文内容 Char Char"/>
    <w:link w:val="affff9"/>
    <w:qFormat/>
    <w:rPr>
      <w:kern w:val="2"/>
      <w:sz w:val="24"/>
      <w:szCs w:val="24"/>
      <w:lang w:val="en-US" w:eastAsia="zh-CN" w:bidi="ar-SA"/>
    </w:rPr>
  </w:style>
  <w:style w:type="paragraph" w:customStyle="1" w:styleId="affff9">
    <w:name w:val="正文内容"/>
    <w:link w:val="CharChar5"/>
    <w:qFormat/>
    <w:pPr>
      <w:widowControl w:val="0"/>
      <w:snapToGrid w:val="0"/>
      <w:spacing w:before="60" w:after="60" w:line="440" w:lineRule="exact"/>
      <w:ind w:firstLineChars="200" w:firstLine="200"/>
      <w:jc w:val="both"/>
    </w:pPr>
    <w:rPr>
      <w:kern w:val="2"/>
      <w:sz w:val="24"/>
      <w:szCs w:val="24"/>
    </w:rPr>
  </w:style>
  <w:style w:type="character" w:customStyle="1" w:styleId="CharChar6">
    <w:name w:val="~~表*标题 Char Char"/>
    <w:link w:val="affffa"/>
    <w:qFormat/>
    <w:rPr>
      <w:rFonts w:ascii="Times New Roman" w:eastAsia="黑体" w:hAnsi="Times New Roman" w:cs="Times New Roman"/>
      <w:kern w:val="2"/>
      <w:sz w:val="24"/>
      <w:szCs w:val="24"/>
      <w:lang w:bidi="ar-SA"/>
    </w:rPr>
  </w:style>
  <w:style w:type="paragraph" w:customStyle="1" w:styleId="affffa">
    <w:name w:val="~~表*标题"/>
    <w:basedOn w:val="a"/>
    <w:link w:val="CharChar6"/>
    <w:qFormat/>
    <w:pPr>
      <w:spacing w:line="520" w:lineRule="exact"/>
      <w:ind w:firstLine="480"/>
      <w:jc w:val="both"/>
      <w:textAlignment w:val="auto"/>
    </w:pPr>
    <w:rPr>
      <w:rFonts w:eastAsia="黑体"/>
      <w:kern w:val="2"/>
      <w:sz w:val="24"/>
      <w:szCs w:val="24"/>
    </w:rPr>
  </w:style>
  <w:style w:type="character" w:customStyle="1" w:styleId="font71">
    <w:name w:val="font71"/>
    <w:qFormat/>
    <w:rPr>
      <w:rFonts w:ascii="宋体" w:eastAsia="宋体" w:hAnsi="宋体" w:cs="宋体" w:hint="eastAsia"/>
      <w:color w:val="000000"/>
      <w:sz w:val="18"/>
      <w:szCs w:val="18"/>
      <w:u w:val="none"/>
    </w:rPr>
  </w:style>
  <w:style w:type="character" w:customStyle="1" w:styleId="apple-style-span">
    <w:name w:val="apple-style-span"/>
    <w:qFormat/>
    <w:rPr>
      <w:rFonts w:ascii="Times New Roman" w:eastAsia="宋体" w:hAnsi="Times New Roman" w:cs="Times New Roman"/>
    </w:rPr>
  </w:style>
  <w:style w:type="character" w:customStyle="1" w:styleId="Char12">
    <w:name w:val="批注文字 Char1"/>
    <w:qFormat/>
    <w:rPr>
      <w:rFonts w:ascii="Times New Roman" w:eastAsia="宋体" w:hAnsi="Times New Roman" w:cs="Times New Roman"/>
      <w:kern w:val="2"/>
      <w:sz w:val="21"/>
      <w:szCs w:val="24"/>
      <w:lang w:bidi="ar-SA"/>
    </w:rPr>
  </w:style>
  <w:style w:type="character" w:customStyle="1" w:styleId="Charb">
    <w:name w:val="环评报告正文 Char"/>
    <w:link w:val="affffb"/>
    <w:qFormat/>
    <w:rPr>
      <w:rFonts w:ascii="宋体" w:hAnsi="宋体"/>
      <w:bCs/>
      <w:kern w:val="2"/>
      <w:sz w:val="24"/>
    </w:rPr>
  </w:style>
  <w:style w:type="paragraph" w:customStyle="1" w:styleId="affffb">
    <w:name w:val="环评报告正文"/>
    <w:basedOn w:val="a"/>
    <w:link w:val="Charb"/>
    <w:qFormat/>
    <w:pPr>
      <w:ind w:firstLine="480"/>
      <w:jc w:val="both"/>
      <w:textAlignment w:val="auto"/>
    </w:pPr>
    <w:rPr>
      <w:rFonts w:ascii="宋体" w:hAnsi="宋体"/>
      <w:bCs/>
      <w:kern w:val="2"/>
      <w:sz w:val="24"/>
    </w:rPr>
  </w:style>
  <w:style w:type="character" w:customStyle="1" w:styleId="Charc">
    <w:name w:val="威顿报告正文 Char"/>
    <w:link w:val="affffc"/>
    <w:qFormat/>
    <w:rPr>
      <w:rFonts w:ascii="Times New Roman" w:eastAsia="宋体" w:hAnsi="Times New Roman" w:cs="Times New Roman"/>
      <w:color w:val="000000"/>
      <w:sz w:val="24"/>
      <w:szCs w:val="24"/>
      <w:lang w:val="en-US" w:eastAsia="zh-CN" w:bidi="ar-SA"/>
    </w:rPr>
  </w:style>
  <w:style w:type="paragraph" w:customStyle="1" w:styleId="affffc">
    <w:name w:val="威顿报告正文"/>
    <w:basedOn w:val="a"/>
    <w:link w:val="Charc"/>
    <w:qFormat/>
    <w:pPr>
      <w:adjustRightInd w:val="0"/>
      <w:snapToGrid w:val="0"/>
      <w:spacing w:beforeLines="25" w:line="440" w:lineRule="exact"/>
      <w:jc w:val="both"/>
      <w:textAlignment w:val="auto"/>
    </w:pPr>
    <w:rPr>
      <w:color w:val="000000"/>
      <w:sz w:val="24"/>
      <w:szCs w:val="24"/>
    </w:rPr>
  </w:style>
  <w:style w:type="character" w:customStyle="1" w:styleId="CharCharChar">
    <w:name w:val="正文缩进 Char Char Char"/>
    <w:qFormat/>
    <w:rPr>
      <w:rFonts w:ascii="Times New Roman" w:eastAsia="宋体" w:hAnsi="Times New Roman" w:cs="Times New Roman"/>
      <w:kern w:val="2"/>
      <w:sz w:val="28"/>
    </w:rPr>
  </w:style>
  <w:style w:type="character" w:customStyle="1" w:styleId="5Char">
    <w:name w:val="样式标题5 Char"/>
    <w:link w:val="52"/>
    <w:qFormat/>
    <w:rPr>
      <w:rFonts w:ascii="Times New Roman" w:eastAsia="宋体" w:hAnsi="Times New Roman" w:cs="Times New Roman"/>
      <w:kern w:val="2"/>
      <w:sz w:val="24"/>
      <w:szCs w:val="24"/>
      <w:lang w:bidi="ar-SA"/>
    </w:rPr>
  </w:style>
  <w:style w:type="paragraph" w:customStyle="1" w:styleId="52">
    <w:name w:val="样式标题5"/>
    <w:basedOn w:val="a"/>
    <w:next w:val="affff5"/>
    <w:link w:val="5Char"/>
    <w:qFormat/>
    <w:pPr>
      <w:ind w:firstLineChars="0" w:firstLine="400"/>
      <w:jc w:val="both"/>
      <w:textAlignment w:val="auto"/>
    </w:pPr>
    <w:rPr>
      <w:kern w:val="2"/>
      <w:sz w:val="24"/>
      <w:szCs w:val="24"/>
    </w:rPr>
  </w:style>
  <w:style w:type="character" w:customStyle="1" w:styleId="Chard">
    <w:name w:val="提头 Char"/>
    <w:link w:val="affffd"/>
    <w:qFormat/>
    <w:rPr>
      <w:rFonts w:ascii="Times New Roman" w:eastAsia="宋体" w:hAnsi="宋体" w:cs="Times New Roman"/>
      <w:b/>
      <w:kern w:val="2"/>
      <w:sz w:val="21"/>
      <w:szCs w:val="21"/>
      <w:lang w:bidi="ar-SA"/>
    </w:rPr>
  </w:style>
  <w:style w:type="paragraph" w:customStyle="1" w:styleId="affffd">
    <w:name w:val="提头"/>
    <w:basedOn w:val="a"/>
    <w:next w:val="a"/>
    <w:link w:val="Chard"/>
    <w:qFormat/>
    <w:pPr>
      <w:tabs>
        <w:tab w:val="left" w:pos="227"/>
      </w:tabs>
      <w:spacing w:before="48" w:line="520" w:lineRule="exact"/>
      <w:jc w:val="center"/>
      <w:textAlignment w:val="auto"/>
    </w:pPr>
    <w:rPr>
      <w:rFonts w:hAnsi="宋体"/>
      <w:b/>
      <w:kern w:val="2"/>
      <w:sz w:val="21"/>
      <w:szCs w:val="21"/>
    </w:rPr>
  </w:style>
  <w:style w:type="character" w:customStyle="1" w:styleId="Chare">
    <w:name w:val="批注文字 Char"/>
    <w:qFormat/>
    <w:rPr>
      <w:rFonts w:eastAsia="宋体"/>
      <w:kern w:val="2"/>
      <w:sz w:val="21"/>
      <w:szCs w:val="24"/>
      <w:lang w:bidi="ar-SA"/>
    </w:rPr>
  </w:style>
  <w:style w:type="character" w:customStyle="1" w:styleId="Charf">
    <w:name w:val="表头 Char"/>
    <w:qFormat/>
    <w:rPr>
      <w:rFonts w:ascii="Times New Roman" w:eastAsia="宋体" w:hAnsi="Times New Roman" w:cs="Times New Roman"/>
      <w:b/>
      <w:color w:val="000000"/>
      <w:kern w:val="32"/>
      <w:sz w:val="24"/>
      <w:lang w:val="en-US" w:eastAsia="zh-CN" w:bidi="ar-SA"/>
    </w:rPr>
  </w:style>
  <w:style w:type="character" w:customStyle="1" w:styleId="Charf0">
    <w:name w:val="表格文字 Char"/>
    <w:link w:val="affffe"/>
    <w:qFormat/>
    <w:rPr>
      <w:rFonts w:eastAsia="楷体_GB2312"/>
      <w:bCs/>
      <w:sz w:val="24"/>
      <w:lang w:val="en-US" w:eastAsia="zh-CN" w:bidi="ar-SA"/>
    </w:rPr>
  </w:style>
  <w:style w:type="paragraph" w:customStyle="1" w:styleId="affffe">
    <w:name w:val="表格文字"/>
    <w:next w:val="af2"/>
    <w:link w:val="Charf0"/>
    <w:qFormat/>
    <w:pPr>
      <w:jc w:val="center"/>
    </w:pPr>
    <w:rPr>
      <w:rFonts w:eastAsia="楷体_GB2312"/>
      <w:bCs/>
      <w:sz w:val="24"/>
    </w:rPr>
  </w:style>
  <w:style w:type="character" w:customStyle="1" w:styleId="Charf1">
    <w:name w:val="内容 Char"/>
    <w:link w:val="afffff"/>
    <w:qFormat/>
    <w:rPr>
      <w:rFonts w:ascii="Times New Roman" w:eastAsia="宋体" w:hAnsi="Times New Roman" w:cs="宋体"/>
      <w:kern w:val="2"/>
      <w:sz w:val="24"/>
      <w:lang w:val="en-US" w:eastAsia="zh-CN" w:bidi="ar-SA"/>
    </w:rPr>
  </w:style>
  <w:style w:type="paragraph" w:customStyle="1" w:styleId="afffff">
    <w:name w:val="内容"/>
    <w:basedOn w:val="a"/>
    <w:link w:val="Charf1"/>
    <w:qFormat/>
    <w:pPr>
      <w:ind w:firstLine="480"/>
      <w:jc w:val="both"/>
      <w:textAlignment w:val="auto"/>
    </w:pPr>
    <w:rPr>
      <w:rFonts w:cs="宋体"/>
      <w:kern w:val="2"/>
      <w:sz w:val="24"/>
    </w:rPr>
  </w:style>
  <w:style w:type="character" w:customStyle="1" w:styleId="Charf2">
    <w:name w:val="正文新 Char"/>
    <w:link w:val="afffff0"/>
    <w:qFormat/>
    <w:rPr>
      <w:rFonts w:ascii="宋体" w:hAnsi="宋体"/>
      <w:kern w:val="2"/>
      <w:sz w:val="24"/>
      <w:szCs w:val="24"/>
    </w:rPr>
  </w:style>
  <w:style w:type="paragraph" w:customStyle="1" w:styleId="afffff0">
    <w:name w:val="正文新"/>
    <w:basedOn w:val="a"/>
    <w:link w:val="Charf2"/>
    <w:qFormat/>
    <w:pPr>
      <w:adjustRightInd w:val="0"/>
      <w:snapToGrid w:val="0"/>
      <w:spacing w:line="500" w:lineRule="exact"/>
      <w:ind w:firstLine="480"/>
      <w:jc w:val="both"/>
      <w:textAlignment w:val="auto"/>
    </w:pPr>
    <w:rPr>
      <w:rFonts w:ascii="宋体" w:hAnsi="宋体"/>
      <w:kern w:val="2"/>
      <w:sz w:val="24"/>
      <w:szCs w:val="24"/>
    </w:rPr>
  </w:style>
  <w:style w:type="character" w:customStyle="1" w:styleId="Char13">
    <w:name w:val="正文（首行缩进两字） Char1"/>
    <w:qFormat/>
    <w:rPr>
      <w:rFonts w:ascii="Times New Roman" w:eastAsia="宋体" w:hAnsi="Times New Roman" w:cs="Times New Roman"/>
      <w:sz w:val="28"/>
      <w:szCs w:val="20"/>
    </w:rPr>
  </w:style>
  <w:style w:type="character" w:customStyle="1" w:styleId="font31">
    <w:name w:val="font31"/>
    <w:qFormat/>
    <w:rPr>
      <w:rFonts w:ascii="Times New Roman" w:eastAsia="宋体" w:hAnsi="Times New Roman" w:cs="Times New Roman" w:hint="default"/>
      <w:color w:val="000000"/>
      <w:sz w:val="20"/>
      <w:szCs w:val="20"/>
      <w:u w:val="none"/>
    </w:rPr>
  </w:style>
  <w:style w:type="character" w:customStyle="1" w:styleId="CharCharChar0">
    <w:name w:val="纯文本 Char Char Char"/>
    <w:qFormat/>
    <w:rPr>
      <w:rFonts w:ascii="宋体" w:eastAsia="宋体" w:hAnsi="Courier New" w:cs="Courier New"/>
      <w:kern w:val="2"/>
      <w:sz w:val="21"/>
      <w:szCs w:val="21"/>
      <w:lang w:val="en-US" w:eastAsia="zh-CN" w:bidi="ar-SA"/>
    </w:rPr>
  </w:style>
  <w:style w:type="character" w:customStyle="1" w:styleId="font41">
    <w:name w:val="font41"/>
    <w:qFormat/>
    <w:rPr>
      <w:rFonts w:ascii="宋体" w:eastAsia="宋体" w:hAnsi="宋体" w:cs="宋体" w:hint="eastAsia"/>
      <w:b/>
      <w:color w:val="000000"/>
      <w:sz w:val="18"/>
      <w:szCs w:val="18"/>
      <w:u w:val="none"/>
    </w:rPr>
  </w:style>
  <w:style w:type="paragraph" w:customStyle="1" w:styleId="156540">
    <w:name w:val="样式 (符号) 宋体 二号 加粗 居中 段前: 15.6 磅 段后: 5 磅 行距: 固定值 40 磅"/>
    <w:basedOn w:val="affb"/>
    <w:qFormat/>
    <w:pPr>
      <w:spacing w:before="312" w:after="100" w:line="800" w:lineRule="exact"/>
    </w:pPr>
    <w:rPr>
      <w:rFonts w:ascii="Times New Roman" w:hAnsi="宋体" w:cs="宋体"/>
      <w:b w:val="0"/>
      <w:bCs w:val="0"/>
      <w:sz w:val="44"/>
    </w:rPr>
  </w:style>
  <w:style w:type="paragraph" w:customStyle="1" w:styleId="TOC1">
    <w:name w:val="TOC 标题1"/>
    <w:basedOn w:val="1"/>
    <w:next w:val="a"/>
    <w:qFormat/>
    <w:pPr>
      <w:widowControl/>
      <w:spacing w:before="100" w:beforeAutospacing="1" w:after="100" w:afterAutospacing="1" w:line="276" w:lineRule="auto"/>
      <w:outlineLvl w:val="9"/>
    </w:pPr>
    <w:rPr>
      <w:rFonts w:ascii="Cambria" w:hAnsi="Cambria"/>
      <w:color w:val="365F91"/>
      <w:kern w:val="0"/>
      <w:sz w:val="28"/>
      <w:szCs w:val="28"/>
    </w:rPr>
  </w:style>
  <w:style w:type="paragraph" w:customStyle="1" w:styleId="CharChar1CharCharCharCharCharCharChar">
    <w:name w:val="Char Char1 Char Char Char Char Char Char Char"/>
    <w:basedOn w:val="a"/>
    <w:qFormat/>
    <w:pPr>
      <w:spacing w:line="520" w:lineRule="exact"/>
      <w:jc w:val="both"/>
      <w:textAlignment w:val="auto"/>
    </w:pPr>
    <w:rPr>
      <w:kern w:val="2"/>
      <w:sz w:val="24"/>
      <w:szCs w:val="24"/>
    </w:rPr>
  </w:style>
  <w:style w:type="paragraph" w:customStyle="1" w:styleId="Char14">
    <w:name w:val="Char1"/>
    <w:basedOn w:val="a"/>
    <w:qFormat/>
    <w:pPr>
      <w:spacing w:beforeLines="100" w:afterLines="50" w:line="600" w:lineRule="exact"/>
      <w:jc w:val="both"/>
      <w:textAlignment w:val="auto"/>
    </w:pPr>
    <w:rPr>
      <w:kern w:val="2"/>
      <w:sz w:val="21"/>
    </w:rPr>
  </w:style>
  <w:style w:type="paragraph" w:customStyle="1" w:styleId="Char30">
    <w:name w:val="Char3"/>
    <w:basedOn w:val="a"/>
    <w:link w:val="CharChar10"/>
    <w:qFormat/>
    <w:pPr>
      <w:spacing w:line="240" w:lineRule="auto"/>
      <w:ind w:firstLineChars="0" w:firstLine="0"/>
      <w:jc w:val="both"/>
      <w:textAlignment w:val="auto"/>
    </w:pPr>
    <w:rPr>
      <w:kern w:val="2"/>
      <w:sz w:val="21"/>
    </w:rPr>
  </w:style>
  <w:style w:type="character" w:customStyle="1" w:styleId="CharChar10">
    <w:name w:val="Char Char1"/>
    <w:link w:val="Char30"/>
    <w:qFormat/>
    <w:rPr>
      <w:kern w:val="2"/>
      <w:sz w:val="21"/>
    </w:rPr>
  </w:style>
  <w:style w:type="paragraph" w:customStyle="1" w:styleId="Char1CharCharChar1CharCharChar">
    <w:name w:val="Char1 Char Char Char1 Char Char Char"/>
    <w:basedOn w:val="a"/>
    <w:qFormat/>
    <w:pPr>
      <w:jc w:val="both"/>
      <w:textAlignment w:val="auto"/>
    </w:pPr>
    <w:rPr>
      <w:rFonts w:ascii="宋体" w:hAnsi="宋体" w:cs="宋体"/>
      <w:kern w:val="2"/>
      <w:sz w:val="24"/>
      <w:szCs w:val="24"/>
    </w:rPr>
  </w:style>
  <w:style w:type="paragraph" w:customStyle="1" w:styleId="2b">
    <w:name w:val="样式 标题 2 + 黑体 四号 非加粗"/>
    <w:basedOn w:val="2"/>
    <w:qFormat/>
    <w:pPr>
      <w:widowControl/>
      <w:spacing w:before="156" w:after="156"/>
      <w:ind w:leftChars="100" w:left="100" w:rightChars="100" w:right="100"/>
      <w:jc w:val="left"/>
    </w:pPr>
    <w:rPr>
      <w:rFonts w:ascii="黑体" w:eastAsia="宋体" w:hAnsi="黑体"/>
      <w:b w:val="0"/>
      <w:bCs w:val="0"/>
      <w:color w:val="000000"/>
      <w:sz w:val="28"/>
    </w:rPr>
  </w:style>
  <w:style w:type="paragraph" w:customStyle="1" w:styleId="afffff1">
    <w:name w:val="段落"/>
    <w:basedOn w:val="a"/>
    <w:link w:val="Charf3"/>
    <w:qFormat/>
    <w:pPr>
      <w:widowControl/>
      <w:spacing w:line="420" w:lineRule="exact"/>
      <w:ind w:firstLine="480"/>
      <w:textAlignment w:val="auto"/>
    </w:pPr>
    <w:rPr>
      <w:rFonts w:cs="宋体"/>
      <w:kern w:val="2"/>
      <w:sz w:val="24"/>
      <w:szCs w:val="21"/>
    </w:rPr>
  </w:style>
  <w:style w:type="character" w:customStyle="1" w:styleId="Charf3">
    <w:name w:val="段落 Char"/>
    <w:link w:val="afffff1"/>
    <w:qFormat/>
    <w:locked/>
    <w:rPr>
      <w:rFonts w:cs="宋体"/>
      <w:kern w:val="2"/>
      <w:sz w:val="24"/>
      <w:szCs w:val="21"/>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
    <w:qFormat/>
    <w:pPr>
      <w:jc w:val="both"/>
      <w:textAlignment w:val="auto"/>
    </w:pPr>
    <w:rPr>
      <w:rFonts w:ascii="宋体" w:hAnsi="宋体" w:cs="宋体"/>
      <w:kern w:val="2"/>
      <w:sz w:val="24"/>
      <w:szCs w:val="24"/>
    </w:rPr>
  </w:style>
  <w:style w:type="paragraph" w:customStyle="1" w:styleId="CharCharChar1CharCharCharCharCharCharCharCharCharCharCharCharCharCharCharCharCharCharChar">
    <w:name w:val="Char Char Char1 Char Char Char Char Char Char Char Char Char Char Char Char Char Char Char Char Char Char Char"/>
    <w:basedOn w:val="a"/>
    <w:qFormat/>
    <w:pPr>
      <w:jc w:val="both"/>
      <w:textAlignment w:val="auto"/>
    </w:pPr>
    <w:rPr>
      <w:rFonts w:ascii="宋体" w:hAnsi="宋体" w:cs="宋体"/>
      <w:kern w:val="2"/>
      <w:sz w:val="24"/>
      <w:szCs w:val="24"/>
    </w:rPr>
  </w:style>
  <w:style w:type="paragraph" w:customStyle="1" w:styleId="afffff2">
    <w:name w:val="简单回函地址"/>
    <w:basedOn w:val="a"/>
    <w:qFormat/>
    <w:pPr>
      <w:spacing w:line="500" w:lineRule="exact"/>
      <w:ind w:firstLineChars="0" w:firstLine="0"/>
      <w:jc w:val="both"/>
      <w:textAlignment w:val="auto"/>
    </w:pPr>
    <w:rPr>
      <w:kern w:val="2"/>
      <w:sz w:val="21"/>
    </w:rPr>
  </w:style>
  <w:style w:type="paragraph" w:customStyle="1" w:styleId="310">
    <w:name w:val="目录 31"/>
    <w:basedOn w:val="a"/>
    <w:next w:val="a"/>
    <w:uiPriority w:val="39"/>
    <w:qFormat/>
    <w:pPr>
      <w:spacing w:line="240" w:lineRule="auto"/>
      <w:ind w:leftChars="400" w:left="840" w:firstLineChars="0" w:firstLine="0"/>
      <w:jc w:val="both"/>
      <w:textAlignment w:val="auto"/>
    </w:pPr>
    <w:rPr>
      <w:rFonts w:ascii="Calibri" w:hAnsi="Calibri"/>
      <w:kern w:val="2"/>
      <w:sz w:val="24"/>
      <w:szCs w:val="22"/>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a"/>
    <w:qFormat/>
    <w:pPr>
      <w:spacing w:line="240" w:lineRule="auto"/>
      <w:ind w:firstLineChars="0" w:firstLine="0"/>
      <w:jc w:val="both"/>
      <w:textAlignment w:val="auto"/>
    </w:pPr>
    <w:rPr>
      <w:kern w:val="2"/>
      <w:sz w:val="21"/>
      <w:szCs w:val="24"/>
    </w:rPr>
  </w:style>
  <w:style w:type="paragraph" w:customStyle="1" w:styleId="afffff3">
    <w:name w:val="表格式"/>
    <w:basedOn w:val="aff4"/>
    <w:qFormat/>
    <w:pPr>
      <w:spacing w:line="400" w:lineRule="exact"/>
      <w:ind w:left="0" w:firstLineChars="0" w:firstLine="0"/>
      <w:jc w:val="center"/>
      <w:textAlignment w:val="auto"/>
    </w:pPr>
    <w:rPr>
      <w:rFonts w:ascii="宋体"/>
      <w:kern w:val="2"/>
      <w:sz w:val="21"/>
    </w:rPr>
  </w:style>
  <w:style w:type="paragraph" w:customStyle="1" w:styleId="42">
    <w:name w:val="样式4(正文)"/>
    <w:qFormat/>
    <w:pPr>
      <w:spacing w:beforeLines="25" w:line="440" w:lineRule="exact"/>
      <w:ind w:firstLineChars="200" w:firstLine="200"/>
    </w:pPr>
    <w:rPr>
      <w:sz w:val="24"/>
    </w:rPr>
  </w:style>
  <w:style w:type="paragraph" w:customStyle="1" w:styleId="CharCharCharCharCharCharChar">
    <w:name w:val="Char Char Char Char Char Char Char"/>
    <w:basedOn w:val="a"/>
    <w:qFormat/>
    <w:pPr>
      <w:spacing w:line="240" w:lineRule="auto"/>
      <w:ind w:firstLineChars="0" w:firstLine="0"/>
      <w:jc w:val="both"/>
      <w:textAlignment w:val="auto"/>
    </w:pPr>
    <w:rPr>
      <w:kern w:val="2"/>
      <w:sz w:val="21"/>
      <w:szCs w:val="24"/>
    </w:rPr>
  </w:style>
  <w:style w:type="paragraph" w:customStyle="1" w:styleId="63">
    <w:name w:val="6表内文字 居中"/>
    <w:basedOn w:val="a"/>
    <w:qFormat/>
    <w:pPr>
      <w:adjustRightInd w:val="0"/>
      <w:spacing w:line="240" w:lineRule="atLeast"/>
      <w:ind w:firstLineChars="0" w:firstLine="0"/>
      <w:jc w:val="center"/>
      <w:textAlignment w:val="baseline"/>
    </w:pPr>
    <w:rPr>
      <w:snapToGrid w:val="0"/>
      <w:sz w:val="21"/>
    </w:rPr>
  </w:style>
  <w:style w:type="paragraph" w:customStyle="1" w:styleId="afffff4">
    <w:name w:val="流程图"/>
    <w:basedOn w:val="a"/>
    <w:qFormat/>
    <w:pPr>
      <w:tabs>
        <w:tab w:val="left" w:pos="0"/>
      </w:tabs>
      <w:autoSpaceDE w:val="0"/>
      <w:autoSpaceDN w:val="0"/>
      <w:adjustRightInd w:val="0"/>
      <w:spacing w:line="240" w:lineRule="atLeast"/>
      <w:ind w:firstLineChars="0" w:firstLine="0"/>
      <w:jc w:val="center"/>
    </w:pPr>
    <w:rPr>
      <w:rFonts w:ascii="宋体"/>
      <w:kern w:val="2"/>
      <w:sz w:val="21"/>
    </w:rPr>
  </w:style>
  <w:style w:type="paragraph" w:customStyle="1" w:styleId="dandan6-13CharCharChar">
    <w:name w:val="dandan6-13正文 Char Char Char"/>
    <w:basedOn w:val="a"/>
    <w:next w:val="a"/>
    <w:qFormat/>
    <w:pPr>
      <w:keepNext/>
      <w:keepLines/>
      <w:widowControl/>
      <w:adjustRightInd w:val="0"/>
      <w:spacing w:before="40" w:after="40"/>
      <w:jc w:val="both"/>
      <w:textAlignment w:val="baseline"/>
    </w:pPr>
    <w:rPr>
      <w:rFonts w:cs="宋体"/>
      <w:sz w:val="24"/>
      <w:szCs w:val="28"/>
    </w:rPr>
  </w:style>
  <w:style w:type="paragraph" w:customStyle="1" w:styleId="p0">
    <w:name w:val="p0"/>
    <w:basedOn w:val="a"/>
    <w:qFormat/>
    <w:pPr>
      <w:widowControl/>
      <w:snapToGrid w:val="0"/>
      <w:spacing w:line="312" w:lineRule="atLeast"/>
      <w:ind w:firstLineChars="0" w:firstLine="0"/>
      <w:jc w:val="both"/>
      <w:textAlignment w:val="auto"/>
    </w:pPr>
    <w:rPr>
      <w:sz w:val="24"/>
      <w:szCs w:val="21"/>
    </w:rPr>
  </w:style>
  <w:style w:type="paragraph" w:customStyle="1" w:styleId="2c">
    <w:name w:val="样式 首行缩进:  2 字符"/>
    <w:basedOn w:val="a"/>
    <w:qFormat/>
    <w:pPr>
      <w:autoSpaceDE w:val="0"/>
      <w:autoSpaceDN w:val="0"/>
      <w:adjustRightInd w:val="0"/>
      <w:snapToGrid w:val="0"/>
      <w:spacing w:line="520" w:lineRule="exact"/>
      <w:ind w:firstLineChars="0" w:firstLine="0"/>
      <w:jc w:val="both"/>
      <w:textAlignment w:val="auto"/>
    </w:pPr>
    <w:rPr>
      <w:rFonts w:ascii="宋体" w:hAnsi="宋体"/>
      <w:sz w:val="24"/>
      <w:szCs w:val="24"/>
    </w:rPr>
  </w:style>
  <w:style w:type="paragraph" w:customStyle="1" w:styleId="Charf4">
    <w:name w:val="Char"/>
    <w:basedOn w:val="a"/>
    <w:qFormat/>
    <w:pPr>
      <w:spacing w:beforeLines="100" w:afterLines="50" w:line="600" w:lineRule="exact"/>
      <w:jc w:val="both"/>
      <w:textAlignment w:val="auto"/>
    </w:pPr>
    <w:rPr>
      <w:kern w:val="2"/>
      <w:sz w:val="21"/>
      <w:szCs w:val="24"/>
    </w:rPr>
  </w:style>
  <w:style w:type="paragraph" w:customStyle="1" w:styleId="ParaCharCharCharCharCharCharCharCharCharChar">
    <w:name w:val="默认段落字体 Para Char Char Char Char Char Char Char Char Char Char"/>
    <w:basedOn w:val="a"/>
    <w:qFormat/>
    <w:pPr>
      <w:adjustRightInd w:val="0"/>
      <w:ind w:firstLineChars="0" w:firstLine="0"/>
      <w:jc w:val="both"/>
      <w:textAlignment w:val="auto"/>
    </w:pPr>
    <w:rPr>
      <w:sz w:val="24"/>
    </w:rPr>
  </w:style>
  <w:style w:type="paragraph" w:customStyle="1" w:styleId="18">
    <w:name w:val="样式1"/>
    <w:basedOn w:val="aff"/>
    <w:qFormat/>
    <w:pPr>
      <w:ind w:firstLineChars="0" w:firstLine="0"/>
      <w:textAlignment w:val="auto"/>
    </w:pPr>
    <w:rPr>
      <w:kern w:val="2"/>
    </w:rPr>
  </w:style>
  <w:style w:type="paragraph" w:customStyle="1" w:styleId="afffff5">
    <w:name w:val="样式 居中"/>
    <w:basedOn w:val="a"/>
    <w:qFormat/>
    <w:pPr>
      <w:spacing w:line="240" w:lineRule="auto"/>
      <w:ind w:firstLineChars="0" w:firstLine="0"/>
      <w:jc w:val="center"/>
      <w:textAlignment w:val="auto"/>
    </w:pPr>
    <w:rPr>
      <w:rFonts w:cs="宋体"/>
      <w:kern w:val="2"/>
      <w:sz w:val="21"/>
    </w:rPr>
  </w:style>
  <w:style w:type="paragraph" w:customStyle="1" w:styleId="ParaChar">
    <w:name w:val="默认段落字体 Para Char"/>
    <w:basedOn w:val="a"/>
    <w:next w:val="a"/>
    <w:qFormat/>
    <w:pPr>
      <w:jc w:val="both"/>
      <w:textAlignment w:val="auto"/>
    </w:pPr>
    <w:rPr>
      <w:rFonts w:ascii="宋体" w:hAnsi="宋体" w:cs="宋体"/>
      <w:kern w:val="2"/>
      <w:sz w:val="24"/>
      <w:szCs w:val="24"/>
    </w:rPr>
  </w:style>
  <w:style w:type="paragraph" w:customStyle="1" w:styleId="53">
    <w:name w:val="5正文"/>
    <w:qFormat/>
    <w:pPr>
      <w:widowControl w:val="0"/>
      <w:spacing w:line="520" w:lineRule="exact"/>
      <w:ind w:firstLineChars="200" w:firstLine="200"/>
      <w:jc w:val="both"/>
    </w:pPr>
    <w:rPr>
      <w:kern w:val="2"/>
      <w:sz w:val="24"/>
      <w:szCs w:val="22"/>
    </w:rPr>
  </w:style>
  <w:style w:type="paragraph" w:customStyle="1" w:styleId="afffff6">
    <w:name w:val="报告表正文"/>
    <w:basedOn w:val="a"/>
    <w:qFormat/>
    <w:pPr>
      <w:adjustRightInd w:val="0"/>
      <w:spacing w:line="312" w:lineRule="auto"/>
      <w:ind w:left="113" w:right="113" w:firstLineChars="0" w:firstLine="482"/>
      <w:textAlignment w:val="baseline"/>
    </w:pPr>
    <w:rPr>
      <w:sz w:val="24"/>
    </w:rPr>
  </w:style>
  <w:style w:type="paragraph" w:customStyle="1" w:styleId="2d">
    <w:name w:val="样式2"/>
    <w:basedOn w:val="aff"/>
    <w:link w:val="2Char0"/>
    <w:qFormat/>
    <w:pPr>
      <w:pBdr>
        <w:bottom w:val="thinThickSmallGap" w:sz="12" w:space="1" w:color="auto"/>
      </w:pBdr>
      <w:ind w:firstLineChars="0" w:firstLine="0"/>
      <w:jc w:val="left"/>
      <w:textAlignment w:val="auto"/>
    </w:pPr>
    <w:rPr>
      <w:rFonts w:ascii="宋体" w:hAnsi="宋体"/>
      <w:kern w:val="2"/>
    </w:rPr>
  </w:style>
  <w:style w:type="character" w:customStyle="1" w:styleId="2Char0">
    <w:name w:val="样式2 Char"/>
    <w:link w:val="2d"/>
    <w:qFormat/>
    <w:locked/>
    <w:rPr>
      <w:rFonts w:ascii="宋体" w:hAnsi="宋体"/>
      <w:kern w:val="2"/>
      <w:sz w:val="18"/>
      <w:szCs w:val="18"/>
    </w:rPr>
  </w:style>
  <w:style w:type="paragraph" w:customStyle="1" w:styleId="afffff7">
    <w:name w:val="二级无标题条"/>
    <w:basedOn w:val="a"/>
    <w:qFormat/>
    <w:pPr>
      <w:spacing w:line="500" w:lineRule="exact"/>
      <w:ind w:firstLineChars="0" w:firstLine="0"/>
      <w:jc w:val="both"/>
      <w:textAlignment w:val="auto"/>
    </w:pPr>
    <w:rPr>
      <w:kern w:val="2"/>
      <w:sz w:val="21"/>
      <w:szCs w:val="24"/>
    </w:rPr>
  </w:style>
  <w:style w:type="paragraph" w:customStyle="1" w:styleId="CharCharCharCharCharCharCharCharCharCharCharCharCharCharCharCharCharChar">
    <w:name w:val="Char Char Char Char Char Char Char Char Char Char Char Char Char Char Char Char Char Char"/>
    <w:basedOn w:val="a"/>
    <w:semiHidden/>
    <w:qFormat/>
    <w:pPr>
      <w:spacing w:line="500" w:lineRule="exact"/>
      <w:ind w:firstLineChars="0" w:firstLine="0"/>
      <w:jc w:val="both"/>
      <w:textAlignment w:val="auto"/>
    </w:pPr>
    <w:rPr>
      <w:kern w:val="2"/>
      <w:sz w:val="21"/>
      <w:szCs w:val="21"/>
    </w:rPr>
  </w:style>
  <w:style w:type="paragraph" w:customStyle="1" w:styleId="Char1CharCharChar">
    <w:name w:val="Char1 Char Char Char"/>
    <w:basedOn w:val="a"/>
    <w:qFormat/>
    <w:pPr>
      <w:spacing w:beforeLines="100" w:afterLines="50" w:line="600" w:lineRule="exact"/>
      <w:jc w:val="both"/>
      <w:textAlignment w:val="auto"/>
    </w:pPr>
    <w:rPr>
      <w:kern w:val="2"/>
      <w:sz w:val="21"/>
      <w:szCs w:val="24"/>
    </w:rPr>
  </w:style>
  <w:style w:type="paragraph" w:customStyle="1" w:styleId="afffff8">
    <w:name w:val="我的正文"/>
    <w:basedOn w:val="a"/>
    <w:link w:val="Charf5"/>
    <w:qFormat/>
    <w:pPr>
      <w:spacing w:line="460" w:lineRule="atLeast"/>
      <w:ind w:firstLineChars="0" w:firstLine="482"/>
      <w:jc w:val="both"/>
      <w:textAlignment w:val="auto"/>
    </w:pPr>
    <w:rPr>
      <w:kern w:val="2"/>
      <w:sz w:val="24"/>
      <w:szCs w:val="24"/>
    </w:rPr>
  </w:style>
  <w:style w:type="character" w:customStyle="1" w:styleId="Charf5">
    <w:name w:val="我的正文 Char"/>
    <w:link w:val="afffff8"/>
    <w:qFormat/>
    <w:locked/>
    <w:rPr>
      <w:kern w:val="2"/>
      <w:sz w:val="24"/>
      <w:szCs w:val="24"/>
    </w:rPr>
  </w:style>
  <w:style w:type="paragraph" w:customStyle="1" w:styleId="CharCharChar1CharCharCharCharCharCharCharCharCharCharCharChar2CharCharCharCharChar">
    <w:name w:val="Char Char Char1 Char Char Char Char Char Char Char Char Char Char Char Char2 Char Char Char Char Char"/>
    <w:basedOn w:val="a"/>
    <w:qFormat/>
    <w:pPr>
      <w:widowControl/>
      <w:textAlignment w:val="auto"/>
    </w:pPr>
    <w:rPr>
      <w:rFonts w:cs="宋体"/>
      <w:kern w:val="2"/>
      <w:sz w:val="24"/>
      <w:szCs w:val="21"/>
    </w:rPr>
  </w:style>
  <w:style w:type="paragraph" w:customStyle="1" w:styleId="19">
    <w:name w:val="表格1"/>
    <w:basedOn w:val="af6"/>
    <w:qFormat/>
    <w:pPr>
      <w:adjustRightInd w:val="0"/>
      <w:snapToGrid w:val="0"/>
      <w:spacing w:after="0" w:line="360" w:lineRule="exact"/>
      <w:ind w:leftChars="0" w:left="0" w:rightChars="0" w:right="0" w:firstLineChars="0" w:firstLine="0"/>
      <w:jc w:val="center"/>
      <w:textAlignment w:val="auto"/>
    </w:pPr>
    <w:rPr>
      <w:rFonts w:eastAsia="黑体"/>
      <w:sz w:val="24"/>
      <w:szCs w:val="28"/>
    </w:rPr>
  </w:style>
  <w:style w:type="paragraph" w:customStyle="1" w:styleId="CharCharCharCharCharCharChar1">
    <w:name w:val="Char Char Char Char Char Char Char1"/>
    <w:basedOn w:val="a"/>
    <w:qFormat/>
    <w:pPr>
      <w:spacing w:line="240" w:lineRule="auto"/>
      <w:ind w:firstLineChars="0" w:firstLine="0"/>
      <w:jc w:val="both"/>
      <w:textAlignment w:val="auto"/>
    </w:pPr>
    <w:rPr>
      <w:kern w:val="2"/>
      <w:sz w:val="21"/>
      <w:szCs w:val="21"/>
    </w:rPr>
  </w:style>
  <w:style w:type="paragraph" w:customStyle="1" w:styleId="afffff9">
    <w:name w:val="表内"/>
    <w:basedOn w:val="a"/>
    <w:qFormat/>
    <w:pPr>
      <w:spacing w:line="500" w:lineRule="exact"/>
      <w:ind w:firstLineChars="0" w:firstLine="0"/>
      <w:jc w:val="center"/>
      <w:textAlignment w:val="auto"/>
    </w:pPr>
    <w:rPr>
      <w:kern w:val="2"/>
      <w:sz w:val="21"/>
      <w:szCs w:val="24"/>
    </w:rPr>
  </w:style>
  <w:style w:type="paragraph" w:customStyle="1" w:styleId="afffffa">
    <w:name w:val="正文正"/>
    <w:basedOn w:val="a"/>
    <w:link w:val="Charf6"/>
    <w:qFormat/>
    <w:pPr>
      <w:spacing w:line="500" w:lineRule="exact"/>
      <w:ind w:firstLine="560"/>
      <w:jc w:val="both"/>
      <w:textAlignment w:val="auto"/>
    </w:pPr>
    <w:rPr>
      <w:kern w:val="2"/>
      <w:szCs w:val="24"/>
    </w:rPr>
  </w:style>
  <w:style w:type="character" w:customStyle="1" w:styleId="Charf6">
    <w:name w:val="正文正 Char"/>
    <w:link w:val="afffffa"/>
    <w:qFormat/>
    <w:locked/>
    <w:rPr>
      <w:kern w:val="2"/>
      <w:sz w:val="28"/>
      <w:szCs w:val="24"/>
    </w:rPr>
  </w:style>
  <w:style w:type="paragraph" w:customStyle="1" w:styleId="afffffb">
    <w:name w:val="小四表文左齐"/>
    <w:basedOn w:val="a"/>
    <w:qFormat/>
    <w:pPr>
      <w:widowControl/>
      <w:tabs>
        <w:tab w:val="left" w:pos="4500"/>
      </w:tabs>
      <w:spacing w:line="240" w:lineRule="auto"/>
      <w:ind w:firstLineChars="0" w:firstLine="0"/>
      <w:jc w:val="center"/>
      <w:textAlignment w:val="auto"/>
    </w:pPr>
    <w:rPr>
      <w:rFonts w:hAnsi="宋体"/>
      <w:sz w:val="21"/>
      <w:szCs w:val="21"/>
    </w:rPr>
  </w:style>
  <w:style w:type="paragraph" w:customStyle="1" w:styleId="233">
    <w:name w:val="正文233"/>
    <w:basedOn w:val="a"/>
    <w:qFormat/>
    <w:pPr>
      <w:widowControl/>
      <w:autoSpaceDE w:val="0"/>
      <w:autoSpaceDN w:val="0"/>
      <w:adjustRightInd w:val="0"/>
      <w:snapToGrid w:val="0"/>
      <w:spacing w:line="480" w:lineRule="exact"/>
      <w:jc w:val="both"/>
      <w:textAlignment w:val="auto"/>
    </w:pPr>
    <w:rPr>
      <w:rFonts w:cs="宋体"/>
      <w:sz w:val="24"/>
    </w:rPr>
  </w:style>
  <w:style w:type="paragraph" w:customStyle="1" w:styleId="xl26">
    <w:name w:val="xl26"/>
    <w:basedOn w:val="a"/>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auto"/>
    </w:pPr>
    <w:rPr>
      <w:rFonts w:ascii="Arial Unicode MS" w:eastAsia="Arial Unicode MS" w:hAnsi="Arial Unicode MS" w:cs="Arial Unicode MS"/>
      <w:sz w:val="18"/>
      <w:szCs w:val="18"/>
    </w:rPr>
  </w:style>
  <w:style w:type="paragraph" w:customStyle="1" w:styleId="pictext">
    <w:name w:val="pictext"/>
    <w:basedOn w:val="a"/>
    <w:qFormat/>
    <w:pPr>
      <w:widowControl/>
      <w:spacing w:before="100" w:beforeAutospacing="1" w:after="100" w:afterAutospacing="1" w:line="240" w:lineRule="auto"/>
      <w:ind w:firstLineChars="0" w:firstLine="0"/>
      <w:textAlignment w:val="auto"/>
    </w:pPr>
    <w:rPr>
      <w:rFonts w:ascii="宋体" w:hAnsi="宋体" w:cs="宋体"/>
      <w:sz w:val="24"/>
      <w:szCs w:val="24"/>
    </w:rPr>
  </w:style>
  <w:style w:type="paragraph" w:customStyle="1" w:styleId="1a">
    <w:name w:val="修订1"/>
    <w:qFormat/>
    <w:rPr>
      <w:kern w:val="2"/>
      <w:sz w:val="21"/>
      <w:szCs w:val="24"/>
    </w:rPr>
  </w:style>
  <w:style w:type="paragraph" w:customStyle="1" w:styleId="CharCharChar1">
    <w:name w:val="正文 Char Char Char"/>
    <w:basedOn w:val="a"/>
    <w:qFormat/>
    <w:pPr>
      <w:spacing w:line="520" w:lineRule="exact"/>
      <w:jc w:val="both"/>
      <w:textAlignment w:val="auto"/>
    </w:pPr>
    <w:rPr>
      <w:kern w:val="2"/>
      <w:sz w:val="24"/>
    </w:rPr>
  </w:style>
  <w:style w:type="paragraph" w:customStyle="1" w:styleId="afffffc">
    <w:name w:val="表"/>
    <w:basedOn w:val="a"/>
    <w:qFormat/>
    <w:pPr>
      <w:spacing w:line="320" w:lineRule="exact"/>
      <w:ind w:firstLineChars="0" w:firstLine="0"/>
      <w:textAlignment w:val="auto"/>
    </w:pPr>
    <w:rPr>
      <w:sz w:val="21"/>
    </w:rPr>
  </w:style>
  <w:style w:type="paragraph" w:customStyle="1" w:styleId="Char20">
    <w:name w:val="Char2"/>
    <w:basedOn w:val="a"/>
    <w:qFormat/>
    <w:pPr>
      <w:spacing w:beforeLines="100" w:afterLines="50" w:line="600" w:lineRule="exact"/>
      <w:jc w:val="both"/>
      <w:textAlignment w:val="auto"/>
    </w:pPr>
    <w:rPr>
      <w:kern w:val="2"/>
      <w:sz w:val="21"/>
      <w:szCs w:val="24"/>
    </w:rPr>
  </w:style>
  <w:style w:type="paragraph" w:styleId="afffffd">
    <w:name w:val="List Paragraph"/>
    <w:basedOn w:val="a"/>
    <w:qFormat/>
    <w:pPr>
      <w:spacing w:line="240" w:lineRule="auto"/>
      <w:ind w:firstLine="420"/>
      <w:jc w:val="both"/>
      <w:textAlignment w:val="auto"/>
    </w:pPr>
    <w:rPr>
      <w:kern w:val="2"/>
    </w:rPr>
  </w:style>
  <w:style w:type="paragraph" w:customStyle="1" w:styleId="reader-word-layer">
    <w:name w:val="reader-word-layer"/>
    <w:basedOn w:val="a"/>
    <w:qFormat/>
    <w:pPr>
      <w:widowControl/>
      <w:spacing w:before="100" w:beforeAutospacing="1" w:after="100" w:afterAutospacing="1" w:line="240" w:lineRule="auto"/>
      <w:ind w:firstLineChars="0" w:firstLine="0"/>
      <w:textAlignment w:val="auto"/>
    </w:pPr>
    <w:rPr>
      <w:rFonts w:ascii="宋体" w:hAnsi="宋体" w:cs="宋体"/>
      <w:sz w:val="24"/>
      <w:szCs w:val="24"/>
    </w:rPr>
  </w:style>
  <w:style w:type="paragraph" w:customStyle="1" w:styleId="100">
    <w:name w:val="样式 标题 1 + 加粗 首行缩进:  0 厘米"/>
    <w:basedOn w:val="1"/>
    <w:qFormat/>
    <w:pPr>
      <w:widowControl/>
      <w:adjustRightInd w:val="0"/>
      <w:snapToGrid w:val="0"/>
      <w:spacing w:before="360" w:after="360" w:line="480" w:lineRule="atLeast"/>
    </w:pPr>
    <w:rPr>
      <w:rFonts w:ascii="Times New Roman" w:cs="宋体"/>
      <w:sz w:val="32"/>
      <w:szCs w:val="36"/>
    </w:rPr>
  </w:style>
  <w:style w:type="paragraph" w:customStyle="1" w:styleId="CharChar60">
    <w:name w:val="Char Char6"/>
    <w:basedOn w:val="a"/>
    <w:qFormat/>
    <w:pPr>
      <w:spacing w:beforeLines="100" w:afterLines="50" w:line="600" w:lineRule="exact"/>
      <w:jc w:val="both"/>
      <w:textAlignment w:val="auto"/>
    </w:pPr>
    <w:rPr>
      <w:kern w:val="2"/>
      <w:sz w:val="21"/>
      <w:szCs w:val="24"/>
    </w:rPr>
  </w:style>
  <w:style w:type="paragraph" w:customStyle="1" w:styleId="afffffe">
    <w:name w:val="表格正文"/>
    <w:basedOn w:val="a"/>
    <w:qFormat/>
    <w:pPr>
      <w:spacing w:line="360" w:lineRule="exact"/>
      <w:ind w:firstLineChars="0" w:firstLine="0"/>
      <w:jc w:val="center"/>
      <w:textAlignment w:val="auto"/>
    </w:pPr>
    <w:rPr>
      <w:rFonts w:ascii="Arial" w:hAnsi="Arial"/>
      <w:kern w:val="2"/>
      <w:sz w:val="21"/>
      <w:szCs w:val="24"/>
    </w:rPr>
  </w:style>
  <w:style w:type="paragraph" w:customStyle="1" w:styleId="2e">
    <w:name w:val="2"/>
    <w:basedOn w:val="a"/>
    <w:next w:val="34"/>
    <w:qFormat/>
    <w:pPr>
      <w:spacing w:line="240" w:lineRule="auto"/>
      <w:ind w:firstLine="527"/>
      <w:jc w:val="both"/>
      <w:textAlignment w:val="auto"/>
    </w:pPr>
    <w:rPr>
      <w:rFonts w:ascii="宋体"/>
      <w:spacing w:val="5"/>
      <w:kern w:val="2"/>
      <w:sz w:val="25"/>
      <w:szCs w:val="25"/>
    </w:rPr>
  </w:style>
  <w:style w:type="paragraph" w:customStyle="1" w:styleId="43">
    <w:name w:val="标题4"/>
    <w:basedOn w:val="a"/>
    <w:next w:val="a"/>
    <w:qFormat/>
    <w:pPr>
      <w:spacing w:line="520" w:lineRule="exact"/>
      <w:ind w:firstLineChars="0" w:firstLine="0"/>
      <w:jc w:val="both"/>
      <w:textAlignment w:val="auto"/>
    </w:pPr>
    <w:rPr>
      <w:color w:val="000000"/>
      <w:kern w:val="2"/>
      <w:szCs w:val="24"/>
    </w:rPr>
  </w:style>
  <w:style w:type="paragraph" w:customStyle="1" w:styleId="4CharChar">
    <w:name w:val="4 Char Char"/>
    <w:basedOn w:val="a"/>
    <w:qFormat/>
    <w:pPr>
      <w:autoSpaceDE w:val="0"/>
      <w:autoSpaceDN w:val="0"/>
      <w:adjustRightInd w:val="0"/>
      <w:snapToGrid w:val="0"/>
      <w:ind w:firstLineChars="0" w:firstLine="567"/>
      <w:textAlignment w:val="auto"/>
    </w:pPr>
    <w:rPr>
      <w:kern w:val="2"/>
      <w:szCs w:val="24"/>
    </w:rPr>
  </w:style>
  <w:style w:type="paragraph" w:customStyle="1" w:styleId="affffff">
    <w:name w:val="图号"/>
    <w:basedOn w:val="a"/>
    <w:next w:val="a"/>
    <w:qFormat/>
    <w:pPr>
      <w:spacing w:line="240" w:lineRule="auto"/>
      <w:ind w:firstLineChars="0" w:firstLine="288"/>
      <w:jc w:val="center"/>
      <w:textAlignment w:val="auto"/>
    </w:pPr>
    <w:rPr>
      <w:b/>
      <w:kern w:val="2"/>
      <w:sz w:val="24"/>
      <w:szCs w:val="24"/>
    </w:rPr>
  </w:style>
  <w:style w:type="paragraph" w:customStyle="1" w:styleId="1b">
    <w:name w:val="样式 正文 +1"/>
    <w:basedOn w:val="a"/>
    <w:qFormat/>
    <w:pPr>
      <w:widowControl/>
      <w:textAlignment w:val="auto"/>
    </w:pPr>
    <w:rPr>
      <w:rFonts w:cs="宋体"/>
      <w:sz w:val="24"/>
    </w:rPr>
  </w:style>
  <w:style w:type="paragraph" w:customStyle="1" w:styleId="CharChar1CharCharCharCharCharCharCharCharCharCharCharCharCharCharCharCharCharCharCharChar1Char1">
    <w:name w:val="Char Char1 Char Char Char Char Char Char Char Char Char Char Char Char Char Char Char Char Char Char Char Char1 Char1"/>
    <w:basedOn w:val="a"/>
    <w:qFormat/>
    <w:pPr>
      <w:jc w:val="both"/>
      <w:textAlignment w:val="auto"/>
    </w:pPr>
    <w:rPr>
      <w:rFonts w:ascii="宋体" w:hAnsi="宋体" w:cs="宋体"/>
      <w:kern w:val="2"/>
      <w:sz w:val="24"/>
      <w:szCs w:val="24"/>
    </w:rPr>
  </w:style>
  <w:style w:type="paragraph" w:customStyle="1" w:styleId="Default">
    <w:name w:val="Default"/>
    <w:qFormat/>
    <w:pPr>
      <w:widowControl w:val="0"/>
      <w:autoSpaceDE w:val="0"/>
      <w:autoSpaceDN w:val="0"/>
      <w:adjustRightInd w:val="0"/>
    </w:pPr>
    <w:rPr>
      <w:rFonts w:ascii="宋体" w:hAnsi="等线" w:cs="宋体"/>
      <w:color w:val="000000"/>
      <w:sz w:val="24"/>
      <w:szCs w:val="24"/>
    </w:rPr>
  </w:style>
  <w:style w:type="paragraph" w:customStyle="1" w:styleId="CharCharCharChar">
    <w:name w:val="Char Char Char Char"/>
    <w:basedOn w:val="a"/>
    <w:qFormat/>
    <w:pPr>
      <w:snapToGrid w:val="0"/>
      <w:jc w:val="both"/>
      <w:textAlignment w:val="auto"/>
    </w:pPr>
    <w:rPr>
      <w:rFonts w:eastAsia="仿宋_GB2312"/>
      <w:kern w:val="2"/>
      <w:sz w:val="24"/>
      <w:szCs w:val="24"/>
    </w:rPr>
  </w:style>
  <w:style w:type="paragraph" w:customStyle="1" w:styleId="ParaCharCharCharChar">
    <w:name w:val="默认段落字体 Para Char Char Char Char"/>
    <w:basedOn w:val="a"/>
    <w:qFormat/>
    <w:pPr>
      <w:spacing w:beforeLines="100" w:afterLines="50" w:line="600" w:lineRule="exact"/>
      <w:jc w:val="both"/>
      <w:textAlignment w:val="auto"/>
    </w:pPr>
    <w:rPr>
      <w:rFonts w:eastAsia="黑体"/>
      <w:kern w:val="2"/>
      <w:szCs w:val="24"/>
    </w:rPr>
  </w:style>
  <w:style w:type="paragraph" w:customStyle="1" w:styleId="affffff0">
    <w:name w:val="五级条标题"/>
    <w:basedOn w:val="a"/>
    <w:qFormat/>
    <w:pPr>
      <w:tabs>
        <w:tab w:val="left" w:pos="1296"/>
        <w:tab w:val="left" w:pos="2940"/>
      </w:tabs>
      <w:spacing w:line="240" w:lineRule="auto"/>
      <w:ind w:left="2940" w:firstLineChars="0" w:hanging="420"/>
      <w:jc w:val="both"/>
      <w:textAlignment w:val="auto"/>
    </w:pPr>
    <w:rPr>
      <w:kern w:val="2"/>
      <w:sz w:val="21"/>
      <w:szCs w:val="24"/>
    </w:rPr>
  </w:style>
  <w:style w:type="paragraph" w:customStyle="1" w:styleId="Char1CharCharChar1">
    <w:name w:val="Char1 Char Char Char1"/>
    <w:basedOn w:val="a"/>
    <w:qFormat/>
    <w:pPr>
      <w:spacing w:beforeLines="100" w:afterLines="50" w:line="600" w:lineRule="exact"/>
      <w:jc w:val="both"/>
      <w:textAlignment w:val="auto"/>
    </w:pPr>
    <w:rPr>
      <w:kern w:val="2"/>
      <w:sz w:val="21"/>
      <w:szCs w:val="24"/>
    </w:rPr>
  </w:style>
  <w:style w:type="paragraph" w:customStyle="1" w:styleId="CharCharChar3Char">
    <w:name w:val="Char Char Char3 Char"/>
    <w:basedOn w:val="a"/>
    <w:qFormat/>
    <w:pPr>
      <w:jc w:val="both"/>
      <w:textAlignment w:val="auto"/>
    </w:pPr>
    <w:rPr>
      <w:rFonts w:ascii="宋体" w:hAnsi="宋体" w:cs="宋体"/>
      <w:kern w:val="2"/>
      <w:sz w:val="24"/>
      <w:szCs w:val="24"/>
    </w:rPr>
  </w:style>
  <w:style w:type="paragraph" w:customStyle="1" w:styleId="1c">
    <w:name w:val="1"/>
    <w:basedOn w:val="a"/>
    <w:next w:val="af2"/>
    <w:qFormat/>
    <w:pPr>
      <w:spacing w:after="120" w:line="240" w:lineRule="auto"/>
      <w:ind w:firstLineChars="0" w:firstLine="0"/>
      <w:jc w:val="both"/>
      <w:textAlignment w:val="auto"/>
    </w:pPr>
    <w:rPr>
      <w:kern w:val="2"/>
      <w:sz w:val="21"/>
      <w:szCs w:val="24"/>
    </w:rPr>
  </w:style>
  <w:style w:type="paragraph" w:customStyle="1" w:styleId="1d">
    <w:name w:val="正文1"/>
    <w:qFormat/>
    <w:pPr>
      <w:widowControl w:val="0"/>
      <w:adjustRightInd w:val="0"/>
      <w:spacing w:line="312" w:lineRule="atLeast"/>
      <w:jc w:val="both"/>
      <w:textAlignment w:val="baseline"/>
    </w:pPr>
    <w:rPr>
      <w:rFonts w:ascii="Arial" w:eastAsia="楷体_GB2312"/>
      <w:spacing w:val="-6"/>
      <w:sz w:val="28"/>
    </w:rPr>
  </w:style>
  <w:style w:type="paragraph" w:customStyle="1" w:styleId="CharCharCharCharCharChar">
    <w:name w:val="Char Char Char Char Char Char"/>
    <w:basedOn w:val="a"/>
    <w:qFormat/>
    <w:pPr>
      <w:spacing w:line="500" w:lineRule="exact"/>
      <w:ind w:firstLineChars="0" w:firstLine="0"/>
      <w:jc w:val="both"/>
      <w:textAlignment w:val="auto"/>
    </w:pPr>
    <w:rPr>
      <w:kern w:val="2"/>
      <w:sz w:val="24"/>
      <w:szCs w:val="24"/>
    </w:rPr>
  </w:style>
  <w:style w:type="paragraph" w:customStyle="1" w:styleId="CharCharCharChar1">
    <w:name w:val="Char Char Char Char1"/>
    <w:basedOn w:val="a"/>
    <w:qFormat/>
    <w:pPr>
      <w:snapToGrid w:val="0"/>
      <w:jc w:val="both"/>
      <w:textAlignment w:val="auto"/>
    </w:pPr>
    <w:rPr>
      <w:rFonts w:eastAsia="仿宋_GB2312"/>
      <w:kern w:val="2"/>
      <w:sz w:val="24"/>
      <w:szCs w:val="24"/>
    </w:rPr>
  </w:style>
  <w:style w:type="paragraph" w:customStyle="1" w:styleId="CharChar6CharChar">
    <w:name w:val="Char Char6 Char Char"/>
    <w:basedOn w:val="a"/>
    <w:qFormat/>
    <w:pPr>
      <w:spacing w:beforeLines="100" w:afterLines="50" w:line="600" w:lineRule="exact"/>
      <w:jc w:val="both"/>
      <w:textAlignment w:val="auto"/>
    </w:pPr>
    <w:rPr>
      <w:kern w:val="2"/>
      <w:sz w:val="21"/>
      <w:szCs w:val="24"/>
    </w:rPr>
  </w:style>
  <w:style w:type="paragraph" w:customStyle="1" w:styleId="xl24">
    <w:name w:val="xl2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auto"/>
    </w:pPr>
    <w:rPr>
      <w:rFonts w:ascii="Arial Unicode MS" w:eastAsia="Arial Unicode MS" w:hAnsi="Arial Unicode MS" w:cs="Arial Unicode MS"/>
      <w:sz w:val="18"/>
      <w:szCs w:val="18"/>
    </w:rPr>
  </w:style>
  <w:style w:type="paragraph" w:customStyle="1" w:styleId="425">
    <w:name w:val="宋小4+25"/>
    <w:basedOn w:val="a"/>
    <w:qFormat/>
    <w:pPr>
      <w:adjustRightInd w:val="0"/>
      <w:snapToGrid w:val="0"/>
      <w:spacing w:line="500" w:lineRule="exact"/>
      <w:textAlignment w:val="auto"/>
    </w:pPr>
    <w:rPr>
      <w:kern w:val="2"/>
      <w:sz w:val="24"/>
      <w:szCs w:val="24"/>
    </w:rPr>
  </w:style>
  <w:style w:type="paragraph" w:customStyle="1" w:styleId="CharCharCharCharCharCharCharCharCharCharCharCharCharCharCharCharCharCharChar">
    <w:name w:val="Char Char Char Char Char Char Char Char Char Char Char Char Char Char Char Char Char Char Char"/>
    <w:basedOn w:val="a"/>
    <w:qFormat/>
    <w:pPr>
      <w:spacing w:line="240" w:lineRule="auto"/>
      <w:ind w:firstLineChars="0" w:firstLine="0"/>
      <w:jc w:val="both"/>
      <w:textAlignment w:val="auto"/>
    </w:pPr>
    <w:rPr>
      <w:kern w:val="2"/>
      <w:sz w:val="24"/>
      <w:szCs w:val="24"/>
    </w:rPr>
  </w:style>
  <w:style w:type="paragraph" w:customStyle="1" w:styleId="3CharCharCharChar">
    <w:name w:val="标题3 Char Char Char Char"/>
    <w:basedOn w:val="a"/>
    <w:qFormat/>
    <w:pPr>
      <w:spacing w:afterLines="50" w:line="560" w:lineRule="exact"/>
      <w:ind w:firstLineChars="0" w:firstLine="0"/>
      <w:jc w:val="both"/>
      <w:textAlignment w:val="auto"/>
    </w:pPr>
    <w:rPr>
      <w:rFonts w:eastAsia="黑体"/>
      <w:kern w:val="2"/>
      <w:sz w:val="30"/>
      <w:szCs w:val="30"/>
    </w:rPr>
  </w:style>
  <w:style w:type="paragraph" w:customStyle="1" w:styleId="p17">
    <w:name w:val="p17"/>
    <w:basedOn w:val="a"/>
    <w:qFormat/>
    <w:pPr>
      <w:widowControl/>
      <w:spacing w:line="420" w:lineRule="atLeast"/>
      <w:ind w:firstLineChars="0" w:firstLine="420"/>
      <w:jc w:val="both"/>
      <w:textAlignment w:val="auto"/>
    </w:pPr>
    <w:rPr>
      <w:rFonts w:ascii="宋体" w:hAnsi="宋体" w:cs="宋体"/>
      <w:kern w:val="2"/>
      <w:sz w:val="24"/>
      <w:szCs w:val="24"/>
    </w:rPr>
  </w:style>
  <w:style w:type="paragraph" w:customStyle="1" w:styleId="628">
    <w:name w:val="样式 黑体 小四 段后: 6 磅 行距: 固定值 28 磅"/>
    <w:basedOn w:val="a"/>
    <w:qFormat/>
    <w:pPr>
      <w:spacing w:after="120" w:line="560" w:lineRule="exact"/>
      <w:ind w:firstLine="480"/>
      <w:jc w:val="both"/>
      <w:textAlignment w:val="auto"/>
    </w:pPr>
    <w:rPr>
      <w:rFonts w:ascii="黑体" w:eastAsia="黑体" w:cs="宋体"/>
      <w:kern w:val="2"/>
      <w:sz w:val="24"/>
    </w:rPr>
  </w:style>
  <w:style w:type="paragraph" w:customStyle="1" w:styleId="Char120">
    <w:name w:val="Char12"/>
    <w:basedOn w:val="a"/>
    <w:qFormat/>
    <w:pPr>
      <w:adjustRightInd w:val="0"/>
      <w:spacing w:line="360" w:lineRule="atLeast"/>
      <w:ind w:firstLineChars="0" w:firstLine="0"/>
      <w:jc w:val="both"/>
      <w:textAlignment w:val="auto"/>
    </w:pPr>
    <w:rPr>
      <w:rFonts w:eastAsia="黑体"/>
      <w:b/>
      <w:kern w:val="28"/>
    </w:rPr>
  </w:style>
  <w:style w:type="paragraph" w:customStyle="1" w:styleId="affffff1">
    <w:name w:val="正"/>
    <w:basedOn w:val="a"/>
    <w:link w:val="Charf7"/>
    <w:qFormat/>
    <w:pPr>
      <w:spacing w:line="240" w:lineRule="auto"/>
      <w:ind w:firstLineChars="0" w:firstLine="0"/>
      <w:jc w:val="both"/>
      <w:textAlignment w:val="auto"/>
    </w:pPr>
    <w:rPr>
      <w:rFonts w:ascii="Calibri" w:eastAsia="Times New Roman" w:hAnsi="Calibri"/>
      <w:kern w:val="2"/>
      <w:sz w:val="24"/>
    </w:rPr>
  </w:style>
  <w:style w:type="character" w:customStyle="1" w:styleId="Charf7">
    <w:name w:val="正 Char"/>
    <w:link w:val="affffff1"/>
    <w:qFormat/>
    <w:locked/>
    <w:rPr>
      <w:rFonts w:ascii="Calibri" w:eastAsia="Times New Roman" w:hAnsi="Calibri"/>
      <w:kern w:val="2"/>
      <w:sz w:val="24"/>
    </w:rPr>
  </w:style>
  <w:style w:type="paragraph" w:customStyle="1" w:styleId="xl31">
    <w:name w:val="xl31"/>
    <w:basedOn w:val="a"/>
    <w:qFormat/>
    <w:pPr>
      <w:widowControl/>
      <w:spacing w:before="100" w:beforeAutospacing="1" w:after="100" w:afterAutospacing="1" w:line="240" w:lineRule="auto"/>
      <w:ind w:firstLineChars="0" w:firstLine="0"/>
      <w:jc w:val="center"/>
      <w:textAlignment w:val="center"/>
    </w:pPr>
    <w:rPr>
      <w:rFonts w:ascii="Arial Unicode MS" w:eastAsia="Arial Unicode MS" w:hAnsi="Arial Unicode MS"/>
      <w:sz w:val="24"/>
      <w:szCs w:val="24"/>
    </w:rPr>
  </w:style>
  <w:style w:type="paragraph" w:customStyle="1" w:styleId="affffff2">
    <w:name w:val="表头图表"/>
    <w:qFormat/>
    <w:pPr>
      <w:widowControl w:val="0"/>
      <w:autoSpaceDE w:val="0"/>
      <w:autoSpaceDN w:val="0"/>
      <w:adjustRightInd w:val="0"/>
      <w:snapToGrid w:val="0"/>
      <w:spacing w:line="240" w:lineRule="atLeast"/>
      <w:jc w:val="center"/>
    </w:pPr>
    <w:rPr>
      <w:rFonts w:cs="宋体"/>
      <w:b/>
      <w:color w:val="000000"/>
      <w:sz w:val="24"/>
      <w:szCs w:val="24"/>
    </w:rPr>
  </w:style>
  <w:style w:type="paragraph" w:customStyle="1" w:styleId="36">
    <w:name w:val="样式3"/>
    <w:basedOn w:val="2"/>
    <w:qFormat/>
    <w:pPr>
      <w:widowControl/>
      <w:pBdr>
        <w:top w:val="none" w:sz="0" w:space="1" w:color="auto"/>
        <w:left w:val="none" w:sz="0" w:space="4" w:color="auto"/>
        <w:bottom w:val="thickThinMediumGap" w:sz="12" w:space="1" w:color="auto"/>
        <w:right w:val="none" w:sz="0" w:space="4" w:color="auto"/>
      </w:pBdr>
      <w:spacing w:line="413" w:lineRule="auto"/>
    </w:pPr>
    <w:rPr>
      <w:rFonts w:ascii="Times New Roman" w:eastAsia="宋体" w:hAnsi="Times New Roman"/>
      <w:bCs w:val="0"/>
      <w:color w:val="000000"/>
      <w:szCs w:val="20"/>
    </w:rPr>
  </w:style>
  <w:style w:type="paragraph" w:customStyle="1" w:styleId="CharCharChar1CharCharCharCharCharCharCharCharCharCharCharCharCharCharCharCharCharCharChar1">
    <w:name w:val="Char Char Char1 Char Char Char Char Char Char Char Char Char Char Char Char Char Char Char Char Char Char Char1"/>
    <w:basedOn w:val="a"/>
    <w:qFormat/>
    <w:pPr>
      <w:jc w:val="both"/>
      <w:textAlignment w:val="auto"/>
    </w:pPr>
    <w:rPr>
      <w:rFonts w:ascii="宋体" w:hAnsi="宋体" w:cs="宋体"/>
      <w:kern w:val="2"/>
      <w:sz w:val="24"/>
      <w:szCs w:val="24"/>
    </w:rPr>
  </w:style>
  <w:style w:type="paragraph" w:customStyle="1" w:styleId="Char110">
    <w:name w:val="Char11"/>
    <w:basedOn w:val="a"/>
    <w:qFormat/>
    <w:pPr>
      <w:spacing w:beforeLines="100" w:afterLines="50" w:line="600" w:lineRule="exact"/>
      <w:jc w:val="both"/>
      <w:textAlignment w:val="auto"/>
    </w:pPr>
    <w:rPr>
      <w:kern w:val="2"/>
      <w:sz w:val="21"/>
    </w:rPr>
  </w:style>
  <w:style w:type="paragraph" w:customStyle="1" w:styleId="affffff3">
    <w:name w:val="样式 表中文字 + 两端对齐"/>
    <w:basedOn w:val="a"/>
    <w:qFormat/>
    <w:pPr>
      <w:spacing w:line="270" w:lineRule="exact"/>
      <w:ind w:firstLineChars="0" w:firstLine="0"/>
      <w:jc w:val="center"/>
      <w:textAlignment w:val="auto"/>
    </w:pPr>
    <w:rPr>
      <w:rFonts w:ascii="仿宋_GB2312" w:eastAsia="仿宋_GB2312" w:cs="宋体"/>
      <w:kern w:val="2"/>
      <w:sz w:val="21"/>
      <w:szCs w:val="21"/>
    </w:rPr>
  </w:style>
  <w:style w:type="paragraph" w:customStyle="1" w:styleId="CharCharCharCharCharCharCharCharCharCharCharCharCharCharCharCharCharCharChar1">
    <w:name w:val="Char Char Char Char Char Char Char Char Char Char Char Char Char Char Char Char Char Char Char1"/>
    <w:basedOn w:val="a"/>
    <w:qFormat/>
    <w:pPr>
      <w:spacing w:line="240" w:lineRule="auto"/>
      <w:ind w:firstLineChars="0" w:firstLine="0"/>
      <w:jc w:val="both"/>
      <w:textAlignment w:val="auto"/>
    </w:pPr>
    <w:rPr>
      <w:kern w:val="2"/>
      <w:sz w:val="24"/>
      <w:szCs w:val="24"/>
    </w:rPr>
  </w:style>
  <w:style w:type="paragraph" w:customStyle="1" w:styleId="affffff4">
    <w:name w:val="普通文字"/>
    <w:basedOn w:val="a"/>
    <w:qFormat/>
    <w:pPr>
      <w:adjustRightInd w:val="0"/>
      <w:snapToGrid w:val="0"/>
      <w:spacing w:line="360" w:lineRule="exact"/>
      <w:ind w:firstLineChars="0" w:firstLine="0"/>
      <w:jc w:val="both"/>
      <w:textAlignment w:val="baseline"/>
    </w:pPr>
    <w:rPr>
      <w:rFonts w:eastAsia="仿宋_GB2312"/>
      <w:snapToGrid w:val="0"/>
      <w:kern w:val="21"/>
      <w:sz w:val="21"/>
      <w:szCs w:val="21"/>
    </w:rPr>
  </w:style>
  <w:style w:type="paragraph" w:customStyle="1" w:styleId="CharCharChar2">
    <w:name w:val="Char Char Char"/>
    <w:basedOn w:val="a"/>
    <w:qFormat/>
    <w:pPr>
      <w:spacing w:line="240" w:lineRule="auto"/>
      <w:ind w:firstLineChars="0" w:firstLine="0"/>
      <w:jc w:val="both"/>
      <w:textAlignment w:val="auto"/>
    </w:pPr>
    <w:rPr>
      <w:rFonts w:ascii="Tahoma" w:hAnsi="Tahoma"/>
      <w:kern w:val="2"/>
      <w:sz w:val="24"/>
    </w:rPr>
  </w:style>
  <w:style w:type="paragraph" w:customStyle="1" w:styleId="1Char1">
    <w:name w:val="样式1 Char"/>
    <w:basedOn w:val="af4"/>
    <w:qFormat/>
    <w:pPr>
      <w:spacing w:after="0" w:line="360" w:lineRule="auto"/>
      <w:ind w:leftChars="0" w:left="0" w:firstLine="600"/>
      <w:textAlignment w:val="bottom"/>
    </w:pPr>
    <w:rPr>
      <w:rFonts w:hAnsi="宋体" w:hint="eastAsia"/>
      <w:color w:val="000000"/>
      <w:kern w:val="0"/>
      <w:sz w:val="30"/>
    </w:rPr>
  </w:style>
  <w:style w:type="paragraph" w:customStyle="1" w:styleId="z">
    <w:name w:val="z正文"/>
    <w:basedOn w:val="a"/>
    <w:qFormat/>
    <w:pPr>
      <w:spacing w:line="500" w:lineRule="exact"/>
      <w:jc w:val="both"/>
      <w:textAlignment w:val="auto"/>
    </w:pPr>
    <w:rPr>
      <w:kern w:val="2"/>
      <w:sz w:val="24"/>
      <w:szCs w:val="24"/>
    </w:rPr>
  </w:style>
  <w:style w:type="paragraph" w:customStyle="1" w:styleId="1e">
    <w:name w:val="正文缩进1"/>
    <w:basedOn w:val="a"/>
    <w:qFormat/>
    <w:pPr>
      <w:spacing w:line="365" w:lineRule="atLeast"/>
      <w:ind w:firstLine="420"/>
      <w:jc w:val="both"/>
    </w:pPr>
    <w:rPr>
      <w:rFonts w:hint="eastAsia"/>
      <w:sz w:val="20"/>
    </w:rPr>
  </w:style>
  <w:style w:type="paragraph" w:customStyle="1" w:styleId="280">
    <w:name w:val="样式 首行缩进:  2 字符8"/>
    <w:basedOn w:val="a"/>
    <w:qFormat/>
    <w:pPr>
      <w:spacing w:line="520" w:lineRule="exact"/>
      <w:jc w:val="both"/>
      <w:textAlignment w:val="auto"/>
    </w:pPr>
    <w:rPr>
      <w:rFonts w:ascii="Calibri" w:hAnsi="Calibri" w:cs="宋体"/>
      <w:kern w:val="2"/>
      <w:sz w:val="24"/>
    </w:rPr>
  </w:style>
  <w:style w:type="paragraph" w:customStyle="1" w:styleId="xl27">
    <w:name w:val="xl27"/>
    <w:basedOn w:val="a"/>
    <w:qFormat/>
    <w:pPr>
      <w:widowControl/>
      <w:pBdr>
        <w:bottom w:val="single" w:sz="12" w:space="0" w:color="auto"/>
      </w:pBdr>
      <w:spacing w:before="100" w:after="100" w:line="240" w:lineRule="auto"/>
      <w:ind w:firstLineChars="0" w:firstLine="0"/>
      <w:jc w:val="center"/>
      <w:textAlignment w:val="auto"/>
    </w:pPr>
    <w:rPr>
      <w:rFonts w:ascii="宋体" w:hAnsi="宋体"/>
      <w:sz w:val="21"/>
    </w:rPr>
  </w:style>
  <w:style w:type="paragraph" w:customStyle="1" w:styleId="affffff5">
    <w:name w:val="缩进"/>
    <w:basedOn w:val="a"/>
    <w:qFormat/>
    <w:pPr>
      <w:autoSpaceDE w:val="0"/>
      <w:autoSpaceDN w:val="0"/>
      <w:adjustRightInd w:val="0"/>
      <w:spacing w:line="400" w:lineRule="atLeast"/>
      <w:jc w:val="both"/>
      <w:textAlignment w:val="baseline"/>
    </w:pPr>
    <w:rPr>
      <w:sz w:val="24"/>
    </w:rPr>
  </w:style>
  <w:style w:type="paragraph" w:customStyle="1" w:styleId="NewNewNewNewNewNewNewNewNewNewNewNewNew">
    <w:name w:val="正文 New New New New New New New New New New New New New"/>
    <w:qFormat/>
    <w:pPr>
      <w:widowControl w:val="0"/>
      <w:jc w:val="both"/>
    </w:pPr>
    <w:rPr>
      <w:kern w:val="2"/>
      <w:sz w:val="21"/>
      <w:szCs w:val="24"/>
    </w:rPr>
  </w:style>
  <w:style w:type="paragraph" w:customStyle="1" w:styleId="affffff6">
    <w:name w:val="特殊标题３"/>
    <w:basedOn w:val="a"/>
    <w:qFormat/>
    <w:pPr>
      <w:autoSpaceDE w:val="0"/>
      <w:autoSpaceDN w:val="0"/>
      <w:adjustRightInd w:val="0"/>
      <w:ind w:firstLineChars="0" w:firstLine="0"/>
      <w:jc w:val="both"/>
      <w:textAlignment w:val="baseline"/>
    </w:pPr>
    <w:rPr>
      <w:rFonts w:ascii="宋体" w:hAnsi="宋体"/>
      <w:color w:val="000000"/>
      <w:szCs w:val="28"/>
    </w:rPr>
  </w:style>
  <w:style w:type="table" w:customStyle="1" w:styleId="2f">
    <w:name w:val="网格型2"/>
    <w:basedOn w:val="a2"/>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列表型 71"/>
    <w:basedOn w:val="a2"/>
    <w:qFormat/>
    <w:pPr>
      <w:widowControl w:val="0"/>
      <w:jc w:val="both"/>
    </w:pPr>
    <w:tblPr>
      <w:tblBorders>
        <w:top w:val="single" w:sz="12" w:space="0" w:color="008000"/>
        <w:left w:val="single" w:sz="6" w:space="0" w:color="008000"/>
        <w:bottom w:val="single" w:sz="12" w:space="0" w:color="008000"/>
        <w:right w:val="single" w:sz="6" w:space="0" w:color="008000"/>
        <w:insideH w:val="single" w:sz="6" w:space="0" w:color="auto"/>
      </w:tblBorders>
    </w:tblPr>
    <w:tblStylePr w:type="firstRow">
      <w:tblPr/>
      <w:tcPr>
        <w:tcBorders>
          <w:top w:val="nil"/>
          <w:left w:val="nil"/>
          <w:bottom w:val="single" w:sz="12" w:space="0" w:color="008000"/>
          <w:right w:val="nil"/>
          <w:insideH w:val="nil"/>
          <w:insideV w:val="nil"/>
          <w:tl2br w:val="nil"/>
          <w:tr2bl w:val="nil"/>
        </w:tcBorders>
        <w:shd w:val="solid" w:color="C0C0C0" w:fill="FFFFFF"/>
      </w:tcPr>
    </w:tblStylePr>
    <w:tblStylePr w:type="lastRow">
      <w:tblPr/>
      <w:tcPr>
        <w:tcBorders>
          <w:top w:val="single" w:sz="12" w:space="0" w:color="008000"/>
          <w:left w:val="nil"/>
          <w:bottom w:val="nil"/>
          <w:right w:val="nil"/>
          <w:insideH w:val="nil"/>
          <w:insideV w:val="nil"/>
          <w:tl2br w:val="nil"/>
          <w:tr2bl w:val="nil"/>
        </w:tcBorders>
      </w:tcPr>
    </w:tblStylePr>
    <w:tblStylePr w:type="firstCol">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1f">
    <w:name w:val="专业型1"/>
    <w:basedOn w:val="a2"/>
    <w:qFormat/>
    <w:pPr>
      <w:widowControl w:val="0"/>
      <w:jc w:val="both"/>
    </w:p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cPr>
      <w:shd w:val="clear" w:color="auto" w:fill="auto"/>
    </w:tcPr>
    <w:tblStylePr w:type="firstRow">
      <w:tblPr/>
      <w:tcPr>
        <w:tcBorders>
          <w:top w:val="nil"/>
          <w:left w:val="nil"/>
          <w:bottom w:val="nil"/>
          <w:right w:val="nil"/>
          <w:insideH w:val="nil"/>
          <w:insideV w:val="nil"/>
          <w:tl2br w:val="nil"/>
          <w:tr2bl w:val="nil"/>
        </w:tcBorders>
        <w:shd w:val="solid" w:color="000000" w:fill="FFFFFF"/>
      </w:tcPr>
    </w:tblStylePr>
  </w:style>
  <w:style w:type="table" w:customStyle="1" w:styleId="affffff7">
    <w:name w:val="专用"/>
    <w:basedOn w:val="a2"/>
    <w:semiHidden/>
    <w:qFormat/>
    <w:pPr>
      <w:widowControl w:val="0"/>
      <w:jc w:val="center"/>
    </w:pPr>
    <w:tblPr>
      <w:tblBorders>
        <w:top w:val="single" w:sz="4" w:space="0" w:color="auto"/>
        <w:bottom w:val="single" w:sz="4" w:space="0" w:color="auto"/>
        <w:insideH w:val="single" w:sz="4" w:space="0" w:color="auto"/>
        <w:insideV w:val="single" w:sz="4" w:space="0" w:color="auto"/>
      </w:tblBorders>
    </w:tblPr>
    <w:tcPr>
      <w:vAlign w:val="center"/>
    </w:tcPr>
  </w:style>
  <w:style w:type="table" w:customStyle="1" w:styleId="1f0">
    <w:name w:val="网格型1"/>
    <w:basedOn w:val="a2"/>
    <w:qFormat/>
    <w:pPr>
      <w:widowControl w:val="0"/>
      <w:jc w:val="both"/>
    </w:pPr>
    <w:rPr>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
  </w:style>
  <w:style w:type="character" w:customStyle="1" w:styleId="affffff8">
    <w:name w:val="页眉 字符"/>
    <w:qFormat/>
    <w:rPr>
      <w:rFonts w:ascii="Times New Roman" w:eastAsia="宋体" w:hAnsi="Times New Roman" w:cs="Times New Roman"/>
      <w:sz w:val="18"/>
      <w:szCs w:val="18"/>
      <w:lang w:val="en-US" w:eastAsia="zh-CN" w:bidi="ar-SA"/>
    </w:rPr>
  </w:style>
  <w:style w:type="character" w:customStyle="1" w:styleId="15Char">
    <w:name w:val="15正文 Char"/>
    <w:link w:val="150"/>
    <w:qFormat/>
    <w:rPr>
      <w:kern w:val="2"/>
      <w:sz w:val="24"/>
      <w:szCs w:val="24"/>
      <w:lang w:val="en-US" w:eastAsia="zh-CN" w:bidi="ar-SA"/>
    </w:rPr>
  </w:style>
  <w:style w:type="paragraph" w:customStyle="1" w:styleId="150">
    <w:name w:val="15正文"/>
    <w:link w:val="15Char"/>
    <w:qFormat/>
    <w:pPr>
      <w:spacing w:line="480" w:lineRule="atLeast"/>
      <w:ind w:firstLineChars="200" w:firstLine="480"/>
      <w:jc w:val="both"/>
    </w:pPr>
    <w:rPr>
      <w:kern w:val="2"/>
      <w:sz w:val="24"/>
      <w:szCs w:val="24"/>
    </w:rPr>
  </w:style>
  <w:style w:type="character" w:customStyle="1" w:styleId="Char15">
    <w:name w:val="称呼 Char1"/>
    <w:basedOn w:val="a1"/>
    <w:uiPriority w:val="99"/>
    <w:qFormat/>
    <w:rPr>
      <w:sz w:val="28"/>
    </w:rPr>
  </w:style>
  <w:style w:type="character" w:customStyle="1" w:styleId="affffff9">
    <w:name w:val="批注文字 字符"/>
    <w:uiPriority w:val="99"/>
    <w:qFormat/>
    <w:rPr>
      <w:rFonts w:ascii="Times New Roman" w:eastAsia="宋体" w:hAnsi="Times New Roman" w:cs="Times New Roman"/>
      <w:kern w:val="2"/>
      <w:sz w:val="21"/>
      <w:szCs w:val="24"/>
      <w:lang w:bidi="ar-SA"/>
    </w:rPr>
  </w:style>
  <w:style w:type="character" w:customStyle="1" w:styleId="44">
    <w:name w:val="标题 4 字符"/>
    <w:qFormat/>
    <w:rPr>
      <w:rFonts w:ascii="Times New Roman" w:eastAsia="黑体" w:hAnsi="Times New Roman" w:cs="Times New Roman"/>
      <w:bCs/>
      <w:sz w:val="24"/>
      <w:szCs w:val="28"/>
    </w:rPr>
  </w:style>
  <w:style w:type="character" w:customStyle="1" w:styleId="37">
    <w:name w:val="标题 3 字符"/>
    <w:qFormat/>
    <w:rPr>
      <w:rFonts w:ascii="Times New Roman" w:eastAsia="宋体" w:hAnsi="Times New Roman" w:cs="Times New Roman"/>
      <w:b/>
      <w:bCs/>
      <w:kern w:val="2"/>
      <w:sz w:val="28"/>
      <w:szCs w:val="32"/>
    </w:rPr>
  </w:style>
  <w:style w:type="character" w:customStyle="1" w:styleId="2f0">
    <w:name w:val="标题 2 字符"/>
    <w:qFormat/>
    <w:rPr>
      <w:rFonts w:ascii="Arial" w:eastAsia="黑体" w:hAnsi="Arial" w:cs="Times New Roman"/>
      <w:b/>
      <w:bCs/>
      <w:kern w:val="2"/>
      <w:sz w:val="32"/>
      <w:szCs w:val="32"/>
      <w:lang w:val="en-US" w:eastAsia="zh-CN" w:bidi="ar-SA"/>
    </w:rPr>
  </w:style>
  <w:style w:type="character" w:customStyle="1" w:styleId="Charf8">
    <w:name w:val="正正文 Char"/>
    <w:link w:val="affffffa"/>
    <w:qFormat/>
    <w:rPr>
      <w:kern w:val="2"/>
      <w:sz w:val="30"/>
      <w:szCs w:val="30"/>
    </w:rPr>
  </w:style>
  <w:style w:type="paragraph" w:customStyle="1" w:styleId="affffffa">
    <w:name w:val="正正文"/>
    <w:basedOn w:val="a"/>
    <w:link w:val="Charf8"/>
    <w:qFormat/>
    <w:pPr>
      <w:spacing w:line="240" w:lineRule="auto"/>
      <w:textAlignment w:val="auto"/>
    </w:pPr>
    <w:rPr>
      <w:kern w:val="2"/>
      <w:sz w:val="30"/>
      <w:szCs w:val="30"/>
    </w:rPr>
  </w:style>
  <w:style w:type="paragraph" w:customStyle="1" w:styleId="Char1CharCharChar1CharCharChar11">
    <w:name w:val="Char1 Char Char Char1 Char Char Char11"/>
    <w:basedOn w:val="a"/>
    <w:qFormat/>
    <w:pPr>
      <w:jc w:val="both"/>
      <w:textAlignment w:val="auto"/>
    </w:pPr>
    <w:rPr>
      <w:rFonts w:ascii="宋体" w:hAnsi="宋体" w:cs="宋体"/>
      <w:kern w:val="2"/>
      <w:sz w:val="24"/>
      <w:szCs w:val="24"/>
    </w:rPr>
  </w:style>
  <w:style w:type="paragraph" w:customStyle="1" w:styleId="Char1CharCharChar1CharCharChar21">
    <w:name w:val="Char1 Char Char Char1 Char Char Char21"/>
    <w:basedOn w:val="a"/>
    <w:qFormat/>
    <w:pPr>
      <w:jc w:val="both"/>
      <w:textAlignment w:val="auto"/>
    </w:pPr>
    <w:rPr>
      <w:rFonts w:ascii="宋体" w:hAnsi="宋体" w:cs="宋体"/>
      <w:kern w:val="2"/>
      <w:sz w:val="24"/>
      <w:szCs w:val="24"/>
    </w:rPr>
  </w:style>
  <w:style w:type="paragraph" w:customStyle="1" w:styleId="Char1CharCharChar1CharCharChar31">
    <w:name w:val="Char1 Char Char Char1 Char Char Char31"/>
    <w:basedOn w:val="a"/>
    <w:qFormat/>
    <w:pPr>
      <w:jc w:val="both"/>
      <w:textAlignment w:val="auto"/>
    </w:pPr>
    <w:rPr>
      <w:rFonts w:ascii="宋体" w:hAnsi="宋体" w:cs="宋体"/>
      <w:kern w:val="2"/>
      <w:sz w:val="24"/>
      <w:szCs w:val="24"/>
    </w:rPr>
  </w:style>
  <w:style w:type="paragraph" w:customStyle="1" w:styleId="Char1CharCharChar1CharCharChar41">
    <w:name w:val="Char1 Char Char Char1 Char Char Char41"/>
    <w:basedOn w:val="a"/>
    <w:qFormat/>
    <w:pPr>
      <w:jc w:val="both"/>
      <w:textAlignment w:val="auto"/>
    </w:pPr>
    <w:rPr>
      <w:rFonts w:ascii="宋体" w:hAnsi="宋体" w:cs="宋体"/>
      <w:kern w:val="2"/>
      <w:sz w:val="24"/>
      <w:szCs w:val="24"/>
    </w:rPr>
  </w:style>
  <w:style w:type="paragraph" w:customStyle="1" w:styleId="Char1CharCharChar1CharCharChar51">
    <w:name w:val="Char1 Char Char Char1 Char Char Char51"/>
    <w:basedOn w:val="a"/>
    <w:qFormat/>
    <w:pPr>
      <w:jc w:val="both"/>
      <w:textAlignment w:val="auto"/>
    </w:pPr>
    <w:rPr>
      <w:rFonts w:ascii="宋体" w:hAnsi="宋体" w:cs="宋体"/>
      <w:kern w:val="2"/>
      <w:sz w:val="24"/>
      <w:szCs w:val="24"/>
    </w:rPr>
  </w:style>
  <w:style w:type="paragraph" w:customStyle="1" w:styleId="Char1CharCharChar1CharCharChar61">
    <w:name w:val="Char1 Char Char Char1 Char Char Char61"/>
    <w:basedOn w:val="a"/>
    <w:qFormat/>
    <w:pPr>
      <w:jc w:val="both"/>
      <w:textAlignment w:val="auto"/>
    </w:pPr>
    <w:rPr>
      <w:rFonts w:ascii="宋体" w:hAnsi="宋体" w:cs="宋体"/>
      <w:kern w:val="2"/>
      <w:sz w:val="24"/>
      <w:szCs w:val="24"/>
    </w:rPr>
  </w:style>
  <w:style w:type="paragraph" w:customStyle="1" w:styleId="Char1CharCharChar1CharCharChar71">
    <w:name w:val="Char1 Char Char Char1 Char Char Char71"/>
    <w:basedOn w:val="a"/>
    <w:qFormat/>
    <w:pPr>
      <w:jc w:val="both"/>
      <w:textAlignment w:val="auto"/>
    </w:pPr>
    <w:rPr>
      <w:rFonts w:ascii="宋体" w:hAnsi="宋体" w:cs="宋体"/>
      <w:kern w:val="2"/>
      <w:sz w:val="24"/>
      <w:szCs w:val="24"/>
    </w:rPr>
  </w:style>
  <w:style w:type="character" w:customStyle="1" w:styleId="fontstyle01">
    <w:name w:val="fontstyle01"/>
    <w:basedOn w:val="a1"/>
    <w:qFormat/>
    <w:rPr>
      <w:rFonts w:ascii="宋体" w:eastAsia="宋体" w:hAnsi="宋体" w:hint="eastAsia"/>
      <w:color w:val="000000"/>
      <w:sz w:val="22"/>
      <w:szCs w:val="22"/>
    </w:rPr>
  </w:style>
  <w:style w:type="character" w:customStyle="1" w:styleId="font11">
    <w:name w:val="font11"/>
    <w:basedOn w:val="a1"/>
    <w:qFormat/>
    <w:rPr>
      <w:rFonts w:ascii="宋体" w:eastAsia="宋体" w:hAnsi="宋体" w:hint="eastAsia"/>
      <w:color w:val="E36C0A"/>
      <w:sz w:val="21"/>
      <w:szCs w:val="21"/>
      <w:u w:val="none"/>
    </w:rPr>
  </w:style>
  <w:style w:type="paragraph" w:customStyle="1" w:styleId="TOC11">
    <w:name w:val="TOC 标题11"/>
    <w:basedOn w:val="1"/>
    <w:next w:val="a"/>
    <w:qFormat/>
    <w:pPr>
      <w:widowControl/>
      <w:spacing w:before="100" w:beforeAutospacing="1" w:after="100" w:afterAutospacing="1" w:line="276" w:lineRule="auto"/>
      <w:outlineLvl w:val="9"/>
    </w:pPr>
    <w:rPr>
      <w:rFonts w:ascii="Cambria" w:hAnsi="Cambria"/>
      <w:color w:val="365F91"/>
      <w:kern w:val="0"/>
      <w:sz w:val="28"/>
      <w:szCs w:val="28"/>
    </w:rPr>
  </w:style>
  <w:style w:type="paragraph" w:customStyle="1" w:styleId="113">
    <w:name w:val="修订11"/>
    <w:qFormat/>
    <w:rPr>
      <w:kern w:val="2"/>
      <w:sz w:val="21"/>
      <w:szCs w:val="24"/>
    </w:rPr>
  </w:style>
  <w:style w:type="paragraph" w:customStyle="1" w:styleId="Char1CharCharChar1CharCharChar1">
    <w:name w:val="Char1 Char Char Char1 Char Char Char1"/>
    <w:basedOn w:val="a"/>
    <w:qFormat/>
    <w:pPr>
      <w:jc w:val="both"/>
      <w:textAlignment w:val="auto"/>
    </w:pPr>
    <w:rPr>
      <w:rFonts w:ascii="宋体" w:hAnsi="宋体" w:cs="宋体"/>
      <w:kern w:val="2"/>
      <w:sz w:val="24"/>
      <w:szCs w:val="24"/>
    </w:rPr>
  </w:style>
  <w:style w:type="paragraph" w:customStyle="1" w:styleId="Char1CharCharChar1CharCharChar2">
    <w:name w:val="Char1 Char Char Char1 Char Char Char2"/>
    <w:basedOn w:val="a"/>
    <w:qFormat/>
    <w:pPr>
      <w:jc w:val="both"/>
      <w:textAlignment w:val="auto"/>
    </w:pPr>
    <w:rPr>
      <w:rFonts w:ascii="宋体" w:hAnsi="宋体" w:cs="宋体"/>
      <w:kern w:val="2"/>
      <w:sz w:val="24"/>
      <w:szCs w:val="24"/>
    </w:rPr>
  </w:style>
  <w:style w:type="paragraph" w:customStyle="1" w:styleId="Char1CharCharChar1CharCharChar3">
    <w:name w:val="Char1 Char Char Char1 Char Char Char3"/>
    <w:basedOn w:val="a"/>
    <w:qFormat/>
    <w:pPr>
      <w:jc w:val="both"/>
      <w:textAlignment w:val="auto"/>
    </w:pPr>
    <w:rPr>
      <w:rFonts w:ascii="宋体" w:hAnsi="宋体" w:cs="宋体"/>
      <w:kern w:val="2"/>
      <w:sz w:val="24"/>
      <w:szCs w:val="24"/>
    </w:rPr>
  </w:style>
  <w:style w:type="paragraph" w:customStyle="1" w:styleId="Char1CharCharChar1CharCharChar4">
    <w:name w:val="Char1 Char Char Char1 Char Char Char4"/>
    <w:basedOn w:val="a"/>
    <w:qFormat/>
    <w:pPr>
      <w:jc w:val="both"/>
      <w:textAlignment w:val="auto"/>
    </w:pPr>
    <w:rPr>
      <w:rFonts w:ascii="宋体" w:hAnsi="宋体" w:cs="宋体"/>
      <w:kern w:val="2"/>
      <w:sz w:val="24"/>
      <w:szCs w:val="24"/>
    </w:rPr>
  </w:style>
  <w:style w:type="paragraph" w:customStyle="1" w:styleId="Char1CharCharChar1CharCharChar5">
    <w:name w:val="Char1 Char Char Char1 Char Char Char5"/>
    <w:basedOn w:val="a"/>
    <w:qFormat/>
    <w:pPr>
      <w:jc w:val="both"/>
      <w:textAlignment w:val="auto"/>
    </w:pPr>
    <w:rPr>
      <w:rFonts w:ascii="宋体" w:hAnsi="宋体" w:cs="宋体"/>
      <w:kern w:val="2"/>
      <w:sz w:val="24"/>
      <w:szCs w:val="24"/>
    </w:rPr>
  </w:style>
  <w:style w:type="paragraph" w:customStyle="1" w:styleId="Char1CharCharChar1CharCharChar6">
    <w:name w:val="Char1 Char Char Char1 Char Char Char6"/>
    <w:basedOn w:val="a"/>
    <w:qFormat/>
    <w:pPr>
      <w:jc w:val="both"/>
      <w:textAlignment w:val="auto"/>
    </w:pPr>
    <w:rPr>
      <w:rFonts w:ascii="宋体" w:hAnsi="宋体" w:cs="宋体"/>
      <w:kern w:val="2"/>
      <w:sz w:val="24"/>
      <w:szCs w:val="24"/>
    </w:rPr>
  </w:style>
  <w:style w:type="paragraph" w:customStyle="1" w:styleId="Char1CharCharChar1CharCharChar7">
    <w:name w:val="Char1 Char Char Char1 Char Char Char7"/>
    <w:basedOn w:val="a"/>
    <w:qFormat/>
    <w:pPr>
      <w:jc w:val="both"/>
      <w:textAlignment w:val="auto"/>
    </w:pPr>
    <w:rPr>
      <w:rFonts w:ascii="宋体" w:hAnsi="宋体" w:cs="宋体"/>
      <w:kern w:val="2"/>
      <w:sz w:val="24"/>
      <w:szCs w:val="24"/>
    </w:rPr>
  </w:style>
  <w:style w:type="character" w:customStyle="1" w:styleId="font61">
    <w:name w:val="font61"/>
    <w:basedOn w:val="a1"/>
    <w:qFormat/>
    <w:rPr>
      <w:rFonts w:ascii="Times New Roman" w:hAnsi="Times New Roman" w:cs="Times New Roman" w:hint="default"/>
      <w:color w:val="000000"/>
      <w:sz w:val="21"/>
      <w:szCs w:val="21"/>
      <w:u w:val="none"/>
    </w:rPr>
  </w:style>
  <w:style w:type="character" w:customStyle="1" w:styleId="Charf9">
    <w:name w:val="表头文字 Char"/>
    <w:link w:val="affffffb"/>
    <w:qFormat/>
    <w:locked/>
    <w:rPr>
      <w:rFonts w:ascii="黑体" w:eastAsia="黑体"/>
      <w:sz w:val="24"/>
      <w:szCs w:val="24"/>
    </w:rPr>
  </w:style>
  <w:style w:type="paragraph" w:customStyle="1" w:styleId="affffffb">
    <w:name w:val="表头文字"/>
    <w:basedOn w:val="a"/>
    <w:link w:val="Charf9"/>
    <w:qFormat/>
    <w:pPr>
      <w:spacing w:line="240" w:lineRule="auto"/>
      <w:ind w:firstLineChars="0" w:firstLine="0"/>
      <w:jc w:val="center"/>
      <w:textAlignment w:val="auto"/>
    </w:pPr>
    <w:rPr>
      <w:rFonts w:ascii="黑体" w:eastAsia="黑体"/>
      <w:sz w:val="24"/>
      <w:szCs w:val="24"/>
    </w:rPr>
  </w:style>
  <w:style w:type="character" w:customStyle="1" w:styleId="Charfa">
    <w:name w:val="编制日期 Char"/>
    <w:link w:val="affffffc"/>
    <w:qFormat/>
    <w:locked/>
    <w:rPr>
      <w:rFonts w:ascii="宋体" w:hAnsi="宋体"/>
      <w:sz w:val="32"/>
      <w:szCs w:val="28"/>
    </w:rPr>
  </w:style>
  <w:style w:type="paragraph" w:customStyle="1" w:styleId="affffffc">
    <w:name w:val="编制日期"/>
    <w:basedOn w:val="a"/>
    <w:link w:val="Charfa"/>
    <w:qFormat/>
    <w:pPr>
      <w:keepNext/>
      <w:tabs>
        <w:tab w:val="left" w:pos="2190"/>
      </w:tabs>
      <w:adjustRightInd w:val="0"/>
      <w:snapToGrid w:val="0"/>
      <w:ind w:firstLineChars="0" w:firstLine="0"/>
      <w:jc w:val="center"/>
      <w:textAlignment w:val="auto"/>
    </w:pPr>
    <w:rPr>
      <w:rFonts w:ascii="宋体" w:hAnsi="宋体"/>
      <w:sz w:val="32"/>
      <w:szCs w:val="28"/>
    </w:rPr>
  </w:style>
  <w:style w:type="character" w:customStyle="1" w:styleId="1324CharChar">
    <w:name w:val="宋体 13 磅 行距: 固定值 24 磅 Char Char"/>
    <w:link w:val="1324"/>
    <w:qFormat/>
    <w:locked/>
    <w:rPr>
      <w:rFonts w:ascii="宋体" w:hAnsi="宋体" w:cs="宋体"/>
      <w:sz w:val="26"/>
    </w:rPr>
  </w:style>
  <w:style w:type="paragraph" w:customStyle="1" w:styleId="1324">
    <w:name w:val="宋体 13 磅 行距: 固定值 24 磅"/>
    <w:basedOn w:val="a"/>
    <w:link w:val="1324CharChar"/>
    <w:qFormat/>
    <w:pPr>
      <w:spacing w:line="480" w:lineRule="exact"/>
      <w:ind w:firstLine="520"/>
      <w:jc w:val="both"/>
      <w:textAlignment w:val="auto"/>
    </w:pPr>
    <w:rPr>
      <w:rFonts w:ascii="宋体" w:hAnsi="宋体" w:cs="宋体"/>
      <w:sz w:val="26"/>
    </w:rPr>
  </w:style>
  <w:style w:type="character" w:customStyle="1" w:styleId="Charfb">
    <w:name w:val="图例 Char"/>
    <w:link w:val="affffffd"/>
    <w:qFormat/>
    <w:locked/>
    <w:rPr>
      <w:rFonts w:ascii="宋体" w:hAnsi="宋体"/>
      <w:b/>
      <w:bCs/>
      <w:szCs w:val="24"/>
      <w:lang w:val="zh-CN"/>
    </w:rPr>
  </w:style>
  <w:style w:type="paragraph" w:customStyle="1" w:styleId="affffffd">
    <w:name w:val="图例"/>
    <w:basedOn w:val="affffffe"/>
    <w:link w:val="Charfb"/>
    <w:qFormat/>
    <w:rPr>
      <w:szCs w:val="24"/>
    </w:rPr>
  </w:style>
  <w:style w:type="paragraph" w:customStyle="1" w:styleId="affffffe">
    <w:name w:val="题注图名"/>
    <w:basedOn w:val="a"/>
    <w:link w:val="Charfc"/>
    <w:qFormat/>
    <w:pPr>
      <w:spacing w:after="120" w:line="300" w:lineRule="auto"/>
      <w:ind w:firstLineChars="0" w:firstLine="0"/>
      <w:jc w:val="center"/>
      <w:textAlignment w:val="auto"/>
    </w:pPr>
    <w:rPr>
      <w:rFonts w:ascii="宋体" w:hAnsi="宋体"/>
      <w:b/>
      <w:bCs/>
      <w:sz w:val="20"/>
      <w:lang w:val="zh-CN"/>
    </w:rPr>
  </w:style>
  <w:style w:type="character" w:customStyle="1" w:styleId="Charfc">
    <w:name w:val="题注图名 Char"/>
    <w:link w:val="affffffe"/>
    <w:qFormat/>
    <w:locked/>
    <w:rPr>
      <w:rFonts w:ascii="宋体" w:hAnsi="宋体"/>
      <w:b/>
      <w:bCs/>
      <w:lang w:val="zh-CN"/>
    </w:rPr>
  </w:style>
  <w:style w:type="character" w:customStyle="1" w:styleId="2Char1">
    <w:name w:val="节2 Char"/>
    <w:link w:val="2f1"/>
    <w:qFormat/>
    <w:locked/>
    <w:rPr>
      <w:rFonts w:ascii="宋体" w:eastAsia="黑体" w:hAnsi="宋体"/>
      <w:b/>
      <w:sz w:val="28"/>
    </w:rPr>
  </w:style>
  <w:style w:type="paragraph" w:customStyle="1" w:styleId="2f1">
    <w:name w:val="节2"/>
    <w:basedOn w:val="a"/>
    <w:link w:val="2Char1"/>
    <w:qFormat/>
    <w:pPr>
      <w:autoSpaceDE w:val="0"/>
      <w:autoSpaceDN w:val="0"/>
      <w:adjustRightInd w:val="0"/>
      <w:spacing w:line="600" w:lineRule="exact"/>
      <w:jc w:val="both"/>
      <w:textAlignment w:val="auto"/>
      <w:outlineLvl w:val="1"/>
    </w:pPr>
    <w:rPr>
      <w:rFonts w:ascii="宋体" w:eastAsia="黑体" w:hAnsi="宋体"/>
      <w:b/>
    </w:rPr>
  </w:style>
  <w:style w:type="character" w:customStyle="1" w:styleId="a8">
    <w:name w:val="电子邮件签名 字符"/>
    <w:link w:val="a7"/>
    <w:qFormat/>
    <w:locked/>
    <w:rPr>
      <w:rFonts w:ascii="宋体" w:hAnsi="宋体"/>
      <w:szCs w:val="24"/>
    </w:rPr>
  </w:style>
  <w:style w:type="character" w:customStyle="1" w:styleId="aff1">
    <w:name w:val="签名 字符"/>
    <w:link w:val="aff0"/>
    <w:qFormat/>
    <w:locked/>
    <w:rPr>
      <w:rFonts w:ascii="宋体" w:hAnsi="宋体"/>
      <w:szCs w:val="24"/>
    </w:rPr>
  </w:style>
  <w:style w:type="character" w:customStyle="1" w:styleId="1-1Char">
    <w:name w:val="正文1-1 Char"/>
    <w:link w:val="1-1"/>
    <w:qFormat/>
    <w:locked/>
    <w:rPr>
      <w:rFonts w:ascii="宋体" w:eastAsia="仿宋_GB2312" w:hAnsi="宋体" w:cs="宋体"/>
      <w:sz w:val="28"/>
      <w:szCs w:val="24"/>
    </w:rPr>
  </w:style>
  <w:style w:type="paragraph" w:customStyle="1" w:styleId="1-1">
    <w:name w:val="正文1-1"/>
    <w:basedOn w:val="a"/>
    <w:link w:val="1-1Char"/>
    <w:qFormat/>
    <w:pPr>
      <w:widowControl/>
      <w:snapToGrid w:val="0"/>
      <w:textAlignment w:val="auto"/>
    </w:pPr>
    <w:rPr>
      <w:rFonts w:ascii="宋体" w:eastAsia="仿宋_GB2312" w:hAnsi="宋体" w:cs="宋体"/>
      <w:szCs w:val="24"/>
    </w:rPr>
  </w:style>
  <w:style w:type="character" w:customStyle="1" w:styleId="CharChar7">
    <w:name w:val="内容部分 Char Char"/>
    <w:link w:val="afffffff"/>
    <w:qFormat/>
    <w:locked/>
    <w:rPr>
      <w:rFonts w:ascii="宋体" w:hAnsi="宋体"/>
      <w:sz w:val="28"/>
      <w:szCs w:val="28"/>
    </w:rPr>
  </w:style>
  <w:style w:type="paragraph" w:customStyle="1" w:styleId="afffffff">
    <w:name w:val="内容部分"/>
    <w:basedOn w:val="a"/>
    <w:link w:val="CharChar7"/>
    <w:qFormat/>
    <w:pPr>
      <w:tabs>
        <w:tab w:val="right" w:pos="7980"/>
      </w:tabs>
      <w:spacing w:line="440" w:lineRule="exact"/>
      <w:ind w:firstLine="560"/>
      <w:jc w:val="both"/>
      <w:textAlignment w:val="auto"/>
    </w:pPr>
    <w:rPr>
      <w:rFonts w:ascii="宋体" w:hAnsi="宋体"/>
      <w:szCs w:val="28"/>
    </w:rPr>
  </w:style>
  <w:style w:type="character" w:customStyle="1" w:styleId="MTDisplayEquationCharChar">
    <w:name w:val="MTDisplayEquation Char Char"/>
    <w:link w:val="MTDisplayEquation"/>
    <w:qFormat/>
    <w:locked/>
    <w:rPr>
      <w:rFonts w:ascii="宋体" w:hAnsi="宋体"/>
      <w:sz w:val="24"/>
      <w:szCs w:val="24"/>
    </w:rPr>
  </w:style>
  <w:style w:type="paragraph" w:customStyle="1" w:styleId="MTDisplayEquation">
    <w:name w:val="MTDisplayEquation"/>
    <w:basedOn w:val="a"/>
    <w:next w:val="a"/>
    <w:link w:val="MTDisplayEquationCharChar"/>
    <w:qFormat/>
    <w:pPr>
      <w:tabs>
        <w:tab w:val="center" w:pos="4520"/>
        <w:tab w:val="right" w:pos="9020"/>
      </w:tabs>
      <w:spacing w:line="500" w:lineRule="exact"/>
      <w:ind w:firstLine="480"/>
      <w:textAlignment w:val="auto"/>
    </w:pPr>
    <w:rPr>
      <w:rFonts w:ascii="宋体" w:hAnsi="宋体"/>
      <w:sz w:val="24"/>
      <w:szCs w:val="24"/>
    </w:rPr>
  </w:style>
  <w:style w:type="character" w:customStyle="1" w:styleId="Charfd">
    <w:name w:val="小表左 Char"/>
    <w:link w:val="afffffff0"/>
    <w:qFormat/>
    <w:locked/>
    <w:rPr>
      <w:rFonts w:ascii="宋体" w:hAnsi="宋体"/>
      <w:szCs w:val="21"/>
    </w:rPr>
  </w:style>
  <w:style w:type="paragraph" w:customStyle="1" w:styleId="afffffff0">
    <w:name w:val="小表左"/>
    <w:basedOn w:val="a"/>
    <w:link w:val="Charfd"/>
    <w:qFormat/>
    <w:pPr>
      <w:keepNext/>
      <w:adjustRightInd w:val="0"/>
      <w:snapToGrid w:val="0"/>
      <w:spacing w:line="240" w:lineRule="atLeast"/>
      <w:ind w:firstLineChars="0" w:firstLine="0"/>
      <w:jc w:val="both"/>
      <w:textAlignment w:val="auto"/>
    </w:pPr>
    <w:rPr>
      <w:rFonts w:ascii="宋体" w:hAnsi="宋体"/>
      <w:sz w:val="20"/>
      <w:szCs w:val="21"/>
    </w:rPr>
  </w:style>
  <w:style w:type="character" w:customStyle="1" w:styleId="2Char10">
    <w:name w:val="正文2 Char1"/>
    <w:link w:val="2f2"/>
    <w:qFormat/>
    <w:locked/>
    <w:rPr>
      <w:rFonts w:ascii="宋体" w:hAnsi="宋体"/>
      <w:kern w:val="2"/>
      <w:sz w:val="24"/>
      <w:szCs w:val="22"/>
    </w:rPr>
  </w:style>
  <w:style w:type="paragraph" w:customStyle="1" w:styleId="2f2">
    <w:name w:val="正文2"/>
    <w:link w:val="2Char10"/>
    <w:qFormat/>
    <w:pPr>
      <w:widowControl w:val="0"/>
      <w:adjustRightInd w:val="0"/>
      <w:spacing w:line="315" w:lineRule="atLeast"/>
      <w:jc w:val="both"/>
    </w:pPr>
    <w:rPr>
      <w:rFonts w:ascii="宋体" w:hAnsi="宋体"/>
      <w:kern w:val="2"/>
      <w:sz w:val="24"/>
      <w:szCs w:val="22"/>
    </w:rPr>
  </w:style>
  <w:style w:type="character" w:customStyle="1" w:styleId="Charfe">
    <w:name w:val="正文标准 Char"/>
    <w:link w:val="afffffff1"/>
    <w:qFormat/>
    <w:locked/>
    <w:rPr>
      <w:rFonts w:ascii="宋体" w:eastAsia="仿宋_GB2312" w:hAnsi="宋体" w:cs="宋体"/>
      <w:bCs/>
      <w:color w:val="000000"/>
      <w:sz w:val="28"/>
      <w:szCs w:val="28"/>
    </w:rPr>
  </w:style>
  <w:style w:type="paragraph" w:customStyle="1" w:styleId="afffffff1">
    <w:name w:val="正文标准"/>
    <w:basedOn w:val="af2"/>
    <w:link w:val="Charfe"/>
    <w:qFormat/>
    <w:pPr>
      <w:tabs>
        <w:tab w:val="left" w:pos="4935"/>
      </w:tabs>
      <w:spacing w:after="0"/>
      <w:ind w:firstLine="560"/>
      <w:jc w:val="both"/>
      <w:textAlignment w:val="auto"/>
    </w:pPr>
    <w:rPr>
      <w:rFonts w:ascii="宋体" w:eastAsia="仿宋_GB2312" w:hAnsi="宋体" w:cs="宋体"/>
      <w:bCs/>
      <w:color w:val="000000"/>
      <w:szCs w:val="28"/>
    </w:rPr>
  </w:style>
  <w:style w:type="character" w:customStyle="1" w:styleId="Charff">
    <w:name w:val="报告 Char"/>
    <w:link w:val="afffffff2"/>
    <w:qFormat/>
    <w:locked/>
    <w:rPr>
      <w:rFonts w:ascii="宋体" w:hAnsi="宋体"/>
      <w:sz w:val="24"/>
    </w:rPr>
  </w:style>
  <w:style w:type="paragraph" w:customStyle="1" w:styleId="afffffff2">
    <w:name w:val="报告"/>
    <w:basedOn w:val="a"/>
    <w:link w:val="Charff"/>
    <w:qFormat/>
    <w:pPr>
      <w:overflowPunct w:val="0"/>
      <w:autoSpaceDE w:val="0"/>
      <w:autoSpaceDN w:val="0"/>
      <w:adjustRightInd w:val="0"/>
      <w:spacing w:beforeLines="30" w:afterLines="30" w:line="400" w:lineRule="atLeast"/>
      <w:ind w:leftChars="200" w:left="200"/>
      <w:jc w:val="both"/>
      <w:textAlignment w:val="auto"/>
    </w:pPr>
    <w:rPr>
      <w:rFonts w:ascii="宋体" w:hAnsi="宋体"/>
      <w:sz w:val="24"/>
    </w:rPr>
  </w:style>
  <w:style w:type="character" w:customStyle="1" w:styleId="aff6">
    <w:name w:val="脚注文本 字符"/>
    <w:link w:val="aff5"/>
    <w:semiHidden/>
    <w:qFormat/>
    <w:locked/>
    <w:rPr>
      <w:rFonts w:ascii="宋体" w:hAnsi="宋体"/>
      <w:sz w:val="18"/>
      <w:szCs w:val="18"/>
    </w:rPr>
  </w:style>
  <w:style w:type="character" w:customStyle="1" w:styleId="Charff0">
    <w:name w:val="小表右 Char"/>
    <w:link w:val="afffffff3"/>
    <w:qFormat/>
    <w:locked/>
    <w:rPr>
      <w:rFonts w:ascii="宋体" w:hAnsi="宋体"/>
    </w:rPr>
  </w:style>
  <w:style w:type="paragraph" w:customStyle="1" w:styleId="afffffff3">
    <w:name w:val="小表右"/>
    <w:basedOn w:val="a"/>
    <w:link w:val="Charff0"/>
    <w:qFormat/>
    <w:pPr>
      <w:keepNext/>
      <w:tabs>
        <w:tab w:val="left" w:pos="719"/>
        <w:tab w:val="left" w:pos="3156"/>
        <w:tab w:val="left" w:pos="4105"/>
        <w:tab w:val="left" w:pos="5054"/>
        <w:tab w:val="left" w:pos="6003"/>
        <w:tab w:val="left" w:pos="7183"/>
        <w:tab w:val="left" w:pos="8159"/>
        <w:tab w:val="left" w:pos="9312"/>
        <w:tab w:val="left" w:pos="10261"/>
        <w:tab w:val="left" w:pos="11210"/>
        <w:tab w:val="left" w:pos="12159"/>
        <w:tab w:val="left" w:pos="13108"/>
        <w:tab w:val="left" w:pos="14057"/>
        <w:tab w:val="left" w:pos="15006"/>
        <w:tab w:val="left" w:pos="15955"/>
        <w:tab w:val="left" w:pos="16904"/>
        <w:tab w:val="left" w:pos="17853"/>
        <w:tab w:val="left" w:pos="18802"/>
        <w:tab w:val="left" w:pos="19751"/>
        <w:tab w:val="left" w:pos="20700"/>
      </w:tabs>
      <w:adjustRightInd w:val="0"/>
      <w:snapToGrid w:val="0"/>
      <w:spacing w:line="240" w:lineRule="atLeast"/>
      <w:ind w:rightChars="10" w:right="10" w:firstLineChars="0" w:firstLine="0"/>
      <w:jc w:val="right"/>
      <w:textAlignment w:val="auto"/>
    </w:pPr>
    <w:rPr>
      <w:rFonts w:ascii="宋体" w:hAnsi="宋体"/>
      <w:sz w:val="20"/>
    </w:rPr>
  </w:style>
  <w:style w:type="character" w:customStyle="1" w:styleId="HTML0">
    <w:name w:val="HTML 地址 字符"/>
    <w:link w:val="HTML"/>
    <w:qFormat/>
    <w:locked/>
    <w:rPr>
      <w:rFonts w:ascii="Courier New" w:hAnsi="Courier New" w:cs="Courier New"/>
    </w:rPr>
  </w:style>
  <w:style w:type="character" w:customStyle="1" w:styleId="aa">
    <w:name w:val="题注 字符"/>
    <w:link w:val="a9"/>
    <w:qFormat/>
    <w:rPr>
      <w:rFonts w:ascii="Arial" w:hAnsi="Arial" w:cs="Arial"/>
      <w:b/>
      <w:snapToGrid w:val="0"/>
      <w:sz w:val="24"/>
      <w:szCs w:val="24"/>
    </w:rPr>
  </w:style>
  <w:style w:type="character" w:customStyle="1" w:styleId="Charff1">
    <w:name w:val="正文格式 Char"/>
    <w:link w:val="afffffff4"/>
    <w:semiHidden/>
    <w:qFormat/>
    <w:locked/>
    <w:rPr>
      <w:rFonts w:ascii="宋体" w:hAnsi="宋体" w:cs="宋体"/>
      <w:sz w:val="24"/>
      <w:szCs w:val="24"/>
    </w:rPr>
  </w:style>
  <w:style w:type="paragraph" w:customStyle="1" w:styleId="afffffff4">
    <w:name w:val="正文格式"/>
    <w:basedOn w:val="a"/>
    <w:link w:val="Charff1"/>
    <w:semiHidden/>
    <w:qFormat/>
    <w:pPr>
      <w:ind w:firstLine="544"/>
      <w:jc w:val="both"/>
      <w:textAlignment w:val="auto"/>
    </w:pPr>
    <w:rPr>
      <w:rFonts w:ascii="宋体" w:hAnsi="宋体" w:cs="宋体"/>
      <w:sz w:val="24"/>
      <w:szCs w:val="24"/>
    </w:rPr>
  </w:style>
  <w:style w:type="character" w:customStyle="1" w:styleId="1Char2">
    <w:name w:val="表头1 Char"/>
    <w:link w:val="1f1"/>
    <w:qFormat/>
    <w:locked/>
    <w:rPr>
      <w:rFonts w:ascii="黑体" w:eastAsia="黑体"/>
      <w:szCs w:val="28"/>
    </w:rPr>
  </w:style>
  <w:style w:type="paragraph" w:customStyle="1" w:styleId="1f1">
    <w:name w:val="表头1"/>
    <w:basedOn w:val="a"/>
    <w:next w:val="a"/>
    <w:link w:val="1Char2"/>
    <w:qFormat/>
    <w:pPr>
      <w:tabs>
        <w:tab w:val="left" w:pos="605"/>
      </w:tabs>
      <w:adjustRightInd w:val="0"/>
      <w:snapToGrid w:val="0"/>
      <w:spacing w:line="240" w:lineRule="auto"/>
      <w:ind w:firstLineChars="0" w:firstLine="0"/>
      <w:jc w:val="center"/>
      <w:textAlignment w:val="auto"/>
    </w:pPr>
    <w:rPr>
      <w:rFonts w:ascii="黑体" w:eastAsia="黑体"/>
      <w:sz w:val="20"/>
      <w:szCs w:val="28"/>
    </w:rPr>
  </w:style>
  <w:style w:type="character" w:customStyle="1" w:styleId="0-4Char">
    <w:name w:val="0-4 Char"/>
    <w:link w:val="0-4"/>
    <w:qFormat/>
    <w:locked/>
    <w:rPr>
      <w:rFonts w:ascii="宋体" w:hAnsi="宋体" w:cs="宋体"/>
      <w:color w:val="FF0000"/>
      <w:sz w:val="24"/>
      <w:szCs w:val="24"/>
    </w:rPr>
  </w:style>
  <w:style w:type="paragraph" w:customStyle="1" w:styleId="0-4">
    <w:name w:val="0-4"/>
    <w:basedOn w:val="a"/>
    <w:link w:val="0-4Char"/>
    <w:qFormat/>
    <w:pPr>
      <w:ind w:firstLine="480"/>
      <w:jc w:val="both"/>
      <w:textAlignment w:val="auto"/>
    </w:pPr>
    <w:rPr>
      <w:rFonts w:ascii="宋体" w:hAnsi="宋体" w:cs="宋体"/>
      <w:color w:val="FF0000"/>
      <w:sz w:val="24"/>
      <w:szCs w:val="24"/>
    </w:rPr>
  </w:style>
  <w:style w:type="character" w:customStyle="1" w:styleId="afffffff5">
    <w:name w:val="明显引用 字符"/>
    <w:link w:val="afffffff6"/>
    <w:qFormat/>
    <w:locked/>
    <w:rPr>
      <w:rFonts w:ascii="宋体" w:hAnsi="宋体"/>
      <w:b/>
      <w:bCs/>
      <w:i/>
      <w:iCs/>
      <w:color w:val="4F81BD"/>
      <w:szCs w:val="24"/>
    </w:rPr>
  </w:style>
  <w:style w:type="paragraph" w:styleId="afffffff6">
    <w:name w:val="Intense Quote"/>
    <w:basedOn w:val="a"/>
    <w:next w:val="a"/>
    <w:link w:val="afffffff5"/>
    <w:qFormat/>
    <w:pPr>
      <w:pBdr>
        <w:bottom w:val="single" w:sz="4" w:space="4" w:color="4F81BD"/>
      </w:pBdr>
      <w:spacing w:before="200" w:after="280" w:line="240" w:lineRule="auto"/>
      <w:ind w:left="936" w:right="936" w:firstLineChars="0" w:firstLine="0"/>
      <w:jc w:val="both"/>
      <w:textAlignment w:val="auto"/>
    </w:pPr>
    <w:rPr>
      <w:rFonts w:ascii="宋体" w:hAnsi="宋体"/>
      <w:b/>
      <w:bCs/>
      <w:i/>
      <w:iCs/>
      <w:color w:val="4F81BD"/>
      <w:sz w:val="20"/>
      <w:szCs w:val="24"/>
    </w:rPr>
  </w:style>
  <w:style w:type="character" w:customStyle="1" w:styleId="2Char11">
    <w:name w:val="样式 正文文本 + 首行缩进:  2 字符 Char1"/>
    <w:link w:val="2f3"/>
    <w:qFormat/>
    <w:locked/>
    <w:rPr>
      <w:rFonts w:ascii="黑体" w:eastAsia="黑体" w:hAnsi="黑体"/>
      <w:b/>
      <w:sz w:val="24"/>
    </w:rPr>
  </w:style>
  <w:style w:type="paragraph" w:customStyle="1" w:styleId="2f3">
    <w:name w:val="样式 正文文本 + 首行缩进:  2 字符"/>
    <w:basedOn w:val="af2"/>
    <w:link w:val="2Char11"/>
    <w:qFormat/>
    <w:pPr>
      <w:spacing w:after="0" w:line="540" w:lineRule="exact"/>
      <w:ind w:firstLineChars="0" w:firstLine="0"/>
      <w:jc w:val="center"/>
      <w:textAlignment w:val="auto"/>
    </w:pPr>
    <w:rPr>
      <w:rFonts w:ascii="黑体" w:eastAsia="黑体" w:hAnsi="黑体"/>
      <w:b/>
      <w:sz w:val="24"/>
    </w:rPr>
  </w:style>
  <w:style w:type="character" w:customStyle="1" w:styleId="Charff2">
    <w:name w:val="【表头】 Char"/>
    <w:link w:val="afffffff7"/>
    <w:qFormat/>
    <w:locked/>
    <w:rPr>
      <w:rFonts w:eastAsia="黑体"/>
      <w:b/>
      <w:szCs w:val="24"/>
    </w:rPr>
  </w:style>
  <w:style w:type="paragraph" w:customStyle="1" w:styleId="afffffff7">
    <w:name w:val="【表头】"/>
    <w:basedOn w:val="a"/>
    <w:link w:val="Charff2"/>
    <w:qFormat/>
    <w:pPr>
      <w:spacing w:beforeLines="10" w:afterLines="10" w:line="240" w:lineRule="auto"/>
      <w:ind w:firstLineChars="0" w:firstLine="0"/>
      <w:jc w:val="center"/>
      <w:textAlignment w:val="auto"/>
    </w:pPr>
    <w:rPr>
      <w:rFonts w:eastAsia="黑体"/>
      <w:b/>
      <w:sz w:val="20"/>
      <w:szCs w:val="24"/>
    </w:rPr>
  </w:style>
  <w:style w:type="character" w:customStyle="1" w:styleId="aff3">
    <w:name w:val="副标题 字符"/>
    <w:link w:val="aff2"/>
    <w:qFormat/>
    <w:locked/>
    <w:rPr>
      <w:rFonts w:ascii="Arial" w:hAnsi="Arial" w:cs="Arial"/>
      <w:b/>
      <w:bCs/>
      <w:kern w:val="28"/>
      <w:sz w:val="32"/>
      <w:szCs w:val="32"/>
    </w:rPr>
  </w:style>
  <w:style w:type="character" w:customStyle="1" w:styleId="Charff3">
    <w:name w:val="三级标题 Char"/>
    <w:link w:val="311"/>
    <w:qFormat/>
    <w:rPr>
      <w:rFonts w:eastAsia="黑体"/>
      <w:b/>
      <w:sz w:val="28"/>
      <w:szCs w:val="24"/>
    </w:rPr>
  </w:style>
  <w:style w:type="paragraph" w:customStyle="1" w:styleId="311">
    <w:name w:val="标题 31"/>
    <w:basedOn w:val="a"/>
    <w:next w:val="a"/>
    <w:link w:val="Charff3"/>
    <w:qFormat/>
    <w:pPr>
      <w:keepNext/>
      <w:keepLines/>
      <w:spacing w:before="260" w:after="260" w:line="416" w:lineRule="auto"/>
      <w:ind w:firstLineChars="0" w:firstLine="0"/>
      <w:jc w:val="both"/>
      <w:textAlignment w:val="auto"/>
      <w:outlineLvl w:val="2"/>
    </w:pPr>
    <w:rPr>
      <w:rFonts w:eastAsia="黑体"/>
      <w:b/>
      <w:szCs w:val="24"/>
    </w:rPr>
  </w:style>
  <w:style w:type="character" w:customStyle="1" w:styleId="2Char2">
    <w:name w:val="样式 节正文 + 首行缩进:  2 字符 Char"/>
    <w:link w:val="2f4"/>
    <w:qFormat/>
    <w:locked/>
    <w:rPr>
      <w:rFonts w:ascii="宋体" w:hAnsi="宋体" w:cs="宋体"/>
      <w:sz w:val="24"/>
    </w:rPr>
  </w:style>
  <w:style w:type="paragraph" w:customStyle="1" w:styleId="2f4">
    <w:name w:val="样式 节正文 + 首行缩进:  2 字符"/>
    <w:basedOn w:val="a"/>
    <w:link w:val="2Char2"/>
    <w:qFormat/>
    <w:pPr>
      <w:autoSpaceDE w:val="0"/>
      <w:autoSpaceDN w:val="0"/>
      <w:adjustRightInd w:val="0"/>
      <w:spacing w:line="560" w:lineRule="exact"/>
      <w:ind w:firstLine="560"/>
      <w:jc w:val="both"/>
      <w:textAlignment w:val="auto"/>
    </w:pPr>
    <w:rPr>
      <w:rFonts w:ascii="宋体" w:hAnsi="宋体" w:cs="宋体"/>
      <w:sz w:val="24"/>
    </w:rPr>
  </w:style>
  <w:style w:type="character" w:customStyle="1" w:styleId="5Char0">
    <w:name w:val="样式5 Char"/>
    <w:link w:val="54"/>
    <w:qFormat/>
    <w:locked/>
    <w:rPr>
      <w:rFonts w:ascii="黑体" w:eastAsia="黑体"/>
      <w:bCs/>
      <w:sz w:val="24"/>
      <w:szCs w:val="24"/>
    </w:rPr>
  </w:style>
  <w:style w:type="paragraph" w:customStyle="1" w:styleId="54">
    <w:name w:val="样式5"/>
    <w:basedOn w:val="1d"/>
    <w:link w:val="5Char0"/>
    <w:qFormat/>
    <w:pPr>
      <w:widowControl/>
      <w:adjustRightInd/>
      <w:spacing w:line="580" w:lineRule="exact"/>
      <w:ind w:firstLineChars="300" w:firstLine="720"/>
      <w:textAlignment w:val="auto"/>
    </w:pPr>
    <w:rPr>
      <w:rFonts w:ascii="黑体" w:eastAsia="黑体"/>
      <w:bCs/>
      <w:spacing w:val="0"/>
      <w:sz w:val="24"/>
      <w:szCs w:val="24"/>
    </w:rPr>
  </w:style>
  <w:style w:type="character" w:customStyle="1" w:styleId="Charff4">
    <w:name w:val="大纲正文 Char"/>
    <w:link w:val="afffffff8"/>
    <w:qFormat/>
    <w:locked/>
    <w:rPr>
      <w:rFonts w:ascii="宋体" w:hAnsi="宋体" w:cs="宋体"/>
      <w:sz w:val="24"/>
      <w:szCs w:val="24"/>
    </w:rPr>
  </w:style>
  <w:style w:type="paragraph" w:customStyle="1" w:styleId="afffffff8">
    <w:name w:val="大纲正文"/>
    <w:basedOn w:val="a"/>
    <w:link w:val="Charff4"/>
    <w:qFormat/>
    <w:pPr>
      <w:widowControl/>
      <w:adjustRightInd w:val="0"/>
      <w:snapToGrid w:val="0"/>
      <w:spacing w:line="300" w:lineRule="auto"/>
      <w:ind w:firstLine="480"/>
      <w:jc w:val="both"/>
      <w:textAlignment w:val="auto"/>
    </w:pPr>
    <w:rPr>
      <w:rFonts w:ascii="宋体" w:hAnsi="宋体" w:cs="宋体"/>
      <w:sz w:val="24"/>
      <w:szCs w:val="24"/>
    </w:rPr>
  </w:style>
  <w:style w:type="character" w:customStyle="1" w:styleId="1CharChar3Char">
    <w:name w:val="正文缩进1 Char Char3 Char"/>
    <w:link w:val="1CharChar3"/>
    <w:qFormat/>
    <w:locked/>
    <w:rPr>
      <w:rFonts w:ascii="宋体" w:hAnsi="宋体" w:cs="宋体"/>
      <w:szCs w:val="24"/>
    </w:rPr>
  </w:style>
  <w:style w:type="paragraph" w:customStyle="1" w:styleId="1CharChar3">
    <w:name w:val="正文缩进1 Char Char3"/>
    <w:basedOn w:val="a0"/>
    <w:link w:val="1CharChar3Char"/>
    <w:qFormat/>
    <w:pPr>
      <w:spacing w:line="288" w:lineRule="auto"/>
      <w:ind w:firstLineChars="0" w:firstLine="0"/>
    </w:pPr>
    <w:rPr>
      <w:rFonts w:ascii="宋体" w:hAnsi="宋体" w:cs="宋体"/>
      <w:kern w:val="0"/>
      <w:sz w:val="20"/>
      <w:szCs w:val="24"/>
    </w:rPr>
  </w:style>
  <w:style w:type="character" w:customStyle="1" w:styleId="22CharChar">
    <w:name w:val="席雪萍正文22 Char Char"/>
    <w:link w:val="220"/>
    <w:qFormat/>
    <w:locked/>
    <w:rPr>
      <w:rFonts w:ascii="宋体" w:hAnsi="宋体" w:cs="宋体"/>
      <w:sz w:val="24"/>
      <w:szCs w:val="24"/>
    </w:rPr>
  </w:style>
  <w:style w:type="paragraph" w:customStyle="1" w:styleId="220">
    <w:name w:val="席雪萍正文22"/>
    <w:basedOn w:val="a"/>
    <w:link w:val="22CharChar"/>
    <w:qFormat/>
    <w:pPr>
      <w:autoSpaceDE w:val="0"/>
      <w:autoSpaceDN w:val="0"/>
      <w:adjustRightInd w:val="0"/>
      <w:ind w:firstLine="420"/>
      <w:textAlignment w:val="auto"/>
    </w:pPr>
    <w:rPr>
      <w:rFonts w:ascii="宋体" w:hAnsi="宋体" w:cs="宋体"/>
      <w:sz w:val="24"/>
      <w:szCs w:val="24"/>
    </w:rPr>
  </w:style>
  <w:style w:type="character" w:customStyle="1" w:styleId="CharChar8">
    <w:name w:val="级别二 Char Char"/>
    <w:link w:val="Charff5"/>
    <w:qFormat/>
    <w:locked/>
    <w:rPr>
      <w:rFonts w:ascii="黑体" w:eastAsia="黑体" w:hAnsi="黑体"/>
      <w:b/>
      <w:bCs/>
      <w:sz w:val="28"/>
    </w:rPr>
  </w:style>
  <w:style w:type="paragraph" w:customStyle="1" w:styleId="Charff5">
    <w:name w:val="级别二 Char"/>
    <w:basedOn w:val="27"/>
    <w:link w:val="CharChar8"/>
    <w:qFormat/>
    <w:pPr>
      <w:spacing w:line="520" w:lineRule="exact"/>
    </w:pPr>
    <w:rPr>
      <w:rFonts w:ascii="黑体" w:eastAsia="黑体" w:hAnsi="黑体"/>
      <w:b/>
      <w:bCs/>
      <w:kern w:val="0"/>
    </w:rPr>
  </w:style>
  <w:style w:type="character" w:customStyle="1" w:styleId="a6">
    <w:name w:val="注释标题 字符"/>
    <w:link w:val="a5"/>
    <w:qFormat/>
    <w:locked/>
    <w:rPr>
      <w:rFonts w:ascii="宋体" w:hAnsi="宋体"/>
      <w:szCs w:val="24"/>
    </w:rPr>
  </w:style>
  <w:style w:type="character" w:customStyle="1" w:styleId="Char2Char">
    <w:name w:val="正文首行缩进 Char2 Char"/>
    <w:link w:val="1f2"/>
    <w:qFormat/>
    <w:rPr>
      <w:sz w:val="24"/>
    </w:rPr>
  </w:style>
  <w:style w:type="paragraph" w:customStyle="1" w:styleId="1f2">
    <w:name w:val="正文首行缩进1"/>
    <w:basedOn w:val="af2"/>
    <w:link w:val="Char2Char"/>
    <w:qFormat/>
    <w:pPr>
      <w:spacing w:line="240" w:lineRule="auto"/>
      <w:ind w:firstLineChars="100" w:firstLine="420"/>
      <w:jc w:val="both"/>
      <w:textAlignment w:val="auto"/>
    </w:pPr>
    <w:rPr>
      <w:sz w:val="24"/>
    </w:rPr>
  </w:style>
  <w:style w:type="character" w:customStyle="1" w:styleId="ohzChar">
    <w:name w:val="ohz正文 Char"/>
    <w:link w:val="ohz"/>
    <w:qFormat/>
    <w:locked/>
    <w:rPr>
      <w:rFonts w:ascii="宋体" w:hAnsi="宋体"/>
      <w:sz w:val="24"/>
    </w:rPr>
  </w:style>
  <w:style w:type="paragraph" w:customStyle="1" w:styleId="ohz">
    <w:name w:val="ohz正文"/>
    <w:basedOn w:val="a"/>
    <w:link w:val="ohzChar"/>
    <w:qFormat/>
    <w:pPr>
      <w:jc w:val="both"/>
      <w:textAlignment w:val="auto"/>
    </w:pPr>
    <w:rPr>
      <w:rFonts w:ascii="宋体" w:hAnsi="宋体"/>
      <w:sz w:val="24"/>
    </w:rPr>
  </w:style>
  <w:style w:type="character" w:customStyle="1" w:styleId="Charff6">
    <w:name w:val="小表中 Char"/>
    <w:link w:val="afffffff9"/>
    <w:qFormat/>
    <w:locked/>
    <w:rPr>
      <w:rFonts w:ascii="宋体" w:hAnsi="宋体"/>
    </w:rPr>
  </w:style>
  <w:style w:type="paragraph" w:customStyle="1" w:styleId="afffffff9">
    <w:name w:val="小表中"/>
    <w:basedOn w:val="a"/>
    <w:link w:val="Charff6"/>
    <w:qFormat/>
    <w:pPr>
      <w:keepNext/>
      <w:tabs>
        <w:tab w:val="left" w:pos="1769"/>
      </w:tabs>
      <w:adjustRightInd w:val="0"/>
      <w:snapToGrid w:val="0"/>
      <w:spacing w:line="240" w:lineRule="atLeast"/>
      <w:ind w:firstLineChars="0" w:firstLine="0"/>
      <w:jc w:val="center"/>
      <w:textAlignment w:val="auto"/>
    </w:pPr>
    <w:rPr>
      <w:rFonts w:ascii="宋体" w:hAnsi="宋体"/>
      <w:sz w:val="20"/>
    </w:rPr>
  </w:style>
  <w:style w:type="character" w:customStyle="1" w:styleId="Charff7">
    <w:name w:val="节正文 Char"/>
    <w:link w:val="afffffffa"/>
    <w:qFormat/>
    <w:locked/>
    <w:rPr>
      <w:rFonts w:ascii="宋体" w:hAnsi="宋体"/>
      <w:sz w:val="24"/>
    </w:rPr>
  </w:style>
  <w:style w:type="paragraph" w:customStyle="1" w:styleId="afffffffa">
    <w:name w:val="节正文"/>
    <w:basedOn w:val="a"/>
    <w:link w:val="Charff7"/>
    <w:qFormat/>
    <w:pPr>
      <w:autoSpaceDE w:val="0"/>
      <w:autoSpaceDN w:val="0"/>
      <w:adjustRightInd w:val="0"/>
      <w:spacing w:line="480" w:lineRule="exact"/>
      <w:jc w:val="both"/>
      <w:textAlignment w:val="auto"/>
    </w:pPr>
    <w:rPr>
      <w:rFonts w:ascii="宋体" w:hAnsi="宋体"/>
      <w:sz w:val="24"/>
    </w:rPr>
  </w:style>
  <w:style w:type="character" w:customStyle="1" w:styleId="821Char">
    <w:name w:val="图录821 Char"/>
    <w:link w:val="821"/>
    <w:qFormat/>
    <w:locked/>
    <w:rPr>
      <w:rFonts w:ascii="宋体" w:hAnsi="宋体"/>
      <w:b/>
      <w:szCs w:val="21"/>
    </w:rPr>
  </w:style>
  <w:style w:type="paragraph" w:customStyle="1" w:styleId="821">
    <w:name w:val="图录821"/>
    <w:basedOn w:val="a"/>
    <w:link w:val="821Char"/>
    <w:qFormat/>
    <w:pPr>
      <w:spacing w:line="240" w:lineRule="auto"/>
      <w:ind w:firstLineChars="0" w:firstLine="0"/>
      <w:jc w:val="center"/>
      <w:textAlignment w:val="auto"/>
    </w:pPr>
    <w:rPr>
      <w:rFonts w:ascii="宋体" w:hAnsi="宋体"/>
      <w:b/>
      <w:sz w:val="20"/>
      <w:szCs w:val="21"/>
    </w:rPr>
  </w:style>
  <w:style w:type="character" w:customStyle="1" w:styleId="Charff8">
    <w:name w:val="图表标题 Char"/>
    <w:link w:val="afffffffb"/>
    <w:qFormat/>
    <w:locked/>
    <w:rPr>
      <w:rFonts w:ascii="黑体" w:eastAsia="黑体"/>
      <w:b/>
      <w:color w:val="000000"/>
      <w:sz w:val="24"/>
      <w:szCs w:val="21"/>
    </w:rPr>
  </w:style>
  <w:style w:type="paragraph" w:customStyle="1" w:styleId="afffffffb">
    <w:name w:val="图表标题"/>
    <w:basedOn w:val="a"/>
    <w:link w:val="Charff8"/>
    <w:qFormat/>
    <w:pPr>
      <w:adjustRightInd w:val="0"/>
      <w:snapToGrid w:val="0"/>
      <w:ind w:firstLineChars="0" w:firstLine="0"/>
      <w:jc w:val="center"/>
      <w:textAlignment w:val="auto"/>
    </w:pPr>
    <w:rPr>
      <w:rFonts w:ascii="黑体" w:eastAsia="黑体"/>
      <w:b/>
      <w:color w:val="000000"/>
      <w:sz w:val="24"/>
      <w:szCs w:val="21"/>
    </w:rPr>
  </w:style>
  <w:style w:type="character" w:customStyle="1" w:styleId="af1">
    <w:name w:val="结束语 字符"/>
    <w:link w:val="af0"/>
    <w:qFormat/>
    <w:locked/>
    <w:rPr>
      <w:rFonts w:ascii="宋体" w:hAnsi="宋体"/>
      <w:szCs w:val="24"/>
    </w:rPr>
  </w:style>
  <w:style w:type="character" w:customStyle="1" w:styleId="aff8">
    <w:name w:val="信息标题 字符"/>
    <w:link w:val="aff7"/>
    <w:qFormat/>
    <w:locked/>
    <w:rPr>
      <w:rFonts w:ascii="Arial" w:hAnsi="Arial" w:cs="Arial"/>
      <w:sz w:val="24"/>
      <w:szCs w:val="24"/>
      <w:shd w:val="pct20" w:color="auto" w:fill="auto"/>
    </w:rPr>
  </w:style>
  <w:style w:type="character" w:customStyle="1" w:styleId="1f3">
    <w:name w:val="电子邮件签名 字符1"/>
    <w:basedOn w:val="a1"/>
    <w:semiHidden/>
    <w:qFormat/>
    <w:rPr>
      <w:sz w:val="28"/>
    </w:rPr>
  </w:style>
  <w:style w:type="character" w:customStyle="1" w:styleId="1f4">
    <w:name w:val="信息标题 字符1"/>
    <w:basedOn w:val="a1"/>
    <w:qFormat/>
    <w:rPr>
      <w:rFonts w:asciiTheme="majorHAnsi" w:eastAsiaTheme="majorEastAsia" w:hAnsiTheme="majorHAnsi" w:cstheme="majorBidi"/>
      <w:sz w:val="24"/>
      <w:szCs w:val="24"/>
      <w:shd w:val="pct20" w:color="auto" w:fill="auto"/>
    </w:rPr>
  </w:style>
  <w:style w:type="character" w:customStyle="1" w:styleId="1f5">
    <w:name w:val="结束语 字符1"/>
    <w:basedOn w:val="a1"/>
    <w:semiHidden/>
    <w:qFormat/>
    <w:rPr>
      <w:sz w:val="28"/>
    </w:rPr>
  </w:style>
  <w:style w:type="character" w:customStyle="1" w:styleId="HTML10">
    <w:name w:val="HTML 地址 字符1"/>
    <w:basedOn w:val="a1"/>
    <w:semiHidden/>
    <w:qFormat/>
    <w:rPr>
      <w:i/>
      <w:iCs/>
      <w:sz w:val="28"/>
    </w:rPr>
  </w:style>
  <w:style w:type="character" w:customStyle="1" w:styleId="1f6">
    <w:name w:val="副标题 字符1"/>
    <w:basedOn w:val="a1"/>
    <w:qFormat/>
    <w:rPr>
      <w:rFonts w:asciiTheme="minorHAnsi" w:eastAsiaTheme="minorEastAsia" w:hAnsiTheme="minorHAnsi" w:cstheme="minorBidi"/>
      <w:b/>
      <w:bCs/>
      <w:kern w:val="28"/>
      <w:sz w:val="32"/>
      <w:szCs w:val="32"/>
    </w:rPr>
  </w:style>
  <w:style w:type="character" w:customStyle="1" w:styleId="1f7">
    <w:name w:val="注释标题 字符1"/>
    <w:basedOn w:val="a1"/>
    <w:semiHidden/>
    <w:qFormat/>
    <w:rPr>
      <w:sz w:val="28"/>
    </w:rPr>
  </w:style>
  <w:style w:type="character" w:customStyle="1" w:styleId="1f8">
    <w:name w:val="脚注文本 字符1"/>
    <w:basedOn w:val="a1"/>
    <w:semiHidden/>
    <w:qFormat/>
    <w:rPr>
      <w:sz w:val="18"/>
      <w:szCs w:val="18"/>
    </w:rPr>
  </w:style>
  <w:style w:type="character" w:customStyle="1" w:styleId="1f9">
    <w:name w:val="签名 字符1"/>
    <w:basedOn w:val="a1"/>
    <w:semiHidden/>
    <w:qFormat/>
    <w:rPr>
      <w:sz w:val="28"/>
    </w:rPr>
  </w:style>
  <w:style w:type="character" w:customStyle="1" w:styleId="1fa">
    <w:name w:val="明显引用 字符1"/>
    <w:basedOn w:val="a1"/>
    <w:uiPriority w:val="99"/>
    <w:qFormat/>
    <w:rPr>
      <w:i/>
      <w:iCs/>
      <w:color w:val="4F81BD" w:themeColor="accent1"/>
      <w:sz w:val="28"/>
    </w:rPr>
  </w:style>
  <w:style w:type="paragraph" w:customStyle="1" w:styleId="afffffffc">
    <w:name w:val="表格文本"/>
    <w:basedOn w:val="a"/>
    <w:link w:val="Charff9"/>
    <w:qFormat/>
    <w:pPr>
      <w:snapToGrid w:val="0"/>
      <w:ind w:firstLineChars="0" w:firstLine="0"/>
      <w:jc w:val="center"/>
    </w:pPr>
    <w:rPr>
      <w:snapToGrid w:val="0"/>
      <w:sz w:val="21"/>
      <w:szCs w:val="21"/>
    </w:rPr>
  </w:style>
  <w:style w:type="character" w:customStyle="1" w:styleId="Charff9">
    <w:name w:val="表格文本 Char"/>
    <w:link w:val="afffffffc"/>
    <w:qFormat/>
    <w:rPr>
      <w:snapToGrid w:val="0"/>
      <w:sz w:val="21"/>
      <w:szCs w:val="21"/>
    </w:rPr>
  </w:style>
  <w:style w:type="paragraph" w:customStyle="1" w:styleId="TimesNewRoman08522">
    <w:name w:val="样式 Times New Roman 两端对齐 首行缩进:  0.85 厘米 行距: 固定值 22 磅"/>
    <w:basedOn w:val="a"/>
    <w:uiPriority w:val="99"/>
    <w:qFormat/>
    <w:pPr>
      <w:widowControl/>
      <w:spacing w:line="440" w:lineRule="exact"/>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hyperlink" Target="http://kjs.mep.gov.cn/hjbhbz/bzwb/other/hjbhgc/201212/W020121231388626474080.pdf" TargetMode="External"/><Relationship Id="rId117" Type="http://schemas.openxmlformats.org/officeDocument/2006/relationships/image" Target="media/image67.emf"/><Relationship Id="rId21" Type="http://schemas.openxmlformats.org/officeDocument/2006/relationships/oleObject" Target="embeddings/oleObject1.bin"/><Relationship Id="rId42" Type="http://schemas.openxmlformats.org/officeDocument/2006/relationships/footer" Target="footer8.xml"/><Relationship Id="rId47" Type="http://schemas.openxmlformats.org/officeDocument/2006/relationships/chart" Target="charts/chart1.xml"/><Relationship Id="rId63" Type="http://schemas.openxmlformats.org/officeDocument/2006/relationships/image" Target="media/image29.wmf"/><Relationship Id="rId68" Type="http://schemas.openxmlformats.org/officeDocument/2006/relationships/image" Target="media/image34.png"/><Relationship Id="rId84" Type="http://schemas.openxmlformats.org/officeDocument/2006/relationships/image" Target="media/image46.png"/><Relationship Id="rId89" Type="http://schemas.openxmlformats.org/officeDocument/2006/relationships/image" Target="media/image49.png"/><Relationship Id="rId112" Type="http://schemas.openxmlformats.org/officeDocument/2006/relationships/image" Target="media/image63.png"/><Relationship Id="rId16" Type="http://schemas.openxmlformats.org/officeDocument/2006/relationships/header" Target="header4.xml"/><Relationship Id="rId107" Type="http://schemas.openxmlformats.org/officeDocument/2006/relationships/image" Target="media/image60.wmf"/><Relationship Id="rId11" Type="http://schemas.openxmlformats.org/officeDocument/2006/relationships/footer" Target="footer1.xml"/><Relationship Id="rId32" Type="http://schemas.openxmlformats.org/officeDocument/2006/relationships/image" Target="media/image10.png"/><Relationship Id="rId37" Type="http://schemas.openxmlformats.org/officeDocument/2006/relationships/image" Target="media/image13.png"/><Relationship Id="rId53" Type="http://schemas.openxmlformats.org/officeDocument/2006/relationships/image" Target="media/image23.png"/><Relationship Id="rId58" Type="http://schemas.openxmlformats.org/officeDocument/2006/relationships/footer" Target="footer14.xml"/><Relationship Id="rId74" Type="http://schemas.openxmlformats.org/officeDocument/2006/relationships/image" Target="media/image38.wmf"/><Relationship Id="rId79" Type="http://schemas.openxmlformats.org/officeDocument/2006/relationships/image" Target="media/image41.png"/><Relationship Id="rId102" Type="http://schemas.openxmlformats.org/officeDocument/2006/relationships/oleObject" Target="embeddings/oleObject13.bin"/><Relationship Id="rId123" Type="http://schemas.openxmlformats.org/officeDocument/2006/relationships/image" Target="media/image72.png"/><Relationship Id="rId5" Type="http://schemas.openxmlformats.org/officeDocument/2006/relationships/settings" Target="settings.xml"/><Relationship Id="rId90" Type="http://schemas.openxmlformats.org/officeDocument/2006/relationships/image" Target="media/image50.wmf"/><Relationship Id="rId95" Type="http://schemas.openxmlformats.org/officeDocument/2006/relationships/image" Target="media/image53.wmf"/><Relationship Id="rId1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4.png"/><Relationship Id="rId27" Type="http://schemas.openxmlformats.org/officeDocument/2006/relationships/footer" Target="footer6.xml"/><Relationship Id="rId30" Type="http://schemas.openxmlformats.org/officeDocument/2006/relationships/image" Target="media/image8.png"/><Relationship Id="rId35" Type="http://schemas.openxmlformats.org/officeDocument/2006/relationships/oleObject" Target="embeddings/oleObject2.bin"/><Relationship Id="rId43" Type="http://schemas.openxmlformats.org/officeDocument/2006/relationships/image" Target="media/image18.png"/><Relationship Id="rId48" Type="http://schemas.openxmlformats.org/officeDocument/2006/relationships/image" Target="media/image21.jpeg"/><Relationship Id="rId56" Type="http://schemas.openxmlformats.org/officeDocument/2006/relationships/image" Target="media/image25.emf"/><Relationship Id="rId64" Type="http://schemas.openxmlformats.org/officeDocument/2006/relationships/image" Target="media/image30.wmf"/><Relationship Id="rId69" Type="http://schemas.openxmlformats.org/officeDocument/2006/relationships/image" Target="media/image35.png"/><Relationship Id="rId77" Type="http://schemas.openxmlformats.org/officeDocument/2006/relationships/oleObject" Target="embeddings/oleObject5.bin"/><Relationship Id="rId100" Type="http://schemas.openxmlformats.org/officeDocument/2006/relationships/oleObject" Target="embeddings/oleObject12.bin"/><Relationship Id="rId105" Type="http://schemas.openxmlformats.org/officeDocument/2006/relationships/image" Target="media/image59.wmf"/><Relationship Id="rId113" Type="http://schemas.openxmlformats.org/officeDocument/2006/relationships/image" Target="media/image64.png"/><Relationship Id="rId118" Type="http://schemas.openxmlformats.org/officeDocument/2006/relationships/oleObject" Target="embeddings/oleObject17.bin"/><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footer" Target="footer11.xml"/><Relationship Id="rId72" Type="http://schemas.openxmlformats.org/officeDocument/2006/relationships/image" Target="media/image37.wmf"/><Relationship Id="rId80" Type="http://schemas.openxmlformats.org/officeDocument/2006/relationships/image" Target="media/image42.png"/><Relationship Id="rId85" Type="http://schemas.openxmlformats.org/officeDocument/2006/relationships/image" Target="media/image47.wmf"/><Relationship Id="rId93" Type="http://schemas.openxmlformats.org/officeDocument/2006/relationships/image" Target="media/image52.wmf"/><Relationship Id="rId98" Type="http://schemas.openxmlformats.org/officeDocument/2006/relationships/oleObject" Target="embeddings/oleObject11.bin"/><Relationship Id="rId121" Type="http://schemas.openxmlformats.org/officeDocument/2006/relationships/image" Target="media/image70.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6.jpeg"/><Relationship Id="rId33" Type="http://schemas.openxmlformats.org/officeDocument/2006/relationships/image" Target="media/image11.png"/><Relationship Id="rId38" Type="http://schemas.openxmlformats.org/officeDocument/2006/relationships/image" Target="media/image14.png"/><Relationship Id="rId46" Type="http://schemas.openxmlformats.org/officeDocument/2006/relationships/image" Target="media/image20.png"/><Relationship Id="rId59" Type="http://schemas.openxmlformats.org/officeDocument/2006/relationships/footer" Target="footer15.xml"/><Relationship Id="rId67" Type="http://schemas.openxmlformats.org/officeDocument/2006/relationships/image" Target="media/image33.png"/><Relationship Id="rId103" Type="http://schemas.openxmlformats.org/officeDocument/2006/relationships/image" Target="media/image57.png"/><Relationship Id="rId108" Type="http://schemas.openxmlformats.org/officeDocument/2006/relationships/oleObject" Target="embeddings/oleObject15.bin"/><Relationship Id="rId116" Type="http://schemas.openxmlformats.org/officeDocument/2006/relationships/image" Target="media/image66.png"/><Relationship Id="rId124" Type="http://schemas.openxmlformats.org/officeDocument/2006/relationships/footer" Target="footer17.xml"/><Relationship Id="rId20" Type="http://schemas.openxmlformats.org/officeDocument/2006/relationships/image" Target="media/image3.wmf"/><Relationship Id="rId41" Type="http://schemas.openxmlformats.org/officeDocument/2006/relationships/image" Target="media/image17.png"/><Relationship Id="rId54" Type="http://schemas.openxmlformats.org/officeDocument/2006/relationships/footer" Target="footer13.xml"/><Relationship Id="rId62" Type="http://schemas.openxmlformats.org/officeDocument/2006/relationships/image" Target="media/image28.png"/><Relationship Id="rId70" Type="http://schemas.openxmlformats.org/officeDocument/2006/relationships/chart" Target="charts/chart3.xml"/><Relationship Id="rId75" Type="http://schemas.openxmlformats.org/officeDocument/2006/relationships/oleObject" Target="embeddings/oleObject4.bin"/><Relationship Id="rId83" Type="http://schemas.openxmlformats.org/officeDocument/2006/relationships/image" Target="media/image45.png"/><Relationship Id="rId88" Type="http://schemas.openxmlformats.org/officeDocument/2006/relationships/oleObject" Target="embeddings/oleObject7.bin"/><Relationship Id="rId91" Type="http://schemas.openxmlformats.org/officeDocument/2006/relationships/oleObject" Target="embeddings/oleObject8.bin"/><Relationship Id="rId96" Type="http://schemas.openxmlformats.org/officeDocument/2006/relationships/oleObject" Target="embeddings/oleObject10.bin"/><Relationship Id="rId111" Type="http://schemas.openxmlformats.org/officeDocument/2006/relationships/oleObject" Target="embeddings/oleObject16.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baike.baidu.com/view/8140.htm" TargetMode="External"/><Relationship Id="rId23" Type="http://schemas.openxmlformats.org/officeDocument/2006/relationships/image" Target="media/image5.jpeg"/><Relationship Id="rId28" Type="http://schemas.openxmlformats.org/officeDocument/2006/relationships/image" Target="media/image7.emf"/><Relationship Id="rId36" Type="http://schemas.openxmlformats.org/officeDocument/2006/relationships/footer" Target="footer7.xml"/><Relationship Id="rId49" Type="http://schemas.openxmlformats.org/officeDocument/2006/relationships/footer" Target="footer10.xml"/><Relationship Id="rId57" Type="http://schemas.openxmlformats.org/officeDocument/2006/relationships/chart" Target="charts/chart2.xml"/><Relationship Id="rId106" Type="http://schemas.openxmlformats.org/officeDocument/2006/relationships/oleObject" Target="embeddings/oleObject14.bin"/><Relationship Id="rId114" Type="http://schemas.openxmlformats.org/officeDocument/2006/relationships/image" Target="media/image65.png"/><Relationship Id="rId119" Type="http://schemas.openxmlformats.org/officeDocument/2006/relationships/image" Target="media/image68.png"/><Relationship Id="rId127"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9.png"/><Relationship Id="rId44" Type="http://schemas.openxmlformats.org/officeDocument/2006/relationships/footer" Target="footer9.xml"/><Relationship Id="rId52" Type="http://schemas.openxmlformats.org/officeDocument/2006/relationships/footer" Target="footer12.xml"/><Relationship Id="rId60" Type="http://schemas.openxmlformats.org/officeDocument/2006/relationships/image" Target="media/image26.wmf"/><Relationship Id="rId65" Type="http://schemas.openxmlformats.org/officeDocument/2006/relationships/image" Target="media/image31.wmf"/><Relationship Id="rId73" Type="http://schemas.openxmlformats.org/officeDocument/2006/relationships/oleObject" Target="embeddings/oleObject3.bin"/><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oleObject" Target="embeddings/oleObject6.bin"/><Relationship Id="rId94" Type="http://schemas.openxmlformats.org/officeDocument/2006/relationships/oleObject" Target="embeddings/oleObject9.bin"/><Relationship Id="rId99" Type="http://schemas.openxmlformats.org/officeDocument/2006/relationships/image" Target="media/image55.wmf"/><Relationship Id="rId101" Type="http://schemas.openxmlformats.org/officeDocument/2006/relationships/image" Target="media/image56.wmf"/><Relationship Id="rId122" Type="http://schemas.openxmlformats.org/officeDocument/2006/relationships/image" Target="media/image71.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1.wmf"/><Relationship Id="rId39" Type="http://schemas.openxmlformats.org/officeDocument/2006/relationships/image" Target="media/image15.png"/><Relationship Id="rId109" Type="http://schemas.openxmlformats.org/officeDocument/2006/relationships/image" Target="media/image61.emf"/><Relationship Id="rId34" Type="http://schemas.openxmlformats.org/officeDocument/2006/relationships/image" Target="media/image12.emf"/><Relationship Id="rId50" Type="http://schemas.openxmlformats.org/officeDocument/2006/relationships/image" Target="media/image22.png"/><Relationship Id="rId55" Type="http://schemas.openxmlformats.org/officeDocument/2006/relationships/image" Target="media/image24.emf"/><Relationship Id="rId76" Type="http://schemas.openxmlformats.org/officeDocument/2006/relationships/image" Target="media/image39.wmf"/><Relationship Id="rId97" Type="http://schemas.openxmlformats.org/officeDocument/2006/relationships/image" Target="media/image54.wmf"/><Relationship Id="rId104" Type="http://schemas.openxmlformats.org/officeDocument/2006/relationships/image" Target="media/image58.png"/><Relationship Id="rId120" Type="http://schemas.openxmlformats.org/officeDocument/2006/relationships/image" Target="media/image69.png"/><Relationship Id="rId125" Type="http://schemas.openxmlformats.org/officeDocument/2006/relationships/footer" Target="footer18.xml"/><Relationship Id="rId7" Type="http://schemas.openxmlformats.org/officeDocument/2006/relationships/footnotes" Target="footnotes.xml"/><Relationship Id="rId71" Type="http://schemas.openxmlformats.org/officeDocument/2006/relationships/image" Target="media/image36.png"/><Relationship Id="rId92" Type="http://schemas.openxmlformats.org/officeDocument/2006/relationships/image" Target="media/image51.png"/><Relationship Id="rId2" Type="http://schemas.openxmlformats.org/officeDocument/2006/relationships/customXml" Target="../customXml/item2.xml"/><Relationship Id="rId29" Type="http://schemas.openxmlformats.org/officeDocument/2006/relationships/hyperlink" Target="https://baike.baidu.com/item/Fe3O4" TargetMode="External"/><Relationship Id="rId24" Type="http://schemas.openxmlformats.org/officeDocument/2006/relationships/footer" Target="footer5.xml"/><Relationship Id="rId40" Type="http://schemas.openxmlformats.org/officeDocument/2006/relationships/image" Target="media/image16.png"/><Relationship Id="rId45" Type="http://schemas.openxmlformats.org/officeDocument/2006/relationships/image" Target="media/image19.png"/><Relationship Id="rId66" Type="http://schemas.openxmlformats.org/officeDocument/2006/relationships/image" Target="media/image32.png"/><Relationship Id="rId87" Type="http://schemas.openxmlformats.org/officeDocument/2006/relationships/image" Target="media/image48.wmf"/><Relationship Id="rId110" Type="http://schemas.openxmlformats.org/officeDocument/2006/relationships/image" Target="media/image62.wmf"/><Relationship Id="rId115" Type="http://schemas.openxmlformats.org/officeDocument/2006/relationships/footer" Target="footer16.xml"/><Relationship Id="rId61" Type="http://schemas.openxmlformats.org/officeDocument/2006/relationships/image" Target="media/image27.wmf"/><Relationship Id="rId82" Type="http://schemas.openxmlformats.org/officeDocument/2006/relationships/image" Target="media/image44.png"/></Relationships>
</file>

<file path=word/charts/_rels/chart1.xml.rels><?xml version="1.0" encoding="UTF-8" standalone="yes"?>
<Relationships xmlns="http://schemas.openxmlformats.org/package/2006/relationships"><Relationship Id="rId1" Type="http://schemas.openxmlformats.org/officeDocument/2006/relationships/oleObject" Target="file:///F:\2017-2018&#65288;2&#65289;&#27178;&#21521;&#39033;&#30446;\&#36981;&#21270;5&#20010;&#39033;&#30446;\32&#20010;&#20225;&#19994;&#21355;&#26143;&#28857;&#20301;\&#38477;&#27700;&#21644;&#33976;&#2145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Administrator\&#26700;&#38754;\&#26032;&#24314;&#25991;&#20214;&#22841;\1-6-1.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2017-2018&#65288;2&#65289;&#27178;&#21521;&#39033;&#30446;\&#36981;&#21270;5&#20010;&#39033;&#30446;\32&#20010;&#20225;&#19994;&#21355;&#26143;&#28857;&#20301;\&#38534;&#26207;&#30719;&#19994;&#25391;&#22269;\&#24314;&#26126;&#40857;&#31077;\&#25277;&#27700;&#35797;&#39564;&#35745;&#3163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5432852143482"/>
          <c:y val="7.9178331875182306E-2"/>
          <c:w val="0.74572134733158602"/>
          <c:h val="0.724150991542724"/>
        </c:manualLayout>
      </c:layout>
      <c:barChart>
        <c:barDir val="col"/>
        <c:grouping val="clustered"/>
        <c:varyColors val="0"/>
        <c:ser>
          <c:idx val="0"/>
          <c:order val="0"/>
          <c:tx>
            <c:strRef>
              <c:f>Sheet1!$B$1</c:f>
              <c:strCache>
                <c:ptCount val="1"/>
                <c:pt idx="0">
                  <c:v>降水量</c:v>
                </c:pt>
              </c:strCache>
            </c:strRef>
          </c:tx>
          <c:invertIfNegative val="0"/>
          <c:cat>
            <c:numRef>
              <c:f>Sheet1!$A$2:$A$6</c:f>
              <c:numCache>
                <c:formatCode>General</c:formatCode>
                <c:ptCount val="5"/>
                <c:pt idx="0">
                  <c:v>2011</c:v>
                </c:pt>
                <c:pt idx="1">
                  <c:v>2012</c:v>
                </c:pt>
                <c:pt idx="2">
                  <c:v>2013</c:v>
                </c:pt>
                <c:pt idx="3">
                  <c:v>2014</c:v>
                </c:pt>
                <c:pt idx="4">
                  <c:v>2015</c:v>
                </c:pt>
              </c:numCache>
            </c:numRef>
          </c:cat>
          <c:val>
            <c:numRef>
              <c:f>Sheet1!$B$2:$B$6</c:f>
              <c:numCache>
                <c:formatCode>General</c:formatCode>
                <c:ptCount val="5"/>
                <c:pt idx="0">
                  <c:v>560.4</c:v>
                </c:pt>
                <c:pt idx="1">
                  <c:v>1137.2</c:v>
                </c:pt>
                <c:pt idx="2">
                  <c:v>738.6</c:v>
                </c:pt>
                <c:pt idx="3">
                  <c:v>715.1</c:v>
                </c:pt>
                <c:pt idx="4">
                  <c:v>563.70000000000005</c:v>
                </c:pt>
              </c:numCache>
            </c:numRef>
          </c:val>
          <c:extLst>
            <c:ext xmlns:c16="http://schemas.microsoft.com/office/drawing/2014/chart" uri="{C3380CC4-5D6E-409C-BE32-E72D297353CC}">
              <c16:uniqueId val="{00000000-BE9B-4A07-9FC0-1235D372658A}"/>
            </c:ext>
          </c:extLst>
        </c:ser>
        <c:ser>
          <c:idx val="1"/>
          <c:order val="1"/>
          <c:tx>
            <c:strRef>
              <c:f>Sheet1!$C$1</c:f>
              <c:strCache>
                <c:ptCount val="1"/>
                <c:pt idx="0">
                  <c:v>蒸发量</c:v>
                </c:pt>
              </c:strCache>
            </c:strRef>
          </c:tx>
          <c:invertIfNegative val="0"/>
          <c:val>
            <c:numRef>
              <c:f>Sheet1!$C$2:$C$6</c:f>
              <c:numCache>
                <c:formatCode>General</c:formatCode>
                <c:ptCount val="5"/>
                <c:pt idx="0">
                  <c:v>1101.8</c:v>
                </c:pt>
                <c:pt idx="1">
                  <c:v>1011.2</c:v>
                </c:pt>
                <c:pt idx="2">
                  <c:v>910.4</c:v>
                </c:pt>
                <c:pt idx="3">
                  <c:v>924.6</c:v>
                </c:pt>
                <c:pt idx="4">
                  <c:v>1227.7</c:v>
                </c:pt>
              </c:numCache>
            </c:numRef>
          </c:val>
          <c:extLst>
            <c:ext xmlns:c16="http://schemas.microsoft.com/office/drawing/2014/chart" uri="{C3380CC4-5D6E-409C-BE32-E72D297353CC}">
              <c16:uniqueId val="{00000001-BE9B-4A07-9FC0-1235D372658A}"/>
            </c:ext>
          </c:extLst>
        </c:ser>
        <c:dLbls>
          <c:showLegendKey val="0"/>
          <c:showVal val="0"/>
          <c:showCatName val="0"/>
          <c:showSerName val="0"/>
          <c:showPercent val="0"/>
          <c:showBubbleSize val="0"/>
        </c:dLbls>
        <c:gapWidth val="150"/>
        <c:axId val="564581120"/>
        <c:axId val="564583040"/>
      </c:barChart>
      <c:catAx>
        <c:axId val="564581120"/>
        <c:scaling>
          <c:orientation val="minMax"/>
        </c:scaling>
        <c:delete val="0"/>
        <c:axPos val="b"/>
        <c:title>
          <c:tx>
            <c:rich>
              <a:bodyPr rot="0" spcFirstLastPara="0" vertOverflow="ellipsis" vert="horz" wrap="square" anchor="ctr" anchorCtr="1"/>
              <a:lstStyle/>
              <a:p>
                <a:pPr>
                  <a:defRPr lang="zh-CN" sz="1000" b="0" i="0" u="none" strike="noStrike" kern="1200" baseline="0">
                    <a:solidFill>
                      <a:srgbClr val="000000"/>
                    </a:solidFill>
                    <a:latin typeface="+mn-lt"/>
                    <a:ea typeface="+mn-ea"/>
                    <a:cs typeface="+mn-cs"/>
                  </a:defRPr>
                </a:pPr>
                <a:r>
                  <a:rPr lang="zh-CN" altLang="en-US" b="0"/>
                  <a:t>时间</a:t>
                </a:r>
                <a:r>
                  <a:rPr lang="en-US" altLang="zh-CN" b="0"/>
                  <a:t>/</a:t>
                </a:r>
                <a:r>
                  <a:rPr lang="zh-CN" altLang="en-US" b="0"/>
                  <a:t>年</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rgbClr val="000000"/>
                </a:solidFill>
                <a:latin typeface="+mn-lt"/>
                <a:ea typeface="+mn-ea"/>
                <a:cs typeface="+mn-cs"/>
              </a:defRPr>
            </a:pPr>
            <a:endParaRPr lang="zh-CN"/>
          </a:p>
        </c:txPr>
        <c:crossAx val="564583040"/>
        <c:crosses val="autoZero"/>
        <c:auto val="1"/>
        <c:lblAlgn val="ctr"/>
        <c:lblOffset val="100"/>
        <c:noMultiLvlLbl val="0"/>
      </c:catAx>
      <c:valAx>
        <c:axId val="564583040"/>
        <c:scaling>
          <c:orientation val="minMax"/>
        </c:scaling>
        <c:delete val="0"/>
        <c:axPos val="l"/>
        <c:majorGridlines/>
        <c:title>
          <c:tx>
            <c:rich>
              <a:bodyPr rot="-5400000" spcFirstLastPara="0" vertOverflow="ellipsis" vert="horz" wrap="square" anchor="ctr" anchorCtr="1"/>
              <a:lstStyle/>
              <a:p>
                <a:pPr>
                  <a:defRPr lang="zh-CN" sz="1000" b="0" i="0" u="none" strike="noStrike" kern="1200" baseline="0">
                    <a:solidFill>
                      <a:srgbClr val="000000"/>
                    </a:solidFill>
                    <a:latin typeface="+mn-lt"/>
                    <a:ea typeface="+mn-ea"/>
                    <a:cs typeface="+mn-cs"/>
                  </a:defRPr>
                </a:pPr>
                <a:r>
                  <a:rPr lang="zh-CN" altLang="en-US" b="0"/>
                  <a:t>降水量或蒸发量</a:t>
                </a:r>
                <a:r>
                  <a:rPr lang="en-US" altLang="zh-CN" b="0"/>
                  <a:t>/mm</a:t>
                </a:r>
                <a:endParaRPr lang="zh-CN" altLang="en-US" b="0"/>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rgbClr val="000000"/>
                </a:solidFill>
                <a:latin typeface="+mn-lt"/>
                <a:ea typeface="+mn-ea"/>
                <a:cs typeface="+mn-cs"/>
              </a:defRPr>
            </a:pPr>
            <a:endParaRPr lang="zh-CN"/>
          </a:p>
        </c:txPr>
        <c:crossAx val="564581120"/>
        <c:crosses val="autoZero"/>
        <c:crossBetween val="between"/>
      </c:valAx>
    </c:plotArea>
    <c:legend>
      <c:legendPos val="r"/>
      <c:layout>
        <c:manualLayout>
          <c:xMode val="edge"/>
          <c:yMode val="edge"/>
          <c:x val="0.54448753280839901"/>
          <c:y val="7.3690215806357498E-2"/>
          <c:w val="0.13051246719160101"/>
          <c:h val="0.1674343832021"/>
        </c:manualLayout>
      </c:layout>
      <c:overlay val="0"/>
      <c:txPr>
        <a:bodyPr rot="0" spcFirstLastPara="0" vertOverflow="ellipsis" vert="horz" wrap="square" anchor="ctr" anchorCtr="1"/>
        <a:lstStyle/>
        <a:p>
          <a:pPr>
            <a:defRPr lang="zh-CN" sz="1000" b="0" i="0" u="none" strike="noStrike" kern="1200" baseline="0">
              <a:solidFill>
                <a:srgbClr val="000000"/>
              </a:solidFill>
              <a:latin typeface="+mn-lt"/>
              <a:ea typeface="+mn-ea"/>
              <a:cs typeface="+mn-cs"/>
            </a:defRPr>
          </a:pPr>
          <a:endParaRPr lang="zh-CN"/>
        </a:p>
      </c:txPr>
    </c:legend>
    <c:plotVisOnly val="1"/>
    <c:dispBlanksAs val="gap"/>
    <c:showDLblsOverMax val="0"/>
  </c:chart>
  <c:txPr>
    <a:bodyPr/>
    <a:lstStyle/>
    <a:p>
      <a:pPr>
        <a:defRPr lang="zh-CN"/>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99999999999999"/>
          <c:y val="0.18268862275449099"/>
          <c:w val="0.53700000000000003"/>
          <c:h val="0.60875000000000101"/>
        </c:manualLayout>
      </c:layout>
      <c:scatterChart>
        <c:scatterStyle val="smoothMarker"/>
        <c:varyColors val="0"/>
        <c:ser>
          <c:idx val="0"/>
          <c:order val="0"/>
          <c:tx>
            <c:strRef>
              <c:f>"工业及城镇生活"</c:f>
              <c:strCache>
                <c:ptCount val="1"/>
                <c:pt idx="0">
                  <c:v>工业及城镇生活</c:v>
                </c:pt>
              </c:strCache>
            </c:strRef>
          </c:tx>
          <c:spPr>
            <a:ln w="25400" cap="rnd" cmpd="sng" algn="ctr">
              <a:solidFill>
                <a:srgbClr val="000080">
                  <a:alpha val="100000"/>
                </a:srgbClr>
              </a:solidFill>
              <a:prstDash val="solid"/>
              <a:round/>
            </a:ln>
            <a:effectLst/>
          </c:spPr>
          <c:marker>
            <c:symbol val="none"/>
          </c:marker>
          <c:xVal>
            <c:numRef>
              <c:f>'[1-6-1.xls]Sheet1'!$M$88:$V$88</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xVal>
          <c:yVal>
            <c:numRef>
              <c:f>'[1-6-1.xls]Sheet1'!$M$91:$V$91</c:f>
              <c:numCache>
                <c:formatCode>General</c:formatCode>
                <c:ptCount val="10"/>
                <c:pt idx="0">
                  <c:v>2167</c:v>
                </c:pt>
                <c:pt idx="1">
                  <c:v>2403</c:v>
                </c:pt>
                <c:pt idx="2">
                  <c:v>2822</c:v>
                </c:pt>
                <c:pt idx="3">
                  <c:v>3266</c:v>
                </c:pt>
                <c:pt idx="4">
                  <c:v>3505</c:v>
                </c:pt>
                <c:pt idx="5">
                  <c:v>4047</c:v>
                </c:pt>
                <c:pt idx="6">
                  <c:v>4141</c:v>
                </c:pt>
                <c:pt idx="7">
                  <c:v>4052</c:v>
                </c:pt>
                <c:pt idx="8">
                  <c:v>4103</c:v>
                </c:pt>
                <c:pt idx="9">
                  <c:v>3948</c:v>
                </c:pt>
              </c:numCache>
            </c:numRef>
          </c:yVal>
          <c:smooth val="1"/>
          <c:extLst>
            <c:ext xmlns:c16="http://schemas.microsoft.com/office/drawing/2014/chart" uri="{C3380CC4-5D6E-409C-BE32-E72D297353CC}">
              <c16:uniqueId val="{00000000-C6BC-43A6-9B0F-2A8DE91A8457}"/>
            </c:ext>
          </c:extLst>
        </c:ser>
        <c:ser>
          <c:idx val="1"/>
          <c:order val="1"/>
          <c:tx>
            <c:strRef>
              <c:f>"农业灌溉"</c:f>
              <c:strCache>
                <c:ptCount val="1"/>
                <c:pt idx="0">
                  <c:v>农业灌溉</c:v>
                </c:pt>
              </c:strCache>
            </c:strRef>
          </c:tx>
          <c:spPr>
            <a:ln w="25400" cap="rnd" cmpd="sng" algn="ctr">
              <a:solidFill>
                <a:srgbClr val="FF00FF">
                  <a:alpha val="100000"/>
                </a:srgbClr>
              </a:solidFill>
              <a:prstDash val="solid"/>
              <a:round/>
            </a:ln>
            <a:effectLst/>
          </c:spPr>
          <c:marker>
            <c:symbol val="none"/>
          </c:marker>
          <c:xVal>
            <c:numRef>
              <c:f>'[1-6-1.xls]Sheet1'!$M$88:$V$88</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xVal>
          <c:yVal>
            <c:numRef>
              <c:f>'[1-6-1.xls]Sheet1'!$M$89:$V$89</c:f>
              <c:numCache>
                <c:formatCode>General</c:formatCode>
                <c:ptCount val="10"/>
                <c:pt idx="0">
                  <c:v>10225</c:v>
                </c:pt>
                <c:pt idx="1">
                  <c:v>10149</c:v>
                </c:pt>
                <c:pt idx="2">
                  <c:v>10506</c:v>
                </c:pt>
                <c:pt idx="3">
                  <c:v>10329</c:v>
                </c:pt>
                <c:pt idx="4">
                  <c:v>9969</c:v>
                </c:pt>
                <c:pt idx="5">
                  <c:v>11085</c:v>
                </c:pt>
                <c:pt idx="6">
                  <c:v>9647</c:v>
                </c:pt>
                <c:pt idx="7">
                  <c:v>10066</c:v>
                </c:pt>
                <c:pt idx="8">
                  <c:v>10104</c:v>
                </c:pt>
                <c:pt idx="9">
                  <c:v>9847</c:v>
                </c:pt>
              </c:numCache>
            </c:numRef>
          </c:yVal>
          <c:smooth val="1"/>
          <c:extLst>
            <c:ext xmlns:c16="http://schemas.microsoft.com/office/drawing/2014/chart" uri="{C3380CC4-5D6E-409C-BE32-E72D297353CC}">
              <c16:uniqueId val="{00000001-C6BC-43A6-9B0F-2A8DE91A8457}"/>
            </c:ext>
          </c:extLst>
        </c:ser>
        <c:ser>
          <c:idx val="2"/>
          <c:order val="2"/>
          <c:tx>
            <c:strRef>
              <c:f>"农村生活"</c:f>
              <c:strCache>
                <c:ptCount val="1"/>
                <c:pt idx="0">
                  <c:v>农村生活</c:v>
                </c:pt>
              </c:strCache>
            </c:strRef>
          </c:tx>
          <c:spPr>
            <a:ln w="25400" cap="rnd" cmpd="sng" algn="ctr">
              <a:solidFill>
                <a:srgbClr val="FFFF00">
                  <a:alpha val="100000"/>
                </a:srgbClr>
              </a:solidFill>
              <a:prstDash val="solid"/>
              <a:round/>
            </a:ln>
            <a:effectLst/>
          </c:spPr>
          <c:marker>
            <c:symbol val="none"/>
          </c:marker>
          <c:xVal>
            <c:numRef>
              <c:f>'[1-6-1.xls]Sheet1'!$M$88:$V$88</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xVal>
          <c:yVal>
            <c:numRef>
              <c:f>'[1-6-1.xls]Sheet1'!$M$90:$V$90</c:f>
              <c:numCache>
                <c:formatCode>General</c:formatCode>
                <c:ptCount val="10"/>
                <c:pt idx="0">
                  <c:v>754</c:v>
                </c:pt>
                <c:pt idx="1">
                  <c:v>773</c:v>
                </c:pt>
                <c:pt idx="2">
                  <c:v>779</c:v>
                </c:pt>
                <c:pt idx="3">
                  <c:v>824</c:v>
                </c:pt>
                <c:pt idx="4">
                  <c:v>831</c:v>
                </c:pt>
                <c:pt idx="5">
                  <c:v>1001</c:v>
                </c:pt>
                <c:pt idx="6">
                  <c:v>983</c:v>
                </c:pt>
                <c:pt idx="7">
                  <c:v>979</c:v>
                </c:pt>
                <c:pt idx="8">
                  <c:v>943</c:v>
                </c:pt>
                <c:pt idx="9">
                  <c:v>940</c:v>
                </c:pt>
              </c:numCache>
            </c:numRef>
          </c:yVal>
          <c:smooth val="1"/>
          <c:extLst>
            <c:ext xmlns:c16="http://schemas.microsoft.com/office/drawing/2014/chart" uri="{C3380CC4-5D6E-409C-BE32-E72D297353CC}">
              <c16:uniqueId val="{00000002-C6BC-43A6-9B0F-2A8DE91A8457}"/>
            </c:ext>
          </c:extLst>
        </c:ser>
        <c:ser>
          <c:idx val="3"/>
          <c:order val="3"/>
          <c:tx>
            <c:strRef>
              <c:f>"合计"</c:f>
              <c:strCache>
                <c:ptCount val="1"/>
                <c:pt idx="0">
                  <c:v>合计</c:v>
                </c:pt>
              </c:strCache>
            </c:strRef>
          </c:tx>
          <c:spPr>
            <a:ln w="25400" cap="rnd" cmpd="sng" algn="ctr">
              <a:solidFill>
                <a:srgbClr val="00FFFF">
                  <a:alpha val="100000"/>
                </a:srgbClr>
              </a:solidFill>
              <a:prstDash val="solid"/>
              <a:round/>
            </a:ln>
            <a:effectLst/>
          </c:spPr>
          <c:marker>
            <c:symbol val="none"/>
          </c:marker>
          <c:xVal>
            <c:numRef>
              <c:f>'[1-6-1.xls]Sheet1'!$M$88:$V$88</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xVal>
          <c:yVal>
            <c:numRef>
              <c:f>'[1-6-1.xls]Sheet1'!$M$93:$V$93</c:f>
              <c:numCache>
                <c:formatCode>General</c:formatCode>
                <c:ptCount val="10"/>
                <c:pt idx="0">
                  <c:v>13726</c:v>
                </c:pt>
                <c:pt idx="1">
                  <c:v>13325</c:v>
                </c:pt>
                <c:pt idx="2">
                  <c:v>13876</c:v>
                </c:pt>
                <c:pt idx="3">
                  <c:v>14369</c:v>
                </c:pt>
                <c:pt idx="4">
                  <c:v>14305</c:v>
                </c:pt>
                <c:pt idx="5">
                  <c:v>16133</c:v>
                </c:pt>
                <c:pt idx="6">
                  <c:v>14771</c:v>
                </c:pt>
                <c:pt idx="7">
                  <c:v>15097</c:v>
                </c:pt>
                <c:pt idx="8">
                  <c:v>15150</c:v>
                </c:pt>
                <c:pt idx="9">
                  <c:v>14735</c:v>
                </c:pt>
              </c:numCache>
            </c:numRef>
          </c:yVal>
          <c:smooth val="1"/>
          <c:extLst>
            <c:ext xmlns:c16="http://schemas.microsoft.com/office/drawing/2014/chart" uri="{C3380CC4-5D6E-409C-BE32-E72D297353CC}">
              <c16:uniqueId val="{00000003-C6BC-43A6-9B0F-2A8DE91A8457}"/>
            </c:ext>
          </c:extLst>
        </c:ser>
        <c:dLbls>
          <c:showLegendKey val="0"/>
          <c:showVal val="0"/>
          <c:showCatName val="0"/>
          <c:showSerName val="0"/>
          <c:showPercent val="0"/>
          <c:showBubbleSize val="0"/>
        </c:dLbls>
        <c:axId val="567470336"/>
        <c:axId val="568599296"/>
      </c:scatterChart>
      <c:scatterChart>
        <c:scatterStyle val="lineMarker"/>
        <c:varyColors val="0"/>
        <c:ser>
          <c:idx val="4"/>
          <c:order val="4"/>
          <c:tx>
            <c:strRef>
              <c:f>"降水量"</c:f>
              <c:strCache>
                <c:ptCount val="1"/>
                <c:pt idx="0">
                  <c:v>降水量</c:v>
                </c:pt>
              </c:strCache>
            </c:strRef>
          </c:tx>
          <c:spPr>
            <a:ln w="25400" cap="rnd" cmpd="sng" algn="ctr">
              <a:solidFill>
                <a:srgbClr val="800080">
                  <a:alpha val="100000"/>
                </a:srgbClr>
              </a:solidFill>
              <a:prstDash val="solid"/>
              <a:round/>
            </a:ln>
            <a:effectLst/>
          </c:spPr>
          <c:marker>
            <c:symbol val="star"/>
            <c:size val="6"/>
            <c:spPr>
              <a:noFill/>
              <a:ln w="6350" cap="flat" cmpd="sng" algn="ctr">
                <a:solidFill>
                  <a:srgbClr val="800080">
                    <a:alpha val="100000"/>
                  </a:srgbClr>
                </a:solidFill>
                <a:prstDash val="solid"/>
                <a:round/>
              </a:ln>
            </c:spPr>
          </c:marker>
          <c:xVal>
            <c:numRef>
              <c:f>'[1-6-1.xls]Sheet1'!$M$88:$V$88</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xVal>
          <c:yVal>
            <c:numRef>
              <c:f>'[1-6-1.xls]Sheet1'!$M$92:$V$92</c:f>
              <c:numCache>
                <c:formatCode>General</c:formatCode>
                <c:ptCount val="10"/>
                <c:pt idx="0">
                  <c:v>493.1</c:v>
                </c:pt>
                <c:pt idx="1">
                  <c:v>587.1</c:v>
                </c:pt>
                <c:pt idx="2">
                  <c:v>879.3</c:v>
                </c:pt>
                <c:pt idx="3">
                  <c:v>566.4</c:v>
                </c:pt>
                <c:pt idx="4">
                  <c:v>468.9</c:v>
                </c:pt>
                <c:pt idx="5">
                  <c:v>560.4</c:v>
                </c:pt>
                <c:pt idx="6">
                  <c:v>1137.2</c:v>
                </c:pt>
                <c:pt idx="7">
                  <c:v>738.6</c:v>
                </c:pt>
                <c:pt idx="8">
                  <c:v>715.1</c:v>
                </c:pt>
                <c:pt idx="9">
                  <c:v>563.70000000000005</c:v>
                </c:pt>
              </c:numCache>
            </c:numRef>
          </c:yVal>
          <c:smooth val="1"/>
          <c:extLst>
            <c:ext xmlns:c16="http://schemas.microsoft.com/office/drawing/2014/chart" uri="{C3380CC4-5D6E-409C-BE32-E72D297353CC}">
              <c16:uniqueId val="{00000004-C6BC-43A6-9B0F-2A8DE91A8457}"/>
            </c:ext>
          </c:extLst>
        </c:ser>
        <c:dLbls>
          <c:showLegendKey val="0"/>
          <c:showVal val="0"/>
          <c:showCatName val="0"/>
          <c:showSerName val="0"/>
          <c:showPercent val="0"/>
          <c:showBubbleSize val="0"/>
        </c:dLbls>
        <c:axId val="568601216"/>
        <c:axId val="568607104"/>
      </c:scatterChart>
      <c:valAx>
        <c:axId val="567470336"/>
        <c:scaling>
          <c:orientation val="minMax"/>
          <c:max val="2015"/>
          <c:min val="2006"/>
        </c:scaling>
        <c:delete val="0"/>
        <c:axPos val="b"/>
        <c:title>
          <c:tx>
            <c:rich>
              <a:bodyPr rot="0" spcFirstLastPara="0" vertOverflow="ellipsis" vert="horz" wrap="square" anchor="ctr" anchorCtr="1"/>
              <a:lstStyle/>
              <a:p>
                <a:pPr defTabSz="914400">
                  <a:defRPr lang="zh-CN" sz="1100" b="0" i="0" u="none" strike="noStrike" kern="1200" baseline="0">
                    <a:solidFill>
                      <a:srgbClr val="000000">
                        <a:alpha val="100000"/>
                      </a:srgbClr>
                    </a:solidFill>
                    <a:latin typeface="新宋体" panose="02010609030101010101" charset="-122"/>
                    <a:ea typeface="新宋体" panose="02010609030101010101" charset="-122"/>
                    <a:cs typeface="新宋体" panose="02010609030101010101" charset="-122"/>
                  </a:defRPr>
                </a:pPr>
                <a:r>
                  <a:rPr lang="zh-CN" altLang="en-US"/>
                  <a:t>年份</a:t>
                </a:r>
                <a:endParaRPr lang="zh-CN" altLang="en-US" sz="1100" b="0" i="0" u="none" strike="noStrike" baseline="0">
                  <a:solidFill>
                    <a:srgbClr val="000000">
                      <a:alpha val="100000"/>
                    </a:srgbClr>
                  </a:solidFill>
                  <a:latin typeface="新宋体" panose="02010609030101010101" charset="-122"/>
                  <a:ea typeface="新宋体" panose="02010609030101010101" charset="-122"/>
                  <a:cs typeface="新宋体" panose="02010609030101010101" charset="-122"/>
                </a:endParaRPr>
              </a:p>
            </c:rich>
          </c:tx>
          <c:layout>
            <c:manualLayout>
              <c:xMode val="edge"/>
              <c:yMode val="edge"/>
              <c:x val="5.4746087495919103E-2"/>
              <c:y val="0.89311421407185598"/>
            </c:manualLayout>
          </c:layout>
          <c:overlay val="0"/>
          <c:spPr>
            <a:noFill/>
            <a:ln w="3175">
              <a:noFill/>
            </a:ln>
          </c:spPr>
        </c:title>
        <c:numFmt formatCode="0_ " sourceLinked="0"/>
        <c:majorTickMark val="in"/>
        <c:minorTickMark val="in"/>
        <c:tickLblPos val="nextTo"/>
        <c:spPr>
          <a:ln w="3175" cap="flat" cmpd="sng" algn="ctr">
            <a:solidFill>
              <a:srgbClr val="000000">
                <a:alpha val="100000"/>
              </a:srgbClr>
            </a:solidFill>
            <a:prstDash val="solid"/>
            <a:round/>
          </a:ln>
        </c:spPr>
        <c:txPr>
          <a:bodyPr rot="-60000000" spcFirstLastPara="0" vertOverflow="ellipsis" vert="horz" wrap="square" anchor="ctr" anchorCtr="1"/>
          <a:lstStyle/>
          <a:p>
            <a:pPr>
              <a:defRPr lang="zh-CN" sz="1175"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endParaRPr lang="zh-CN"/>
          </a:p>
        </c:txPr>
        <c:crossAx val="568599296"/>
        <c:crosses val="autoZero"/>
        <c:crossBetween val="midCat"/>
        <c:majorUnit val="2"/>
        <c:minorUnit val="1"/>
      </c:valAx>
      <c:valAx>
        <c:axId val="568599296"/>
        <c:scaling>
          <c:orientation val="minMax"/>
        </c:scaling>
        <c:delete val="0"/>
        <c:axPos val="l"/>
        <c:majorGridlines>
          <c:spPr>
            <a:ln w="3175" cap="flat" cmpd="sng" algn="ctr">
              <a:solidFill>
                <a:srgbClr val="000000">
                  <a:alpha val="100000"/>
                </a:srgbClr>
              </a:solidFill>
              <a:prstDash val="solid"/>
              <a:round/>
            </a:ln>
          </c:spPr>
        </c:majorGridlines>
        <c:title>
          <c:tx>
            <c:rich>
              <a:bodyPr rot="0" spcFirstLastPara="0" vertOverflow="ellipsis" vert="horz" wrap="square" anchor="ctr" anchorCtr="1"/>
              <a:lstStyle/>
              <a:p>
                <a:pPr defTabSz="914400">
                  <a:defRPr lang="zh-CN" sz="1175" b="0" i="0" u="none" strike="noStrike" kern="1200" baseline="0">
                    <a:solidFill>
                      <a:srgbClr val="000000">
                        <a:alpha val="100000"/>
                      </a:srgbClr>
                    </a:solidFill>
                    <a:latin typeface="新宋体" panose="02010609030101010101" charset="-122"/>
                    <a:ea typeface="新宋体" panose="02010609030101010101" charset="-122"/>
                    <a:cs typeface="新宋体" panose="02010609030101010101" charset="-122"/>
                  </a:defRPr>
                </a:pPr>
                <a:r>
                  <a:rPr lang="zh-CN" altLang="en-US" sz="1175" b="0" i="0" u="none" strike="noStrike" baseline="0">
                    <a:solidFill>
                      <a:srgbClr val="000000"/>
                    </a:solidFill>
                    <a:latin typeface="新宋体" panose="02010609030101010101" charset="-122"/>
                    <a:ea typeface="新宋体" panose="02010609030101010101" charset="-122"/>
                    <a:cs typeface="新宋体" panose="02010609030101010101" charset="-122"/>
                  </a:rPr>
                  <a:t>开采量（</a:t>
                </a:r>
                <a:r>
                  <a:rPr lang="en-US" altLang="zh-CN" sz="1175" b="0" i="0" u="none" strike="noStrike" baseline="0">
                    <a:solidFill>
                      <a:srgbClr val="000000"/>
                    </a:solidFill>
                    <a:latin typeface="新宋体" panose="02010609030101010101" charset="-122"/>
                    <a:ea typeface="新宋体" panose="02010609030101010101" charset="-122"/>
                    <a:cs typeface="新宋体" panose="02010609030101010101" charset="-122"/>
                  </a:rPr>
                  <a:t>10</a:t>
                </a:r>
                <a:r>
                  <a:rPr lang="en-US" altLang="zh-CN" sz="1175" b="0" i="0" u="none" strike="noStrike" baseline="30000">
                    <a:solidFill>
                      <a:srgbClr val="000000"/>
                    </a:solidFill>
                    <a:latin typeface="新宋体" panose="02010609030101010101" charset="-122"/>
                    <a:ea typeface="新宋体" panose="02010609030101010101" charset="-122"/>
                    <a:cs typeface="新宋体" panose="02010609030101010101" charset="-122"/>
                  </a:rPr>
                  <a:t>4</a:t>
                </a:r>
                <a:r>
                  <a:rPr lang="en-US" sz="1175" b="0" i="0" u="none" strike="noStrike" baseline="0">
                    <a:solidFill>
                      <a:srgbClr val="000000"/>
                    </a:solidFill>
                    <a:latin typeface="新宋体" panose="02010609030101010101" charset="-122"/>
                    <a:ea typeface="新宋体" panose="02010609030101010101" charset="-122"/>
                    <a:cs typeface="新宋体" panose="02010609030101010101" charset="-122"/>
                  </a:rPr>
                  <a:t>m</a:t>
                </a:r>
                <a:r>
                  <a:rPr lang="en-US" sz="1175" b="0" i="0" u="none" strike="noStrike" baseline="30000">
                    <a:solidFill>
                      <a:srgbClr val="000000"/>
                    </a:solidFill>
                    <a:latin typeface="新宋体" panose="02010609030101010101" charset="-122"/>
                    <a:ea typeface="新宋体" panose="02010609030101010101" charset="-122"/>
                    <a:cs typeface="新宋体" panose="02010609030101010101" charset="-122"/>
                  </a:rPr>
                  <a:t>3</a:t>
                </a:r>
                <a:r>
                  <a:rPr lang="en-US" sz="1175" b="0" i="0" u="none" strike="noStrike" baseline="0">
                    <a:solidFill>
                      <a:srgbClr val="000000"/>
                    </a:solidFill>
                    <a:latin typeface="新宋体" panose="02010609030101010101" charset="-122"/>
                    <a:ea typeface="新宋体" panose="02010609030101010101" charset="-122"/>
                    <a:cs typeface="新宋体" panose="02010609030101010101" charset="-122"/>
                  </a:rPr>
                  <a:t>）</a:t>
                </a:r>
                <a:endParaRPr lang="en-US"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manualLayout>
              <c:xMode val="edge"/>
              <c:yMode val="edge"/>
              <c:x val="2.1255961040374399E-2"/>
              <c:y val="4.5797896706586898E-2"/>
            </c:manualLayout>
          </c:layout>
          <c:overlay val="0"/>
          <c:spPr>
            <a:noFill/>
            <a:ln w="3175">
              <a:noFill/>
            </a:ln>
          </c:spPr>
        </c:title>
        <c:numFmt formatCode="General" sourceLinked="1"/>
        <c:majorTickMark val="in"/>
        <c:minorTickMark val="none"/>
        <c:tickLblPos val="nextTo"/>
        <c:spPr>
          <a:ln w="3175" cap="flat" cmpd="sng" algn="ctr">
            <a:solidFill>
              <a:srgbClr val="000000">
                <a:alpha val="100000"/>
              </a:srgbClr>
            </a:solidFill>
            <a:prstDash val="solid"/>
            <a:round/>
          </a:ln>
        </c:spPr>
        <c:txPr>
          <a:bodyPr rot="-60000000" spcFirstLastPara="0" vertOverflow="ellipsis" vert="horz" wrap="square" anchor="ctr" anchorCtr="1"/>
          <a:lstStyle/>
          <a:p>
            <a:pPr>
              <a:defRPr lang="zh-CN" sz="1075"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endParaRPr lang="zh-CN"/>
          </a:p>
        </c:txPr>
        <c:crossAx val="567470336"/>
        <c:crossesAt val="2006"/>
        <c:crossBetween val="midCat"/>
      </c:valAx>
      <c:valAx>
        <c:axId val="568601216"/>
        <c:scaling>
          <c:orientation val="minMax"/>
        </c:scaling>
        <c:delete val="1"/>
        <c:axPos val="t"/>
        <c:numFmt formatCode="General" sourceLinked="1"/>
        <c:majorTickMark val="in"/>
        <c:minorTickMark val="none"/>
        <c:tickLblPos val="nextTo"/>
        <c:crossAx val="568607104"/>
        <c:crosses val="autoZero"/>
        <c:crossBetween val="midCat"/>
      </c:valAx>
      <c:valAx>
        <c:axId val="568607104"/>
        <c:scaling>
          <c:orientation val="maxMin"/>
        </c:scaling>
        <c:delete val="0"/>
        <c:axPos val="r"/>
        <c:title>
          <c:tx>
            <c:rich>
              <a:bodyPr rot="0" spcFirstLastPara="0" vertOverflow="ellipsis" vert="horz" wrap="square" anchor="ctr" anchorCtr="1"/>
              <a:lstStyle/>
              <a:p>
                <a:pPr defTabSz="914400">
                  <a:defRPr lang="zh-CN" sz="1175"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r>
                  <a:rPr lang="zh-CN" altLang="en-US"/>
                  <a:t>降水量（</a:t>
                </a:r>
                <a:r>
                  <a:rPr lang="en-US"/>
                  <a:t>mm）</a:t>
                </a:r>
                <a:endParaRPr lang="en-US" sz="1175" b="0" i="0" u="none" strike="noStrike" baseline="0">
                  <a:solidFill>
                    <a:srgbClr val="000000">
                      <a:alpha val="100000"/>
                    </a:srgbClr>
                  </a:solidFill>
                  <a:latin typeface="宋体" panose="02010600030101010101" charset="-122"/>
                  <a:ea typeface="宋体" panose="02010600030101010101" charset="-122"/>
                  <a:cs typeface="宋体" panose="02010600030101010101" charset="-122"/>
                </a:endParaRPr>
              </a:p>
            </c:rich>
          </c:tx>
          <c:layout>
            <c:manualLayout>
              <c:xMode val="edge"/>
              <c:yMode val="edge"/>
              <c:x val="0.65595246990967504"/>
              <c:y val="5.7364146706586801E-2"/>
            </c:manualLayout>
          </c:layout>
          <c:overlay val="0"/>
          <c:spPr>
            <a:noFill/>
            <a:ln w="3175">
              <a:noFill/>
            </a:ln>
          </c:spPr>
        </c:title>
        <c:numFmt formatCode="General" sourceLinked="1"/>
        <c:majorTickMark val="in"/>
        <c:minorTickMark val="none"/>
        <c:tickLblPos val="nextTo"/>
        <c:spPr>
          <a:ln w="3175" cap="flat" cmpd="sng" algn="ctr">
            <a:solidFill>
              <a:srgbClr val="000000">
                <a:alpha val="100000"/>
              </a:srgbClr>
            </a:solidFill>
            <a:prstDash val="solid"/>
            <a:round/>
          </a:ln>
        </c:spPr>
        <c:txPr>
          <a:bodyPr rot="-60000000" spcFirstLastPara="0" vertOverflow="ellipsis" vert="horz" wrap="square" anchor="ctr" anchorCtr="1"/>
          <a:lstStyle/>
          <a:p>
            <a:pPr>
              <a:defRPr lang="zh-CN" sz="1075"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endParaRPr lang="zh-CN"/>
          </a:p>
        </c:txPr>
        <c:crossAx val="568601216"/>
        <c:crosses val="max"/>
        <c:crossBetween val="midCat"/>
        <c:majorUnit val="200"/>
        <c:minorUnit val="50"/>
      </c:valAx>
      <c:spPr>
        <a:solidFill>
          <a:srgbClr val="C0C0C0">
            <a:alpha val="100000"/>
          </a:srgbClr>
        </a:solidFill>
        <a:ln w="12700">
          <a:solidFill>
            <a:srgbClr val="808080">
              <a:alpha val="100000"/>
            </a:srgbClr>
          </a:solidFill>
          <a:prstDash val="solid"/>
        </a:ln>
      </c:spPr>
    </c:plotArea>
    <c:legend>
      <c:legendPos val="r"/>
      <c:layout>
        <c:manualLayout>
          <c:xMode val="edge"/>
          <c:yMode val="edge"/>
          <c:x val="0.743596986817326"/>
          <c:y val="0.25055541841520601"/>
          <c:w val="0.23201506591337101"/>
          <c:h val="0.57121698346087402"/>
        </c:manualLayout>
      </c:layout>
      <c:overlay val="0"/>
      <c:spPr>
        <a:solidFill>
          <a:srgbClr val="FFFFFF">
            <a:alpha val="100000"/>
          </a:srgbClr>
        </a:solidFill>
        <a:ln w="3175">
          <a:solidFill>
            <a:srgbClr val="000000">
              <a:alpha val="100000"/>
            </a:srgbClr>
          </a:solidFill>
          <a:prstDash val="solid"/>
        </a:ln>
      </c:spPr>
      <c:txPr>
        <a:bodyPr rot="0" spcFirstLastPara="0" vertOverflow="ellipsis" vert="horz" wrap="square" anchor="ctr" anchorCtr="1"/>
        <a:lstStyle/>
        <a:p>
          <a:pPr>
            <a:defRPr lang="zh-CN" sz="110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endParaRPr lang="zh-CN"/>
        </a:p>
      </c:txPr>
    </c:legend>
    <c:plotVisOnly val="1"/>
    <c:dispBlanksAs val="gap"/>
    <c:showDLblsOverMax val="0"/>
  </c:chart>
  <c:spPr>
    <a:solidFill>
      <a:srgbClr val="FFFFFF">
        <a:alpha val="100000"/>
      </a:srgbClr>
    </a:solidFill>
    <a:ln w="3175" cap="flat" cmpd="sng" algn="ctr">
      <a:solidFill>
        <a:srgbClr val="000000">
          <a:alpha val="100000"/>
        </a:srgbClr>
      </a:solidFill>
      <a:prstDash val="solid"/>
      <a:round/>
    </a:ln>
  </c:spPr>
  <c:txPr>
    <a:bodyPr rot="0" wrap="square" anchor="ctr" anchorCtr="1"/>
    <a:lstStyle/>
    <a:p>
      <a:pPr>
        <a:defRPr lang="zh-CN" sz="950" b="0" i="0" u="none" strike="noStrike" baseline="0">
          <a:solidFill>
            <a:srgbClr val="000000"/>
          </a:solidFill>
          <a:latin typeface="宋体" panose="02010600030101010101" charset="-122"/>
          <a:ea typeface="宋体" panose="02010600030101010101" charset="-122"/>
          <a:cs typeface="宋体" panose="02010600030101010101" charset="-122"/>
        </a:defRPr>
      </a:pPr>
      <a:endParaRPr lang="zh-CN"/>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927996500437401"/>
          <c:y val="6.3859725867599901E-2"/>
          <c:w val="0.79666272965879303"/>
          <c:h val="0.70942731116943702"/>
        </c:manualLayout>
      </c:layout>
      <c:lineChart>
        <c:grouping val="standard"/>
        <c:varyColors val="0"/>
        <c:ser>
          <c:idx val="1"/>
          <c:order val="0"/>
          <c:tx>
            <c:strRef>
              <c:f>水位埋深</c:f>
              <c:strCache>
                <c:ptCount val="1"/>
                <c:pt idx="0">
                  <c:v>水位埋深</c:v>
                </c:pt>
              </c:strCache>
            </c:strRef>
          </c:tx>
          <c:spPr>
            <a:ln w="22225" cap="rnd" cmpd="sng" algn="ctr">
              <a:solidFill>
                <a:schemeClr val="accent2">
                  <a:shade val="95000"/>
                  <a:satMod val="105000"/>
                </a:schemeClr>
              </a:solidFill>
              <a:prstDash val="solid"/>
              <a:round/>
            </a:ln>
          </c:spPr>
          <c:marker>
            <c:symbol val="square"/>
            <c:size val="4"/>
          </c:marker>
          <c:cat>
            <c:numRef>
              <c:f>'CH2'!$A$2:$A$48</c:f>
              <c:numCache>
                <c:formatCode>General</c:formatCode>
                <c:ptCount val="47"/>
                <c:pt idx="0">
                  <c:v>0</c:v>
                </c:pt>
                <c:pt idx="1">
                  <c:v>1</c:v>
                </c:pt>
                <c:pt idx="2">
                  <c:v>2</c:v>
                </c:pt>
                <c:pt idx="3">
                  <c:v>3</c:v>
                </c:pt>
                <c:pt idx="4">
                  <c:v>4</c:v>
                </c:pt>
                <c:pt idx="5">
                  <c:v>6</c:v>
                </c:pt>
                <c:pt idx="6">
                  <c:v>8</c:v>
                </c:pt>
                <c:pt idx="7">
                  <c:v>10</c:v>
                </c:pt>
                <c:pt idx="8">
                  <c:v>15</c:v>
                </c:pt>
                <c:pt idx="9">
                  <c:v>20</c:v>
                </c:pt>
                <c:pt idx="10">
                  <c:v>25</c:v>
                </c:pt>
                <c:pt idx="11">
                  <c:v>30</c:v>
                </c:pt>
                <c:pt idx="12">
                  <c:v>40</c:v>
                </c:pt>
                <c:pt idx="13">
                  <c:v>50</c:v>
                </c:pt>
                <c:pt idx="14">
                  <c:v>60</c:v>
                </c:pt>
                <c:pt idx="15">
                  <c:v>80</c:v>
                </c:pt>
                <c:pt idx="16">
                  <c:v>100</c:v>
                </c:pt>
                <c:pt idx="17">
                  <c:v>120</c:v>
                </c:pt>
                <c:pt idx="18">
                  <c:v>150</c:v>
                </c:pt>
                <c:pt idx="19">
                  <c:v>180</c:v>
                </c:pt>
                <c:pt idx="20">
                  <c:v>210</c:v>
                </c:pt>
                <c:pt idx="21">
                  <c:v>240</c:v>
                </c:pt>
                <c:pt idx="22">
                  <c:v>270</c:v>
                </c:pt>
                <c:pt idx="23">
                  <c:v>300</c:v>
                </c:pt>
                <c:pt idx="24">
                  <c:v>301</c:v>
                </c:pt>
                <c:pt idx="25">
                  <c:v>302</c:v>
                </c:pt>
                <c:pt idx="26">
                  <c:v>303</c:v>
                </c:pt>
                <c:pt idx="27">
                  <c:v>304</c:v>
                </c:pt>
                <c:pt idx="28">
                  <c:v>306</c:v>
                </c:pt>
                <c:pt idx="29">
                  <c:v>308</c:v>
                </c:pt>
                <c:pt idx="30">
                  <c:v>310</c:v>
                </c:pt>
                <c:pt idx="31">
                  <c:v>315</c:v>
                </c:pt>
                <c:pt idx="32">
                  <c:v>320</c:v>
                </c:pt>
                <c:pt idx="33">
                  <c:v>325</c:v>
                </c:pt>
                <c:pt idx="34">
                  <c:v>330</c:v>
                </c:pt>
                <c:pt idx="35">
                  <c:v>340</c:v>
                </c:pt>
                <c:pt idx="36">
                  <c:v>350</c:v>
                </c:pt>
                <c:pt idx="37">
                  <c:v>360</c:v>
                </c:pt>
                <c:pt idx="38">
                  <c:v>380</c:v>
                </c:pt>
                <c:pt idx="39">
                  <c:v>400</c:v>
                </c:pt>
                <c:pt idx="40">
                  <c:v>420</c:v>
                </c:pt>
                <c:pt idx="41">
                  <c:v>450</c:v>
                </c:pt>
                <c:pt idx="42">
                  <c:v>480</c:v>
                </c:pt>
                <c:pt idx="43">
                  <c:v>510</c:v>
                </c:pt>
                <c:pt idx="44">
                  <c:v>540</c:v>
                </c:pt>
                <c:pt idx="45">
                  <c:v>570</c:v>
                </c:pt>
                <c:pt idx="46">
                  <c:v>600</c:v>
                </c:pt>
              </c:numCache>
            </c:numRef>
          </c:cat>
          <c:val>
            <c:numRef>
              <c:f>'CH2'!$B$2:$B$48</c:f>
              <c:numCache>
                <c:formatCode>General</c:formatCode>
                <c:ptCount val="47"/>
                <c:pt idx="0">
                  <c:v>14.1</c:v>
                </c:pt>
                <c:pt idx="1">
                  <c:v>15.3</c:v>
                </c:pt>
                <c:pt idx="2">
                  <c:v>15.6</c:v>
                </c:pt>
                <c:pt idx="3">
                  <c:v>15.9</c:v>
                </c:pt>
                <c:pt idx="4">
                  <c:v>16.2</c:v>
                </c:pt>
                <c:pt idx="5">
                  <c:v>16.399999999999999</c:v>
                </c:pt>
                <c:pt idx="6">
                  <c:v>16.5</c:v>
                </c:pt>
                <c:pt idx="7">
                  <c:v>16.600000000000001</c:v>
                </c:pt>
                <c:pt idx="8">
                  <c:v>16.600000000000001</c:v>
                </c:pt>
                <c:pt idx="9">
                  <c:v>16.600000000000001</c:v>
                </c:pt>
                <c:pt idx="10">
                  <c:v>16.600000000000001</c:v>
                </c:pt>
                <c:pt idx="11">
                  <c:v>16.600000000000001</c:v>
                </c:pt>
                <c:pt idx="12">
                  <c:v>16.600000000000001</c:v>
                </c:pt>
                <c:pt idx="13">
                  <c:v>16.600000000000001</c:v>
                </c:pt>
                <c:pt idx="14">
                  <c:v>16.600000000000001</c:v>
                </c:pt>
                <c:pt idx="15">
                  <c:v>16.600000000000001</c:v>
                </c:pt>
                <c:pt idx="16">
                  <c:v>16.600000000000001</c:v>
                </c:pt>
                <c:pt idx="17">
                  <c:v>16.600000000000001</c:v>
                </c:pt>
                <c:pt idx="18">
                  <c:v>16.600000000000001</c:v>
                </c:pt>
                <c:pt idx="19">
                  <c:v>16.600000000000001</c:v>
                </c:pt>
                <c:pt idx="20">
                  <c:v>16.600000000000001</c:v>
                </c:pt>
                <c:pt idx="21">
                  <c:v>16.600000000000001</c:v>
                </c:pt>
                <c:pt idx="22">
                  <c:v>16.600000000000001</c:v>
                </c:pt>
                <c:pt idx="23">
                  <c:v>16.600000000000001</c:v>
                </c:pt>
                <c:pt idx="24">
                  <c:v>16.100000000000001</c:v>
                </c:pt>
                <c:pt idx="25">
                  <c:v>15.6</c:v>
                </c:pt>
                <c:pt idx="26">
                  <c:v>15.1</c:v>
                </c:pt>
                <c:pt idx="27">
                  <c:v>14.68</c:v>
                </c:pt>
                <c:pt idx="28">
                  <c:v>14.5</c:v>
                </c:pt>
                <c:pt idx="29">
                  <c:v>14.3</c:v>
                </c:pt>
                <c:pt idx="30">
                  <c:v>14.2</c:v>
                </c:pt>
                <c:pt idx="31">
                  <c:v>14.154999999999999</c:v>
                </c:pt>
                <c:pt idx="32">
                  <c:v>14.1</c:v>
                </c:pt>
                <c:pt idx="33">
                  <c:v>14.1</c:v>
                </c:pt>
                <c:pt idx="34">
                  <c:v>14.1</c:v>
                </c:pt>
                <c:pt idx="35">
                  <c:v>14.1</c:v>
                </c:pt>
                <c:pt idx="36">
                  <c:v>14.1</c:v>
                </c:pt>
                <c:pt idx="37">
                  <c:v>14.1</c:v>
                </c:pt>
                <c:pt idx="38">
                  <c:v>14.1</c:v>
                </c:pt>
                <c:pt idx="39">
                  <c:v>14.1</c:v>
                </c:pt>
                <c:pt idx="40">
                  <c:v>14.1</c:v>
                </c:pt>
                <c:pt idx="41">
                  <c:v>14.1</c:v>
                </c:pt>
                <c:pt idx="42">
                  <c:v>14.1</c:v>
                </c:pt>
                <c:pt idx="43">
                  <c:v>14.1</c:v>
                </c:pt>
                <c:pt idx="44">
                  <c:v>14.1</c:v>
                </c:pt>
                <c:pt idx="45">
                  <c:v>14.1</c:v>
                </c:pt>
                <c:pt idx="46">
                  <c:v>14.1</c:v>
                </c:pt>
              </c:numCache>
            </c:numRef>
          </c:val>
          <c:smooth val="0"/>
          <c:extLst>
            <c:ext xmlns:c16="http://schemas.microsoft.com/office/drawing/2014/chart" uri="{C3380CC4-5D6E-409C-BE32-E72D297353CC}">
              <c16:uniqueId val="{00000000-205D-4602-BF63-F48A1E522E48}"/>
            </c:ext>
          </c:extLst>
        </c:ser>
        <c:dLbls>
          <c:showLegendKey val="0"/>
          <c:showVal val="0"/>
          <c:showCatName val="0"/>
          <c:showSerName val="0"/>
          <c:showPercent val="0"/>
          <c:showBubbleSize val="0"/>
        </c:dLbls>
        <c:marker val="1"/>
        <c:smooth val="0"/>
        <c:axId val="569918976"/>
        <c:axId val="569920896"/>
      </c:lineChart>
      <c:catAx>
        <c:axId val="569918976"/>
        <c:scaling>
          <c:orientation val="minMax"/>
        </c:scaling>
        <c:delete val="0"/>
        <c:axPos val="b"/>
        <c:title>
          <c:tx>
            <c:rich>
              <a:bodyPr rot="0" spcFirstLastPara="0" vertOverflow="ellipsis" vert="horz" wrap="square" anchor="ctr" anchorCtr="1"/>
              <a:lstStyle/>
              <a:p>
                <a:pPr>
                  <a:defRPr lang="zh-CN" sz="1050" b="0" i="0" u="none" strike="noStrike" kern="1200" baseline="0">
                    <a:solidFill>
                      <a:schemeClr val="tx1"/>
                    </a:solidFill>
                    <a:latin typeface="Times New Roman" panose="02020603050405020304" charset="0"/>
                    <a:ea typeface="+mn-ea"/>
                    <a:cs typeface="Times New Roman" panose="02020603050405020304" charset="0"/>
                  </a:defRPr>
                </a:pPr>
                <a:r>
                  <a:rPr lang="zh-CN" altLang="en-US" sz="1050" b="0">
                    <a:latin typeface="Times New Roman" panose="02020603050405020304" charset="0"/>
                    <a:cs typeface="Times New Roman" panose="02020603050405020304" charset="0"/>
                  </a:rPr>
                  <a:t>时间</a:t>
                </a:r>
                <a:r>
                  <a:rPr lang="en-US" altLang="zh-CN" sz="1050" b="0">
                    <a:latin typeface="Times New Roman" panose="02020603050405020304" charset="0"/>
                    <a:cs typeface="Times New Roman" panose="02020603050405020304" charset="0"/>
                  </a:rPr>
                  <a:t>/min</a:t>
                </a:r>
                <a:endParaRPr lang="zh-CN" altLang="en-US" sz="1050" b="0">
                  <a:latin typeface="Times New Roman" panose="02020603050405020304" charset="0"/>
                  <a:cs typeface="Times New Roman" panose="02020603050405020304" charset="0"/>
                </a:endParaRPr>
              </a:p>
            </c:rich>
          </c:tx>
          <c:layout>
            <c:manualLayout>
              <c:xMode val="edge"/>
              <c:yMode val="edge"/>
              <c:x val="0.43243066491688797"/>
              <c:y val="0.91666666666666696"/>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crossAx val="569920896"/>
        <c:crosses val="max"/>
        <c:auto val="1"/>
        <c:lblAlgn val="ctr"/>
        <c:lblOffset val="100"/>
        <c:noMultiLvlLbl val="0"/>
      </c:catAx>
      <c:valAx>
        <c:axId val="569920896"/>
        <c:scaling>
          <c:orientation val="maxMin"/>
          <c:min val="14"/>
        </c:scaling>
        <c:delete val="0"/>
        <c:axPos val="l"/>
        <c:majorGridlines/>
        <c:title>
          <c:tx>
            <c:rich>
              <a:bodyPr rot="-5400000" spcFirstLastPara="0" vertOverflow="ellipsis" vert="horz" wrap="square" anchor="ctr" anchorCtr="1"/>
              <a:lstStyle/>
              <a:p>
                <a:pPr>
                  <a:defRPr lang="zh-CN" sz="1050" b="0" i="0" u="none" strike="noStrike" kern="1200" baseline="0">
                    <a:solidFill>
                      <a:schemeClr val="tx1"/>
                    </a:solidFill>
                    <a:latin typeface="Times New Roman" panose="02020603050405020304" charset="0"/>
                    <a:ea typeface="+mn-ea"/>
                    <a:cs typeface="Times New Roman" panose="02020603050405020304" charset="0"/>
                  </a:defRPr>
                </a:pPr>
                <a:r>
                  <a:rPr lang="zh-CN" altLang="en-US" sz="1050" b="0">
                    <a:latin typeface="Times New Roman" panose="02020603050405020304" charset="0"/>
                    <a:ea typeface="+mn-ea"/>
                    <a:cs typeface="Times New Roman" panose="02020603050405020304" charset="0"/>
                  </a:rPr>
                  <a:t>水位埋深</a:t>
                </a:r>
                <a:r>
                  <a:rPr lang="en-US" altLang="zh-CN" sz="1050" b="0">
                    <a:latin typeface="Times New Roman" panose="02020603050405020304" charset="0"/>
                    <a:ea typeface="+mn-ea"/>
                    <a:cs typeface="Times New Roman" panose="02020603050405020304" charset="0"/>
                  </a:rPr>
                  <a:t>/m</a:t>
                </a:r>
                <a:endParaRPr lang="zh-CN" altLang="en-US" sz="1050" b="0">
                  <a:latin typeface="Times New Roman" panose="02020603050405020304" charset="0"/>
                  <a:ea typeface="+mn-ea"/>
                  <a:cs typeface="Times New Roman" panose="02020603050405020304" charset="0"/>
                </a:endParaRPr>
              </a:p>
            </c:rich>
          </c:tx>
          <c:layout>
            <c:manualLayout>
              <c:xMode val="edge"/>
              <c:yMode val="edge"/>
              <c:x val="2.77777777777782E-2"/>
              <c:y val="0.30548301254009902"/>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50" b="0" i="0" u="none" strike="noStrike" kern="1200" baseline="0">
                <a:solidFill>
                  <a:schemeClr val="tx1"/>
                </a:solidFill>
                <a:latin typeface="+mn-lt"/>
                <a:ea typeface="+mn-ea"/>
                <a:cs typeface="+mn-cs"/>
              </a:defRPr>
            </a:pPr>
            <a:endParaRPr lang="zh-CN"/>
          </a:p>
        </c:txPr>
        <c:crossAx val="569918976"/>
        <c:crosses val="autoZero"/>
        <c:crossBetween val="between"/>
      </c:valAx>
      <c:spPr>
        <a:ln>
          <a:solidFill>
            <a:schemeClr val="bg2">
              <a:lumMod val="75000"/>
            </a:schemeClr>
          </a:solidFill>
        </a:ln>
      </c:spPr>
    </c:plotArea>
    <c:legend>
      <c:legendPos val="r"/>
      <c:layout>
        <c:manualLayout>
          <c:xMode val="edge"/>
          <c:yMode val="edge"/>
          <c:x val="0.24424999999999999"/>
          <c:y val="0.15702354913969099"/>
          <c:w val="0.194444444444446"/>
          <c:h val="8.3717191601049998E-2"/>
        </c:manualLayou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legend>
    <c:plotVisOnly val="1"/>
    <c:dispBlanksAs val="gap"/>
    <c:showDLblsOverMax val="0"/>
  </c:chart>
  <c:txPr>
    <a:bodyPr/>
    <a:lstStyle/>
    <a:p>
      <a:pPr>
        <a:defRPr lang="zh-CN"/>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77FBCFE-1846-4B6A-A760-F2C3DFEE50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211</Pages>
  <Words>22818</Words>
  <Characters>130065</Characters>
  <Application>Microsoft Office Word</Application>
  <DocSecurity>0</DocSecurity>
  <Lines>1083</Lines>
  <Paragraphs>305</Paragraphs>
  <ScaleCrop>false</ScaleCrop>
  <Company>Microsoft</Company>
  <LinksUpToDate>false</LinksUpToDate>
  <CharactersWithSpaces>152578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牧原食品股份有限公司</dc:title>
  <dc:creator>微软用户</dc:creator>
  <cp:lastModifiedBy>Administrator</cp:lastModifiedBy>
  <cp:revision>7</cp:revision>
  <cp:lastPrinted>2019-08-12T02:16:00Z</cp:lastPrinted>
  <dcterms:created xsi:type="dcterms:W3CDTF">2019-09-10T02:49:00Z</dcterms:created>
  <dcterms:modified xsi:type="dcterms:W3CDTF">2024-03-21T02:55:00Z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y fmtid="{D5CDD505-2E9C-101B-9397-08002B2CF9AE}" pid="3" name="ICV">
    <vt:lpwstr>AEA062E07F904891A0B0D81AD5BE20AB_12</vt:lpwstr>
  </property>
</Properties>
</file>