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方正小标宋简体" w:hAnsi="方正小标宋简体" w:eastAsia="方正小标宋简体" w:cs="方正小标宋简体"/>
          <w:b/>
          <w:color w:val="auto"/>
          <w:kern w:val="0"/>
          <w:sz w:val="44"/>
          <w:szCs w:val="44"/>
          <w:lang w:eastAsia="uk-UA"/>
        </w:rPr>
      </w:pPr>
      <w:r>
        <w:rPr>
          <w:rFonts w:hint="eastAsia" w:ascii="方正小标宋简体" w:hAnsi="方正小标宋简体" w:eastAsia="方正小标宋简体" w:cs="方正小标宋简体"/>
          <w:b/>
          <w:color w:val="auto"/>
          <w:kern w:val="0"/>
          <w:sz w:val="44"/>
          <w:szCs w:val="44"/>
          <w:lang w:eastAsia="uk-UA"/>
        </w:rPr>
        <w:t>2022年</w:t>
      </w:r>
      <w:r>
        <w:rPr>
          <w:rFonts w:hint="eastAsia" w:ascii="方正小标宋简体" w:hAnsi="方正小标宋简体" w:eastAsia="方正小标宋简体" w:cs="方正小标宋简体"/>
          <w:b/>
          <w:color w:val="auto"/>
          <w:kern w:val="0"/>
          <w:sz w:val="44"/>
          <w:szCs w:val="44"/>
          <w:lang w:eastAsia="zh-CN"/>
        </w:rPr>
        <w:t>单位</w:t>
      </w:r>
      <w:r>
        <w:rPr>
          <w:rFonts w:hint="eastAsia" w:ascii="方正小标宋简体" w:hAnsi="方正小标宋简体" w:eastAsia="方正小标宋简体" w:cs="方正小标宋简体"/>
          <w:b/>
          <w:color w:val="auto"/>
          <w:kern w:val="0"/>
          <w:sz w:val="44"/>
          <w:szCs w:val="44"/>
          <w:lang w:eastAsia="uk-UA"/>
        </w:rPr>
        <w:t>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预算公开表</w:t>
      </w:r>
    </w:p>
    <w:p>
      <w:pPr>
        <w:pStyle w:val="8"/>
        <w:tabs>
          <w:tab w:val="right" w:leader="dot" w:pos="14789"/>
        </w:tabs>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"_Toc68791536"</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预算收支总表</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p>
    <w:p>
      <w:pPr>
        <w:pStyle w:val="8"/>
        <w:tabs>
          <w:tab w:val="right" w:leader="dot" w:pos="14789"/>
        </w:tabs>
        <w:jc w:val="center"/>
        <w:rPr>
          <w:rFonts w:ascii="Times New Roman" w:eastAsia="方正仿宋_GBK"/>
          <w:sz w:val="28"/>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"_Toc68791537"</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预算收入总表</w:t>
      </w:r>
      <w:r>
        <w:rPr>
          <w:rFonts w:ascii="Times New Roman" w:eastAsia="方正仿宋_GBK"/>
          <w:sz w:val="28"/>
        </w:rPr>
        <w:tab/>
      </w:r>
      <w:r>
        <w:rPr>
          <w:rFonts w:hint="eastAsia" w:eastAsia="方正仿宋_GBK"/>
          <w:sz w:val="28"/>
          <w:lang w:val="en-US" w:eastAsia="zh-CN"/>
        </w:rPr>
        <w:t>4</w:t>
      </w:r>
      <w:r>
        <w:rPr>
          <w:rStyle w:val="13"/>
          <w:rFonts w:ascii="Times New Roman" w:eastAsia="方正仿宋_GBK"/>
          <w:color w:val="auto"/>
          <w:sz w:val="28"/>
          <w:u w:val="none"/>
        </w:rPr>
        <w:fldChar w:fldCharType="end"/>
      </w:r>
    </w:p>
    <w:p>
      <w:pPr>
        <w:pStyle w:val="8"/>
        <w:tabs>
          <w:tab w:val="right" w:leader="dot" w:pos="14789"/>
        </w:tabs>
        <w:jc w:val="center"/>
        <w:rPr>
          <w:rFonts w:ascii="Times New Roman" w:eastAsia="方正仿宋_GBK"/>
          <w:sz w:val="28"/>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"_Toc68791538"</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预算支出总表</w:t>
      </w:r>
      <w:r>
        <w:rPr>
          <w:rFonts w:ascii="Times New Roman" w:eastAsia="方正仿宋_GBK"/>
          <w:sz w:val="28"/>
        </w:rPr>
        <w:tab/>
      </w:r>
      <w:r>
        <w:rPr>
          <w:rFonts w:hint="eastAsia" w:ascii="Times New Roman"/>
          <w:sz w:val="28"/>
        </w:rPr>
        <w:t>5</w:t>
      </w:r>
      <w:r>
        <w:rPr>
          <w:rStyle w:val="13"/>
          <w:rFonts w:ascii="Times New Roman" w:eastAsia="方正仿宋_GBK"/>
          <w:color w:val="auto"/>
          <w:sz w:val="28"/>
          <w:u w:val="none"/>
        </w:rPr>
        <w:fldChar w:fldCharType="end"/>
      </w:r>
    </w:p>
    <w:p>
      <w:pPr>
        <w:pStyle w:val="8"/>
        <w:tabs>
          <w:tab w:val="right" w:leader="dot" w:pos="14789"/>
        </w:tabs>
        <w:jc w:val="center"/>
        <w:rPr>
          <w:rFonts w:hint="eastAsia" w:ascii="Times New Roman"/>
          <w:sz w:val="28"/>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"_Toc68791539"</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预算财政拨款收支总表</w:t>
      </w:r>
      <w:r>
        <w:rPr>
          <w:rFonts w:ascii="Times New Roman" w:eastAsia="方正仿宋_GBK"/>
          <w:sz w:val="28"/>
        </w:rPr>
        <w:tab/>
      </w:r>
      <w:r>
        <w:rPr>
          <w:rFonts w:hint="eastAsia" w:eastAsia="方正仿宋_GBK"/>
          <w:sz w:val="28"/>
          <w:lang w:val="en-US" w:eastAsia="zh-CN"/>
        </w:rPr>
        <w:t>6</w:t>
      </w:r>
      <w:r>
        <w:rPr>
          <w:rStyle w:val="13"/>
          <w:rFonts w:ascii="Times New Roman" w:eastAsia="方正仿宋_GBK"/>
          <w:color w:val="auto"/>
          <w:sz w:val="28"/>
          <w:u w:val="none"/>
        </w:rPr>
        <w:fldChar w:fldCharType="end"/>
      </w:r>
    </w:p>
    <w:p>
      <w:pPr>
        <w:pStyle w:val="8"/>
        <w:tabs>
          <w:tab w:val="right" w:leader="dot" w:pos="14789"/>
        </w:tabs>
        <w:jc w:val="center"/>
        <w:rPr>
          <w:rFonts w:hint="eastAsia" w:ascii="Times New Roman"/>
          <w:sz w:val="28"/>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"_Toc68791540"</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预算一般公共预算财政拨款支出表</w:t>
      </w:r>
      <w:r>
        <w:rPr>
          <w:rFonts w:ascii="Times New Roman" w:eastAsia="方正仿宋_GBK"/>
          <w:sz w:val="28"/>
        </w:rPr>
        <w:tab/>
      </w:r>
      <w:r>
        <w:rPr>
          <w:rFonts w:hint="eastAsia" w:eastAsia="方正仿宋_GBK"/>
          <w:sz w:val="28"/>
          <w:lang w:val="en-US" w:eastAsia="zh-CN"/>
        </w:rPr>
        <w:t>9</w:t>
      </w:r>
      <w:r>
        <w:rPr>
          <w:rStyle w:val="13"/>
          <w:rFonts w:ascii="Times New Roman" w:eastAsia="方正仿宋_GBK"/>
          <w:color w:val="auto"/>
          <w:sz w:val="28"/>
          <w:u w:val="none"/>
        </w:rPr>
        <w:fldChar w:fldCharType="end"/>
      </w:r>
    </w:p>
    <w:p>
      <w:pPr>
        <w:pStyle w:val="8"/>
        <w:tabs>
          <w:tab w:val="right" w:leader="dot" w:pos="14789"/>
        </w:tabs>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"_Toc68791541"</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预算一般公共预算财政拨款基本支出表</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0</w:t>
      </w:r>
    </w:p>
    <w:p>
      <w:pPr>
        <w:pStyle w:val="8"/>
        <w:tabs>
          <w:tab w:val="right" w:leader="dot" w:pos="14789"/>
        </w:tabs>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"_Toc68791542"</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预算政府基金预算财政拨款支出表</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1</w:t>
      </w:r>
    </w:p>
    <w:p>
      <w:pPr>
        <w:pStyle w:val="8"/>
        <w:tabs>
          <w:tab w:val="right" w:leader="dot" w:pos="14789"/>
        </w:tabs>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"_Toc68791543"</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预算国有资本经营预算财政拨款支出表</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2</w:t>
      </w:r>
    </w:p>
    <w:p>
      <w:pPr>
        <w:pStyle w:val="8"/>
        <w:tabs>
          <w:tab w:val="right" w:leader="dot" w:pos="14789"/>
        </w:tabs>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"_Toc68791544"</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eastAsia="方正仿宋_GBK"/>
          <w:color w:val="auto"/>
          <w:sz w:val="28"/>
          <w:u w:val="none"/>
          <w:lang w:eastAsia="zh-CN"/>
        </w:rPr>
        <w:t>本级</w:t>
      </w:r>
      <w:r>
        <w:rPr>
          <w:rStyle w:val="13"/>
          <w:rFonts w:hint="eastAsia" w:ascii="Times New Roman" w:eastAsia="方正仿宋_GBK"/>
          <w:color w:val="auto"/>
          <w:sz w:val="28"/>
          <w:u w:val="none"/>
        </w:rPr>
        <w:t>预算财政拨款“三公”经费支出表</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3</w:t>
      </w:r>
    </w:p>
    <w:p>
      <w:pPr>
        <w:ind w:left="420" w:leftChars="200"/>
        <w:jc w:val="center"/>
        <w:rPr>
          <w:rFonts w:ascii="Times New Roman" w:hAnsi="宋体"/>
        </w:rPr>
      </w:pPr>
      <w:r>
        <w:rPr>
          <w:rFonts w:ascii="Times New Roman" w:eastAsia="方正仿宋_GBK"/>
          <w:sz w:val="28"/>
        </w:rPr>
        <w:fldChar w:fldCharType="end"/>
      </w:r>
    </w:p>
    <w:p>
      <w:pPr>
        <w:jc w:val="left"/>
        <w:rPr>
          <w:rFonts w:hint="eastAsia" w:ascii="Times New Roman" w:hAnsi="宋体"/>
          <w:b/>
          <w:sz w:val="28"/>
        </w:rPr>
      </w:pPr>
      <w:r>
        <w:rPr>
          <w:rFonts w:hint="eastAsia" w:ascii="方正楷体_GBK" w:eastAsia="方正楷体_GBK"/>
          <w:b/>
          <w:sz w:val="28"/>
          <w:lang w:eastAsia="zh-CN"/>
        </w:rPr>
        <w:t>本级</w:t>
      </w:r>
      <w:r>
        <w:rPr>
          <w:rFonts w:hint="eastAsia" w:ascii="方正楷体_GBK" w:eastAsia="方正楷体_GBK"/>
          <w:b/>
          <w:sz w:val="28"/>
        </w:rPr>
        <w:t>预算信息公开情况说明</w:t>
      </w:r>
    </w:p>
    <w:p>
      <w:pPr>
        <w:pStyle w:val="4"/>
        <w:tabs>
          <w:tab w:val="right" w:leader="dot" w:pos="14789"/>
        </w:tabs>
        <w:ind w:left="420" w:leftChars="200"/>
        <w:jc w:val="center"/>
        <w:rPr>
          <w:rFonts w:hint="eastAsia" w:ascii="Times New Roman" w:eastAsia="方正仿宋_GBK"/>
          <w:sz w:val="28"/>
          <w:lang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"_Toc68791545"</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一、</w:t>
      </w:r>
      <w:r>
        <w:rPr>
          <w:rStyle w:val="13"/>
          <w:rFonts w:hint="eastAsia" w:hAnsi="黑体" w:eastAsia="方正仿宋_GBK"/>
          <w:color w:val="auto"/>
          <w:sz w:val="28"/>
          <w:u w:val="none"/>
          <w:lang w:eastAsia="zh-CN"/>
        </w:rPr>
        <w:t>本级</w:t>
      </w:r>
      <w:r>
        <w:rPr>
          <w:rStyle w:val="13"/>
          <w:rFonts w:hint="eastAsia" w:ascii="Times New Roman" w:hAnsi="黑体" w:eastAsia="方正仿宋_GBK"/>
          <w:color w:val="auto"/>
          <w:sz w:val="28"/>
          <w:u w:val="none"/>
        </w:rPr>
        <w:t>职责及机构设置情况</w:t>
      </w:r>
      <w:r>
        <w:rPr>
          <w:rFonts w:ascii="Times New Roman" w:eastAsia="方正仿宋_GBK"/>
          <w:sz w:val="28"/>
        </w:rPr>
        <w:tab/>
      </w:r>
      <w:r>
        <w:rPr>
          <w:rFonts w:hint="eastAsia" w:ascii="Times New Roman"/>
          <w:sz w:val="28"/>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4</w:t>
      </w:r>
    </w:p>
    <w:p>
      <w:pPr>
        <w:pStyle w:val="4"/>
        <w:tabs>
          <w:tab w:val="right" w:leader="dot" w:pos="14789"/>
        </w:tabs>
        <w:ind w:left="420" w:leftChars="200"/>
        <w:jc w:val="center"/>
        <w:rPr>
          <w:rStyle w:val="13"/>
          <w:rFonts w:ascii="Times New Roman" w:eastAsia="方正仿宋_GBK"/>
          <w:color w:val="auto"/>
          <w:sz w:val="28"/>
          <w:u w:val="none"/>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"_Toc68791546"</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二、</w:t>
      </w:r>
      <w:r>
        <w:rPr>
          <w:rStyle w:val="13"/>
          <w:rFonts w:hint="eastAsia" w:hAnsi="黑体" w:eastAsia="方正仿宋_GBK"/>
          <w:color w:val="auto"/>
          <w:sz w:val="28"/>
          <w:u w:val="none"/>
          <w:lang w:eastAsia="zh-CN"/>
        </w:rPr>
        <w:t>本级</w:t>
      </w:r>
      <w:r>
        <w:rPr>
          <w:rStyle w:val="13"/>
          <w:rFonts w:hint="eastAsia" w:ascii="Times New Roman" w:hAnsi="黑体" w:eastAsia="方正仿宋_GBK"/>
          <w:color w:val="auto"/>
          <w:sz w:val="28"/>
          <w:u w:val="none"/>
        </w:rPr>
        <w:t>预算安排的总体情况</w:t>
      </w:r>
      <w:r>
        <w:rPr>
          <w:rFonts w:ascii="Times New Roman" w:eastAsia="方正仿宋_GBK"/>
          <w:sz w:val="28"/>
        </w:rPr>
        <w:tab/>
      </w:r>
      <w:r>
        <w:rPr>
          <w:rFonts w:hint="eastAsia" w:eastAsia="方正仿宋_GBK"/>
          <w:sz w:val="28"/>
          <w:lang w:val="en-US" w:eastAsia="zh-CN"/>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4</w:t>
      </w:r>
    </w:p>
    <w:p>
      <w:pPr>
        <w:pStyle w:val="4"/>
        <w:tabs>
          <w:tab w:val="right" w:leader="dot" w:pos="14789"/>
        </w:tabs>
        <w:ind w:left="420" w:leftChars="200"/>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"_Toc68791547"</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三、机关运行经费安排情况</w:t>
      </w:r>
      <w:r>
        <w:rPr>
          <w:rFonts w:ascii="Times New Roman" w:eastAsia="方正仿宋_GBK"/>
          <w:sz w:val="28"/>
        </w:rPr>
        <w:tab/>
      </w:r>
      <w:r>
        <w:rPr>
          <w:rFonts w:hint="eastAsia" w:eastAsia="方正仿宋_GBK"/>
          <w:sz w:val="28"/>
          <w:lang w:val="en-US" w:eastAsia="zh-CN"/>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5</w:t>
      </w:r>
    </w:p>
    <w:p>
      <w:pPr>
        <w:pStyle w:val="4"/>
        <w:tabs>
          <w:tab w:val="right" w:leader="dot" w:pos="14789"/>
        </w:tabs>
        <w:ind w:left="420" w:leftChars="200"/>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"_Toc68791548"</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四、财政拨款</w:t>
      </w:r>
      <w:r>
        <w:rPr>
          <w:rStyle w:val="13"/>
          <w:rFonts w:ascii="Times New Roman" w:hAnsi="黑体" w:eastAsia="方正仿宋_GBK"/>
          <w:color w:val="auto"/>
          <w:sz w:val="28"/>
          <w:u w:val="none"/>
        </w:rPr>
        <w:t>“</w:t>
      </w:r>
      <w:r>
        <w:rPr>
          <w:rStyle w:val="13"/>
          <w:rFonts w:hint="eastAsia" w:ascii="Times New Roman" w:hAnsi="黑体" w:eastAsia="方正仿宋_GBK"/>
          <w:color w:val="auto"/>
          <w:sz w:val="28"/>
          <w:u w:val="none"/>
        </w:rPr>
        <w:t>三公</w:t>
      </w:r>
      <w:r>
        <w:rPr>
          <w:rStyle w:val="13"/>
          <w:rFonts w:ascii="Times New Roman" w:hAnsi="黑体" w:eastAsia="方正仿宋_GBK"/>
          <w:color w:val="auto"/>
          <w:sz w:val="28"/>
          <w:u w:val="none"/>
        </w:rPr>
        <w:t>”</w:t>
      </w:r>
      <w:r>
        <w:rPr>
          <w:rStyle w:val="13"/>
          <w:rFonts w:hint="eastAsia" w:ascii="Times New Roman" w:hAnsi="黑体" w:eastAsia="方正仿宋_GBK"/>
          <w:color w:val="auto"/>
          <w:sz w:val="28"/>
          <w:u w:val="none"/>
        </w:rPr>
        <w:t>经费预算情况及增减变化原因</w:t>
      </w:r>
      <w:r>
        <w:rPr>
          <w:rFonts w:ascii="Times New Roman" w:eastAsia="方正仿宋_GBK"/>
          <w:sz w:val="28"/>
        </w:rPr>
        <w:tab/>
      </w:r>
      <w:r>
        <w:rPr>
          <w:rFonts w:hint="eastAsia" w:eastAsia="方正仿宋_GBK"/>
          <w:sz w:val="28"/>
          <w:lang w:val="en-US" w:eastAsia="zh-CN"/>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6</w:t>
      </w:r>
    </w:p>
    <w:p>
      <w:pPr>
        <w:pStyle w:val="4"/>
        <w:tabs>
          <w:tab w:val="right" w:leader="dot" w:pos="14789"/>
        </w:tabs>
        <w:ind w:left="420" w:leftChars="200"/>
        <w:jc w:val="center"/>
        <w:rPr>
          <w:rStyle w:val="13"/>
          <w:rFonts w:hint="eastAsia" w:ascii="Times New Roman" w:eastAsia="方正仿宋_GBK"/>
          <w:color w:val="auto"/>
          <w:sz w:val="28"/>
          <w:u w:val="none"/>
          <w:lang w:val="en-US"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"_Toc68791549"</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五、预算绩效信息</w:t>
      </w:r>
      <w:r>
        <w:rPr>
          <w:rFonts w:ascii="Times New Roman" w:eastAsia="方正仿宋_GBK"/>
          <w:sz w:val="28"/>
        </w:rPr>
        <w:tab/>
      </w:r>
      <w:r>
        <w:rPr>
          <w:rFonts w:hint="eastAsia" w:eastAsia="方正仿宋_GBK"/>
          <w:sz w:val="28"/>
          <w:lang w:val="en-US" w:eastAsia="zh-CN"/>
        </w:rPr>
        <w:t>1</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6</w:t>
      </w:r>
    </w:p>
    <w:p>
      <w:pPr>
        <w:pStyle w:val="4"/>
        <w:tabs>
          <w:tab w:val="right" w:leader="dot" w:pos="14789"/>
        </w:tabs>
        <w:ind w:left="420" w:leftChars="200"/>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"_Toc68791550"</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eastAsia="方正仿宋_GBK"/>
          <w:color w:val="auto"/>
          <w:sz w:val="28"/>
          <w:u w:val="none"/>
        </w:rPr>
        <w:t>六、政府采购预算情况</w:t>
      </w:r>
      <w:r>
        <w:rPr>
          <w:rFonts w:ascii="Times New Roman" w:eastAsia="方正仿宋_GBK"/>
          <w:sz w:val="28"/>
        </w:rPr>
        <w:tab/>
      </w:r>
      <w:r>
        <w:rPr>
          <w:rFonts w:hint="eastAsia" w:eastAsia="方正仿宋_GBK"/>
          <w:sz w:val="28"/>
          <w:lang w:val="en-US" w:eastAsia="zh-CN"/>
        </w:rPr>
        <w:t>3</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7</w:t>
      </w:r>
    </w:p>
    <w:p>
      <w:pPr>
        <w:pStyle w:val="4"/>
        <w:tabs>
          <w:tab w:val="right" w:leader="dot" w:pos="14789"/>
        </w:tabs>
        <w:ind w:left="420" w:leftChars="200"/>
        <w:jc w:val="center"/>
        <w:rPr>
          <w:rFonts w:hint="eastAsia" w:ascii="Times New Roman" w:eastAsia="方正仿宋_GBK"/>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"_Toc68791551"</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七、国有资产信息</w:t>
      </w:r>
      <w:r>
        <w:rPr>
          <w:rFonts w:ascii="Times New Roman" w:eastAsia="方正仿宋_GBK"/>
          <w:sz w:val="28"/>
        </w:rPr>
        <w:tab/>
      </w:r>
      <w:r>
        <w:rPr>
          <w:rFonts w:hint="eastAsia" w:eastAsia="方正仿宋_GBK"/>
          <w:sz w:val="28"/>
          <w:lang w:val="en-US" w:eastAsia="zh-CN"/>
        </w:rPr>
        <w:t>4</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8</w:t>
      </w:r>
    </w:p>
    <w:p>
      <w:pPr>
        <w:pStyle w:val="4"/>
        <w:tabs>
          <w:tab w:val="right" w:leader="dot" w:pos="14789"/>
        </w:tabs>
        <w:ind w:left="420" w:leftChars="200"/>
        <w:jc w:val="center"/>
        <w:rPr>
          <w:rFonts w:hint="eastAsia" w:ascii="Times New Roman" w:eastAsia="宋体"/>
          <w:sz w:val="28"/>
          <w:lang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"_Toc68791552"</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八、名词解释</w:t>
      </w:r>
      <w:r>
        <w:rPr>
          <w:rFonts w:ascii="Times New Roman" w:eastAsia="方正仿宋_GBK"/>
          <w:sz w:val="28"/>
        </w:rPr>
        <w:tab/>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4</w:t>
      </w:r>
      <w:r>
        <w:rPr>
          <w:rStyle w:val="13"/>
          <w:rFonts w:hint="eastAsia"/>
          <w:color w:val="auto"/>
          <w:sz w:val="28"/>
          <w:u w:val="none"/>
          <w:lang w:val="en-US" w:eastAsia="zh-CN"/>
        </w:rPr>
        <w:t>9</w:t>
      </w:r>
    </w:p>
    <w:p>
      <w:pPr>
        <w:pStyle w:val="4"/>
        <w:tabs>
          <w:tab w:val="right" w:leader="dot" w:pos="14789"/>
        </w:tabs>
        <w:ind w:left="420" w:leftChars="200"/>
        <w:jc w:val="center"/>
        <w:rPr>
          <w:rFonts w:hint="eastAsia" w:ascii="Times New Roman" w:eastAsia="方正仿宋_GBK"/>
          <w:sz w:val="28"/>
          <w:lang w:val="en-US" w:eastAsia="zh-CN"/>
        </w:rPr>
      </w:pPr>
      <w:r>
        <w:rPr>
          <w:rStyle w:val="13"/>
          <w:rFonts w:ascii="Times New Roman" w:eastAsia="方正仿宋_GBK"/>
          <w:color w:val="auto"/>
          <w:sz w:val="28"/>
          <w:u w:val="none"/>
        </w:rPr>
        <w:fldChar w:fldCharType="begin"/>
      </w:r>
      <w:r>
        <w:rPr>
          <w:rStyle w:val="13"/>
          <w:rFonts w:ascii="Times New Roman" w:eastAsia="方正仿宋_GBK"/>
          <w:color w:val="auto"/>
          <w:sz w:val="28"/>
          <w:u w:val="none"/>
        </w:rPr>
        <w:instrText xml:space="preserve"> </w:instrText>
      </w:r>
      <w:r>
        <w:rPr>
          <w:rFonts w:ascii="Times New Roman" w:eastAsia="方正仿宋_GBK"/>
          <w:sz w:val="28"/>
        </w:rPr>
        <w:instrText xml:space="preserve">HYPERLINK \l "_Toc68791553"</w:instrText>
      </w:r>
      <w:r>
        <w:rPr>
          <w:rStyle w:val="13"/>
          <w:rFonts w:ascii="Times New Roman" w:eastAsia="方正仿宋_GBK"/>
          <w:color w:val="auto"/>
          <w:sz w:val="28"/>
          <w:u w:val="none"/>
        </w:rPr>
        <w:instrText xml:space="preserve"> </w:instrText>
      </w:r>
      <w:r>
        <w:rPr>
          <w:rStyle w:val="13"/>
          <w:rFonts w:ascii="Times New Roman" w:eastAsia="方正仿宋_GBK"/>
          <w:color w:val="auto"/>
          <w:sz w:val="28"/>
          <w:u w:val="none"/>
        </w:rPr>
        <w:fldChar w:fldCharType="separate"/>
      </w:r>
      <w:r>
        <w:rPr>
          <w:rStyle w:val="13"/>
          <w:rFonts w:hint="eastAsia" w:ascii="Times New Roman" w:hAnsi="黑体" w:eastAsia="方正仿宋_GBK"/>
          <w:color w:val="auto"/>
          <w:sz w:val="28"/>
          <w:u w:val="none"/>
        </w:rPr>
        <w:t>九、其他需要说明的事项</w:t>
      </w:r>
      <w:r>
        <w:rPr>
          <w:rFonts w:ascii="Times New Roman" w:eastAsia="方正仿宋_GBK"/>
          <w:sz w:val="28"/>
        </w:rPr>
        <w:tab/>
      </w:r>
      <w:r>
        <w:rPr>
          <w:rFonts w:hint="eastAsia" w:eastAsia="方正仿宋_GBK"/>
          <w:sz w:val="28"/>
          <w:lang w:val="en-US" w:eastAsia="zh-CN"/>
        </w:rPr>
        <w:t>5</w:t>
      </w:r>
      <w:r>
        <w:rPr>
          <w:rStyle w:val="13"/>
          <w:rFonts w:ascii="Times New Roman" w:eastAsia="方正仿宋_GBK"/>
          <w:color w:val="auto"/>
          <w:sz w:val="28"/>
          <w:u w:val="none"/>
        </w:rPr>
        <w:fldChar w:fldCharType="end"/>
      </w:r>
      <w:r>
        <w:rPr>
          <w:rStyle w:val="13"/>
          <w:rFonts w:hint="eastAsia" w:eastAsia="方正仿宋_GBK"/>
          <w:color w:val="auto"/>
          <w:sz w:val="28"/>
          <w:u w:val="none"/>
          <w:lang w:val="en-US" w:eastAsia="zh-CN"/>
        </w:rPr>
        <w:t>1</w:t>
      </w:r>
    </w:p>
    <w:p>
      <w:pPr>
        <w:jc w:val="both"/>
        <w:rPr>
          <w:rStyle w:val="13"/>
          <w:rFonts w:hint="eastAsia" w:ascii="宋体" w:hAnsi="宋体" w:cs="宋体"/>
          <w:color w:val="auto"/>
          <w:sz w:val="28"/>
          <w:u w:val="none"/>
        </w:rPr>
        <w:sectPr>
          <w:headerReference r:id="rId3" w:type="default"/>
          <w:footerReference r:id="rId4" w:type="default"/>
          <w:pgSz w:w="16839" w:h="11907" w:orient="landscape"/>
          <w:pgMar w:top="680" w:right="1020" w:bottom="680" w:left="1020" w:header="851" w:footer="992" w:gutter="0"/>
          <w:pgNumType w:start="1"/>
          <w:cols w:space="720" w:num="1"/>
          <w:docGrid w:type="lines" w:linePitch="312" w:charSpace="0"/>
        </w:sectPr>
      </w:pPr>
      <w:r>
        <w:rPr>
          <w:rFonts w:ascii="Times New Roman" w:eastAsia="方正仿宋_GBK"/>
          <w:sz w:val="28"/>
        </w:rPr>
        <w:fldChar w:fldCharType="end"/>
      </w:r>
    </w:p>
    <w:p>
      <w:pPr>
        <w:widowControl/>
        <w:jc w:val="left"/>
        <w:rPr>
          <w:rFonts w:hint="eastAsia" w:ascii="宋体" w:hAnsi="宋体" w:cs="宋体"/>
          <w:kern w:val="0"/>
          <w:sz w:val="22"/>
        </w:rPr>
      </w:pPr>
      <w:r>
        <w:rPr>
          <w:rFonts w:hint="eastAsia" w:ascii="宋体" w:hAnsi="宋体" w:cs="宋体"/>
          <w:kern w:val="0"/>
          <w:sz w:val="22"/>
        </w:rPr>
        <w:t>附表1-1</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Fonts w:hint="eastAsia" w:ascii="方正小标宋_GBK" w:eastAsia="方正小标宋_GBK" w:cs="Times New Roman"/>
          <w:color w:val="000000"/>
          <w:kern w:val="0"/>
          <w:sz w:val="36"/>
          <w:szCs w:val="36"/>
          <w:lang w:eastAsia="zh-CN"/>
        </w:rPr>
        <w:t>本级</w:t>
      </w:r>
      <w:r>
        <w:rPr>
          <w:rFonts w:hint="eastAsia" w:ascii="方正小标宋_GBK" w:hAnsi="Times New Roman" w:eastAsia="方正小标宋_GBK" w:cs="Times New Roman"/>
          <w:color w:val="000000"/>
          <w:kern w:val="0"/>
          <w:sz w:val="36"/>
          <w:szCs w:val="36"/>
        </w:rPr>
        <w:t>预算收支总表</w:t>
      </w:r>
    </w:p>
    <w:p>
      <w:pPr>
        <w:spacing w:line="560" w:lineRule="exact"/>
        <w:ind w:firstLine="240" w:firstLineChars="100"/>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 xml:space="preserve"> 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预算年度：2022</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5790" w:type="dxa"/>
            <w:gridSpan w:val="2"/>
            <w:noWrap w:val="0"/>
            <w:vAlign w:val="center"/>
          </w:tcPr>
          <w:p>
            <w:pPr>
              <w:spacing w:line="560" w:lineRule="exact"/>
              <w:ind w:firstLine="1440" w:firstLineChars="600"/>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收  入</w:t>
            </w:r>
          </w:p>
        </w:tc>
        <w:tc>
          <w:tcPr>
            <w:tcW w:w="7714" w:type="dxa"/>
            <w:gridSpan w:val="2"/>
            <w:noWrap w:val="0"/>
            <w:vAlign w:val="center"/>
          </w:tcPr>
          <w:p>
            <w:pPr>
              <w:spacing w:line="560" w:lineRule="exact"/>
              <w:ind w:firstLine="1920" w:firstLineChars="800"/>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2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153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预算数</w:t>
            </w:r>
          </w:p>
        </w:tc>
        <w:tc>
          <w:tcPr>
            <w:tcW w:w="54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sz w:val="24"/>
                <w:szCs w:val="24"/>
              </w:rPr>
              <w:t>栏</w:t>
            </w:r>
            <w:r>
              <w:rPr>
                <w:rStyle w:val="13"/>
                <w:rFonts w:hint="eastAsia" w:ascii="方正仿宋简体" w:hAnsi="方正仿宋简体" w:eastAsia="方正仿宋简体" w:cs="方正仿宋简体"/>
                <w:color w:val="auto"/>
                <w:sz w:val="24"/>
                <w:szCs w:val="24"/>
                <w:u w:val="none"/>
              </w:rPr>
              <w:t>次</w:t>
            </w:r>
          </w:p>
        </w:tc>
        <w:tc>
          <w:tcPr>
            <w:tcW w:w="42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53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54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一、一般公共预算拨款收入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一、一般公共服务支出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二、政府性基金预算拨款收入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二、外交支出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三、国有资本经营预算拨款收入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三、国防支出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四、财政专户管理资金收入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四、公共安全支出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五、事业收入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五、教育支出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六、事业单位经营收入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六、科学技术支出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七、上级补助收入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七、文化旅游体育与传媒支出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八、附属单位上缴收入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八、社会保障和就业支出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九、其他收入</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九、卫生健康支出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10</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十、节能环保支出</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11</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十一、城乡社区支出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十二、农林水支出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13"/>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sz w:val="24"/>
                <w:szCs w:val="24"/>
              </w:rPr>
              <w:t>栏</w:t>
            </w:r>
            <w:r>
              <w:rPr>
                <w:rStyle w:val="13"/>
                <w:rFonts w:hint="eastAsia" w:ascii="方正仿宋简体" w:hAnsi="方正仿宋简体" w:eastAsia="方正仿宋简体" w:cs="方正仿宋简体"/>
                <w:color w:val="auto"/>
                <w:sz w:val="24"/>
                <w:szCs w:val="24"/>
                <w:u w:val="none"/>
              </w:rPr>
              <w:t>次</w:t>
            </w:r>
          </w:p>
        </w:tc>
        <w:tc>
          <w:tcPr>
            <w:tcW w:w="42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53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bl>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21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13</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十三、交通运输支出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14</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十四、资源勘探工业信息等支出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15</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十五、商业服务业等支出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16</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十六、金融支出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17</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十七、援助其他地区支出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18</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十八、自然资源海洋气象等支出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19</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十九、住房保障支出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20</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二十、粮油物资储备支出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21</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二十一、国有资本经营预算支出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22</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二十二、灾害防治及应急管理支出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23</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二十三、债务还本支出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24</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二十四、债务付息支出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25</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二十五、债务发行费用支出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26</w:t>
            </w:r>
          </w:p>
        </w:tc>
        <w:tc>
          <w:tcPr>
            <w:tcW w:w="426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0"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二十六、其他支出</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27</w:t>
            </w:r>
          </w:p>
        </w:tc>
        <w:tc>
          <w:tcPr>
            <w:tcW w:w="42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本年收入合计</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c>
          <w:tcPr>
            <w:tcW w:w="5495"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本年支出合计</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28</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上年结转结余</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495"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年终结转结余</w:t>
            </w:r>
          </w:p>
        </w:tc>
        <w:tc>
          <w:tcPr>
            <w:tcW w:w="2219" w:type="dxa"/>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29</w:t>
            </w:r>
          </w:p>
        </w:tc>
        <w:tc>
          <w:tcPr>
            <w:tcW w:w="426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收入总计</w:t>
            </w:r>
          </w:p>
        </w:tc>
        <w:tc>
          <w:tcPr>
            <w:tcW w:w="1530"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c>
          <w:tcPr>
            <w:tcW w:w="5495"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支出总计</w:t>
            </w:r>
          </w:p>
        </w:tc>
        <w:tc>
          <w:tcPr>
            <w:tcW w:w="2219" w:type="dxa"/>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1217.97</w:t>
            </w:r>
          </w:p>
        </w:tc>
      </w:tr>
    </w:tbl>
    <w:p>
      <w:pPr>
        <w:spacing w:line="560" w:lineRule="exact"/>
        <w:jc w:val="left"/>
        <w:rPr>
          <w:rStyle w:val="13"/>
          <w:rFonts w:hint="eastAsia"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附表1-2</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Fonts w:hint="eastAsia" w:ascii="方正小标宋_GBK" w:eastAsia="方正小标宋_GBK" w:cs="Times New Roman"/>
          <w:color w:val="000000"/>
          <w:kern w:val="0"/>
          <w:sz w:val="36"/>
          <w:szCs w:val="36"/>
          <w:lang w:eastAsia="zh-CN"/>
        </w:rPr>
        <w:t>本级</w:t>
      </w:r>
      <w:r>
        <w:rPr>
          <w:rFonts w:hint="eastAsia" w:ascii="方正小标宋_GBK" w:hAnsi="Times New Roman" w:eastAsia="方正小标宋_GBK" w:cs="Times New Roman"/>
          <w:color w:val="000000"/>
          <w:kern w:val="0"/>
          <w:sz w:val="36"/>
          <w:szCs w:val="36"/>
        </w:rPr>
        <w:t>预算收入总表</w:t>
      </w:r>
    </w:p>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w:t>
      </w:r>
      <w:r>
        <w:rPr>
          <w:rStyle w:val="13"/>
          <w:rFonts w:hint="eastAsia" w:ascii="方正仿宋简体" w:hAnsi="方正仿宋简体" w:eastAsia="方正仿宋简体" w:cs="方正仿宋简体"/>
          <w:color w:val="auto"/>
          <w:sz w:val="24"/>
          <w:szCs w:val="24"/>
          <w:u w:val="none"/>
          <w:lang w:val="en-US" w:eastAsia="zh-CN"/>
        </w:rPr>
        <w:t xml:space="preserve">       </w:t>
      </w:r>
      <w:r>
        <w:rPr>
          <w:rStyle w:val="13"/>
          <w:rFonts w:hint="eastAsia" w:ascii="方正仿宋简体" w:hAnsi="方正仿宋简体" w:eastAsia="方正仿宋简体" w:cs="方正仿宋简体"/>
          <w:color w:val="auto"/>
          <w:sz w:val="24"/>
          <w:szCs w:val="24"/>
          <w:u w:val="none"/>
        </w:rPr>
        <w:t xml:space="preserve"> 预算年度：2022</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单位：万元</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7"/>
        <w:gridCol w:w="1403"/>
        <w:gridCol w:w="1963"/>
        <w:gridCol w:w="1295"/>
        <w:gridCol w:w="1364"/>
        <w:gridCol w:w="1337"/>
        <w:gridCol w:w="1114"/>
        <w:gridCol w:w="851"/>
        <w:gridCol w:w="851"/>
        <w:gridCol w:w="1114"/>
        <w:gridCol w:w="1396"/>
        <w:gridCol w:w="870"/>
        <w:gridCol w:w="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0" w:type="auto"/>
            <w:vMerge w:val="restart"/>
            <w:noWrap w:val="0"/>
            <w:vAlign w:val="center"/>
          </w:tcPr>
          <w:p>
            <w:pPr>
              <w:tabs>
                <w:tab w:val="left" w:pos="243"/>
              </w:tabs>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3367"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29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8853" w:type="dxa"/>
            <w:gridSpan w:val="8"/>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本年收入</w:t>
            </w:r>
          </w:p>
        </w:tc>
        <w:tc>
          <w:tcPr>
            <w:tcW w:w="0" w:type="auto"/>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25" w:hRule="exact"/>
          <w:tblHeader/>
          <w:jc w:val="center"/>
        </w:trPr>
        <w:tc>
          <w:tcPr>
            <w:tcW w:w="0" w:type="auto"/>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0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功能科目编码</w:t>
            </w:r>
          </w:p>
        </w:tc>
        <w:tc>
          <w:tcPr>
            <w:tcW w:w="19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295"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小计</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财政拨款收入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财政专户收入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事业收入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经营收入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上级补助收入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附属单位上缴收入</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其他收入</w:t>
            </w:r>
          </w:p>
        </w:tc>
        <w:tc>
          <w:tcPr>
            <w:tcW w:w="0" w:type="auto"/>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403"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964"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29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364"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337"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10</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11</w:t>
            </w:r>
          </w:p>
        </w:tc>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40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9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  计</w:t>
            </w:r>
          </w:p>
        </w:tc>
        <w:tc>
          <w:tcPr>
            <w:tcW w:w="12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20" w:hRule="exact"/>
          <w:jc w:val="center"/>
        </w:trPr>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403"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w:t>
            </w:r>
          </w:p>
        </w:tc>
        <w:tc>
          <w:tcPr>
            <w:tcW w:w="196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灾害防治及应急管理支出</w:t>
            </w:r>
          </w:p>
        </w:tc>
        <w:tc>
          <w:tcPr>
            <w:tcW w:w="12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8" w:hRule="exact"/>
          <w:jc w:val="center"/>
        </w:trPr>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403"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w:t>
            </w:r>
          </w:p>
        </w:tc>
        <w:tc>
          <w:tcPr>
            <w:tcW w:w="196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消防救援事务</w:t>
            </w:r>
          </w:p>
        </w:tc>
        <w:tc>
          <w:tcPr>
            <w:tcW w:w="12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403"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w:t>
            </w:r>
            <w:r>
              <w:rPr>
                <w:rStyle w:val="13"/>
                <w:rFonts w:hint="eastAsia" w:ascii="方正仿宋简体" w:hAnsi="方正仿宋简体" w:eastAsia="方正仿宋简体" w:cs="方正仿宋简体"/>
                <w:color w:val="auto"/>
                <w:sz w:val="24"/>
                <w:szCs w:val="24"/>
                <w:u w:val="none"/>
                <w:lang w:val="en-US" w:eastAsia="zh-CN"/>
              </w:rPr>
              <w:t>1</w:t>
            </w:r>
          </w:p>
        </w:tc>
        <w:tc>
          <w:tcPr>
            <w:tcW w:w="196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行政运行</w:t>
            </w:r>
          </w:p>
        </w:tc>
        <w:tc>
          <w:tcPr>
            <w:tcW w:w="12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0" w:type="auto"/>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403"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2240204</w:t>
            </w:r>
          </w:p>
        </w:tc>
        <w:tc>
          <w:tcPr>
            <w:tcW w:w="196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消防应急救援</w:t>
            </w:r>
          </w:p>
        </w:tc>
        <w:tc>
          <w:tcPr>
            <w:tcW w:w="129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136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133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0" w:type="auto"/>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宋体" w:hAnsi="宋体" w:cs="宋体"/>
          <w:color w:val="auto"/>
          <w:sz w:val="24"/>
          <w:szCs w:val="24"/>
          <w:u w:val="none"/>
        </w:rPr>
        <w:sectPr>
          <w:pgSz w:w="16839" w:h="11907" w:orient="landscape"/>
          <w:pgMar w:top="680" w:right="1020" w:bottom="680" w:left="1020" w:header="851" w:footer="992" w:gutter="0"/>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附表1-3</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Fonts w:hint="eastAsia" w:ascii="方正小标宋_GBK" w:eastAsia="方正小标宋_GBK" w:cs="Times New Roman"/>
          <w:color w:val="000000"/>
          <w:kern w:val="0"/>
          <w:sz w:val="36"/>
          <w:szCs w:val="36"/>
          <w:lang w:eastAsia="zh-CN"/>
        </w:rPr>
        <w:t>本级</w:t>
      </w:r>
      <w:r>
        <w:rPr>
          <w:rFonts w:hint="eastAsia" w:ascii="方正小标宋_GBK" w:hAnsi="Times New Roman" w:eastAsia="方正小标宋_GBK" w:cs="Times New Roman"/>
          <w:color w:val="000000"/>
          <w:kern w:val="0"/>
          <w:sz w:val="36"/>
          <w:szCs w:val="36"/>
        </w:rPr>
        <w:t>预算支出总表</w:t>
      </w:r>
    </w:p>
    <w:p>
      <w:pPr>
        <w:spacing w:line="560" w:lineRule="exact"/>
        <w:ind w:firstLine="240" w:firstLineChars="100"/>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预算年度：2022</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单位：万元</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6210"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45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本年支出合计</w:t>
            </w:r>
          </w:p>
        </w:tc>
        <w:tc>
          <w:tcPr>
            <w:tcW w:w="141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138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c>
          <w:tcPr>
            <w:tcW w:w="96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经营支出</w:t>
            </w:r>
          </w:p>
        </w:tc>
        <w:tc>
          <w:tcPr>
            <w:tcW w:w="90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上缴上级支出</w:t>
            </w:r>
          </w:p>
        </w:tc>
        <w:tc>
          <w:tcPr>
            <w:tcW w:w="135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6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484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455"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1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6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0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5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36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84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45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41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38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96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90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1354"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36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84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9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1"/>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3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w:t>
            </w:r>
          </w:p>
        </w:tc>
        <w:tc>
          <w:tcPr>
            <w:tcW w:w="484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灾害防治及应急管理支出</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1"/>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3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w:t>
            </w:r>
          </w:p>
        </w:tc>
        <w:tc>
          <w:tcPr>
            <w:tcW w:w="484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消防救援事务</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1"/>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3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w:t>
            </w:r>
            <w:r>
              <w:rPr>
                <w:rStyle w:val="13"/>
                <w:rFonts w:hint="eastAsia" w:ascii="方正仿宋简体" w:hAnsi="方正仿宋简体" w:eastAsia="方正仿宋简体" w:cs="方正仿宋简体"/>
                <w:color w:val="auto"/>
                <w:sz w:val="24"/>
                <w:szCs w:val="24"/>
                <w:u w:val="none"/>
                <w:lang w:val="en-US" w:eastAsia="zh-CN"/>
              </w:rPr>
              <w:t>1</w:t>
            </w:r>
          </w:p>
        </w:tc>
        <w:tc>
          <w:tcPr>
            <w:tcW w:w="484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行政运行</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3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2240204</w:t>
            </w:r>
          </w:p>
        </w:tc>
        <w:tc>
          <w:tcPr>
            <w:tcW w:w="484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消防应急救援</w:t>
            </w: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14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96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90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54"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4"/>
          <w:szCs w:val="24"/>
          <w:u w:val="none"/>
        </w:rPr>
        <w:sectPr>
          <w:pgSz w:w="16839" w:h="11907" w:orient="landscape"/>
          <w:pgMar w:top="680" w:right="1020" w:bottom="680" w:left="1020" w:header="851" w:footer="992" w:gutter="0"/>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附表1-4</w:t>
      </w:r>
    </w:p>
    <w:p>
      <w:pPr>
        <w:widowControl/>
        <w:jc w:val="center"/>
        <w:rPr>
          <w:rFonts w:hint="eastAsia" w:ascii="方正小标宋_GBK" w:hAnsi="Times New Roman" w:eastAsia="方正小标宋_GBK" w:cs="Times New Roman"/>
          <w:color w:val="000000"/>
          <w:kern w:val="0"/>
          <w:sz w:val="36"/>
          <w:szCs w:val="36"/>
        </w:rPr>
      </w:pPr>
      <w:r>
        <w:rPr>
          <w:rFonts w:hint="eastAsia" w:ascii="方正小标宋_GBK" w:eastAsia="方正小标宋_GBK" w:cs="Times New Roman"/>
          <w:color w:val="000000"/>
          <w:kern w:val="0"/>
          <w:sz w:val="36"/>
          <w:szCs w:val="36"/>
          <w:lang w:eastAsia="zh-CN"/>
        </w:rPr>
        <w:t>本级</w:t>
      </w:r>
      <w:r>
        <w:rPr>
          <w:rFonts w:hint="eastAsia" w:ascii="方正小标宋_GBK" w:hAnsi="Times New Roman" w:eastAsia="方正小标宋_GBK" w:cs="Times New Roman"/>
          <w:color w:val="000000"/>
          <w:kern w:val="0"/>
          <w:sz w:val="36"/>
          <w:szCs w:val="36"/>
        </w:rPr>
        <w:t>预算财政拨款收支总表</w:t>
      </w:r>
    </w:p>
    <w:tbl>
      <w:tblPr>
        <w:tblStyle w:val="9"/>
        <w:tblpPr w:leftFromText="180" w:rightFromText="180" w:vertAnchor="text" w:horzAnchor="page" w:tblpX="1015" w:tblpY="586"/>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3575"/>
        <w:gridCol w:w="1350"/>
        <w:gridCol w:w="3968"/>
        <w:gridCol w:w="1282"/>
        <w:gridCol w:w="1336"/>
        <w:gridCol w:w="1555"/>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000" w:type="pct"/>
            <w:gridSpan w:val="8"/>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预算年度：2022</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trPr>
        <w:tc>
          <w:tcPr>
            <w:tcW w:w="224" w:type="pct"/>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1640" w:type="pct"/>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收  入</w:t>
            </w:r>
          </w:p>
        </w:tc>
        <w:tc>
          <w:tcPr>
            <w:tcW w:w="3135" w:type="pct"/>
            <w:gridSpan w:val="5"/>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5" w:hRule="exact"/>
          <w:tblHeader/>
        </w:trPr>
        <w:tc>
          <w:tcPr>
            <w:tcW w:w="224" w:type="pct"/>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190"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449"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金额</w:t>
            </w:r>
          </w:p>
        </w:tc>
        <w:tc>
          <w:tcPr>
            <w:tcW w:w="1321"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一般公共预算财政拨款</w:t>
            </w:r>
          </w:p>
        </w:tc>
        <w:tc>
          <w:tcPr>
            <w:tcW w:w="517"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政府性基金预算财政拨款</w:t>
            </w:r>
          </w:p>
        </w:tc>
        <w:tc>
          <w:tcPr>
            <w:tcW w:w="42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blHeader/>
        </w:trPr>
        <w:tc>
          <w:tcPr>
            <w:tcW w:w="22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190"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49"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321"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517"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42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一、一般公共预算拨款</w:t>
            </w:r>
          </w:p>
        </w:tc>
        <w:tc>
          <w:tcPr>
            <w:tcW w:w="449"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一、一般公共服务支出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二、政府性基金预算拨款</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二、外交支出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三、国有资本经营预算拨款</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三、国防支出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四、公共安全支出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五、教育支出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六、科学技术支出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七、文化旅游体育与传媒支出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八、社会保障和就业支出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1190" w:type="pct"/>
            <w:noWrap w:val="0"/>
            <w:vAlign w:val="center"/>
          </w:tcPr>
          <w:p>
            <w:pPr>
              <w:spacing w:line="560" w:lineRule="exact"/>
              <w:jc w:val="left"/>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 xml:space="preserve"> </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九、卫生健康支出</w:t>
            </w:r>
          </w:p>
        </w:tc>
        <w:tc>
          <w:tcPr>
            <w:tcW w:w="426"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10</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十、节能环保支出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11</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十一、城乡社区支出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12</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十二、农林水支出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13</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十三、交通运输支出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14</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十四、资源勘探工业信息等支出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15</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十五、商业服务业等支出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16</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十六、金融支出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17</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十七、援助其他地区支出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18</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十八、自然资源海洋气象等支出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19</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十九、住房保障支出</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20</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二十、粮油物资储备支出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21</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二十一、国有资本经营预算支出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22</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二十二、灾害防治及应急管理支出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23</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二十三、债务还本支出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24</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二十四、债务付息支出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25</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二十五、债务发行费用支出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26</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top"/>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二十六、其他支出</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27</w:t>
            </w:r>
          </w:p>
        </w:tc>
        <w:tc>
          <w:tcPr>
            <w:tcW w:w="1190"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本年收入合计</w:t>
            </w:r>
          </w:p>
        </w:tc>
        <w:tc>
          <w:tcPr>
            <w:tcW w:w="449"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1321"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本年支出合计</w:t>
            </w:r>
          </w:p>
        </w:tc>
        <w:tc>
          <w:tcPr>
            <w:tcW w:w="426" w:type="pct"/>
            <w:noWrap w:val="0"/>
            <w:vAlign w:val="center"/>
          </w:tcPr>
          <w:p>
            <w:pPr>
              <w:spacing w:line="560" w:lineRule="exact"/>
              <w:jc w:val="both"/>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28</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年初财政拨款结转和结余</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年末财政拨款结转和结余</w:t>
            </w: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 xml:space="preserve">  </w:t>
            </w: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29</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一、一般公共预算拨款</w:t>
            </w:r>
          </w:p>
        </w:tc>
        <w:tc>
          <w:tcPr>
            <w:tcW w:w="449" w:type="pct"/>
            <w:noWrap w:val="0"/>
            <w:vAlign w:val="center"/>
          </w:tcPr>
          <w:p>
            <w:pPr>
              <w:spacing w:line="560" w:lineRule="exact"/>
              <w:jc w:val="left"/>
              <w:rPr>
                <w:rStyle w:val="13"/>
                <w:rFonts w:ascii="方正仿宋简体" w:hAnsi="方正仿宋简体" w:eastAsia="方正仿宋简体" w:cs="方正仿宋简体"/>
                <w:color w:val="auto"/>
                <w:sz w:val="24"/>
                <w:szCs w:val="24"/>
                <w:u w:val="none"/>
              </w:rPr>
            </w:pPr>
          </w:p>
        </w:tc>
        <w:tc>
          <w:tcPr>
            <w:tcW w:w="1321"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6" w:type="pct"/>
            <w:noWrap w:val="0"/>
            <w:vAlign w:val="center"/>
          </w:tcPr>
          <w:p>
            <w:pPr>
              <w:spacing w:line="560" w:lineRule="exact"/>
              <w:jc w:val="left"/>
              <w:rPr>
                <w:rStyle w:val="13"/>
                <w:rFonts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30</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二、政府性基金预算拨款</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31</w:t>
            </w:r>
          </w:p>
        </w:tc>
        <w:tc>
          <w:tcPr>
            <w:tcW w:w="1190"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三、国有资本经营预算拨款</w:t>
            </w:r>
          </w:p>
        </w:tc>
        <w:tc>
          <w:tcPr>
            <w:tcW w:w="449"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321"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6"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517"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trPr>
        <w:tc>
          <w:tcPr>
            <w:tcW w:w="224" w:type="pct"/>
            <w:noWrap w:val="0"/>
            <w:vAlign w:val="center"/>
          </w:tcPr>
          <w:p>
            <w:pPr>
              <w:pStyle w:val="21"/>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32</w:t>
            </w:r>
          </w:p>
        </w:tc>
        <w:tc>
          <w:tcPr>
            <w:tcW w:w="1190"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总计</w:t>
            </w:r>
          </w:p>
        </w:tc>
        <w:tc>
          <w:tcPr>
            <w:tcW w:w="449"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1321"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总计</w:t>
            </w:r>
          </w:p>
        </w:tc>
        <w:tc>
          <w:tcPr>
            <w:tcW w:w="426"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444"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1217.97</w:t>
            </w:r>
          </w:p>
        </w:tc>
        <w:tc>
          <w:tcPr>
            <w:tcW w:w="517" w:type="pc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24" w:type="pct"/>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4"/>
          <w:szCs w:val="24"/>
          <w:u w:val="none"/>
        </w:rPr>
        <w:sectPr>
          <w:pgSz w:w="16839" w:h="11907" w:orient="landscape"/>
          <w:pgMar w:top="680" w:right="1020" w:bottom="680" w:left="1020" w:header="851" w:footer="992" w:gutter="0"/>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附表1-5</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Fonts w:hint="eastAsia" w:ascii="方正小标宋_GBK" w:eastAsia="方正小标宋_GBK" w:cs="Times New Roman"/>
          <w:kern w:val="0"/>
          <w:sz w:val="36"/>
          <w:szCs w:val="36"/>
          <w:lang w:eastAsia="zh-CN"/>
        </w:rPr>
        <w:t>本级</w:t>
      </w:r>
      <w:r>
        <w:rPr>
          <w:rFonts w:hint="eastAsia" w:ascii="方正小标宋_GBK" w:hAnsi="Times New Roman" w:eastAsia="方正小标宋_GBK" w:cs="Times New Roman"/>
          <w:kern w:val="0"/>
          <w:sz w:val="36"/>
          <w:szCs w:val="36"/>
        </w:rPr>
        <w:t>预算一般公共预算财政拨款支出表</w:t>
      </w:r>
    </w:p>
    <w:p>
      <w:pPr>
        <w:spacing w:line="560" w:lineRule="exact"/>
        <w:ind w:firstLine="240" w:firstLineChars="100"/>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预算年度：2022                                    单位：万元</w:t>
      </w:r>
      <w:r>
        <w:rPr>
          <w:rStyle w:val="13"/>
          <w:rFonts w:hint="eastAsia" w:ascii="方正仿宋简体" w:hAnsi="方正仿宋简体" w:eastAsia="方正仿宋简体" w:cs="方正仿宋简体"/>
          <w:color w:val="auto"/>
          <w:sz w:val="24"/>
          <w:szCs w:val="24"/>
          <w:u w:val="none"/>
        </w:rPr>
        <w:tab/>
      </w:r>
      <w:r>
        <w:rPr>
          <w:rStyle w:val="13"/>
          <w:rFonts w:hint="eastAsia" w:ascii="方正仿宋简体" w:hAnsi="方正仿宋简体" w:eastAsia="方正仿宋简体" w:cs="方正仿宋简体"/>
          <w:color w:val="auto"/>
          <w:sz w:val="24"/>
          <w:szCs w:val="24"/>
          <w:u w:val="none"/>
        </w:rPr>
        <w:t xml:space="preserve">                                </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6315" w:type="dxa"/>
            <w:gridSpan w:val="2"/>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151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4500" w:type="dxa"/>
            <w:gridSpan w:val="3"/>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153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6315" w:type="dxa"/>
            <w:gridSpan w:val="2"/>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15"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6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小计</w:t>
            </w:r>
          </w:p>
        </w:tc>
        <w:tc>
          <w:tcPr>
            <w:tcW w:w="148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人员经费</w:t>
            </w:r>
          </w:p>
        </w:tc>
        <w:tc>
          <w:tcPr>
            <w:tcW w:w="1455"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公用经费</w:t>
            </w:r>
          </w:p>
        </w:tc>
        <w:tc>
          <w:tcPr>
            <w:tcW w:w="1534"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47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1515"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60"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85"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455"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1534" w:type="dxa"/>
            <w:vMerge w:val="continue"/>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57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74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51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56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48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45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1534"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4"/>
                <w:szCs w:val="24"/>
                <w:u w:val="none"/>
              </w:rPr>
              <w:t>1</w:t>
            </w:r>
          </w:p>
        </w:tc>
        <w:tc>
          <w:tcPr>
            <w:tcW w:w="157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7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  计</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5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4"/>
                <w:szCs w:val="24"/>
                <w:u w:val="none"/>
              </w:rPr>
              <w:t>2</w:t>
            </w: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w:t>
            </w:r>
          </w:p>
        </w:tc>
        <w:tc>
          <w:tcPr>
            <w:tcW w:w="47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灾害防治及应急管理支出</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5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4"/>
                <w:szCs w:val="24"/>
                <w:u w:val="none"/>
              </w:rPr>
              <w:t>3</w:t>
            </w: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w:t>
            </w:r>
          </w:p>
        </w:tc>
        <w:tc>
          <w:tcPr>
            <w:tcW w:w="47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消防救援事务</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c>
          <w:tcPr>
            <w:tcW w:w="15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1217.97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4"/>
                <w:szCs w:val="24"/>
                <w:u w:val="none"/>
              </w:rPr>
              <w:t>4</w:t>
            </w: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w:t>
            </w:r>
            <w:r>
              <w:rPr>
                <w:rStyle w:val="13"/>
                <w:rFonts w:hint="eastAsia" w:ascii="方正仿宋简体" w:hAnsi="方正仿宋简体" w:eastAsia="方正仿宋简体" w:cs="方正仿宋简体"/>
                <w:color w:val="auto"/>
                <w:sz w:val="24"/>
                <w:szCs w:val="24"/>
                <w:u w:val="none"/>
                <w:lang w:val="en-US" w:eastAsia="zh-CN"/>
              </w:rPr>
              <w:t>1</w:t>
            </w:r>
          </w:p>
        </w:tc>
        <w:tc>
          <w:tcPr>
            <w:tcW w:w="47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行政运行</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c>
          <w:tcPr>
            <w:tcW w:w="156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697.17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13"/>
                <w:rFonts w:hint="eastAsia" w:ascii="方正仿宋简体" w:hAnsi="方正仿宋简体" w:eastAsia="方正仿宋简体" w:cs="方正仿宋简体"/>
                <w:color w:val="auto"/>
                <w:sz w:val="24"/>
                <w:szCs w:val="24"/>
                <w:u w:val="none"/>
              </w:rPr>
              <w:t>5</w:t>
            </w:r>
          </w:p>
        </w:tc>
        <w:tc>
          <w:tcPr>
            <w:tcW w:w="157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2240204</w:t>
            </w:r>
          </w:p>
        </w:tc>
        <w:tc>
          <w:tcPr>
            <w:tcW w:w="47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消防应急救援</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c>
          <w:tcPr>
            <w:tcW w:w="156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default" w:ascii="方正仿宋简体" w:hAnsi="方正仿宋简体" w:eastAsia="方正仿宋简体" w:cs="方正仿宋简体"/>
                <w:color w:val="auto"/>
                <w:sz w:val="24"/>
                <w:szCs w:val="24"/>
                <w:u w:val="none"/>
                <w:lang w:val="en-US" w:eastAsia="zh-CN"/>
              </w:rPr>
              <w:t xml:space="preserve">520.80 </w:t>
            </w:r>
          </w:p>
        </w:tc>
      </w:tr>
    </w:tbl>
    <w:p>
      <w:pPr>
        <w:spacing w:line="560" w:lineRule="exact"/>
        <w:jc w:val="left"/>
        <w:rPr>
          <w:rStyle w:val="13"/>
          <w:rFonts w:hint="eastAsia" w:ascii="方正仿宋简体" w:hAnsi="方正仿宋简体" w:eastAsia="方正仿宋简体" w:cs="方正仿宋简体"/>
          <w:color w:val="auto"/>
          <w:sz w:val="24"/>
          <w:szCs w:val="24"/>
          <w:u w:val="none"/>
        </w:rPr>
        <w:sectPr>
          <w:pgSz w:w="16839" w:h="11907" w:orient="landscape"/>
          <w:pgMar w:top="680" w:right="1020" w:bottom="680" w:left="1020" w:header="851" w:footer="992" w:gutter="0"/>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附表1-6</w:t>
      </w:r>
    </w:p>
    <w:p>
      <w:pPr>
        <w:widowControl/>
        <w:jc w:val="center"/>
        <w:rPr>
          <w:rFonts w:hint="eastAsia" w:ascii="方正小标宋_GBK" w:hAnsi="Times New Roman" w:eastAsia="方正小标宋_GBK" w:cs="Times New Roman"/>
          <w:kern w:val="0"/>
          <w:sz w:val="36"/>
          <w:szCs w:val="36"/>
        </w:rPr>
      </w:pPr>
      <w:r>
        <w:rPr>
          <w:rFonts w:hint="eastAsia" w:ascii="方正小标宋_GBK" w:eastAsia="方正小标宋_GBK" w:cs="Times New Roman"/>
          <w:kern w:val="0"/>
          <w:sz w:val="36"/>
          <w:szCs w:val="36"/>
          <w:lang w:eastAsia="zh-CN"/>
        </w:rPr>
        <w:t>本级</w:t>
      </w:r>
      <w:r>
        <w:rPr>
          <w:rFonts w:hint="eastAsia" w:ascii="方正小标宋_GBK" w:hAnsi="Times New Roman" w:eastAsia="方正小标宋_GBK" w:cs="Times New Roman"/>
          <w:kern w:val="0"/>
          <w:sz w:val="36"/>
          <w:szCs w:val="36"/>
        </w:rPr>
        <w:t>预算一般公共预算财政拨款基本支出表</w:t>
      </w:r>
    </w:p>
    <w:p>
      <w:pPr>
        <w:spacing w:line="560" w:lineRule="exact"/>
        <w:ind w:firstLine="240" w:firstLineChars="100"/>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预算年度：2022                                    单位：万元</w:t>
      </w:r>
      <w:r>
        <w:rPr>
          <w:rStyle w:val="13"/>
          <w:rFonts w:hint="eastAsia" w:ascii="方正仿宋简体" w:hAnsi="方正仿宋简体" w:eastAsia="方正仿宋简体" w:cs="方正仿宋简体"/>
          <w:color w:val="auto"/>
          <w:sz w:val="24"/>
          <w:szCs w:val="24"/>
          <w:u w:val="none"/>
        </w:rPr>
        <w:tab/>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6165"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7534" w:type="dxa"/>
            <w:gridSpan w:val="3"/>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经济分类科目编码</w:t>
            </w:r>
          </w:p>
        </w:tc>
        <w:tc>
          <w:tcPr>
            <w:tcW w:w="465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256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人员经费</w:t>
            </w:r>
          </w:p>
        </w:tc>
        <w:tc>
          <w:tcPr>
            <w:tcW w:w="232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151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465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64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56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329"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151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ind w:firstLine="1200" w:firstLineChars="500"/>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  计</w:t>
            </w: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lang w:val="en-US" w:eastAsia="zh-CN"/>
              </w:rPr>
            </w:pPr>
            <w:r>
              <w:rPr>
                <w:rStyle w:val="13"/>
                <w:rFonts w:hint="eastAsia" w:ascii="方正仿宋简体" w:hAnsi="方正仿宋简体" w:eastAsia="方正仿宋简体" w:cs="方正仿宋简体"/>
                <w:color w:val="auto"/>
                <w:sz w:val="24"/>
                <w:szCs w:val="24"/>
                <w:u w:val="none"/>
                <w:lang w:val="en-US" w:eastAsia="zh-CN"/>
              </w:rPr>
              <w:t>7</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lang w:val="en-US" w:eastAsia="zh-CN"/>
              </w:rPr>
            </w:pPr>
            <w:r>
              <w:rPr>
                <w:rStyle w:val="13"/>
                <w:rFonts w:hint="eastAsia" w:ascii="方正仿宋简体" w:hAnsi="方正仿宋简体" w:eastAsia="方正仿宋简体" w:cs="方正仿宋简体"/>
                <w:color w:val="auto"/>
                <w:sz w:val="24"/>
                <w:szCs w:val="24"/>
                <w:u w:val="none"/>
                <w:lang w:val="en-US" w:eastAsia="zh-CN"/>
              </w:rPr>
              <w:t>8</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13"/>
                <w:rFonts w:hint="default" w:ascii="方正仿宋简体" w:hAnsi="方正仿宋简体" w:eastAsia="方正仿宋简体" w:cs="方正仿宋简体"/>
                <w:color w:val="auto"/>
                <w:sz w:val="24"/>
                <w:szCs w:val="24"/>
                <w:u w:val="none"/>
                <w:lang w:val="en-US" w:eastAsia="zh-CN"/>
              </w:rPr>
            </w:pPr>
            <w:r>
              <w:rPr>
                <w:rStyle w:val="13"/>
                <w:rFonts w:hint="eastAsia" w:ascii="方正仿宋简体" w:hAnsi="方正仿宋简体" w:eastAsia="方正仿宋简体" w:cs="方正仿宋简体"/>
                <w:color w:val="auto"/>
                <w:sz w:val="24"/>
                <w:szCs w:val="24"/>
                <w:u w:val="none"/>
                <w:lang w:val="en-US" w:eastAsia="zh-CN"/>
              </w:rPr>
              <w:t>9</w:t>
            </w:r>
          </w:p>
        </w:tc>
        <w:tc>
          <w:tcPr>
            <w:tcW w:w="151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46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565"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c>
          <w:tcPr>
            <w:tcW w:w="2329"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4"/>
          <w:szCs w:val="24"/>
          <w:u w:val="none"/>
        </w:rPr>
        <w:sectPr>
          <w:pgSz w:w="16839" w:h="11907" w:orient="landscape"/>
          <w:pgMar w:top="680" w:right="1020" w:bottom="680" w:left="1020" w:header="851" w:footer="992" w:gutter="0"/>
          <w:cols w:space="720" w:num="1"/>
          <w:docGrid w:type="lines" w:linePitch="312" w:charSpace="0"/>
        </w:sectPr>
      </w:pPr>
      <w:r>
        <w:rPr>
          <w:rStyle w:val="13"/>
          <w:rFonts w:hint="eastAsia" w:ascii="方正仿宋简体" w:hAnsi="方正仿宋简体" w:eastAsia="方正仿宋简体" w:cs="方正仿宋简体"/>
          <w:color w:val="auto"/>
          <w:sz w:val="24"/>
          <w:szCs w:val="24"/>
          <w:u w:val="none"/>
        </w:rPr>
        <w:t>注：</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我部门是特殊预算部门，无</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一般公共预算财政拨款基本支出预算，基本支出预算</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已在本级年初项目列支，此表</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空表列示。</w:t>
      </w:r>
    </w:p>
    <w:p>
      <w:pPr>
        <w:widowControl/>
        <w:jc w:val="left"/>
        <w:rPr>
          <w:rFonts w:hint="eastAsia" w:ascii="宋体" w:hAnsi="宋体" w:cs="宋体"/>
          <w:kern w:val="0"/>
          <w:sz w:val="22"/>
        </w:rPr>
      </w:pPr>
      <w:r>
        <w:rPr>
          <w:rFonts w:hint="eastAsia" w:ascii="宋体" w:hAnsi="宋体" w:cs="宋体"/>
          <w:kern w:val="0"/>
          <w:sz w:val="22"/>
        </w:rPr>
        <w:t>附表1-7</w:t>
      </w:r>
    </w:p>
    <w:p>
      <w:pPr>
        <w:widowControl/>
        <w:jc w:val="center"/>
        <w:rPr>
          <w:rFonts w:hint="eastAsia" w:ascii="方正小标宋_GBK" w:hAnsi="Times New Roman" w:eastAsia="方正小标宋_GBK" w:cs="Times New Roman"/>
          <w:kern w:val="0"/>
          <w:sz w:val="36"/>
          <w:szCs w:val="36"/>
        </w:rPr>
      </w:pPr>
      <w:r>
        <w:rPr>
          <w:rFonts w:hint="eastAsia" w:ascii="方正小标宋_GBK" w:eastAsia="方正小标宋_GBK" w:cs="Times New Roman"/>
          <w:kern w:val="0"/>
          <w:sz w:val="36"/>
          <w:szCs w:val="36"/>
          <w:lang w:eastAsia="zh-CN"/>
        </w:rPr>
        <w:t>本级</w:t>
      </w:r>
      <w:r>
        <w:rPr>
          <w:rFonts w:hint="eastAsia" w:ascii="方正小标宋_GBK" w:hAnsi="Times New Roman" w:eastAsia="方正小标宋_GBK" w:cs="Times New Roman"/>
          <w:kern w:val="0"/>
          <w:sz w:val="36"/>
          <w:szCs w:val="36"/>
        </w:rPr>
        <w:t>预算政府基金预算财政拨款支出表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 xml:space="preserve"> 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p>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5956" w:type="dxa"/>
            <w:gridSpan w:val="2"/>
            <w:noWrap w:val="0"/>
            <w:vAlign w:val="top"/>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2747"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2473"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249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2747"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tblHeader/>
          <w:jc w:val="center"/>
        </w:trPr>
        <w:tc>
          <w:tcPr>
            <w:tcW w:w="107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283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312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747"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473"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494"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5956"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  计</w:t>
            </w: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07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283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12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74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3"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9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注：无政府基金预算财政拨款预算，空表列示。</w:t>
      </w:r>
    </w:p>
    <w:p>
      <w:pPr>
        <w:spacing w:line="560" w:lineRule="exact"/>
        <w:jc w:val="left"/>
        <w:rPr>
          <w:rStyle w:val="13"/>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cols w:space="720" w:num="1"/>
          <w:docGrid w:type="lines" w:linePitch="312" w:charSpace="0"/>
        </w:sectPr>
      </w:pPr>
    </w:p>
    <w:p>
      <w:pPr>
        <w:widowControl/>
        <w:jc w:val="left"/>
        <w:rPr>
          <w:rFonts w:hint="eastAsia" w:ascii="宋体" w:hAnsi="宋体" w:cs="宋体"/>
          <w:kern w:val="0"/>
          <w:sz w:val="22"/>
        </w:rPr>
      </w:pPr>
      <w:r>
        <w:rPr>
          <w:rFonts w:hint="eastAsia" w:ascii="宋体" w:hAnsi="宋体" w:cs="宋体"/>
          <w:kern w:val="0"/>
          <w:sz w:val="22"/>
        </w:rPr>
        <w:t>附表1-8</w:t>
      </w:r>
    </w:p>
    <w:p>
      <w:pPr>
        <w:spacing w:line="560" w:lineRule="exact"/>
        <w:jc w:val="center"/>
        <w:rPr>
          <w:rStyle w:val="13"/>
          <w:rFonts w:hint="eastAsia" w:ascii="方正小标宋简体" w:hAnsi="方正小标宋简体" w:eastAsia="方正小标宋简体" w:cs="方正小标宋简体"/>
          <w:color w:val="auto"/>
          <w:sz w:val="44"/>
          <w:szCs w:val="44"/>
          <w:u w:val="none"/>
        </w:rPr>
      </w:pPr>
      <w:r>
        <w:rPr>
          <w:rFonts w:hint="eastAsia" w:ascii="方正小标宋_GBK" w:eastAsia="方正小标宋_GBK" w:cs="Times New Roman"/>
          <w:kern w:val="0"/>
          <w:sz w:val="36"/>
          <w:szCs w:val="36"/>
          <w:lang w:eastAsia="zh-CN"/>
        </w:rPr>
        <w:t>本级</w:t>
      </w:r>
      <w:r>
        <w:rPr>
          <w:rFonts w:hint="eastAsia" w:ascii="方正小标宋_GBK" w:hAnsi="Times New Roman" w:eastAsia="方正小标宋_GBK" w:cs="Times New Roman"/>
          <w:kern w:val="0"/>
          <w:sz w:val="36"/>
          <w:szCs w:val="36"/>
        </w:rPr>
        <w:t>预算国有资本经营预算财政拨款支出表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ascii="方正仿宋简体" w:hAnsi="方正仿宋简体" w:eastAsia="方正仿宋简体" w:cs="方正仿宋简体"/>
                <w:color w:val="auto"/>
                <w:sz w:val="24"/>
                <w:szCs w:val="24"/>
                <w:u w:val="none"/>
              </w:rPr>
              <w:t>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ascii="方正仿宋简体" w:hAnsi="方正仿宋简体" w:eastAsia="方正仿宋简体" w:cs="方正仿宋简体"/>
                <w:color w:val="auto"/>
                <w:sz w:val="24"/>
                <w:szCs w:val="24"/>
                <w:u w:val="none"/>
              </w:rPr>
              <w:t xml:space="preserve">            </w:t>
            </w:r>
            <w:r>
              <w:rPr>
                <w:rStyle w:val="13"/>
                <w:rFonts w:hint="eastAsia" w:ascii="方正仿宋简体" w:hAnsi="方正仿宋简体" w:eastAsia="方正仿宋简体" w:cs="方正仿宋简体"/>
                <w:color w:val="auto"/>
                <w:sz w:val="24"/>
                <w:szCs w:val="24"/>
                <w:u w:val="none"/>
              </w:rPr>
              <w:t xml:space="preserve">       </w:t>
            </w:r>
            <w:r>
              <w:rPr>
                <w:rStyle w:val="13"/>
                <w:rFonts w:ascii="方正仿宋简体" w:hAnsi="方正仿宋简体" w:eastAsia="方正仿宋简体" w:cs="方正仿宋简体"/>
                <w:color w:val="auto"/>
                <w:sz w:val="24"/>
                <w:szCs w:val="24"/>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5535" w:type="dxa"/>
            <w:gridSpan w:val="2"/>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  目</w:t>
            </w:r>
          </w:p>
        </w:tc>
        <w:tc>
          <w:tcPr>
            <w:tcW w:w="264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258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基本支出</w:t>
            </w:r>
          </w:p>
        </w:tc>
        <w:tc>
          <w:tcPr>
            <w:tcW w:w="2659"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功能分类科目编码</w:t>
            </w: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科目名称</w:t>
            </w:r>
          </w:p>
        </w:tc>
        <w:tc>
          <w:tcPr>
            <w:tcW w:w="264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291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2625"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64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580"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659"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7</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8</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9</w:t>
            </w:r>
          </w:p>
        </w:tc>
        <w:tc>
          <w:tcPr>
            <w:tcW w:w="291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25"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4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58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659"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4"/>
          <w:szCs w:val="24"/>
          <w:u w:val="none"/>
        </w:rPr>
        <w:t>注：无国有资本经营预算财政拨款预算，空表列示。</w:t>
      </w: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方正仿宋简体" w:hAnsi="方正仿宋简体" w:eastAsia="方正仿宋简体" w:cs="方正仿宋简体"/>
          <w:color w:val="auto"/>
          <w:sz w:val="28"/>
          <w:u w:val="none"/>
        </w:rPr>
      </w:pPr>
    </w:p>
    <w:p>
      <w:pPr>
        <w:spacing w:line="560" w:lineRule="exact"/>
        <w:jc w:val="left"/>
        <w:rPr>
          <w:rStyle w:val="13"/>
          <w:rFonts w:hint="eastAsia" w:ascii="宋体" w:hAnsi="宋体" w:cs="宋体"/>
          <w:color w:val="auto"/>
          <w:sz w:val="28"/>
          <w:u w:val="none"/>
        </w:rPr>
      </w:pPr>
    </w:p>
    <w:p>
      <w:pPr>
        <w:widowControl/>
        <w:jc w:val="left"/>
        <w:rPr>
          <w:rFonts w:hint="eastAsia" w:ascii="宋体" w:hAnsi="宋体" w:cs="宋体"/>
          <w:kern w:val="0"/>
          <w:sz w:val="22"/>
        </w:rPr>
      </w:pPr>
      <w:r>
        <w:rPr>
          <w:rFonts w:hint="eastAsia" w:ascii="宋体" w:hAnsi="宋体" w:cs="宋体"/>
          <w:kern w:val="0"/>
          <w:sz w:val="22"/>
        </w:rPr>
        <w:t>附表1-9</w:t>
      </w:r>
    </w:p>
    <w:p>
      <w:pPr>
        <w:widowControl/>
        <w:jc w:val="center"/>
        <w:rPr>
          <w:rFonts w:hint="eastAsia" w:ascii="方正小标宋_GBK" w:hAnsi="Times New Roman" w:eastAsia="方正小标宋_GBK" w:cs="Times New Roman"/>
          <w:kern w:val="0"/>
          <w:sz w:val="36"/>
          <w:szCs w:val="36"/>
        </w:rPr>
      </w:pPr>
      <w:r>
        <w:rPr>
          <w:rFonts w:hint="eastAsia" w:ascii="方正小标宋_GBK" w:eastAsia="方正小标宋_GBK" w:cs="Times New Roman"/>
          <w:kern w:val="0"/>
          <w:sz w:val="36"/>
          <w:szCs w:val="36"/>
          <w:lang w:eastAsia="zh-CN"/>
        </w:rPr>
        <w:t>本级</w:t>
      </w:r>
      <w:r>
        <w:rPr>
          <w:rFonts w:hint="eastAsia" w:ascii="方正小标宋_GBK" w:hAnsi="Times New Roman" w:eastAsia="方正小标宋_GBK" w:cs="Times New Roman"/>
          <w:kern w:val="0"/>
          <w:sz w:val="36"/>
          <w:szCs w:val="36"/>
        </w:rPr>
        <w:t>预算财政拨款“三公”经费支出表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lang w:val="en-US" w:eastAsia="zh-CN"/>
              </w:rPr>
              <w:t>887</w:t>
            </w:r>
            <w:r>
              <w:rPr>
                <w:rStyle w:val="13"/>
                <w:rFonts w:hint="eastAsia" w:ascii="方正仿宋简体" w:hAnsi="方正仿宋简体" w:eastAsia="方正仿宋简体" w:cs="方正仿宋简体"/>
                <w:color w:val="auto"/>
                <w:sz w:val="24"/>
                <w:szCs w:val="24"/>
                <w:u w:val="none"/>
              </w:rPr>
              <w:t xml:space="preserve"> 遵化市</w:t>
            </w:r>
            <w:r>
              <w:rPr>
                <w:rStyle w:val="13"/>
                <w:rFonts w:hint="eastAsia" w:ascii="方正仿宋简体" w:hAnsi="方正仿宋简体" w:eastAsia="方正仿宋简体" w:cs="方正仿宋简体"/>
                <w:color w:val="auto"/>
                <w:sz w:val="24"/>
                <w:szCs w:val="24"/>
                <w:u w:val="none"/>
                <w:lang w:eastAsia="zh-CN"/>
              </w:rPr>
              <w:t>消防救援大队</w:t>
            </w:r>
            <w:r>
              <w:rPr>
                <w:rStyle w:val="13"/>
                <w:rFonts w:hint="eastAsia" w:ascii="方正仿宋简体" w:hAnsi="方正仿宋简体" w:eastAsia="方正仿宋简体" w:cs="方正仿宋简体"/>
                <w:color w:val="auto"/>
                <w:sz w:val="24"/>
                <w:szCs w:val="24"/>
                <w:u w:val="none"/>
                <w:lang w:val="en-US" w:eastAsia="zh-CN"/>
              </w:rPr>
              <w:t xml:space="preserve">  </w:t>
            </w:r>
            <w:r>
              <w:rPr>
                <w:rStyle w:val="13"/>
                <w:rFonts w:hint="eastAsia" w:ascii="方正仿宋简体" w:hAnsi="方正仿宋简体" w:eastAsia="方正仿宋简体" w:cs="方正仿宋简体"/>
                <w:color w:val="auto"/>
                <w:sz w:val="24"/>
                <w:szCs w:val="24"/>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序号</w:t>
            </w:r>
          </w:p>
        </w:tc>
        <w:tc>
          <w:tcPr>
            <w:tcW w:w="3950" w:type="dxa"/>
            <w:vMerge w:val="restart"/>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项   目</w:t>
            </w:r>
          </w:p>
        </w:tc>
        <w:tc>
          <w:tcPr>
            <w:tcW w:w="9906" w:type="dxa"/>
            <w:gridSpan w:val="4"/>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3950" w:type="dxa"/>
            <w:vMerge w:val="continue"/>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合计</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一般公共预算       财政拨款</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政府性基金         预算拨款</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栏次</w:t>
            </w:r>
          </w:p>
        </w:tc>
        <w:tc>
          <w:tcPr>
            <w:tcW w:w="395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1</w:t>
            </w:r>
          </w:p>
        </w:tc>
        <w:tc>
          <w:tcPr>
            <w:tcW w:w="3950"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合  计</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2</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一、因公出国（境）费</w:t>
            </w:r>
          </w:p>
        </w:tc>
        <w:tc>
          <w:tcPr>
            <w:tcW w:w="247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3</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二、公务用车购置及运维费</w:t>
            </w:r>
          </w:p>
        </w:tc>
        <w:tc>
          <w:tcPr>
            <w:tcW w:w="2476" w:type="dxa"/>
            <w:noWrap w:val="0"/>
            <w:vAlign w:val="center"/>
          </w:tcPr>
          <w:p>
            <w:pPr>
              <w:spacing w:line="560" w:lineRule="exact"/>
              <w:jc w:val="center"/>
              <w:rPr>
                <w:rStyle w:val="13"/>
                <w:rFonts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4</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其中：公务用车购置费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5</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公务用车运行维护费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6</w:t>
            </w:r>
          </w:p>
        </w:tc>
        <w:tc>
          <w:tcPr>
            <w:tcW w:w="3950" w:type="dxa"/>
            <w:noWrap w:val="0"/>
            <w:vAlign w:val="center"/>
          </w:tcPr>
          <w:p>
            <w:pPr>
              <w:spacing w:line="560" w:lineRule="exact"/>
              <w:jc w:val="left"/>
              <w:rPr>
                <w:rStyle w:val="13"/>
                <w:rFonts w:hint="eastAsia" w:ascii="方正仿宋简体" w:hAnsi="方正仿宋简体" w:eastAsia="方正仿宋简体" w:cs="方正仿宋简体"/>
                <w:color w:val="auto"/>
                <w:sz w:val="24"/>
                <w:szCs w:val="24"/>
                <w:u w:val="none"/>
              </w:rPr>
            </w:pPr>
            <w:r>
              <w:rPr>
                <w:rStyle w:val="13"/>
                <w:rFonts w:hint="eastAsia" w:ascii="方正仿宋简体" w:hAnsi="方正仿宋简体" w:eastAsia="方正仿宋简体" w:cs="方正仿宋简体"/>
                <w:color w:val="auto"/>
                <w:sz w:val="24"/>
                <w:szCs w:val="24"/>
                <w:u w:val="none"/>
              </w:rPr>
              <w:t>三、公务接待费</w:t>
            </w: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6"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c>
          <w:tcPr>
            <w:tcW w:w="2477" w:type="dxa"/>
            <w:noWrap w:val="0"/>
            <w:vAlign w:val="center"/>
          </w:tcPr>
          <w:p>
            <w:pPr>
              <w:spacing w:line="560" w:lineRule="exact"/>
              <w:jc w:val="center"/>
              <w:rPr>
                <w:rStyle w:val="13"/>
                <w:rFonts w:hint="eastAsia" w:ascii="方正仿宋简体" w:hAnsi="方正仿宋简体" w:eastAsia="方正仿宋简体" w:cs="方正仿宋简体"/>
                <w:color w:val="auto"/>
                <w:sz w:val="24"/>
                <w:szCs w:val="24"/>
                <w:u w:val="none"/>
              </w:rPr>
            </w:pPr>
          </w:p>
        </w:tc>
      </w:tr>
    </w:tbl>
    <w:p>
      <w:pPr>
        <w:spacing w:line="560" w:lineRule="exact"/>
        <w:jc w:val="left"/>
        <w:rPr>
          <w:rStyle w:val="13"/>
          <w:rFonts w:hint="eastAsia" w:ascii="方正仿宋简体" w:hAnsi="方正仿宋简体" w:eastAsia="方正仿宋简体" w:cs="方正仿宋简体"/>
          <w:color w:val="auto"/>
          <w:sz w:val="28"/>
          <w:u w:val="none"/>
        </w:rPr>
      </w:pPr>
      <w:r>
        <w:rPr>
          <w:rStyle w:val="13"/>
          <w:rFonts w:hint="eastAsia" w:ascii="方正仿宋简体" w:hAnsi="方正仿宋简体" w:eastAsia="方正仿宋简体" w:cs="方正仿宋简体"/>
          <w:color w:val="auto"/>
          <w:sz w:val="24"/>
          <w:szCs w:val="24"/>
          <w:u w:val="none"/>
        </w:rPr>
        <w:t>注：无财政拨款“三公”经费支出，空表列示。</w:t>
      </w:r>
    </w:p>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消防救援大队</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hint="eastAsia" w:ascii="宋体" w:hAnsi="宋体" w:cs="宋体"/>
          <w:sz w:val="44"/>
          <w:szCs w:val="44"/>
        </w:rPr>
      </w:pPr>
    </w:p>
    <w:p>
      <w:pPr>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按照</w:t>
      </w:r>
      <w:r>
        <w:rPr>
          <w:rFonts w:hint="eastAsia" w:ascii="宋体" w:hAnsi="宋体" w:eastAsia="方正仿宋简体" w:cs="方正仿宋简体"/>
          <w:sz w:val="32"/>
          <w:szCs w:val="32"/>
          <w:lang w:eastAsia="zh-CN"/>
        </w:rPr>
        <w:t>《中华人民共和国预算法》</w:t>
      </w:r>
      <w:bookmarkStart w:id="16" w:name="_GoBack"/>
      <w:bookmarkEnd w:id="16"/>
      <w:r>
        <w:rPr>
          <w:rFonts w:hint="eastAsia" w:ascii="宋体" w:hAnsi="宋体" w:eastAsia="方正仿宋简体" w:cs="方正仿宋简体"/>
          <w:sz w:val="32"/>
          <w:szCs w:val="32"/>
        </w:rPr>
        <w:t>、《地方预决算公开操作规程》和《河北省省级预算公开办法》规定，现将</w:t>
      </w:r>
      <w:r>
        <w:rPr>
          <w:rFonts w:hint="eastAsia" w:ascii="宋体" w:hAnsi="宋体" w:eastAsia="方正仿宋简体" w:cs="方正仿宋简体"/>
          <w:sz w:val="32"/>
          <w:szCs w:val="32"/>
          <w:lang w:eastAsia="zh-CN"/>
        </w:rPr>
        <w:t>遵化市消防救援大队本级</w:t>
      </w:r>
      <w:r>
        <w:rPr>
          <w:rFonts w:hint="eastAsia" w:ascii="宋体" w:hAnsi="宋体" w:eastAsia="方正仿宋简体" w:cs="方正仿宋简体"/>
          <w:sz w:val="32"/>
          <w:szCs w:val="32"/>
        </w:rPr>
        <w:t>2022年</w:t>
      </w:r>
      <w:r>
        <w:rPr>
          <w:rFonts w:hint="eastAsia" w:ascii="宋体" w:hAnsi="宋体" w:eastAsia="方正仿宋简体" w:cs="方正仿宋简体"/>
          <w:sz w:val="32"/>
          <w:szCs w:val="32"/>
          <w:lang w:eastAsia="zh-CN"/>
        </w:rPr>
        <w:t>本级</w:t>
      </w:r>
      <w:r>
        <w:rPr>
          <w:rFonts w:hint="eastAsia" w:ascii="宋体" w:hAnsi="宋体" w:eastAsia="方正仿宋简体" w:cs="方正仿宋简体"/>
          <w:sz w:val="32"/>
          <w:szCs w:val="32"/>
        </w:rPr>
        <w:t>预算公开如下：</w:t>
      </w:r>
    </w:p>
    <w:p>
      <w:pPr>
        <w:spacing w:line="560" w:lineRule="exact"/>
        <w:ind w:firstLine="560"/>
        <w:jc w:val="left"/>
        <w:rPr>
          <w:rFonts w:hint="eastAsia" w:ascii="宋体" w:hAnsi="宋体" w:eastAsia="方正黑体简体" w:cs="方正黑体简体"/>
          <w:sz w:val="32"/>
          <w:szCs w:val="32"/>
        </w:rPr>
      </w:pPr>
      <w:bookmarkStart w:id="0" w:name="_Toc68791545"/>
      <w:r>
        <w:rPr>
          <w:rFonts w:hint="eastAsia" w:ascii="宋体" w:hAnsi="宋体" w:eastAsia="方正黑体简体" w:cs="方正黑体简体"/>
          <w:sz w:val="32"/>
          <w:szCs w:val="32"/>
        </w:rPr>
        <w:t>一、</w:t>
      </w:r>
      <w:r>
        <w:rPr>
          <w:rFonts w:hint="eastAsia" w:ascii="宋体" w:hAnsi="宋体" w:eastAsia="方正黑体简体" w:cs="方正黑体简体"/>
          <w:sz w:val="32"/>
          <w:szCs w:val="32"/>
          <w:lang w:eastAsia="zh-CN"/>
        </w:rPr>
        <w:t>本级</w:t>
      </w:r>
      <w:r>
        <w:rPr>
          <w:rFonts w:hint="eastAsia" w:ascii="宋体" w:hAnsi="宋体" w:eastAsia="方正黑体简体" w:cs="方正黑体简体"/>
          <w:sz w:val="32"/>
          <w:szCs w:val="32"/>
        </w:rPr>
        <w:t>职责、机构设置等基本情况</w:t>
      </w:r>
      <w:bookmarkEnd w:id="0"/>
    </w:p>
    <w:p>
      <w:pPr>
        <w:spacing w:line="560" w:lineRule="exact"/>
        <w:ind w:firstLine="56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（一）本级职责</w:t>
      </w:r>
    </w:p>
    <w:p>
      <w:pPr>
        <w:spacing w:line="570" w:lineRule="exact"/>
        <w:ind w:firstLine="640" w:firstLineChars="200"/>
        <w:rPr>
          <w:rFonts w:hint="eastAsia" w:ascii="宋体" w:hAnsi="宋体" w:eastAsia="方正仿宋简体" w:cs="宋体"/>
          <w:sz w:val="32"/>
          <w:szCs w:val="32"/>
          <w:lang w:eastAsia="zh-CN"/>
        </w:rPr>
      </w:pPr>
      <w:r>
        <w:rPr>
          <w:rFonts w:hint="eastAsia" w:ascii="宋体" w:hAnsi="宋体" w:eastAsia="方正仿宋简体" w:cs="宋体"/>
          <w:sz w:val="32"/>
          <w:szCs w:val="32"/>
          <w:lang w:val="en-US" w:eastAsia="zh-CN"/>
        </w:rPr>
        <w:t>1、</w:t>
      </w:r>
      <w:r>
        <w:rPr>
          <w:rFonts w:hint="eastAsia" w:ascii="宋体" w:hAnsi="宋体" w:eastAsia="方正仿宋简体" w:cs="宋体"/>
          <w:sz w:val="32"/>
          <w:szCs w:val="32"/>
        </w:rPr>
        <w:t>消防宣传及防灭火抢险救援障</w:t>
      </w:r>
      <w:r>
        <w:rPr>
          <w:rFonts w:hint="eastAsia" w:ascii="宋体" w:hAnsi="宋体" w:eastAsia="方正仿宋简体" w:cs="宋体"/>
          <w:sz w:val="32"/>
          <w:szCs w:val="32"/>
          <w:lang w:eastAsia="zh-CN"/>
        </w:rPr>
        <w:t>：组织开展消防宣传，对机关、团体、企业、事业单位遵守消防法律、法规情况进行监督管理。</w:t>
      </w:r>
    </w:p>
    <w:p>
      <w:pPr>
        <w:spacing w:line="570" w:lineRule="exact"/>
        <w:ind w:firstLine="640" w:firstLineChars="200"/>
        <w:rPr>
          <w:rFonts w:hint="eastAsia" w:ascii="宋体" w:hAnsi="宋体" w:eastAsia="方正仿宋简体" w:cs="宋体"/>
          <w:sz w:val="32"/>
          <w:szCs w:val="32"/>
        </w:rPr>
      </w:pPr>
      <w:r>
        <w:rPr>
          <w:rFonts w:hint="eastAsia" w:ascii="宋体" w:hAnsi="宋体" w:eastAsia="方正仿宋简体" w:cs="宋体"/>
          <w:sz w:val="32"/>
          <w:szCs w:val="32"/>
          <w:lang w:val="en-US" w:eastAsia="zh-CN"/>
        </w:rPr>
        <w:t>2、</w:t>
      </w:r>
      <w:r>
        <w:rPr>
          <w:rFonts w:hint="eastAsia" w:ascii="宋体" w:hAnsi="宋体" w:eastAsia="方正仿宋简体" w:cs="宋体"/>
          <w:sz w:val="32"/>
          <w:szCs w:val="32"/>
          <w:lang w:eastAsia="zh-CN"/>
        </w:rPr>
        <w:t>消防宣传及防灭火抢险救援：积极参加各类火灾扑救工作及社会抢险救援，保卫国家经济建设，保护公共财产和人民生命财产安全。</w:t>
      </w:r>
    </w:p>
    <w:p>
      <w:pPr>
        <w:spacing w:line="560" w:lineRule="exact"/>
        <w:ind w:firstLine="56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（二）机构设置</w:t>
      </w:r>
    </w:p>
    <w:p>
      <w:pPr>
        <w:spacing w:line="560" w:lineRule="exact"/>
        <w:ind w:firstLine="640" w:firstLineChars="200"/>
        <w:jc w:val="left"/>
        <w:rPr>
          <w:rFonts w:hint="eastAsia" w:ascii="方正黑体简体" w:hAnsi="方正黑体简体" w:eastAsia="方正黑体简体" w:cs="方正黑体简体"/>
          <w:sz w:val="32"/>
          <w:szCs w:val="32"/>
        </w:rPr>
      </w:pPr>
      <w:bookmarkStart w:id="1" w:name="_Toc68791546"/>
      <w:r>
        <w:rPr>
          <w:rFonts w:hint="eastAsia" w:ascii="宋体" w:hAnsi="宋体" w:eastAsia="方正仿宋简体" w:cs="宋体"/>
          <w:sz w:val="32"/>
          <w:szCs w:val="32"/>
        </w:rPr>
        <w:t>遵化市</w:t>
      </w:r>
      <w:r>
        <w:rPr>
          <w:rFonts w:hint="eastAsia" w:ascii="宋体" w:hAnsi="宋体" w:eastAsia="方正仿宋简体" w:cs="宋体"/>
          <w:sz w:val="32"/>
          <w:szCs w:val="32"/>
          <w:lang w:eastAsia="zh-CN"/>
        </w:rPr>
        <w:t>消防救援大队</w:t>
      </w:r>
      <w:r>
        <w:rPr>
          <w:rFonts w:hint="eastAsia" w:ascii="宋体" w:hAnsi="宋体" w:eastAsia="方正仿宋简体" w:cs="宋体"/>
          <w:sz w:val="32"/>
          <w:szCs w:val="32"/>
        </w:rPr>
        <w:t>设</w:t>
      </w:r>
      <w:r>
        <w:rPr>
          <w:rFonts w:hint="eastAsia" w:ascii="宋体" w:hAnsi="宋体" w:eastAsia="方正仿宋简体" w:cs="宋体"/>
          <w:sz w:val="32"/>
          <w:szCs w:val="32"/>
          <w:lang w:val="en-US" w:eastAsia="zh-CN"/>
        </w:rPr>
        <w:t>4</w:t>
      </w:r>
      <w:r>
        <w:rPr>
          <w:rFonts w:hint="eastAsia" w:ascii="宋体" w:hAnsi="宋体" w:eastAsia="方正仿宋简体" w:cs="宋体"/>
          <w:sz w:val="32"/>
          <w:szCs w:val="32"/>
        </w:rPr>
        <w:t>个职能科室，分别为：</w:t>
      </w:r>
      <w:r>
        <w:rPr>
          <w:rFonts w:hint="eastAsia" w:ascii="宋体" w:hAnsi="宋体" w:eastAsia="方正仿宋简体" w:cs="宋体"/>
          <w:sz w:val="32"/>
          <w:szCs w:val="32"/>
          <w:lang w:eastAsia="zh-CN"/>
        </w:rPr>
        <w:t>司令部</w:t>
      </w:r>
      <w:r>
        <w:rPr>
          <w:rFonts w:hint="eastAsia" w:ascii="宋体" w:hAnsi="宋体" w:eastAsia="方正仿宋简体" w:cs="宋体"/>
          <w:sz w:val="32"/>
          <w:szCs w:val="32"/>
        </w:rPr>
        <w:t>、</w:t>
      </w:r>
      <w:r>
        <w:rPr>
          <w:rFonts w:hint="eastAsia" w:ascii="宋体" w:hAnsi="宋体" w:eastAsia="方正仿宋简体" w:cs="宋体"/>
          <w:sz w:val="32"/>
          <w:szCs w:val="32"/>
          <w:lang w:eastAsia="zh-CN"/>
        </w:rPr>
        <w:t>政治部</w:t>
      </w:r>
      <w:r>
        <w:rPr>
          <w:rFonts w:hint="eastAsia" w:ascii="宋体" w:hAnsi="宋体" w:eastAsia="方正仿宋简体" w:cs="宋体"/>
          <w:sz w:val="32"/>
          <w:szCs w:val="32"/>
        </w:rPr>
        <w:t>、</w:t>
      </w:r>
      <w:r>
        <w:rPr>
          <w:rFonts w:hint="eastAsia" w:ascii="宋体" w:hAnsi="宋体" w:eastAsia="方正仿宋简体" w:cs="宋体"/>
          <w:sz w:val="32"/>
          <w:szCs w:val="32"/>
          <w:lang w:eastAsia="zh-CN"/>
        </w:rPr>
        <w:t>后勤部</w:t>
      </w:r>
      <w:r>
        <w:rPr>
          <w:rFonts w:hint="eastAsia" w:ascii="宋体" w:hAnsi="宋体" w:eastAsia="方正仿宋简体" w:cs="宋体"/>
          <w:sz w:val="32"/>
          <w:szCs w:val="32"/>
        </w:rPr>
        <w:t>、</w:t>
      </w:r>
      <w:r>
        <w:rPr>
          <w:rFonts w:hint="eastAsia" w:ascii="宋体" w:hAnsi="宋体" w:eastAsia="方正仿宋简体" w:cs="宋体"/>
          <w:sz w:val="32"/>
          <w:szCs w:val="32"/>
          <w:lang w:eastAsia="zh-CN"/>
        </w:rPr>
        <w:t>防火监督管理部</w:t>
      </w:r>
      <w:r>
        <w:rPr>
          <w:rFonts w:hint="eastAsia" w:ascii="宋体" w:hAnsi="宋体" w:eastAsia="方正仿宋简体" w:cs="宋体"/>
          <w:sz w:val="32"/>
          <w:szCs w:val="32"/>
        </w:rPr>
        <w:t>。纳入遵化市</w:t>
      </w:r>
      <w:r>
        <w:rPr>
          <w:rFonts w:hint="eastAsia" w:ascii="宋体" w:hAnsi="宋体" w:eastAsia="方正仿宋简体" w:cs="宋体"/>
          <w:sz w:val="32"/>
          <w:szCs w:val="32"/>
          <w:lang w:eastAsia="zh-CN"/>
        </w:rPr>
        <w:t>消防救援大队本级</w:t>
      </w:r>
      <w:r>
        <w:rPr>
          <w:rFonts w:hint="eastAsia" w:ascii="宋体" w:hAnsi="宋体" w:eastAsia="方正仿宋简体" w:cs="宋体"/>
          <w:sz w:val="32"/>
          <w:szCs w:val="32"/>
        </w:rPr>
        <w:t>预算编报范围的预算单位共1家，即遵化市</w:t>
      </w:r>
      <w:r>
        <w:rPr>
          <w:rFonts w:hint="eastAsia" w:ascii="宋体" w:hAnsi="宋体" w:eastAsia="方正仿宋简体" w:cs="宋体"/>
          <w:sz w:val="32"/>
          <w:szCs w:val="32"/>
          <w:lang w:eastAsia="zh-CN"/>
        </w:rPr>
        <w:t>消防救援大队</w:t>
      </w:r>
      <w:r>
        <w:rPr>
          <w:rFonts w:hint="eastAsia" w:ascii="宋体" w:hAnsi="宋体" w:eastAsia="方正仿宋简体" w:cs="宋体"/>
          <w:sz w:val="32"/>
          <w:szCs w:val="32"/>
        </w:rPr>
        <w:t>本级。</w:t>
      </w:r>
      <w:r>
        <w:rPr>
          <w:rFonts w:hint="eastAsia" w:ascii="方正仿宋简体" w:hAnsi="方正仿宋简体" w:eastAsia="方正仿宋简体" w:cs="方正仿宋简体"/>
          <w:sz w:val="32"/>
          <w:szCs w:val="32"/>
        </w:rPr>
        <w:t xml:space="preserve"> </w:t>
      </w:r>
    </w:p>
    <w:p>
      <w:pPr>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二、</w:t>
      </w:r>
      <w:r>
        <w:rPr>
          <w:rFonts w:hint="eastAsia" w:ascii="宋体" w:hAnsi="宋体" w:eastAsia="方正黑体简体" w:cs="方正黑体简体"/>
          <w:sz w:val="32"/>
          <w:szCs w:val="32"/>
          <w:lang w:eastAsia="zh-CN"/>
        </w:rPr>
        <w:t>本级</w:t>
      </w:r>
      <w:r>
        <w:rPr>
          <w:rFonts w:hint="eastAsia" w:ascii="宋体" w:hAnsi="宋体" w:eastAsia="方正黑体简体" w:cs="方正黑体简体"/>
          <w:sz w:val="32"/>
          <w:szCs w:val="32"/>
        </w:rPr>
        <w:t>预算安排的总体情况</w:t>
      </w:r>
      <w:bookmarkEnd w:id="1"/>
    </w:p>
    <w:p>
      <w:pPr>
        <w:spacing w:line="560" w:lineRule="exact"/>
        <w:ind w:firstLine="640" w:firstLineChars="200"/>
        <w:jc w:val="left"/>
        <w:rPr>
          <w:rFonts w:hint="eastAsia" w:ascii="宋体" w:hAnsi="宋体" w:eastAsia="方正仿宋简体" w:cs="宋体"/>
          <w:sz w:val="32"/>
          <w:szCs w:val="32"/>
          <w:lang w:eastAsia="zh-CN"/>
        </w:rPr>
      </w:pPr>
      <w:r>
        <w:rPr>
          <w:rFonts w:hint="eastAsia" w:ascii="宋体" w:hAnsi="宋体" w:eastAsia="方正仿宋简体" w:cs="方正仿宋简体"/>
          <w:sz w:val="32"/>
          <w:szCs w:val="32"/>
          <w:lang w:eastAsia="zh-CN"/>
        </w:rPr>
        <w:t>按照预算管理有关规定，目前我市本级预算的编制实行综合预算制度，即全部收入和支出都反映在预算中。遵化市消防救援大队的收支包含在本级预算中。</w:t>
      </w:r>
    </w:p>
    <w:p>
      <w:pPr>
        <w:adjustRightInd w:val="0"/>
        <w:snapToGrid w:val="0"/>
        <w:spacing w:line="570" w:lineRule="exact"/>
        <w:ind w:firstLine="640" w:firstLineChars="200"/>
        <w:rPr>
          <w:rFonts w:hint="eastAsia" w:ascii="宋体" w:hAnsi="宋体" w:eastAsia="方正楷体简体" w:cs="方正楷体简体"/>
          <w:bCs/>
          <w:sz w:val="32"/>
          <w:szCs w:val="32"/>
        </w:rPr>
      </w:pPr>
      <w:r>
        <w:rPr>
          <w:rFonts w:hint="eastAsia" w:ascii="宋体" w:hAnsi="宋体" w:eastAsia="方正楷体简体" w:cs="方正楷体简体"/>
          <w:bCs/>
          <w:sz w:val="32"/>
          <w:szCs w:val="32"/>
        </w:rPr>
        <w:t>1、收入情况</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宋体" w:hAnsi="宋体" w:eastAsia="方正仿宋简体" w:cs="方正仿宋简体"/>
          <w:sz w:val="32"/>
          <w:szCs w:val="32"/>
          <w:lang w:eastAsia="zh-CN"/>
        </w:rPr>
        <w:t>反映本级当年全部收入。20</w:t>
      </w:r>
      <w:r>
        <w:rPr>
          <w:rFonts w:hint="eastAsia" w:ascii="宋体" w:hAnsi="宋体" w:eastAsia="方正仿宋简体" w:cs="方正仿宋简体"/>
          <w:sz w:val="32"/>
          <w:szCs w:val="32"/>
          <w:lang w:val="en-US" w:eastAsia="zh-CN"/>
        </w:rPr>
        <w:t>22</w:t>
      </w:r>
      <w:r>
        <w:rPr>
          <w:rFonts w:hint="eastAsia" w:ascii="宋体" w:hAnsi="宋体" w:eastAsia="方正仿宋简体" w:cs="方正仿宋简体"/>
          <w:sz w:val="32"/>
          <w:szCs w:val="32"/>
          <w:lang w:eastAsia="zh-CN"/>
        </w:rPr>
        <w:t>年预算收入</w:t>
      </w:r>
      <w:r>
        <w:rPr>
          <w:rFonts w:hint="eastAsia" w:ascii="宋体" w:hAnsi="宋体" w:eastAsia="方正仿宋简体" w:cs="方正仿宋简体"/>
          <w:sz w:val="32"/>
          <w:szCs w:val="32"/>
          <w:lang w:val="en-US" w:eastAsia="zh-CN"/>
        </w:rPr>
        <w:t>1217.97</w:t>
      </w:r>
      <w:r>
        <w:rPr>
          <w:rFonts w:hint="eastAsia" w:ascii="宋体" w:hAnsi="宋体" w:eastAsia="方正仿宋简体" w:cs="方正仿宋简体"/>
          <w:sz w:val="32"/>
          <w:szCs w:val="32"/>
          <w:lang w:eastAsia="zh-CN"/>
        </w:rPr>
        <w:t>万元，其中：一般公共预算收入</w:t>
      </w:r>
      <w:r>
        <w:rPr>
          <w:rFonts w:hint="eastAsia" w:ascii="宋体" w:hAnsi="宋体" w:eastAsia="方正仿宋简体" w:cs="方正仿宋简体"/>
          <w:sz w:val="32"/>
          <w:szCs w:val="32"/>
          <w:lang w:val="en-US" w:eastAsia="zh-CN"/>
        </w:rPr>
        <w:t>1217.97</w:t>
      </w:r>
      <w:r>
        <w:rPr>
          <w:rFonts w:hint="eastAsia" w:ascii="宋体" w:hAnsi="宋体" w:eastAsia="方正仿宋简体" w:cs="方正仿宋简体"/>
          <w:sz w:val="32"/>
          <w:szCs w:val="32"/>
          <w:lang w:eastAsia="zh-CN"/>
        </w:rPr>
        <w:t>万元，基金预算收入</w:t>
      </w:r>
      <w:r>
        <w:rPr>
          <w:rFonts w:hint="eastAsia" w:ascii="宋体" w:hAnsi="宋体" w:eastAsia="方正仿宋简体" w:cs="方正仿宋简体"/>
          <w:sz w:val="32"/>
          <w:szCs w:val="32"/>
          <w:lang w:val="en-US" w:eastAsia="zh-CN"/>
        </w:rPr>
        <w:t>0</w:t>
      </w:r>
      <w:r>
        <w:rPr>
          <w:rFonts w:hint="eastAsia" w:ascii="宋体" w:hAnsi="宋体" w:eastAsia="方正仿宋简体" w:cs="方正仿宋简体"/>
          <w:sz w:val="32"/>
          <w:szCs w:val="32"/>
          <w:lang w:eastAsia="zh-CN"/>
        </w:rPr>
        <w:t>万元，国有资本经营收入0元，财政专户核拨收入0万元，其他来源收入0万元。</w:t>
      </w:r>
    </w:p>
    <w:p>
      <w:pPr>
        <w:adjustRightInd w:val="0"/>
        <w:snapToGrid w:val="0"/>
        <w:spacing w:line="570" w:lineRule="exact"/>
        <w:ind w:firstLine="640" w:firstLineChars="200"/>
        <w:rPr>
          <w:rFonts w:hint="eastAsia" w:ascii="宋体" w:hAnsi="宋体" w:eastAsia="方正楷体简体" w:cs="方正楷体简体"/>
          <w:bCs/>
          <w:sz w:val="32"/>
          <w:szCs w:val="32"/>
        </w:rPr>
      </w:pPr>
      <w:r>
        <w:rPr>
          <w:rFonts w:hint="eastAsia" w:ascii="宋体" w:hAnsi="宋体" w:eastAsia="方正楷体简体" w:cs="方正楷体简体"/>
          <w:bCs/>
          <w:sz w:val="32"/>
          <w:szCs w:val="32"/>
        </w:rPr>
        <w:t>2、支出情况</w:t>
      </w:r>
    </w:p>
    <w:p>
      <w:pPr>
        <w:spacing w:line="560" w:lineRule="exact"/>
        <w:ind w:firstLine="640" w:firstLineChars="200"/>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lang w:eastAsia="zh-CN"/>
        </w:rPr>
        <w:t>收支预算总表支出栏、基本支出表、项目支出表按经济分类和支出功能分类科目编制，反映遵化市消防救援大队年度本级预算中支出预算的总体情况。20</w:t>
      </w:r>
      <w:r>
        <w:rPr>
          <w:rFonts w:hint="eastAsia" w:ascii="宋体" w:hAnsi="宋体" w:eastAsia="方正仿宋简体" w:cs="方正仿宋简体"/>
          <w:sz w:val="32"/>
          <w:szCs w:val="32"/>
          <w:lang w:val="en-US" w:eastAsia="zh-CN"/>
        </w:rPr>
        <w:t>22</w:t>
      </w:r>
      <w:r>
        <w:rPr>
          <w:rFonts w:hint="eastAsia" w:ascii="宋体" w:hAnsi="宋体" w:eastAsia="方正仿宋简体" w:cs="方正仿宋简体"/>
          <w:sz w:val="32"/>
          <w:szCs w:val="32"/>
          <w:lang w:eastAsia="zh-CN"/>
        </w:rPr>
        <w:t>年支出预算</w:t>
      </w:r>
      <w:r>
        <w:rPr>
          <w:rFonts w:hint="eastAsia" w:ascii="宋体" w:hAnsi="宋体" w:eastAsia="方正仿宋简体" w:cs="方正仿宋简体"/>
          <w:sz w:val="32"/>
          <w:szCs w:val="32"/>
          <w:lang w:val="en-US" w:eastAsia="zh-CN"/>
        </w:rPr>
        <w:t>1217.97</w:t>
      </w:r>
      <w:r>
        <w:rPr>
          <w:rFonts w:hint="eastAsia" w:ascii="宋体" w:hAnsi="宋体" w:eastAsia="方正仿宋简体" w:cs="方正仿宋简体"/>
          <w:sz w:val="32"/>
          <w:szCs w:val="32"/>
          <w:lang w:eastAsia="zh-CN"/>
        </w:rPr>
        <w:t>万元，其中基本支出</w:t>
      </w:r>
      <w:r>
        <w:rPr>
          <w:rFonts w:hint="eastAsia" w:ascii="宋体" w:hAnsi="宋体" w:eastAsia="方正仿宋简体" w:cs="方正仿宋简体"/>
          <w:sz w:val="32"/>
          <w:szCs w:val="32"/>
          <w:lang w:val="en-US" w:eastAsia="zh-CN"/>
        </w:rPr>
        <w:t>0</w:t>
      </w:r>
      <w:r>
        <w:rPr>
          <w:rFonts w:hint="eastAsia" w:ascii="宋体" w:hAnsi="宋体" w:eastAsia="方正仿宋简体" w:cs="方正仿宋简体"/>
          <w:sz w:val="32"/>
          <w:szCs w:val="32"/>
          <w:lang w:eastAsia="zh-CN"/>
        </w:rPr>
        <w:t>万元；项目支出</w:t>
      </w:r>
      <w:r>
        <w:rPr>
          <w:rFonts w:hint="eastAsia" w:ascii="宋体" w:hAnsi="宋体" w:eastAsia="方正仿宋简体" w:cs="方正仿宋简体"/>
          <w:sz w:val="32"/>
          <w:szCs w:val="32"/>
          <w:lang w:val="en-US" w:eastAsia="zh-CN"/>
        </w:rPr>
        <w:t>1441.14</w:t>
      </w:r>
      <w:r>
        <w:rPr>
          <w:rFonts w:hint="eastAsia" w:ascii="宋体" w:hAnsi="宋体" w:eastAsia="方正仿宋简体" w:cs="方正仿宋简体"/>
          <w:sz w:val="32"/>
          <w:szCs w:val="32"/>
          <w:lang w:eastAsia="zh-CN"/>
        </w:rPr>
        <w:t>万元，主要为消防员劳务服务经费、消防员后勤保障经费、消防车辆维护运行费、城北消防站取暖燃料费、购置城市主站消防车等。</w:t>
      </w:r>
    </w:p>
    <w:p>
      <w:pPr>
        <w:adjustRightInd w:val="0"/>
        <w:snapToGrid w:val="0"/>
        <w:spacing w:line="570" w:lineRule="exact"/>
        <w:ind w:firstLine="640" w:firstLineChars="200"/>
        <w:rPr>
          <w:rFonts w:hint="eastAsia" w:ascii="宋体" w:hAnsi="宋体" w:eastAsia="方正楷体简体" w:cs="方正楷体简体"/>
          <w:bCs/>
          <w:sz w:val="32"/>
          <w:szCs w:val="32"/>
        </w:rPr>
      </w:pPr>
      <w:r>
        <w:rPr>
          <w:rFonts w:hint="eastAsia" w:ascii="宋体" w:hAnsi="宋体" w:eastAsia="方正楷体简体" w:cs="方正楷体简体"/>
          <w:bCs/>
          <w:sz w:val="32"/>
          <w:szCs w:val="32"/>
        </w:rPr>
        <w:t>3、与上年相比增减变化情况</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1217.97</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w:t>
      </w:r>
      <w:r>
        <w:rPr>
          <w:rFonts w:hint="eastAsia" w:ascii="方正仿宋简体" w:hAnsi="方正仿宋简体" w:eastAsia="方正仿宋简体" w:cs="方正仿宋简体"/>
          <w:sz w:val="32"/>
          <w:szCs w:val="32"/>
          <w:lang w:val="en-US" w:eastAsia="zh-CN"/>
        </w:rPr>
        <w:t>算减少223.17</w:t>
      </w:r>
      <w:r>
        <w:rPr>
          <w:rFonts w:hint="eastAsia" w:ascii="方正仿宋简体" w:hAnsi="方正仿宋简体" w:eastAsia="方正仿宋简体" w:cs="方正仿宋简体"/>
          <w:sz w:val="32"/>
          <w:szCs w:val="32"/>
        </w:rPr>
        <w:t>万元，其中：基本支出增加</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223.17</w:t>
      </w:r>
      <w:r>
        <w:rPr>
          <w:rFonts w:hint="eastAsia" w:ascii="方正仿宋简体" w:hAnsi="方正仿宋简体" w:eastAsia="方正仿宋简体" w:cs="方正仿宋简体"/>
          <w:sz w:val="32"/>
          <w:szCs w:val="32"/>
        </w:rPr>
        <w:t>万元，主</w:t>
      </w:r>
      <w:r>
        <w:rPr>
          <w:rFonts w:hint="eastAsia" w:ascii="方正仿宋简体" w:hAnsi="方正仿宋简体" w:eastAsia="方正仿宋简体" w:cs="方正仿宋简体"/>
          <w:sz w:val="32"/>
          <w:szCs w:val="32"/>
          <w:lang w:eastAsia="zh-CN"/>
        </w:rPr>
        <w:t>要减少</w:t>
      </w:r>
      <w:r>
        <w:rPr>
          <w:rFonts w:hint="eastAsia" w:ascii="方正仿宋简体" w:hAnsi="方正仿宋简体" w:eastAsia="方正仿宋简体" w:cs="方正仿宋简体"/>
          <w:sz w:val="32"/>
          <w:szCs w:val="32"/>
        </w:rPr>
        <w:t>了项目方面的支出。</w:t>
      </w:r>
    </w:p>
    <w:p>
      <w:pPr>
        <w:spacing w:line="560" w:lineRule="exact"/>
        <w:ind w:firstLine="560"/>
        <w:jc w:val="left"/>
        <w:rPr>
          <w:rFonts w:hint="eastAsia" w:ascii="宋体" w:hAnsi="宋体" w:eastAsia="方正黑体简体" w:cs="方正黑体简体"/>
          <w:sz w:val="32"/>
          <w:szCs w:val="32"/>
        </w:rPr>
      </w:pPr>
      <w:bookmarkStart w:id="2" w:name="_Toc68791547"/>
      <w:r>
        <w:rPr>
          <w:rFonts w:hint="eastAsia" w:ascii="宋体" w:hAnsi="宋体" w:eastAsia="方正黑体简体" w:cs="方正黑体简体"/>
          <w:sz w:val="32"/>
          <w:szCs w:val="32"/>
        </w:rPr>
        <w:t>三、机关运行经费安排情况</w:t>
      </w:r>
      <w:bookmarkEnd w:id="2"/>
    </w:p>
    <w:p>
      <w:pPr>
        <w:spacing w:line="620" w:lineRule="exact"/>
        <w:ind w:firstLine="560"/>
        <w:jc w:val="left"/>
        <w:rPr>
          <w:rFonts w:hint="eastAsia" w:ascii="方正黑体简体" w:hAnsi="方正黑体简体" w:eastAsia="方正黑体简体" w:cs="方正黑体简体"/>
          <w:sz w:val="32"/>
          <w:szCs w:val="32"/>
        </w:rPr>
      </w:pPr>
      <w:bookmarkStart w:id="3" w:name="_Toc68791548"/>
      <w:r>
        <w:rPr>
          <w:rFonts w:hint="eastAsia" w:ascii="方正仿宋简体" w:hAnsi="方正仿宋简体" w:eastAsia="方正仿宋简体" w:cs="方正仿宋简体"/>
          <w:sz w:val="32"/>
          <w:szCs w:val="32"/>
          <w:lang w:eastAsia="zh-CN"/>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eastAsia="zh-CN"/>
        </w:rPr>
        <w:t>年，我本级机关运行经费共计安排</w:t>
      </w:r>
      <w:r>
        <w:rPr>
          <w:rFonts w:hint="eastAsia" w:ascii="方正仿宋简体" w:hAnsi="方正仿宋简体" w:eastAsia="方正仿宋简体" w:cs="方正仿宋简体"/>
          <w:sz w:val="32"/>
          <w:szCs w:val="32"/>
          <w:lang w:val="en-US" w:eastAsia="zh-CN"/>
        </w:rPr>
        <w:t>1217.97</w:t>
      </w:r>
      <w:r>
        <w:rPr>
          <w:rFonts w:hint="eastAsia" w:ascii="方正仿宋简体" w:hAnsi="方正仿宋简体" w:eastAsia="方正仿宋简体" w:cs="方正仿宋简体"/>
          <w:sz w:val="32"/>
          <w:szCs w:val="32"/>
          <w:lang w:eastAsia="zh-CN"/>
        </w:rPr>
        <w:t>万元，主要用于日常车辆维修加油、办公、水电费、消防站取暖费、消防人员工资保险、伙食费、服装费等日常运行支出。其中办公费</w:t>
      </w:r>
      <w:r>
        <w:rPr>
          <w:rFonts w:hint="eastAsia" w:ascii="方正仿宋简体" w:hAnsi="方正仿宋简体" w:eastAsia="方正仿宋简体" w:cs="方正仿宋简体"/>
          <w:sz w:val="32"/>
          <w:szCs w:val="32"/>
          <w:lang w:val="en-US" w:eastAsia="zh-CN"/>
        </w:rPr>
        <w:t>85</w:t>
      </w:r>
      <w:r>
        <w:rPr>
          <w:rFonts w:hint="eastAsia" w:ascii="方正仿宋简体" w:hAnsi="方正仿宋简体" w:eastAsia="方正仿宋简体" w:cs="方正仿宋简体"/>
          <w:sz w:val="32"/>
          <w:szCs w:val="32"/>
          <w:lang w:eastAsia="zh-CN"/>
        </w:rPr>
        <w:t>万元，印刷费</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万元,电费</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eastAsia="zh-CN"/>
        </w:rPr>
        <w:t>万元，邮电费</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万元，取暖费</w:t>
      </w:r>
      <w:r>
        <w:rPr>
          <w:rFonts w:hint="eastAsia" w:ascii="方正仿宋简体" w:hAnsi="方正仿宋简体" w:eastAsia="方正仿宋简体" w:cs="方正仿宋简体"/>
          <w:sz w:val="32"/>
          <w:szCs w:val="32"/>
          <w:lang w:val="en-US" w:eastAsia="zh-CN"/>
        </w:rPr>
        <w:t>27.08</w:t>
      </w:r>
      <w:r>
        <w:rPr>
          <w:rFonts w:hint="eastAsia" w:ascii="方正仿宋简体" w:hAnsi="方正仿宋简体" w:eastAsia="方正仿宋简体" w:cs="方正仿宋简体"/>
          <w:sz w:val="32"/>
          <w:szCs w:val="32"/>
          <w:lang w:eastAsia="zh-CN"/>
        </w:rPr>
        <w:t>万元，被装购置费</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eastAsia="zh-CN"/>
        </w:rPr>
        <w:t>万元，专用燃料费</w:t>
      </w: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lang w:eastAsia="zh-CN"/>
        </w:rPr>
        <w:t>万元，劳务费</w:t>
      </w:r>
      <w:r>
        <w:rPr>
          <w:rFonts w:hint="eastAsia" w:ascii="方正仿宋简体" w:hAnsi="方正仿宋简体" w:eastAsia="方正仿宋简体" w:cs="方正仿宋简体"/>
          <w:sz w:val="32"/>
          <w:szCs w:val="32"/>
          <w:lang w:val="en-US" w:eastAsia="zh-CN"/>
        </w:rPr>
        <w:t>540.09</w:t>
      </w:r>
      <w:r>
        <w:rPr>
          <w:rFonts w:hint="eastAsia" w:ascii="方正仿宋简体" w:hAnsi="方正仿宋简体" w:eastAsia="方正仿宋简体" w:cs="方正仿宋简体"/>
          <w:sz w:val="32"/>
          <w:szCs w:val="32"/>
          <w:lang w:eastAsia="zh-CN"/>
        </w:rPr>
        <w:t>万元，其他交通费</w:t>
      </w:r>
      <w:r>
        <w:rPr>
          <w:rFonts w:hint="eastAsia" w:ascii="方正仿宋简体" w:hAnsi="方正仿宋简体" w:eastAsia="方正仿宋简体" w:cs="方正仿宋简体"/>
          <w:sz w:val="32"/>
          <w:szCs w:val="32"/>
          <w:lang w:val="en-US" w:eastAsia="zh-CN"/>
        </w:rPr>
        <w:t>100</w:t>
      </w:r>
      <w:r>
        <w:rPr>
          <w:rFonts w:hint="eastAsia" w:ascii="方正仿宋简体" w:hAnsi="方正仿宋简体" w:eastAsia="方正仿宋简体" w:cs="方正仿宋简体"/>
          <w:sz w:val="32"/>
          <w:szCs w:val="32"/>
          <w:lang w:eastAsia="zh-CN"/>
        </w:rPr>
        <w:t>万元，专用设备购置</w:t>
      </w:r>
      <w:r>
        <w:rPr>
          <w:rFonts w:hint="eastAsia" w:ascii="方正仿宋简体" w:hAnsi="方正仿宋简体" w:eastAsia="方正仿宋简体" w:cs="方正仿宋简体"/>
          <w:sz w:val="32"/>
          <w:szCs w:val="32"/>
          <w:lang w:val="en-US" w:eastAsia="zh-CN"/>
        </w:rPr>
        <w:t>320.8</w:t>
      </w:r>
      <w:r>
        <w:rPr>
          <w:rFonts w:hint="eastAsia" w:ascii="方正仿宋简体" w:hAnsi="方正仿宋简体" w:eastAsia="方正仿宋简体" w:cs="方正仿宋简体"/>
          <w:sz w:val="32"/>
          <w:szCs w:val="32"/>
          <w:lang w:eastAsia="zh-CN"/>
        </w:rPr>
        <w:t>万元。</w:t>
      </w:r>
    </w:p>
    <w:p>
      <w:pPr>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四、财政拨款</w:t>
      </w:r>
      <w:r>
        <w:rPr>
          <w:rFonts w:hint="eastAsia" w:ascii="宋体" w:hAnsi="宋体" w:eastAsia="方正黑体简体" w:cs="方正黑体简体"/>
          <w:sz w:val="32"/>
          <w:szCs w:val="32"/>
          <w:cs/>
        </w:rPr>
        <w:t>“</w:t>
      </w:r>
      <w:r>
        <w:rPr>
          <w:rFonts w:hint="eastAsia" w:ascii="宋体" w:hAnsi="宋体" w:eastAsia="方正黑体简体" w:cs="方正黑体简体"/>
          <w:sz w:val="32"/>
          <w:szCs w:val="32"/>
        </w:rPr>
        <w:t>三公</w:t>
      </w:r>
      <w:r>
        <w:rPr>
          <w:rFonts w:hint="eastAsia" w:ascii="宋体" w:hAnsi="宋体" w:eastAsia="方正黑体简体" w:cs="方正黑体简体"/>
          <w:sz w:val="32"/>
          <w:szCs w:val="32"/>
          <w:cs/>
        </w:rPr>
        <w:t>”</w:t>
      </w:r>
      <w:r>
        <w:rPr>
          <w:rFonts w:hint="eastAsia" w:ascii="宋体" w:hAnsi="宋体" w:eastAsia="方正黑体简体" w:cs="方正黑体简体"/>
          <w:sz w:val="32"/>
          <w:szCs w:val="32"/>
        </w:rPr>
        <w:t>经费预算情况及增减变化原因</w:t>
      </w:r>
      <w:bookmarkEnd w:id="3"/>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kern w:val="0"/>
          <w:sz w:val="32"/>
          <w:szCs w:val="32"/>
          <w:lang w:eastAsia="uk-UA"/>
        </w:rPr>
      </w:pPr>
      <w:bookmarkStart w:id="4" w:name="_Toc68791549"/>
      <w:r>
        <w:rPr>
          <w:rFonts w:hint="eastAsia" w:ascii="方正仿宋简体" w:hAnsi="黑体" w:eastAsia="方正仿宋简体" w:cs="黑体"/>
          <w:kern w:val="0"/>
          <w:sz w:val="32"/>
          <w:szCs w:val="32"/>
          <w:lang w:eastAsia="uk-UA"/>
        </w:rPr>
        <w:t>202</w:t>
      </w:r>
      <w:r>
        <w:rPr>
          <w:rFonts w:hint="eastAsia" w:ascii="方正仿宋简体" w:hAnsi="黑体" w:eastAsia="方正仿宋简体" w:cs="黑体"/>
          <w:kern w:val="0"/>
          <w:sz w:val="32"/>
          <w:szCs w:val="32"/>
          <w:lang w:val="en-US" w:eastAsia="zh-CN"/>
        </w:rPr>
        <w:t>2</w:t>
      </w:r>
      <w:r>
        <w:rPr>
          <w:rFonts w:hint="eastAsia" w:ascii="方正仿宋简体" w:hAnsi="黑体" w:eastAsia="方正仿宋简体" w:cs="黑体"/>
          <w:kern w:val="0"/>
          <w:sz w:val="32"/>
          <w:szCs w:val="32"/>
          <w:lang w:eastAsia="uk-UA"/>
        </w:rPr>
        <w:t>年我</w:t>
      </w:r>
      <w:r>
        <w:rPr>
          <w:rFonts w:hint="eastAsia" w:ascii="方正仿宋简体" w:hAnsi="黑体" w:eastAsia="方正仿宋简体" w:cs="黑体"/>
          <w:kern w:val="0"/>
          <w:sz w:val="32"/>
          <w:szCs w:val="32"/>
          <w:lang w:val="en-US" w:eastAsia="zh-CN"/>
        </w:rPr>
        <w:t>单位</w:t>
      </w:r>
      <w:r>
        <w:rPr>
          <w:rFonts w:hint="eastAsia" w:ascii="方正仿宋简体" w:hAnsi="黑体" w:eastAsia="方正仿宋简体" w:cs="黑体"/>
          <w:kern w:val="0"/>
          <w:sz w:val="32"/>
          <w:szCs w:val="32"/>
          <w:lang w:eastAsia="uk-UA"/>
        </w:rPr>
        <w:t>“三公”经费预算安排</w:t>
      </w:r>
      <w:r>
        <w:rPr>
          <w:rFonts w:hint="eastAsia" w:ascii="方正仿宋简体" w:hAnsi="黑体" w:eastAsia="方正仿宋简体" w:cs="黑体"/>
          <w:kern w:val="0"/>
          <w:sz w:val="32"/>
          <w:szCs w:val="32"/>
          <w:highlight w:val="none"/>
          <w:lang w:val="en-US" w:eastAsia="zh-CN"/>
        </w:rPr>
        <w:t>0</w:t>
      </w:r>
      <w:r>
        <w:rPr>
          <w:rFonts w:hint="eastAsia" w:ascii="方正仿宋简体" w:hAnsi="黑体" w:eastAsia="方正仿宋简体" w:cs="黑体"/>
          <w:kern w:val="0"/>
          <w:sz w:val="32"/>
          <w:szCs w:val="32"/>
          <w:lang w:eastAsia="uk-UA"/>
        </w:rPr>
        <w:t>万元，</w:t>
      </w:r>
      <w:r>
        <w:rPr>
          <w:rFonts w:hint="eastAsia" w:ascii="方正仿宋简体" w:hAnsi="黑体" w:eastAsia="方正仿宋简体" w:cs="黑体"/>
          <w:kern w:val="0"/>
          <w:sz w:val="32"/>
          <w:szCs w:val="32"/>
          <w:lang w:val="en-US" w:eastAsia="zh-CN"/>
        </w:rPr>
        <w:t>与</w:t>
      </w:r>
      <w:r>
        <w:rPr>
          <w:rFonts w:hint="eastAsia" w:ascii="方正仿宋简体" w:hAnsi="黑体" w:eastAsia="方正仿宋简体" w:cs="黑体"/>
          <w:kern w:val="0"/>
          <w:sz w:val="32"/>
          <w:szCs w:val="32"/>
          <w:lang w:eastAsia="uk-UA"/>
        </w:rPr>
        <w:t>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lang w:eastAsia="uk-UA"/>
        </w:rPr>
        <w:t xml:space="preserve">。具体安排情况为： </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hint="eastAsia" w:ascii="方正仿宋简体" w:hAnsi="黑体" w:eastAsia="方正仿宋简体" w:cs="黑体"/>
          <w:kern w:val="0"/>
          <w:sz w:val="32"/>
          <w:szCs w:val="32"/>
          <w:lang w:eastAsia="uk-UA"/>
        </w:rPr>
      </w:pPr>
      <w:r>
        <w:rPr>
          <w:rFonts w:hint="eastAsia" w:ascii="方正仿宋简体" w:hAnsi="黑体" w:eastAsia="方正仿宋简体" w:cs="黑体"/>
          <w:kern w:val="0"/>
          <w:sz w:val="32"/>
          <w:szCs w:val="32"/>
          <w:lang w:eastAsia="uk-UA"/>
        </w:rPr>
        <w:t>公务用车购置及运行费。共计安排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w:t>
      </w:r>
      <w:r>
        <w:rPr>
          <w:rFonts w:hint="eastAsia" w:ascii="方正仿宋简体" w:hAnsi="黑体" w:eastAsia="方正仿宋简体" w:cs="黑体"/>
          <w:kern w:val="0"/>
          <w:sz w:val="32"/>
          <w:szCs w:val="32"/>
          <w:lang w:val="en-US" w:eastAsia="zh-CN"/>
        </w:rPr>
        <w:t>与</w:t>
      </w:r>
      <w:r>
        <w:rPr>
          <w:rFonts w:hint="eastAsia" w:ascii="方正仿宋简体" w:hAnsi="黑体" w:eastAsia="方正仿宋简体" w:cs="黑体"/>
          <w:kern w:val="0"/>
          <w:sz w:val="32"/>
          <w:szCs w:val="32"/>
          <w:lang w:eastAsia="uk-UA"/>
        </w:rPr>
        <w:t>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lang w:eastAsia="uk-UA"/>
        </w:rPr>
        <w:t>。其中①公务用车购置安排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w:t>
      </w:r>
      <w:r>
        <w:rPr>
          <w:rFonts w:hint="eastAsia" w:ascii="方正仿宋简体" w:hAnsi="黑体" w:eastAsia="方正仿宋简体" w:cs="黑体"/>
          <w:kern w:val="0"/>
          <w:sz w:val="32"/>
          <w:szCs w:val="32"/>
          <w:lang w:val="en-US" w:eastAsia="zh-CN"/>
        </w:rPr>
        <w:t>与</w:t>
      </w:r>
      <w:r>
        <w:rPr>
          <w:rFonts w:hint="eastAsia" w:ascii="方正仿宋简体" w:hAnsi="黑体" w:eastAsia="方正仿宋简体" w:cs="黑体"/>
          <w:kern w:val="0"/>
          <w:sz w:val="32"/>
          <w:szCs w:val="32"/>
          <w:lang w:eastAsia="uk-UA"/>
        </w:rPr>
        <w:t>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lang w:eastAsia="uk-UA"/>
        </w:rPr>
        <w:t>②公车运行维护经费安排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万元，与202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年持平。</w:t>
      </w:r>
      <w:r>
        <w:rPr>
          <w:rFonts w:hint="eastAsia" w:ascii="方正仿宋简体" w:hAnsi="黑体" w:eastAsia="方正仿宋简体" w:cs="黑体"/>
          <w:kern w:val="0"/>
          <w:sz w:val="32"/>
          <w:szCs w:val="32"/>
          <w:lang w:val="en-US" w:eastAsia="zh-CN"/>
        </w:rPr>
        <w:t>原因是无公务用车，未安排公务用车运行维护费。</w:t>
      </w:r>
    </w:p>
    <w:p>
      <w:pPr>
        <w:keepNext w:val="0"/>
        <w:keepLines w:val="0"/>
        <w:pageBreakBefore w:val="0"/>
        <w:widowControl/>
        <w:numPr>
          <w:ilvl w:val="0"/>
          <w:numId w:val="0"/>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仿宋简体" w:hAnsi="黑体" w:eastAsia="方正仿宋简体" w:cs="黑体"/>
          <w:kern w:val="0"/>
          <w:sz w:val="32"/>
          <w:szCs w:val="32"/>
          <w:lang w:eastAsia="uk-UA"/>
        </w:rPr>
      </w:pPr>
      <w:r>
        <w:rPr>
          <w:rFonts w:hint="eastAsia" w:ascii="方正仿宋简体" w:hAnsi="黑体" w:eastAsia="方正仿宋简体" w:cs="黑体"/>
          <w:kern w:val="0"/>
          <w:sz w:val="32"/>
          <w:szCs w:val="32"/>
          <w:lang w:eastAsia="uk-UA"/>
        </w:rPr>
        <w:t>（二）公务接待费。安排</w:t>
      </w:r>
      <w:r>
        <w:rPr>
          <w:rFonts w:hint="eastAsia" w:ascii="方正仿宋简体" w:hAnsi="黑体" w:eastAsia="方正仿宋简体" w:cs="黑体"/>
          <w:kern w:val="0"/>
          <w:sz w:val="32"/>
          <w:szCs w:val="32"/>
          <w:lang w:val="en-US" w:eastAsia="zh-CN"/>
        </w:rPr>
        <w:t>0</w:t>
      </w:r>
      <w:r>
        <w:rPr>
          <w:rFonts w:hint="eastAsia" w:ascii="方正仿宋简体" w:hAnsi="黑体" w:eastAsia="方正仿宋简体" w:cs="黑体"/>
          <w:kern w:val="0"/>
          <w:sz w:val="32"/>
          <w:szCs w:val="32"/>
          <w:lang w:eastAsia="uk-UA"/>
        </w:rPr>
        <w:t>万元，比202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w:t>
      </w:r>
      <w:r>
        <w:rPr>
          <w:rFonts w:hint="eastAsia" w:ascii="方正仿宋简体" w:hAnsi="黑体" w:eastAsia="方正仿宋简体" w:cs="黑体"/>
          <w:kern w:val="0"/>
          <w:sz w:val="32"/>
          <w:szCs w:val="32"/>
          <w:lang w:val="en-US" w:eastAsia="zh-CN"/>
        </w:rPr>
        <w:t>无变化</w:t>
      </w:r>
      <w:r>
        <w:rPr>
          <w:rFonts w:hint="eastAsia" w:ascii="方正仿宋简体" w:hAnsi="黑体" w:eastAsia="方正仿宋简体" w:cs="黑体"/>
          <w:kern w:val="0"/>
          <w:sz w:val="32"/>
          <w:szCs w:val="32"/>
          <w:highlight w:val="none"/>
          <w:lang w:val="en-US" w:eastAsia="zh-CN"/>
        </w:rPr>
        <w:t>，主要是无公务接待工作安排，未安排公务接待费</w:t>
      </w:r>
      <w:r>
        <w:rPr>
          <w:rFonts w:hint="eastAsia" w:ascii="方正仿宋简体" w:hAnsi="黑体" w:eastAsia="方正仿宋简体" w:cs="黑体"/>
          <w:kern w:val="0"/>
          <w:sz w:val="32"/>
          <w:szCs w:val="32"/>
          <w:highlight w:val="none"/>
          <w:lang w:eastAsia="uk-UA"/>
        </w:rPr>
        <w:t>。</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eastAsia="Times New Roman"/>
          <w:kern w:val="0"/>
          <w:sz w:val="24"/>
          <w:highlight w:val="none"/>
          <w:lang w:eastAsia="uk-UA"/>
        </w:rPr>
      </w:pPr>
      <w:r>
        <w:rPr>
          <w:rFonts w:hint="eastAsia" w:ascii="方正仿宋简体" w:hAnsi="黑体" w:eastAsia="方正仿宋简体" w:cs="黑体"/>
          <w:kern w:val="0"/>
          <w:sz w:val="32"/>
          <w:szCs w:val="32"/>
          <w:lang w:eastAsia="uk-UA"/>
        </w:rPr>
        <w:t xml:space="preserve">  </w:t>
      </w:r>
      <w:r>
        <w:rPr>
          <w:rFonts w:hint="eastAsia" w:ascii="方正仿宋简体" w:hAnsi="黑体" w:eastAsia="方正仿宋简体" w:cs="黑体"/>
          <w:kern w:val="0"/>
          <w:sz w:val="32"/>
          <w:szCs w:val="32"/>
          <w:lang w:val="en-US" w:eastAsia="zh-CN"/>
        </w:rPr>
        <w:t xml:space="preserve">  </w:t>
      </w:r>
      <w:r>
        <w:rPr>
          <w:rFonts w:hint="eastAsia" w:ascii="方正仿宋简体" w:hAnsi="黑体" w:eastAsia="方正仿宋简体" w:cs="黑体"/>
          <w:kern w:val="0"/>
          <w:sz w:val="32"/>
          <w:szCs w:val="32"/>
          <w:lang w:eastAsia="uk-UA"/>
        </w:rPr>
        <w:t>（三）因公出国（境）费安排0万元，与202</w:t>
      </w:r>
      <w:r>
        <w:rPr>
          <w:rFonts w:hint="eastAsia" w:ascii="方正仿宋简体" w:hAnsi="黑体" w:eastAsia="方正仿宋简体" w:cs="黑体"/>
          <w:kern w:val="0"/>
          <w:sz w:val="32"/>
          <w:szCs w:val="32"/>
          <w:lang w:val="en-US" w:eastAsia="zh-CN"/>
        </w:rPr>
        <w:t>1</w:t>
      </w:r>
      <w:r>
        <w:rPr>
          <w:rFonts w:hint="eastAsia" w:ascii="方正仿宋简体" w:hAnsi="黑体" w:eastAsia="方正仿宋简体" w:cs="黑体"/>
          <w:kern w:val="0"/>
          <w:sz w:val="32"/>
          <w:szCs w:val="32"/>
          <w:lang w:eastAsia="uk-UA"/>
        </w:rPr>
        <w:t>年持平，无增减变化</w:t>
      </w:r>
      <w:r>
        <w:rPr>
          <w:rFonts w:hint="eastAsia" w:ascii="方正仿宋简体" w:hAnsi="黑体" w:eastAsia="方正仿宋简体" w:cs="黑体"/>
          <w:kern w:val="0"/>
          <w:sz w:val="32"/>
          <w:szCs w:val="32"/>
          <w:lang w:eastAsia="zh-CN"/>
        </w:rPr>
        <w:t>，</w:t>
      </w:r>
      <w:r>
        <w:rPr>
          <w:rFonts w:hint="eastAsia" w:ascii="方正仿宋简体" w:hAnsi="黑体" w:eastAsia="方正仿宋简体" w:cs="黑体"/>
          <w:kern w:val="0"/>
          <w:sz w:val="32"/>
          <w:szCs w:val="32"/>
          <w:highlight w:val="none"/>
          <w:lang w:eastAsia="zh-CN"/>
        </w:rPr>
        <w:t>主要是</w:t>
      </w:r>
      <w:r>
        <w:rPr>
          <w:rFonts w:hint="eastAsia" w:ascii="方正仿宋简体" w:hAnsi="黑体" w:eastAsia="方正仿宋简体" w:cs="黑体"/>
          <w:kern w:val="0"/>
          <w:sz w:val="32"/>
          <w:szCs w:val="32"/>
          <w:highlight w:val="none"/>
          <w:lang w:eastAsia="uk-UA"/>
        </w:rPr>
        <w:t>没有因公出国安排，所以未安排因公出国费。</w:t>
      </w:r>
    </w:p>
    <w:p>
      <w:pPr>
        <w:spacing w:line="560" w:lineRule="exact"/>
        <w:ind w:firstLine="560"/>
        <w:jc w:val="left"/>
        <w:rPr>
          <w:rFonts w:hint="eastAsia" w:ascii="宋体" w:hAnsi="宋体" w:eastAsia="方正黑体简体" w:cs="方正黑体简体"/>
          <w:sz w:val="32"/>
          <w:szCs w:val="32"/>
        </w:rPr>
      </w:pPr>
      <w:r>
        <w:rPr>
          <w:rFonts w:hint="eastAsia" w:ascii="宋体" w:hAnsi="宋体" w:eastAsia="方正黑体简体" w:cs="方正黑体简体"/>
          <w:sz w:val="32"/>
          <w:szCs w:val="32"/>
        </w:rPr>
        <w:t>五、预算绩效信息</w:t>
      </w:r>
      <w:bookmarkEnd w:id="4"/>
    </w:p>
    <w:p>
      <w:pPr>
        <w:spacing w:line="560" w:lineRule="exact"/>
        <w:ind w:firstLine="56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（一）总体绩效目标</w:t>
      </w:r>
    </w:p>
    <w:p>
      <w:pPr>
        <w:spacing w:line="560" w:lineRule="exact"/>
        <w:ind w:firstLine="640" w:firstLineChars="200"/>
        <w:rPr>
          <w:rFonts w:hint="eastAsia" w:ascii="方正仿宋简体" w:hAnsi="Times New Roman" w:eastAsia="方正仿宋简体" w:cs="Times New Roman"/>
          <w:kern w:val="0"/>
          <w:sz w:val="32"/>
          <w:szCs w:val="32"/>
          <w:lang w:val="en-US" w:eastAsia="uk-UA" w:bidi="ar-SA"/>
        </w:rPr>
      </w:pPr>
      <w:r>
        <w:rPr>
          <w:rFonts w:hint="eastAsia" w:ascii="方正仿宋简体" w:hAnsi="Times New Roman" w:eastAsia="方正仿宋简体" w:cs="Times New Roman"/>
          <w:kern w:val="0"/>
          <w:sz w:val="32"/>
          <w:szCs w:val="32"/>
          <w:lang w:val="en-US" w:eastAsia="uk-UA" w:bidi="ar-SA"/>
        </w:rPr>
        <w:t>立足火灾防控主责主业，坚持“两降一升一严防”工作目标和创建全市“消防安全城市”奋斗目标，以各项消防安保为牵动，在立体化火灾防控体系建设、压实消防安全责任、净化消防安全环境、夯实基层基础建设、提升火灾防控能力等方面真抓实干、务求实效，确保社会面火灾防控及防火消防队伍“两个稳定”。</w:t>
      </w:r>
    </w:p>
    <w:p>
      <w:pPr>
        <w:spacing w:line="560" w:lineRule="exact"/>
        <w:ind w:firstLine="56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1、遵化市消防救援大队消防站办公维护运行费项目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绩效目标：消防站办公维护运行费100万元。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绩效指标：保证消防日常办公正常运作；消防站维护运行所需用品的质量及耐用度达到90%；宣传活动完成时间及办公用品采购的及时性达到98%；办公用品是否能满足宣传、日常办公及消防站维护所需达到95%。</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2、遵化市消防救援大队保障消防员安全经费项目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绩效目标：保障消防员安全经费143万元。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绩效指标：保障消防员的养老、医疗及住房公积金等经费；实际支付消防员安全保障经费人数为90人；消防员数量同比征召增长50%；消防员安全经费按月发放落实达100%。</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3、遵化市消防救援大队城北消防站取暖燃料费项目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绩效目标：城北消防站取暖燃料费30万元。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绩效指标：保障城北消防站消防队员的冬季供暖需求；保障城北消防站的库室数量为10个；城南消防站各库室内温度保障率达到95%；消防员冬季取暖得到及时落实情况达到98%。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4、遵化市消防救援大队城南消防站取暖费项目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绩效目标：城南消防站取暖费27.08万元。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绩效指标：为保障城南消防站消防队员供暖需求；保障城南消防站的库室数量为5个；保障消防员冬季取暖得到及时落实情况达到98%；保障城北消防员冬季取暖的正常运行达到98%。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5、遵化市消防救援大队购置城市主战消防车项目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绩效目标：购置城市主战消防车260万元。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绩效指标：减少火灾事故的产生，降低火灾造成的伤害；主战消防车100%达到验收标准；完成主战消防车的购买及时率达到100%；主战消防车设备使用率达到95%。</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6、遵化市消防救援大队现役官兵后勤保障经费项目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绩效目标：现役官兵后勤保障经费25.2万元。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绩效指标：按照13人每人每月1500元的标准发放；保障落实13人现役官兵待遇达到100%；按月发放落实达到100%；节约现役官兵资金成本达到98%。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7、遵化市消防救援大队消防车质保金项目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绩效目标：消防车质保金0.8万元。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绩效指标：完成消防车质保金的支付；车辆验收合格率达到100%；按照合同规定进行车辆质保金的支付；抢险救援消防车的业务保障能力的提升情况达到98%。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8、遵化市消防救援大队消防改革性、奖励性补贴项目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绩效目标：2021和2022年消防救援人员改革性和奖励性补贴。</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实际支付消防救援人员改革性和奖励性补贴经费的人数为13人；合理保障消防救援人员改革性和奖励性经费；消防救援人员改革性和奖励性补贴经费按时发放完成率达到100%；保障消防救援人员改革性和奖励性经费的运行。</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9、遵化市消防救援大队消防员购买服务劳务经费项目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绩效目标：消防员购买服务劳务经费256万元。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绩效指标：消防员的特殊岗位津贴及高危补助等劳务经费；南北站90人工资经费按月发放达到100%；实际支付消防员工资经费的人数为90人；南北站消防员现有数量同比征召增长50%。</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10、遵化市消防救援大队消防员后勤保障经费项目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绩效目标：消防员后勤保障经费100万元。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绩效指标：保障消防站90人伙食费服装费供给；实际支付消防员后勤保障经费人数为90人；消防员后勤保障经费按月发放落实达到100%；节约伙食费、服装费的资金成本达到98%。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11、遵化市消防救援大队消防站车辆维护运行费项目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绩效目标：消防站车辆维护运行费100万元。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绩效指标：保障消防车的日常运行维护；车辆维修后达到的使用效果达到95%；对车辆进行维修的及时率达到95%；车辆维修对于提升业务保障能力达到98%。</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12、遵化市消防救援大队消防站购置战斗服项目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绩效目标：消防站购置战斗服30万元。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绩效指标：保障消防战斗服配备齐全；新增消防战斗服数量为60套；购置质量合格的数量占95%以上；提高战斗服使用效率达到95%。</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13、遵化市消防救援大队消防站抢险救援器材项目</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绩效目标：消防站抢险救援器材30万元。</w:t>
      </w:r>
    </w:p>
    <w:p>
      <w:pPr>
        <w:spacing w:line="560" w:lineRule="exact"/>
        <w:ind w:firstLine="640" w:firstLineChars="200"/>
        <w:rPr>
          <w:rFonts w:hint="eastAsia" w:ascii="宋体" w:hAnsi="宋体" w:eastAsia="方正仿宋简体" w:cs="黑体"/>
          <w:sz w:val="32"/>
          <w:szCs w:val="32"/>
          <w:lang w:val="en-US" w:eastAsia="zh-CN"/>
        </w:rPr>
      </w:pPr>
      <w:r>
        <w:rPr>
          <w:rFonts w:hint="eastAsia" w:ascii="宋体" w:hAnsi="宋体" w:eastAsia="方正仿宋简体" w:cs="黑体"/>
          <w:sz w:val="32"/>
          <w:szCs w:val="32"/>
          <w:lang w:val="en-US" w:eastAsia="zh-CN"/>
        </w:rPr>
        <w:t>绩效指标：保障抢险救援器材的配备齐全；新增消防站抢险救援器材数量达到80台；购置质量合格的数量占95%以上；购置消防站抢险救援器材对业务保障能力的提升情况达到98%。</w:t>
      </w:r>
    </w:p>
    <w:p>
      <w:pPr>
        <w:spacing w:line="560" w:lineRule="exact"/>
        <w:ind w:firstLine="560"/>
        <w:jc w:val="left"/>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val="en-US" w:eastAsia="zh-CN"/>
        </w:rPr>
      </w:pPr>
      <w:r>
        <w:rPr>
          <w:rFonts w:hint="eastAsia" w:ascii="宋体" w:hAnsi="宋体" w:eastAsia="方正仿宋简体" w:cs="Times New Roman"/>
          <w:color w:val="000000"/>
          <w:kern w:val="0"/>
          <w:sz w:val="32"/>
          <w:szCs w:val="32"/>
          <w:lang w:val="en-US" w:eastAsia="zh-CN"/>
        </w:rPr>
        <w:t>1、完善绩效管理制度建设。为加快建成全方位、全过程、全覆盖的预算绩效管理体系，规范本级的预算绩效管理行为，根据相关文件规定，我单位制定了《遵化市消防救援大队全面实施预算绩效管理推进工作方案》（遵消字[2019]7号），为实现全年预算绩效目标奠定了坚实的制度基础。</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eastAsia="zh-CN"/>
        </w:rPr>
      </w:pPr>
      <w:r>
        <w:rPr>
          <w:rFonts w:hint="eastAsia" w:ascii="宋体" w:hAnsi="宋体" w:eastAsia="方正仿宋简体" w:cs="Times New Roman"/>
          <w:color w:val="000000"/>
          <w:kern w:val="0"/>
          <w:sz w:val="32"/>
          <w:szCs w:val="32"/>
          <w:lang w:val="en-US" w:eastAsia="zh-CN"/>
        </w:rPr>
        <w:t>2、加强财务支出管理。</w:t>
      </w:r>
      <w:r>
        <w:rPr>
          <w:rFonts w:hint="eastAsia" w:ascii="宋体" w:hAnsi="宋体" w:eastAsia="方正仿宋简体" w:cs="Times New Roman"/>
          <w:color w:val="000000"/>
          <w:kern w:val="0"/>
          <w:sz w:val="32"/>
          <w:szCs w:val="32"/>
          <w:lang w:eastAsia="zh-CN"/>
        </w:rPr>
        <w:t>不断加强收支业务管理，规范收支业务行为，通过优化支出结构、编细编实预算、加快履行政府采购手续、尽快启动项目、及时支付资金、按规定及时下达资金等多种措施，确保我单位支出进度达标。</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val="en-US" w:eastAsia="zh-CN"/>
        </w:rPr>
      </w:pPr>
      <w:r>
        <w:rPr>
          <w:rFonts w:hint="eastAsia" w:ascii="宋体" w:hAnsi="宋体" w:eastAsia="方正仿宋简体" w:cs="Times New Roman"/>
          <w:color w:val="000000"/>
          <w:kern w:val="0"/>
          <w:sz w:val="32"/>
          <w:szCs w:val="32"/>
          <w:lang w:val="en-US" w:eastAsia="zh-CN"/>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eastAsia="zh-CN"/>
        </w:rPr>
      </w:pPr>
      <w:r>
        <w:rPr>
          <w:rFonts w:hint="eastAsia" w:ascii="宋体" w:hAnsi="宋体" w:eastAsia="方正仿宋简体" w:cs="Times New Roman"/>
          <w:color w:val="000000"/>
          <w:kern w:val="0"/>
          <w:sz w:val="32"/>
          <w:szCs w:val="32"/>
          <w:lang w:val="en-US" w:eastAsia="zh-CN"/>
        </w:rPr>
        <w:t>4、做好绩效自评工作。</w:t>
      </w:r>
      <w:r>
        <w:rPr>
          <w:rFonts w:hint="eastAsia" w:ascii="宋体" w:hAnsi="宋体" w:eastAsia="方正仿宋简体" w:cs="Times New Roman"/>
          <w:color w:val="000000"/>
          <w:kern w:val="0"/>
          <w:sz w:val="32"/>
          <w:szCs w:val="32"/>
          <w:lang w:eastAsia="zh-CN"/>
        </w:rPr>
        <w:t>按相关要求，运用科学合理的绩效评价指标、标准和方法开展上年度本级预算绩效自评和重点评价工作，对预算资金的经济性、效率性、效益性以及公平性等进行客观、公正的评价。对评价中发现的问题及时整改，调整优化支出结构，提高财政资金使用效益。</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eastAsia="zh-CN"/>
        </w:rPr>
      </w:pPr>
      <w:r>
        <w:rPr>
          <w:rFonts w:hint="eastAsia" w:ascii="宋体" w:hAnsi="宋体" w:eastAsia="方正仿宋简体" w:cs="Times New Roman"/>
          <w:color w:val="000000"/>
          <w:kern w:val="0"/>
          <w:sz w:val="32"/>
          <w:szCs w:val="32"/>
          <w:lang w:val="en-US" w:eastAsia="zh-CN"/>
        </w:rPr>
        <w:t>5、规范财务资产管理。</w:t>
      </w:r>
      <w:r>
        <w:rPr>
          <w:rFonts w:hint="eastAsia" w:ascii="宋体" w:hAnsi="宋体" w:eastAsia="方正仿宋简体" w:cs="Times New Roman"/>
          <w:color w:val="000000"/>
          <w:kern w:val="0"/>
          <w:sz w:val="32"/>
          <w:szCs w:val="32"/>
          <w:lang w:eastAsia="zh-CN"/>
        </w:rPr>
        <w:t>完善财务管理制度，严格审批程序，加强固定资产登记、使用和报废处置管理，做到支出合理，物尽其用。</w:t>
      </w:r>
    </w:p>
    <w:p>
      <w:pPr>
        <w:pStyle w:val="24"/>
        <w:widowControl/>
        <w:spacing w:before="0" w:after="0" w:line="560" w:lineRule="exact"/>
        <w:jc w:val="both"/>
        <w:outlineLvl w:val="9"/>
        <w:rPr>
          <w:rFonts w:hint="eastAsia" w:ascii="宋体" w:hAnsi="宋体" w:eastAsia="方正仿宋简体" w:cs="Times New Roman"/>
          <w:color w:val="000000"/>
          <w:kern w:val="0"/>
          <w:sz w:val="32"/>
          <w:szCs w:val="32"/>
          <w:lang w:eastAsia="zh-CN"/>
        </w:rPr>
      </w:pPr>
      <w:r>
        <w:rPr>
          <w:rFonts w:hint="eastAsia" w:ascii="宋体" w:hAnsi="宋体" w:eastAsia="方正仿宋简体" w:cs="Times New Roman"/>
          <w:color w:val="000000"/>
          <w:kern w:val="0"/>
          <w:sz w:val="32"/>
          <w:szCs w:val="32"/>
          <w:lang w:val="en-US" w:eastAsia="zh-CN"/>
        </w:rPr>
        <w:t>6、加强内部监督。</w:t>
      </w:r>
      <w:r>
        <w:rPr>
          <w:rFonts w:hint="eastAsia" w:ascii="宋体" w:hAnsi="宋体" w:eastAsia="方正仿宋简体" w:cs="Times New Roman"/>
          <w:color w:val="000000"/>
          <w:kern w:val="0"/>
          <w:sz w:val="32"/>
          <w:szCs w:val="32"/>
          <w:lang w:eastAsia="zh-CN"/>
        </w:rPr>
        <w:t>不断加强内部监督制度建设，对绩效运行情况、重大支出决策、资产处置及其他重要经济业务事项的决策和执行进行督导，配合做好审计、财政监督等外部监督工作，确保财政资金安全有效。</w:t>
      </w:r>
    </w:p>
    <w:p>
      <w:pPr>
        <w:pStyle w:val="24"/>
        <w:widowControl/>
        <w:spacing w:before="0" w:after="0" w:line="560" w:lineRule="exact"/>
        <w:jc w:val="both"/>
        <w:outlineLvl w:val="9"/>
        <w:rPr>
          <w:rFonts w:hint="eastAsia" w:ascii="方正仿宋简体" w:hAnsi="方正仿宋简体" w:eastAsia="方正仿宋简体" w:cs="方正仿宋简体"/>
          <w:sz w:val="32"/>
          <w:szCs w:val="32"/>
        </w:rPr>
      </w:pPr>
      <w:r>
        <w:rPr>
          <w:rFonts w:hint="eastAsia" w:ascii="宋体" w:hAnsi="宋体" w:eastAsia="方正仿宋简体" w:cs="Times New Roman"/>
          <w:color w:val="000000"/>
          <w:kern w:val="0"/>
          <w:sz w:val="32"/>
          <w:szCs w:val="32"/>
          <w:lang w:val="en-US" w:eastAsia="zh-CN"/>
        </w:rPr>
        <w:t>7、加强宣传培训调研。</w:t>
      </w:r>
      <w:r>
        <w:rPr>
          <w:rFonts w:hint="eastAsia" w:ascii="宋体" w:hAnsi="宋体" w:eastAsia="方正仿宋简体" w:cs="Times New Roman"/>
          <w:color w:val="000000"/>
          <w:kern w:val="0"/>
          <w:sz w:val="32"/>
          <w:szCs w:val="32"/>
          <w:lang w:eastAsia="zh-CN"/>
        </w:rPr>
        <w:t>加强人员培训，积极参加财政组织的绩效培训会，提高本级职工业务素质；加强调研，提出优化财政资金配置、提高资金使用效益的意见和建议；加大宣传力度，强化预算绩效管理意识，促进预算绩效管理水平进一步提升。</w:t>
      </w:r>
    </w:p>
    <w:p>
      <w:pPr>
        <w:spacing w:line="62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预算项目绩效目标</w:t>
      </w:r>
    </w:p>
    <w:p>
      <w:pPr>
        <w:outlineLvl w:val="3"/>
        <w:rPr>
          <w:rFonts w:hint="eastAsia" w:ascii="方正仿宋简体" w:hAnsi="方正仿宋简体" w:eastAsia="方正仿宋简体" w:cs="方正仿宋简体"/>
          <w:color w:val="000000"/>
          <w:sz w:val="28"/>
          <w:lang w:val="en-US" w:eastAsia="zh-CN"/>
        </w:rPr>
      </w:pPr>
      <w:bookmarkStart w:id="5" w:name="_Toc_4_4_0000000004"/>
      <w:bookmarkStart w:id="6" w:name="_Toc68791550"/>
      <w:r>
        <w:rPr>
          <w:rFonts w:hint="eastAsia" w:ascii="方正仿宋简体" w:hAnsi="方正仿宋简体" w:eastAsia="方正仿宋简体" w:cs="方正仿宋简体"/>
          <w:color w:val="000000"/>
          <w:sz w:val="28"/>
          <w:lang w:val="en-US" w:eastAsia="zh-CN"/>
        </w:rPr>
        <w:t>1、消防站办公维护运行费绩效目标表</w:t>
      </w:r>
      <w:bookmarkEnd w:id="5"/>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04"/>
        <w:gridCol w:w="3747"/>
        <w:gridCol w:w="2166"/>
        <w:gridCol w:w="2108"/>
        <w:gridCol w:w="951"/>
        <w:gridCol w:w="1104"/>
        <w:gridCol w:w="12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548" w:type="pct"/>
            <w:gridSpan w:val="6"/>
            <w:tcBorders>
              <w:top w:val="single" w:color="FFFFFF" w:sz="6" w:space="0"/>
              <w:left w:val="single" w:color="FFFFFF" w:sz="6" w:space="0"/>
              <w:right w:val="single" w:color="FFFFFF" w:sz="6" w:space="0"/>
            </w:tcBorders>
            <w:noWrap w:val="0"/>
            <w:vAlign w:val="center"/>
          </w:tcPr>
          <w:p>
            <w:pPr>
              <w:pStyle w:val="17"/>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451" w:type="pct"/>
            <w:tcBorders>
              <w:top w:val="single" w:color="FFFFFF" w:sz="6" w:space="0"/>
              <w:left w:val="single" w:color="FFFFFF" w:sz="6" w:space="0"/>
              <w:right w:val="single" w:color="FFFFFF" w:sz="6" w:space="0"/>
            </w:tcBorders>
            <w:noWrap w:val="0"/>
            <w:vAlign w:val="center"/>
          </w:tcPr>
          <w:p>
            <w:pPr>
              <w:pStyle w:val="18"/>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noWrap w:val="0"/>
            <w:vAlign w:val="center"/>
          </w:tcPr>
          <w:p>
            <w:pPr>
              <w:pStyle w:val="19"/>
            </w:pPr>
            <w:r>
              <w:rPr>
                <w:rFonts w:hint="eastAsia" w:ascii="方正仿宋简体" w:hAnsi="方正仿宋简体" w:eastAsia="方正仿宋简体" w:cs="方正仿宋简体"/>
              </w:rPr>
              <w:t>项目编码</w:t>
            </w:r>
          </w:p>
        </w:tc>
        <w:tc>
          <w:tcPr>
            <w:tcW w:w="2121" w:type="pct"/>
            <w:gridSpan w:val="2"/>
            <w:noWrap w:val="0"/>
            <w:vAlign w:val="center"/>
          </w:tcPr>
          <w:p>
            <w:pPr>
              <w:pStyle w:val="20"/>
            </w:pPr>
            <w:r>
              <w:rPr>
                <w:rFonts w:hint="eastAsia" w:ascii="方正仿宋简体" w:hAnsi="方正仿宋简体" w:eastAsia="方正仿宋简体" w:cs="方正仿宋简体"/>
              </w:rPr>
              <w:t>13028122P00296710001Q</w:t>
            </w:r>
          </w:p>
        </w:tc>
        <w:tc>
          <w:tcPr>
            <w:tcW w:w="756" w:type="pct"/>
            <w:noWrap w:val="0"/>
            <w:vAlign w:val="center"/>
          </w:tcPr>
          <w:p>
            <w:pPr>
              <w:pStyle w:val="19"/>
            </w:pPr>
            <w:r>
              <w:rPr>
                <w:rFonts w:hint="eastAsia" w:ascii="方正仿宋简体" w:hAnsi="方正仿宋简体" w:eastAsia="方正仿宋简体" w:cs="方正仿宋简体"/>
              </w:rPr>
              <w:t>项目名称</w:t>
            </w:r>
          </w:p>
        </w:tc>
        <w:tc>
          <w:tcPr>
            <w:tcW w:w="1186" w:type="pct"/>
            <w:gridSpan w:val="3"/>
            <w:noWrap w:val="0"/>
            <w:vAlign w:val="center"/>
          </w:tcPr>
          <w:p>
            <w:pPr>
              <w:pStyle w:val="20"/>
            </w:pPr>
            <w:r>
              <w:rPr>
                <w:rFonts w:hint="eastAsia" w:ascii="方正仿宋简体" w:hAnsi="方正仿宋简体" w:eastAsia="方正仿宋简体" w:cs="方正仿宋简体"/>
              </w:rPr>
              <w:t>消防站办公维护运行费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restart"/>
            <w:noWrap w:val="0"/>
            <w:vAlign w:val="center"/>
          </w:tcPr>
          <w:p>
            <w:pPr>
              <w:pStyle w:val="19"/>
            </w:pPr>
            <w:r>
              <w:rPr>
                <w:rFonts w:hint="eastAsia" w:ascii="方正仿宋简体" w:hAnsi="方正仿宋简体" w:eastAsia="方正仿宋简体" w:cs="方正仿宋简体"/>
              </w:rPr>
              <w:t>预算规模及资金用途</w:t>
            </w:r>
          </w:p>
        </w:tc>
        <w:tc>
          <w:tcPr>
            <w:tcW w:w="1344" w:type="pct"/>
            <w:noWrap w:val="0"/>
            <w:vAlign w:val="center"/>
          </w:tcPr>
          <w:p>
            <w:pPr>
              <w:pStyle w:val="19"/>
            </w:pPr>
            <w:r>
              <w:rPr>
                <w:rFonts w:hint="eastAsia" w:ascii="方正仿宋简体" w:hAnsi="方正仿宋简体" w:eastAsia="方正仿宋简体" w:cs="方正仿宋简体"/>
              </w:rPr>
              <w:t>预算数</w:t>
            </w:r>
          </w:p>
        </w:tc>
        <w:tc>
          <w:tcPr>
            <w:tcW w:w="777" w:type="pct"/>
            <w:noWrap w:val="0"/>
            <w:vAlign w:val="center"/>
          </w:tcPr>
          <w:p>
            <w:pPr>
              <w:pStyle w:val="20"/>
            </w:pPr>
            <w:r>
              <w:rPr>
                <w:rFonts w:hint="eastAsia" w:ascii="方正仿宋简体" w:hAnsi="方正仿宋简体" w:eastAsia="方正仿宋简体" w:cs="方正仿宋简体"/>
              </w:rPr>
              <w:t>100.00</w:t>
            </w:r>
          </w:p>
        </w:tc>
        <w:tc>
          <w:tcPr>
            <w:tcW w:w="756" w:type="pct"/>
            <w:noWrap w:val="0"/>
            <w:vAlign w:val="center"/>
          </w:tcPr>
          <w:p>
            <w:pPr>
              <w:pStyle w:val="19"/>
            </w:pPr>
            <w:r>
              <w:rPr>
                <w:rFonts w:hint="eastAsia" w:ascii="方正仿宋简体" w:hAnsi="方正仿宋简体" w:eastAsia="方正仿宋简体" w:cs="方正仿宋简体"/>
              </w:rPr>
              <w:t>其中：财政资金</w:t>
            </w:r>
          </w:p>
        </w:tc>
        <w:tc>
          <w:tcPr>
            <w:tcW w:w="341" w:type="pct"/>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100.00</w:t>
            </w:r>
          </w:p>
        </w:tc>
        <w:tc>
          <w:tcPr>
            <w:tcW w:w="393" w:type="pct"/>
            <w:noWrap w:val="0"/>
            <w:vAlign w:val="center"/>
          </w:tcPr>
          <w:p>
            <w:pPr>
              <w:pStyle w:val="19"/>
            </w:pPr>
            <w:r>
              <w:rPr>
                <w:rFonts w:hint="eastAsia" w:ascii="方正仿宋简体" w:hAnsi="方正仿宋简体" w:eastAsia="方正仿宋简体" w:cs="方正仿宋简体"/>
              </w:rPr>
              <w:t>其他资金</w:t>
            </w:r>
          </w:p>
        </w:tc>
        <w:tc>
          <w:tcPr>
            <w:tcW w:w="451" w:type="pct"/>
            <w:noWrap w:val="0"/>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continue"/>
            <w:noWrap w:val="0"/>
            <w:vAlign w:val="top"/>
          </w:tcPr>
          <w:p/>
        </w:tc>
        <w:tc>
          <w:tcPr>
            <w:tcW w:w="4065" w:type="pct"/>
            <w:gridSpan w:val="6"/>
            <w:noWrap w:val="0"/>
            <w:vAlign w:val="center"/>
          </w:tcPr>
          <w:p>
            <w:pPr>
              <w:pStyle w:val="20"/>
            </w:pPr>
            <w:r>
              <w:rPr>
                <w:rFonts w:hint="eastAsia" w:ascii="方正仿宋简体" w:hAnsi="方正仿宋简体" w:eastAsia="方正仿宋简体" w:cs="方正仿宋简体"/>
              </w:rPr>
              <w:t>预算数100万元.其中:财政资金100万元,其他资金0万元。主要用于消防宣传、办公、消防站维护运行等。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restart"/>
            <w:noWrap w:val="0"/>
            <w:vAlign w:val="center"/>
          </w:tcPr>
          <w:p>
            <w:pPr>
              <w:pStyle w:val="19"/>
            </w:pPr>
            <w:r>
              <w:rPr>
                <w:rFonts w:hint="eastAsia" w:ascii="方正仿宋简体" w:hAnsi="方正仿宋简体" w:eastAsia="方正仿宋简体" w:cs="方正仿宋简体"/>
              </w:rPr>
              <w:t>资金支出计划（%）</w:t>
            </w:r>
          </w:p>
        </w:tc>
        <w:tc>
          <w:tcPr>
            <w:tcW w:w="2121" w:type="pct"/>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756"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341" w:type="pct"/>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845" w:type="pct"/>
            <w:gridSpan w:val="2"/>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vMerge w:val="continue"/>
            <w:noWrap w:val="0"/>
            <w:vAlign w:val="top"/>
          </w:tcPr>
          <w:p/>
        </w:tc>
        <w:tc>
          <w:tcPr>
            <w:tcW w:w="2121" w:type="pct"/>
            <w:gridSpan w:val="2"/>
            <w:noWrap w:val="0"/>
            <w:vAlign w:val="center"/>
          </w:tcPr>
          <w:p>
            <w:pPr>
              <w:pStyle w:val="21"/>
              <w:rPr>
                <w:rFonts w:hint="eastAsia" w:ascii="方正仿宋简体" w:hAnsi="方正仿宋简体" w:eastAsia="方正仿宋简体" w:cs="方正仿宋简体"/>
                <w:kern w:val="2"/>
                <w:sz w:val="21"/>
                <w:szCs w:val="22"/>
                <w:lang w:val="en-US" w:eastAsia="zh-CN" w:bidi="ar-SA"/>
              </w:rPr>
            </w:pPr>
            <w:r>
              <w:rPr>
                <w:rFonts w:hint="eastAsia" w:ascii="方正仿宋简体" w:hAnsi="方正仿宋简体" w:eastAsia="方正仿宋简体" w:cs="方正仿宋简体"/>
                <w:kern w:val="2"/>
                <w:sz w:val="21"/>
                <w:szCs w:val="22"/>
                <w:lang w:val="en-US" w:eastAsia="zh-CN" w:bidi="ar-SA"/>
              </w:rPr>
              <w:t>30%</w:t>
            </w:r>
          </w:p>
        </w:tc>
        <w:tc>
          <w:tcPr>
            <w:tcW w:w="756" w:type="pct"/>
            <w:noWrap w:val="0"/>
            <w:vAlign w:val="center"/>
          </w:tcPr>
          <w:p>
            <w:pPr>
              <w:pStyle w:val="21"/>
              <w:rPr>
                <w:rFonts w:hint="eastAsia" w:ascii="方正仿宋简体" w:hAnsi="方正仿宋简体" w:eastAsia="方正仿宋简体" w:cs="方正仿宋简体"/>
                <w:kern w:val="2"/>
                <w:sz w:val="21"/>
                <w:szCs w:val="22"/>
                <w:lang w:val="en-US" w:eastAsia="zh-CN" w:bidi="ar-SA"/>
              </w:rPr>
            </w:pPr>
            <w:r>
              <w:rPr>
                <w:rFonts w:hint="eastAsia" w:ascii="方正仿宋简体" w:hAnsi="方正仿宋简体" w:eastAsia="方正仿宋简体" w:cs="方正仿宋简体"/>
                <w:kern w:val="2"/>
                <w:sz w:val="21"/>
                <w:szCs w:val="22"/>
                <w:lang w:val="en-US" w:eastAsia="zh-CN" w:bidi="ar-SA"/>
              </w:rPr>
              <w:t>60%</w:t>
            </w:r>
          </w:p>
        </w:tc>
        <w:tc>
          <w:tcPr>
            <w:tcW w:w="341" w:type="pct"/>
            <w:noWrap w:val="0"/>
            <w:vAlign w:val="center"/>
          </w:tcPr>
          <w:p>
            <w:pPr>
              <w:pStyle w:val="21"/>
              <w:rPr>
                <w:rFonts w:hint="eastAsia" w:ascii="方正仿宋简体" w:hAnsi="方正仿宋简体" w:eastAsia="方正仿宋简体" w:cs="方正仿宋简体"/>
                <w:kern w:val="2"/>
                <w:sz w:val="21"/>
                <w:szCs w:val="22"/>
                <w:lang w:val="en-US" w:eastAsia="zh-CN" w:bidi="ar-SA"/>
              </w:rPr>
            </w:pPr>
            <w:r>
              <w:rPr>
                <w:rFonts w:hint="eastAsia" w:ascii="方正仿宋简体" w:hAnsi="方正仿宋简体" w:eastAsia="方正仿宋简体" w:cs="方正仿宋简体"/>
                <w:kern w:val="2"/>
                <w:sz w:val="21"/>
                <w:szCs w:val="22"/>
                <w:lang w:val="en-US" w:eastAsia="zh-CN" w:bidi="ar-SA"/>
              </w:rPr>
              <w:t>90%</w:t>
            </w:r>
          </w:p>
        </w:tc>
        <w:tc>
          <w:tcPr>
            <w:tcW w:w="845" w:type="pct"/>
            <w:gridSpan w:val="2"/>
            <w:noWrap w:val="0"/>
            <w:vAlign w:val="center"/>
          </w:tcPr>
          <w:p>
            <w:pPr>
              <w:pStyle w:val="21"/>
              <w:rPr>
                <w:rFonts w:hint="eastAsia" w:ascii="方正仿宋简体" w:hAnsi="方正仿宋简体" w:eastAsia="方正仿宋简体" w:cs="方正仿宋简体"/>
                <w:kern w:val="2"/>
                <w:sz w:val="21"/>
                <w:szCs w:val="22"/>
                <w:lang w:val="en-US" w:eastAsia="zh-CN" w:bidi="ar-SA"/>
              </w:rPr>
            </w:pPr>
            <w:r>
              <w:rPr>
                <w:rFonts w:hint="eastAsia" w:ascii="方正仿宋简体" w:hAnsi="方正仿宋简体" w:eastAsia="方正仿宋简体" w:cs="方正仿宋简体"/>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4" w:type="pct"/>
            <w:noWrap w:val="0"/>
            <w:vAlign w:val="center"/>
          </w:tcPr>
          <w:p>
            <w:pPr>
              <w:pStyle w:val="19"/>
            </w:pPr>
            <w:r>
              <w:rPr>
                <w:rFonts w:hint="eastAsia" w:ascii="方正仿宋简体" w:hAnsi="方正仿宋简体" w:eastAsia="方正仿宋简体" w:cs="方正仿宋简体"/>
              </w:rPr>
              <w:t>绩效目标</w:t>
            </w:r>
          </w:p>
        </w:tc>
        <w:tc>
          <w:tcPr>
            <w:tcW w:w="4065" w:type="pct"/>
            <w:gridSpan w:val="6"/>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1.购买日常办公用品，保证消防日常办公正常运作，保障消防后勤工作有序进行。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01"/>
        <w:gridCol w:w="1186"/>
        <w:gridCol w:w="2332"/>
        <w:gridCol w:w="3163"/>
        <w:gridCol w:w="2755"/>
        <w:gridCol w:w="3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0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18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332"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3163"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2755"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101"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restart"/>
            <w:noWrap w:val="0"/>
            <w:vAlign w:val="center"/>
          </w:tcPr>
          <w:p>
            <w:pPr>
              <w:pStyle w:val="21"/>
            </w:pPr>
            <w:r>
              <w:rPr>
                <w:rFonts w:hint="eastAsia" w:ascii="方正仿宋简体" w:hAnsi="方正仿宋简体" w:eastAsia="方正仿宋简体" w:cs="方正仿宋简体"/>
                <w:kern w:val="2"/>
                <w:sz w:val="21"/>
                <w:szCs w:val="22"/>
                <w:lang w:val="en-US" w:eastAsia="zh-CN" w:bidi="ar-SA"/>
              </w:rPr>
              <w:t>产出指标</w:t>
            </w: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消防宣传覆盖率（%）</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通过调查，清楚了解消防日常火灾知识的群众数量占比</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≥95%,提高消费宣传覆盖率</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质量指标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日常办公用品耐用度</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消防站维护运行所需用品的耐用度</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≥90%,消防站维护运行所需用品的质量及耐用度</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时效指标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各项工作完成及时率</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宣传活动完成时间及办公用品采购的及时性</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≥98%,宣传活动完成时间及办公用品采购的及时性</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成本指标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办公费运行费的资金成本</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办公维护运行及宣传所需的资金成本</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≥98%,购买办公用品等要节约资金成本</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restart"/>
            <w:noWrap w:val="0"/>
            <w:vAlign w:val="center"/>
          </w:tcPr>
          <w:p>
            <w:pPr>
              <w:pStyle w:val="21"/>
            </w:pPr>
            <w:r>
              <w:rPr>
                <w:rFonts w:hint="eastAsia" w:ascii="方正仿宋简体" w:hAnsi="方正仿宋简体" w:eastAsia="方正仿宋简体" w:cs="方正仿宋简体"/>
                <w:kern w:val="2"/>
                <w:sz w:val="21"/>
                <w:szCs w:val="22"/>
                <w:lang w:val="en-US" w:eastAsia="zh-CN" w:bidi="ar-SA"/>
              </w:rPr>
              <w:t>效益指标</w:t>
            </w: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可持续影响指标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长期使用性</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消防站维护运行所需用品是否具有长期使用性。</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≥95%,消防办公用品等是否具有长期使用性。</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经济效益指标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办公维护资金经济合理性</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消防办公、宣传及消防站维护运行所需资金达到的经济合理性</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≥98%,消防站维护运行所需用品满足经济效益指标</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社会效益指标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办公用品的需求程度</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办公用品是否能满足宣传、日常办公及消防站维护所需。</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≥95%,办公用品是否能满足宣传、日常办公及消防站维护所需。</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vMerge w:val="continue"/>
            <w:noWrap w:val="0"/>
            <w:vAlign w:val="center"/>
          </w:tcP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生态效益意识增强</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提高办公、宣传及消防站维护运行采购的生态要求</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≥98%,消防站维护运行所需用品满足生态效益指标</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01" w:type="dxa"/>
            <w:noWrap w:val="0"/>
            <w:vAlign w:val="center"/>
          </w:tcPr>
          <w:p>
            <w:pPr>
              <w:pStyle w:val="21"/>
            </w:pPr>
            <w:r>
              <w:rPr>
                <w:rFonts w:hint="eastAsia" w:ascii="方正仿宋简体" w:hAnsi="方正仿宋简体" w:eastAsia="方正仿宋简体" w:cs="方正仿宋简体"/>
                <w:kern w:val="2"/>
                <w:sz w:val="21"/>
                <w:szCs w:val="22"/>
                <w:lang w:val="en-US" w:eastAsia="zh-CN" w:bidi="ar-SA"/>
              </w:rPr>
              <w:t>满意度指标</w:t>
            </w:r>
          </w:p>
        </w:tc>
        <w:tc>
          <w:tcPr>
            <w:tcW w:w="1186"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服务对象满意度指标</w:t>
            </w:r>
          </w:p>
        </w:tc>
        <w:tc>
          <w:tcPr>
            <w:tcW w:w="2332"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消防员满意度</w:t>
            </w:r>
          </w:p>
        </w:tc>
        <w:tc>
          <w:tcPr>
            <w:tcW w:w="3163"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消防员消防站维护运行所需用品的满意情况</w:t>
            </w:r>
          </w:p>
        </w:tc>
        <w:tc>
          <w:tcPr>
            <w:tcW w:w="2755"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≥98%,消防员对消防办公所需用品的满意情况</w:t>
            </w:r>
          </w:p>
        </w:tc>
        <w:tc>
          <w:tcPr>
            <w:tcW w:w="3101" w:type="dxa"/>
            <w:noWrap w:val="0"/>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《河北省财政厅关于转发财政部《地方经费管理办法》的通知》</w:t>
            </w:r>
          </w:p>
        </w:tc>
      </w:tr>
    </w:tbl>
    <w:p>
      <w:pPr>
        <w:ind w:firstLine="640" w:firstLineChars="200"/>
        <w:rPr>
          <w:rFonts w:hint="eastAsia" w:ascii="方正仿宋简体" w:hAnsi="方正仿宋简体" w:eastAsia="方正仿宋简体" w:cs="方正仿宋简体"/>
          <w:bCs/>
          <w:color w:val="000000"/>
          <w:sz w:val="32"/>
          <w:szCs w:val="32"/>
        </w:rPr>
      </w:pPr>
      <w:bookmarkStart w:id="7" w:name="_Toc_4_4_0000000005"/>
    </w:p>
    <w:p>
      <w:pPr>
        <w:rPr>
          <w:rFonts w:hint="eastAsia" w:ascii="方正仿宋简体" w:hAnsi="方正仿宋简体" w:eastAsia="方正仿宋简体" w:cs="方正仿宋简体"/>
          <w:bCs/>
          <w:color w:val="000000"/>
          <w:sz w:val="32"/>
          <w:szCs w:val="32"/>
        </w:rPr>
      </w:pPr>
    </w:p>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outlineLvl w:val="3"/>
        <w:rPr>
          <w:rFonts w:hint="eastAsia" w:ascii="方正仿宋简体" w:hAnsi="方正仿宋简体" w:eastAsia="方正仿宋简体" w:cs="方正仿宋简体"/>
          <w:b/>
          <w:bCs/>
          <w:color w:val="0000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outlineLvl w:val="3"/>
        <w:rPr>
          <w:rFonts w:hint="eastAsia" w:ascii="方正仿宋简体" w:hAnsi="方正仿宋简体" w:eastAsia="方正仿宋简体" w:cs="方正仿宋简体"/>
          <w:b/>
          <w:bCs/>
          <w:color w:val="000000"/>
          <w:kern w:val="2"/>
          <w:sz w:val="32"/>
          <w:szCs w:val="32"/>
          <w:lang w:val="en-US" w:eastAsia="zh-CN" w:bidi="ar-SA"/>
        </w:rPr>
      </w:pP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2、保障消防员安全经费绩效目标表</w:t>
      </w:r>
      <w:bookmarkEnd w:id="7"/>
    </w:p>
    <w:tbl>
      <w:tblPr>
        <w:tblStyle w:val="9"/>
        <w:tblW w:w="1394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50"/>
        <w:gridCol w:w="2431"/>
        <w:gridCol w:w="1735"/>
        <w:gridCol w:w="2998"/>
        <w:gridCol w:w="1431"/>
        <w:gridCol w:w="1518"/>
        <w:gridCol w:w="12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2663" w:type="dxa"/>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1282" w:type="dxa"/>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0"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4166" w:type="dxa"/>
            <w:gridSpan w:val="2"/>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13028122P00K72R100022</w:t>
            </w:r>
          </w:p>
        </w:tc>
        <w:tc>
          <w:tcPr>
            <w:tcW w:w="2998"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4231" w:type="dxa"/>
            <w:gridSpan w:val="3"/>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保障消防员安全经费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50" w:type="dxa"/>
            <w:vMerge w:val="restart"/>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2431"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1735" w:type="dxa"/>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143.00</w:t>
            </w:r>
          </w:p>
        </w:tc>
        <w:tc>
          <w:tcPr>
            <w:tcW w:w="2998"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1431" w:type="dxa"/>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143.00</w:t>
            </w:r>
          </w:p>
        </w:tc>
        <w:tc>
          <w:tcPr>
            <w:tcW w:w="1518"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1282" w:type="dxa"/>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550" w:type="dxa"/>
            <w:vMerge w:val="continue"/>
            <w:noWrap w:val="0"/>
            <w:vAlign w:val="top"/>
          </w:tcPr>
          <w:p>
            <w:pPr>
              <w:pStyle w:val="17"/>
              <w:rPr>
                <w:rFonts w:hint="eastAsia" w:ascii="方正仿宋简体" w:hAnsi="方正仿宋简体" w:eastAsia="方正仿宋简体" w:cs="方正仿宋简体"/>
                <w:b/>
                <w:bCs/>
                <w:kern w:val="2"/>
                <w:sz w:val="21"/>
                <w:szCs w:val="22"/>
                <w:lang w:val="en-US" w:eastAsia="zh-CN" w:bidi="ar-SA"/>
              </w:rPr>
            </w:pPr>
          </w:p>
        </w:tc>
        <w:tc>
          <w:tcPr>
            <w:tcW w:w="11395" w:type="dxa"/>
            <w:gridSpan w:val="6"/>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预算数143万元.其中:财政资金143万元,其他资金0万元。主要用于城北消防站50人保险和城南消防站40人保险。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0" w:type="dxa"/>
            <w:vMerge w:val="restart"/>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4166" w:type="dxa"/>
            <w:gridSpan w:val="2"/>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2998"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1431"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2800" w:type="dxa"/>
            <w:gridSpan w:val="2"/>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0" w:type="dxa"/>
            <w:vMerge w:val="continue"/>
            <w:noWrap w:val="0"/>
            <w:vAlign w:val="top"/>
          </w:tcPr>
          <w:p>
            <w:pPr>
              <w:pStyle w:val="17"/>
              <w:rPr>
                <w:rFonts w:hint="eastAsia" w:ascii="方正仿宋简体" w:hAnsi="方正仿宋简体" w:eastAsia="方正仿宋简体" w:cs="方正仿宋简体"/>
                <w:b/>
                <w:bCs/>
                <w:kern w:val="2"/>
                <w:sz w:val="21"/>
                <w:szCs w:val="22"/>
                <w:lang w:val="en-US" w:eastAsia="zh-CN" w:bidi="ar-SA"/>
              </w:rPr>
            </w:pPr>
          </w:p>
        </w:tc>
        <w:tc>
          <w:tcPr>
            <w:tcW w:w="4166" w:type="dxa"/>
            <w:gridSpan w:val="2"/>
            <w:noWrap w:val="0"/>
            <w:vAlign w:val="center"/>
          </w:tcPr>
          <w:p>
            <w:pPr>
              <w:pStyle w:val="17"/>
              <w:jc w:val="center"/>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w:t>
            </w:r>
          </w:p>
        </w:tc>
        <w:tc>
          <w:tcPr>
            <w:tcW w:w="2998" w:type="dxa"/>
            <w:noWrap w:val="0"/>
            <w:vAlign w:val="center"/>
          </w:tcPr>
          <w:p>
            <w:pPr>
              <w:pStyle w:val="17"/>
              <w:jc w:val="center"/>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w:t>
            </w:r>
          </w:p>
        </w:tc>
        <w:tc>
          <w:tcPr>
            <w:tcW w:w="1431" w:type="dxa"/>
            <w:noWrap w:val="0"/>
            <w:vAlign w:val="center"/>
          </w:tcPr>
          <w:p>
            <w:pPr>
              <w:pStyle w:val="17"/>
              <w:jc w:val="center"/>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w:t>
            </w:r>
          </w:p>
        </w:tc>
        <w:tc>
          <w:tcPr>
            <w:tcW w:w="2800" w:type="dxa"/>
            <w:gridSpan w:val="2"/>
            <w:noWrap w:val="0"/>
            <w:vAlign w:val="center"/>
          </w:tcPr>
          <w:p>
            <w:pPr>
              <w:pStyle w:val="17"/>
              <w:jc w:val="center"/>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550" w:type="dxa"/>
            <w:noWrap w:val="0"/>
            <w:vAlign w:val="center"/>
          </w:tcPr>
          <w:p>
            <w:pPr>
              <w:pStyle w:val="17"/>
              <w:jc w:val="center"/>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11395" w:type="dxa"/>
            <w:gridSpan w:val="6"/>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1.保障消防员的养老、医疗、工伤保险及住房公积金的经费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6"/>
        <w:gridCol w:w="1214"/>
        <w:gridCol w:w="2059"/>
        <w:gridCol w:w="2863"/>
        <w:gridCol w:w="3000"/>
        <w:gridCol w:w="3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一级指标</w:t>
            </w:r>
          </w:p>
        </w:tc>
        <w:tc>
          <w:tcPr>
            <w:tcW w:w="1214"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二级指标</w:t>
            </w:r>
          </w:p>
        </w:tc>
        <w:tc>
          <w:tcPr>
            <w:tcW w:w="2059"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三级指标</w:t>
            </w:r>
          </w:p>
        </w:tc>
        <w:tc>
          <w:tcPr>
            <w:tcW w:w="2863"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绩效指标描述</w:t>
            </w:r>
          </w:p>
        </w:tc>
        <w:tc>
          <w:tcPr>
            <w:tcW w:w="3000"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w:t>
            </w:r>
          </w:p>
        </w:tc>
        <w:tc>
          <w:tcPr>
            <w:tcW w:w="3456" w:type="dxa"/>
            <w:noWrap w:val="0"/>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产出指标</w:t>
            </w: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数量指标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安全保障人数（人）</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实际支付消防员安全保障经费的人数</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90人,实际支付消防员安全保障经费90人</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质量指标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消防员征召增长率（%）</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消防员数量同比征召增长比率</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≥50%,消防员数量同比征召增长50%</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时效指标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完成率</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消防员安全经费是否按月发放落实</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≥95%,消防员安全经费按月发放落实</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成本指标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消防员保险资金成本</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安全经费包含的消防员保险资金成本</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≥98%,节约消防员保险资金成本</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restart"/>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效益指标</w:t>
            </w: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可持续影响指标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长期使用性</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能够长期较好地满足使用者对各项指标的要求</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≥98%,能够长期较好地满足使用者对各项指标的要求</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经济效益指标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消防员安全经费是否合理</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消防员的安全经费是否合理</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100%,消防员的安全经费是否合理</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社会效益指标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社会效果</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保障消防员安全经费的运行情况</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≥98%,保障消防员安全经费的运行情况</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vMerge w:val="continue"/>
            <w:noWrap w:val="0"/>
            <w:vAlign w:val="center"/>
          </w:tcPr>
          <w:p>
            <w:pPr>
              <w:pStyle w:val="19"/>
              <w:rPr>
                <w:rFonts w:hint="eastAsia" w:ascii="方正仿宋简体" w:hAnsi="方正仿宋简体" w:eastAsia="方正仿宋简体" w:cs="方正仿宋简体"/>
                <w:b w:val="0"/>
                <w:bCs/>
              </w:rPr>
            </w:pP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生态效益意识增强</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提高消防安全经费中的消防员保险的生态要求</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≥98%,很好的满足生态效益指标</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6" w:type="dxa"/>
            <w:noWrap w:val="0"/>
            <w:vAlign w:val="center"/>
          </w:tcPr>
          <w:p>
            <w:pPr>
              <w:pStyle w:val="1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满意度指标</w:t>
            </w:r>
          </w:p>
        </w:tc>
        <w:tc>
          <w:tcPr>
            <w:tcW w:w="1214"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服务对象满意度指标</w:t>
            </w:r>
          </w:p>
        </w:tc>
        <w:tc>
          <w:tcPr>
            <w:tcW w:w="2059"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服务对象满意度</w:t>
            </w:r>
          </w:p>
        </w:tc>
        <w:tc>
          <w:tcPr>
            <w:tcW w:w="2863"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消防员对人事管理工作的满意情况</w:t>
            </w:r>
          </w:p>
        </w:tc>
        <w:tc>
          <w:tcPr>
            <w:tcW w:w="3000"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≥98%,消防员对人事管理工作的满意情况</w:t>
            </w:r>
          </w:p>
        </w:tc>
        <w:tc>
          <w:tcPr>
            <w:tcW w:w="3456" w:type="dxa"/>
            <w:noWrap w:val="0"/>
            <w:vAlign w:val="center"/>
          </w:tcPr>
          <w:p>
            <w:pPr>
              <w:pStyle w:val="19"/>
              <w:jc w:val="left"/>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《河北省财政厅关于转发财政部《地方经费管理办法》的通知》</w:t>
            </w:r>
          </w:p>
        </w:tc>
      </w:tr>
    </w:tbl>
    <w:p>
      <w:pPr>
        <w:numPr>
          <w:ilvl w:val="0"/>
          <w:numId w:val="0"/>
        </w:numPr>
        <w:spacing w:line="560" w:lineRule="exact"/>
        <w:jc w:val="left"/>
        <w:rPr>
          <w:rFonts w:hint="eastAsia" w:ascii="方正仿宋简体" w:hAnsi="方正仿宋简体" w:eastAsia="方正仿宋简体" w:cs="方正仿宋简体"/>
          <w:b w:val="0"/>
          <w:bCs/>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numPr>
          <w:ilvl w:val="0"/>
          <w:numId w:val="0"/>
        </w:numPr>
        <w:spacing w:line="560" w:lineRule="exact"/>
        <w:jc w:val="left"/>
        <w:rPr>
          <w:rFonts w:hint="eastAsia" w:ascii="方正仿宋简体" w:hAnsi="方正仿宋简体" w:eastAsia="方正仿宋简体" w:cs="方正仿宋简体"/>
          <w:sz w:val="32"/>
          <w:szCs w:val="32"/>
        </w:rPr>
      </w:pP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3、城北消防站取暖燃料费绩效目标表</w:t>
      </w:r>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3"/>
        <w:gridCol w:w="1641"/>
        <w:gridCol w:w="1976"/>
        <w:gridCol w:w="114"/>
        <w:gridCol w:w="2070"/>
        <w:gridCol w:w="1025"/>
        <w:gridCol w:w="1811"/>
        <w:gridCol w:w="1182"/>
        <w:gridCol w:w="84"/>
        <w:gridCol w:w="1477"/>
        <w:gridCol w:w="17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3" w:type="pct"/>
            <w:gridSpan w:val="10"/>
            <w:tcBorders>
              <w:top w:val="single" w:color="FFFFFF" w:sz="6" w:space="0"/>
              <w:left w:val="single" w:color="FFFFFF" w:sz="6" w:space="0"/>
              <w:right w:val="single" w:color="FFFFFF" w:sz="6" w:space="0"/>
            </w:tcBorders>
            <w:noWrap w:val="0"/>
            <w:vAlign w:val="center"/>
          </w:tcPr>
          <w:p>
            <w:pPr>
              <w:pStyle w:val="17"/>
            </w:pPr>
            <w:r>
              <w:rPr>
                <w:rFonts w:hint="eastAsia" w:ascii="方正仿宋简体" w:hAnsi="方正仿宋简体" w:eastAsia="方正仿宋简体" w:cs="方正仿宋简体"/>
              </w:rPr>
              <w:t>887001遵化市消防救援大队本级</w:t>
            </w:r>
          </w:p>
        </w:tc>
        <w:tc>
          <w:tcPr>
            <w:tcW w:w="616" w:type="pct"/>
            <w:tcBorders>
              <w:top w:val="single" w:color="FFFFFF" w:sz="6" w:space="0"/>
              <w:left w:val="single" w:color="FFFFFF" w:sz="6" w:space="0"/>
              <w:right w:val="single" w:color="FFFFFF" w:sz="6" w:space="0"/>
            </w:tcBorders>
            <w:noWrap w:val="0"/>
            <w:vAlign w:val="center"/>
          </w:tcPr>
          <w:p>
            <w:pPr>
              <w:pStyle w:val="18"/>
            </w:pPr>
            <w:r>
              <w:rPr>
                <w:rFonts w:hint="eastAsia" w:ascii="方正仿宋简体" w:hAnsi="方正仿宋简体" w:eastAsia="方正仿宋简体" w:cs="方正仿宋简体"/>
                <w:b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项目编码</w:t>
            </w:r>
          </w:p>
        </w:tc>
        <w:tc>
          <w:tcPr>
            <w:tcW w:w="1493" w:type="pct"/>
            <w:gridSpan w:val="3"/>
            <w:noWrap w:val="0"/>
            <w:vAlign w:val="center"/>
          </w:tcPr>
          <w:p>
            <w:pPr>
              <w:pStyle w:val="20"/>
            </w:pPr>
            <w:r>
              <w:rPr>
                <w:rFonts w:hint="eastAsia" w:ascii="方正仿宋简体" w:hAnsi="方正仿宋简体" w:eastAsia="方正仿宋简体" w:cs="方正仿宋简体"/>
                <w:b w:val="0"/>
                <w:bCs/>
                <w:kern w:val="2"/>
                <w:sz w:val="21"/>
                <w:szCs w:val="22"/>
                <w:lang w:val="en-US" w:eastAsia="zh-CN" w:bidi="ar-SA"/>
              </w:rPr>
              <w:t>13028122P003143100018</w:t>
            </w:r>
          </w:p>
        </w:tc>
        <w:tc>
          <w:tcPr>
            <w:tcW w:w="1018" w:type="pct"/>
            <w:gridSpan w:val="2"/>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项目名称</w:t>
            </w:r>
          </w:p>
        </w:tc>
        <w:tc>
          <w:tcPr>
            <w:tcW w:w="1599" w:type="pct"/>
            <w:gridSpan w:val="4"/>
            <w:noWrap w:val="0"/>
            <w:vAlign w:val="center"/>
          </w:tcPr>
          <w:p>
            <w:pPr>
              <w:pStyle w:val="20"/>
            </w:pPr>
            <w:r>
              <w:rPr>
                <w:rFonts w:hint="eastAsia" w:ascii="方正仿宋简体" w:hAnsi="方正仿宋简体" w:eastAsia="方正仿宋简体" w:cs="方正仿宋简体"/>
                <w:b w:val="0"/>
                <w:bCs/>
                <w:kern w:val="2"/>
                <w:sz w:val="21"/>
                <w:szCs w:val="22"/>
                <w:lang w:val="en-US" w:eastAsia="zh-CN" w:bidi="ar-SA"/>
              </w:rPr>
              <w:t>城北消防站取暖燃料费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vMerge w:val="restart"/>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预算规模及资金用途</w:t>
            </w:r>
          </w:p>
        </w:tc>
        <w:tc>
          <w:tcPr>
            <w:tcW w:w="750" w:type="pct"/>
            <w:gridSpan w:val="2"/>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预算数</w:t>
            </w:r>
          </w:p>
        </w:tc>
        <w:tc>
          <w:tcPr>
            <w:tcW w:w="742" w:type="pct"/>
            <w:noWrap w:val="0"/>
            <w:vAlign w:val="center"/>
          </w:tcPr>
          <w:p>
            <w:pPr>
              <w:pStyle w:val="20"/>
            </w:pPr>
            <w:r>
              <w:rPr>
                <w:rFonts w:hint="eastAsia" w:ascii="方正仿宋简体" w:hAnsi="方正仿宋简体" w:eastAsia="方正仿宋简体" w:cs="方正仿宋简体"/>
                <w:b w:val="0"/>
                <w:bCs/>
                <w:kern w:val="2"/>
                <w:sz w:val="21"/>
                <w:szCs w:val="22"/>
                <w:lang w:val="en-US" w:eastAsia="zh-CN" w:bidi="ar-SA"/>
              </w:rPr>
              <w:t>30.00</w:t>
            </w:r>
          </w:p>
        </w:tc>
        <w:tc>
          <w:tcPr>
            <w:tcW w:w="1018" w:type="pct"/>
            <w:gridSpan w:val="2"/>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其中：财政资金</w:t>
            </w:r>
          </w:p>
        </w:tc>
        <w:tc>
          <w:tcPr>
            <w:tcW w:w="454" w:type="pct"/>
            <w:gridSpan w:val="2"/>
            <w:noWrap w:val="0"/>
            <w:vAlign w:val="center"/>
          </w:tcPr>
          <w:p>
            <w:pPr>
              <w:pStyle w:val="20"/>
            </w:pPr>
            <w:r>
              <w:rPr>
                <w:rFonts w:hint="eastAsia" w:ascii="方正仿宋简体" w:hAnsi="方正仿宋简体" w:eastAsia="方正仿宋简体" w:cs="方正仿宋简体"/>
                <w:b w:val="0"/>
                <w:bCs/>
                <w:kern w:val="2"/>
                <w:sz w:val="21"/>
                <w:szCs w:val="22"/>
                <w:lang w:val="en-US" w:eastAsia="zh-CN" w:bidi="ar-SA"/>
              </w:rPr>
              <w:t>30.00</w:t>
            </w:r>
          </w:p>
        </w:tc>
        <w:tc>
          <w:tcPr>
            <w:tcW w:w="529" w:type="pct"/>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其他资金</w:t>
            </w:r>
          </w:p>
        </w:tc>
        <w:tc>
          <w:tcPr>
            <w:tcW w:w="616" w:type="pct"/>
            <w:noWrap w:val="0"/>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vMerge w:val="continue"/>
            <w:noWrap w:val="0"/>
            <w:vAlign w:val="top"/>
          </w:tcPr>
          <w:p/>
        </w:tc>
        <w:tc>
          <w:tcPr>
            <w:tcW w:w="4111" w:type="pct"/>
            <w:gridSpan w:val="9"/>
            <w:noWrap w:val="0"/>
            <w:vAlign w:val="center"/>
          </w:tcPr>
          <w:p>
            <w:pPr>
              <w:pStyle w:val="20"/>
            </w:pPr>
            <w:r>
              <w:rPr>
                <w:rFonts w:hint="eastAsia" w:ascii="方正仿宋简体" w:hAnsi="方正仿宋简体" w:eastAsia="方正仿宋简体" w:cs="方正仿宋简体"/>
                <w:b w:val="0"/>
                <w:bCs/>
                <w:kern w:val="2"/>
                <w:sz w:val="21"/>
                <w:szCs w:val="22"/>
                <w:lang w:val="en-US" w:eastAsia="zh-CN" w:bidi="ar-SA"/>
              </w:rPr>
              <w:t>用于城北消防站取暖燃料费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vMerge w:val="restart"/>
            <w:noWrap w:val="0"/>
            <w:vAlign w:val="center"/>
          </w:tcPr>
          <w:p>
            <w:pPr>
              <w:pStyle w:val="19"/>
            </w:pPr>
            <w:r>
              <w:rPr>
                <w:rFonts w:hint="eastAsia" w:ascii="方正仿宋简体" w:hAnsi="方正仿宋简体" w:eastAsia="方正仿宋简体" w:cs="方正仿宋简体"/>
                <w:b/>
                <w:kern w:val="2"/>
                <w:sz w:val="21"/>
                <w:szCs w:val="22"/>
                <w:lang w:val="en-US" w:eastAsia="zh-CN" w:bidi="ar-SA"/>
              </w:rPr>
              <w:t>资金支出计划（%）</w:t>
            </w:r>
          </w:p>
        </w:tc>
        <w:tc>
          <w:tcPr>
            <w:tcW w:w="1493" w:type="pct"/>
            <w:gridSpan w:val="3"/>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18"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54"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45"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vMerge w:val="continue"/>
            <w:noWrap w:val="0"/>
            <w:vAlign w:val="top"/>
          </w:tcPr>
          <w:p/>
        </w:tc>
        <w:tc>
          <w:tcPr>
            <w:tcW w:w="1493" w:type="pct"/>
            <w:gridSpan w:val="3"/>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18"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54"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45"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8"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111" w:type="pct"/>
            <w:gridSpan w:val="9"/>
            <w:noWrap w:val="0"/>
            <w:vAlign w:val="center"/>
          </w:tcPr>
          <w:p>
            <w:pPr>
              <w:pStyle w:val="19"/>
              <w:jc w:val="left"/>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1.用于城北消防站取暖燃料费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58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70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1152" w:type="pct"/>
            <w:gridSpan w:val="3"/>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1074"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1175" w:type="pct"/>
            <w:gridSpan w:val="3"/>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库室取暖数量（个）</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保障消防员冬季供暖需求，确保消防员北站居住场所的供暖</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10个,保障城北消防站的库室数量</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取暖费优良率</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城北消防站取暖程度达到遵化市取暖规范化水平</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≥95%,做好城南消防站各库室内温度保障。</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及时率</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保证城北消防站冬季取暖得到及时落实</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≥98%,保障消防员冬季取暖得到及时落实</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资金成本</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满足城北消防员冬季取暖所需供暖需求的资金成本</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≥98%,满足消防员的冬季取暖需求,同时节约成本</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长期使用性 </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能够较好地满足消防员对取暖需求的冬季长期使用性</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≥98%,北站取暖采用醇基燃料,达到环保的生态效果</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社会资金的投入</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满足城北消防员冬季取暖需求,带动社会资金的投入</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≥98%,保障冬季期间消防员的取暖需求</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社会稳定水平</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消防北站消防员冬季取暖的运行情况</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≥98%,保障城北消防员冬季取暖的正常运行</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加强节约利用，促进生态文明建设</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反映开展城北消防站取暖工作为生态文明建设的作用</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≥98%,带动社会资金的投入,满足城北消防员冬季取暖的需求</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9"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588"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709" w:type="pct"/>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w:t>
            </w:r>
          </w:p>
        </w:tc>
        <w:tc>
          <w:tcPr>
            <w:tcW w:w="1152"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消防员对取暖燃料项目的满意程度</w:t>
            </w:r>
          </w:p>
        </w:tc>
        <w:tc>
          <w:tcPr>
            <w:tcW w:w="1074" w:type="pct"/>
            <w:gridSpan w:val="2"/>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≥98%,保障库室温度不低于16度,满足消防员的取暖需求</w:t>
            </w:r>
          </w:p>
        </w:tc>
        <w:tc>
          <w:tcPr>
            <w:tcW w:w="1175" w:type="pct"/>
            <w:gridSpan w:val="3"/>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bl>
    <w:p>
      <w:pPr>
        <w:widowControl w:val="0"/>
        <w:numPr>
          <w:ilvl w:val="0"/>
          <w:numId w:val="0"/>
        </w:numPr>
        <w:jc w:val="both"/>
        <w:rPr>
          <w:rFonts w:hint="eastAsia" w:ascii="方正仿宋简体" w:hAnsi="方正仿宋简体" w:eastAsia="方正仿宋简体" w:cs="方正仿宋简体"/>
          <w:b w:val="0"/>
          <w:bCs/>
          <w:kern w:val="2"/>
          <w:sz w:val="21"/>
          <w:szCs w:val="22"/>
          <w:lang w:val="en-US" w:eastAsia="zh-CN" w:bidi="ar-SA"/>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widowControl w:val="0"/>
        <w:numPr>
          <w:ilvl w:val="0"/>
          <w:numId w:val="0"/>
        </w:numPr>
        <w:jc w:val="both"/>
        <w:rPr>
          <w:rFonts w:hint="eastAsia" w:ascii="方正仿宋简体" w:hAnsi="方正仿宋简体" w:eastAsia="方正仿宋简体" w:cs="方正仿宋简体"/>
          <w:bCs/>
          <w:color w:val="000000"/>
          <w:sz w:val="32"/>
          <w:szCs w:val="32"/>
        </w:rPr>
      </w:pP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4、城南消防站取暖费绩效目标表</w:t>
      </w:r>
    </w:p>
    <w:tbl>
      <w:tblPr>
        <w:tblStyle w:val="9"/>
        <w:tblW w:w="499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5"/>
        <w:gridCol w:w="2421"/>
        <w:gridCol w:w="2073"/>
        <w:gridCol w:w="2845"/>
        <w:gridCol w:w="1276"/>
        <w:gridCol w:w="1449"/>
        <w:gridCol w:w="17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6" w:type="pct"/>
            <w:gridSpan w:val="6"/>
            <w:tcBorders>
              <w:top w:val="single" w:color="FFFFFF" w:sz="6" w:space="0"/>
              <w:left w:val="single" w:color="FFFFFF" w:sz="6" w:space="0"/>
              <w:right w:val="single" w:color="FFFFFF" w:sz="6" w:space="0"/>
            </w:tcBorders>
            <w:noWrap w:val="0"/>
            <w:vAlign w:val="center"/>
          </w:tcPr>
          <w:p>
            <w:pPr>
              <w:pStyle w:val="17"/>
            </w:pPr>
            <w:r>
              <w:rPr>
                <w:rFonts w:hint="eastAsia" w:ascii="方正仿宋简体" w:hAnsi="方正仿宋简体" w:eastAsia="方正仿宋简体" w:cs="方正仿宋简体"/>
              </w:rPr>
              <w:t>887001遵化市消防救援大队本级</w:t>
            </w:r>
          </w:p>
        </w:tc>
        <w:tc>
          <w:tcPr>
            <w:tcW w:w="613" w:type="pct"/>
            <w:tcBorders>
              <w:top w:val="single" w:color="FFFFFF" w:sz="6" w:space="0"/>
              <w:left w:val="single" w:color="FFFFFF" w:sz="6" w:space="0"/>
              <w:right w:val="single" w:color="FFFFFF" w:sz="6" w:space="0"/>
            </w:tcBorders>
            <w:noWrap w:val="0"/>
            <w:vAlign w:val="center"/>
          </w:tcPr>
          <w:p>
            <w:pPr>
              <w:pStyle w:val="18"/>
            </w:pPr>
            <w:r>
              <w:rPr>
                <w:rFonts w:hint="eastAsia" w:ascii="方正仿宋简体" w:hAnsi="方正仿宋简体" w:eastAsia="方正仿宋简体" w:cs="方正仿宋简体"/>
                <w:b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1613" w:type="pct"/>
            <w:gridSpan w:val="2"/>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13028122P00314510001K</w:t>
            </w:r>
          </w:p>
        </w:tc>
        <w:tc>
          <w:tcPr>
            <w:tcW w:w="1021" w:type="pc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1591" w:type="pct"/>
            <w:gridSpan w:val="3"/>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城南消防站取暖费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vMerge w:val="restar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869" w:type="pc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744" w:type="pct"/>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27.08</w:t>
            </w:r>
          </w:p>
        </w:tc>
        <w:tc>
          <w:tcPr>
            <w:tcW w:w="1021" w:type="pc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458" w:type="pct"/>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27.08</w:t>
            </w:r>
          </w:p>
        </w:tc>
        <w:tc>
          <w:tcPr>
            <w:tcW w:w="519"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613" w:type="pct"/>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vMerge w:val="continue"/>
            <w:noWrap w:val="0"/>
            <w:vAlign w:val="top"/>
          </w:tcPr>
          <w:p>
            <w:pPr>
              <w:rPr>
                <w:rFonts w:hint="eastAsia" w:ascii="方正仿宋简体" w:hAnsi="方正仿宋简体" w:eastAsia="方正仿宋简体" w:cs="方正仿宋简体"/>
                <w:b w:val="0"/>
                <w:kern w:val="2"/>
                <w:sz w:val="21"/>
                <w:szCs w:val="22"/>
                <w:lang w:val="en-US" w:eastAsia="zh-CN" w:bidi="ar-SA"/>
              </w:rPr>
            </w:pPr>
          </w:p>
        </w:tc>
        <w:tc>
          <w:tcPr>
            <w:tcW w:w="4225" w:type="pct"/>
            <w:gridSpan w:val="6"/>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用于城南消防站取暖费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vMerge w:val="restar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1613"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1021"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458"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1133"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vMerge w:val="continue"/>
            <w:noWrap w:val="0"/>
            <w:vAlign w:val="top"/>
          </w:tcPr>
          <w:p>
            <w:pPr>
              <w:rPr>
                <w:rFonts w:hint="eastAsia" w:ascii="方正仿宋简体" w:hAnsi="方正仿宋简体" w:eastAsia="方正仿宋简体" w:cs="方正仿宋简体"/>
                <w:b w:val="0"/>
                <w:kern w:val="2"/>
                <w:sz w:val="21"/>
                <w:szCs w:val="22"/>
                <w:lang w:val="en-US" w:eastAsia="zh-CN" w:bidi="ar-SA"/>
              </w:rPr>
            </w:pPr>
          </w:p>
        </w:tc>
        <w:tc>
          <w:tcPr>
            <w:tcW w:w="1613" w:type="pct"/>
            <w:gridSpan w:val="2"/>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30%</w:t>
            </w:r>
          </w:p>
        </w:tc>
        <w:tc>
          <w:tcPr>
            <w:tcW w:w="1021" w:type="pct"/>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60%</w:t>
            </w:r>
          </w:p>
        </w:tc>
        <w:tc>
          <w:tcPr>
            <w:tcW w:w="458" w:type="pct"/>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90%</w:t>
            </w:r>
          </w:p>
        </w:tc>
        <w:tc>
          <w:tcPr>
            <w:tcW w:w="1133" w:type="pct"/>
            <w:gridSpan w:val="2"/>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4" w:type="pct"/>
            <w:noWrap w:val="0"/>
            <w:vAlign w:val="center"/>
          </w:tcPr>
          <w:p>
            <w:pPr>
              <w:pStyle w:val="19"/>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4225" w:type="pct"/>
            <w:gridSpan w:val="6"/>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1.为保障城南消防站消防队员供暖需求。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8"/>
        <w:gridCol w:w="1291"/>
        <w:gridCol w:w="2143"/>
        <w:gridCol w:w="2906"/>
        <w:gridCol w:w="3292"/>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库室取暖数量（个）</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保障南站消防员冬季供暖需求，确保居住场所的供暖</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5个,保障城南消防站的库室数量</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取暖费优良率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城南消防站取暖程度达到遵化市取暖规范化水平</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≥95%,满足消防员的冬季取暖需求,同时节约成本</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及时率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保证城南消防站冬季取暖得到及时落实</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≥98%,保障消防员冬季取暖得到及时落实</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取暖费资金成本</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满足城南消防员冬季取暖所需供暖需求的资金成本</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≥98%,满足消防员的冬季取暖需求,同时节约成本</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 xml:space="preserve">长期使用性 </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能够较好地满足消防员对取暖需求的冬季长期使用性</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≥98%,保障冬季期间消防员的取暖需求</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加强节约利用，促进生态文明建设</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反映开展城南消防站取暖工作为生态文明建设的作用</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≥98%,带动社会资金的投入,满足城南消防员冬季取暖的需求</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社会稳定水平</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消防南站消防员冬季取暖的运行情况</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≥98%,保障城北消防员冬季取暖的正常运行</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加强节约利用，促进生态文明建设</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反映开展城北消防站取暖工作为生态文明建设的作用</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≥98%,南站取暖费可以达到环保的生态效果</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服务对象满意度</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消防员对取暖燃料项目的满意程度</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≥98%,保障库室温度不低于16度,满足消防员的取暖需求</w:t>
            </w:r>
          </w:p>
        </w:tc>
        <w:tc>
          <w:tcPr>
            <w:tcW w:w="0" w:type="auto"/>
            <w:noWrap w:val="0"/>
            <w:vAlign w:val="center"/>
          </w:tcPr>
          <w:p>
            <w:pPr>
              <w:pStyle w:val="20"/>
              <w:rPr>
                <w:rFonts w:hint="eastAsia" w:ascii="方正仿宋简体" w:hAnsi="方正仿宋简体" w:eastAsia="方正仿宋简体" w:cs="方正仿宋简体"/>
                <w:b w:val="0"/>
                <w:kern w:val="2"/>
                <w:sz w:val="21"/>
                <w:szCs w:val="22"/>
                <w:lang w:val="en-US" w:eastAsia="zh-CN" w:bidi="ar-SA"/>
              </w:rPr>
            </w:pPr>
            <w:r>
              <w:rPr>
                <w:rFonts w:hint="eastAsia" w:ascii="方正仿宋简体" w:hAnsi="方正仿宋简体" w:eastAsia="方正仿宋简体" w:cs="方正仿宋简体"/>
                <w:b w:val="0"/>
                <w:kern w:val="2"/>
                <w:sz w:val="21"/>
                <w:szCs w:val="22"/>
                <w:lang w:val="en-US" w:eastAsia="zh-CN" w:bidi="ar-SA"/>
              </w:rPr>
              <w:t>《河北省财政厅关于转发财政部《地方经费管理办法》的通知》</w:t>
            </w:r>
          </w:p>
        </w:tc>
      </w:tr>
    </w:tbl>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widowControl w:val="0"/>
        <w:numPr>
          <w:ilvl w:val="0"/>
          <w:numId w:val="0"/>
        </w:numPr>
        <w:spacing w:line="560" w:lineRule="exact"/>
        <w:jc w:val="left"/>
        <w:rPr>
          <w:rFonts w:hint="eastAsia" w:ascii="方正仿宋简体" w:hAnsi="方正仿宋简体" w:eastAsia="方正仿宋简体" w:cs="方正仿宋简体"/>
          <w:bCs/>
          <w:color w:val="000000"/>
          <w:sz w:val="32"/>
          <w:szCs w:val="32"/>
        </w:rPr>
      </w:pP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5、购置城市主战消防车绩效目标表</w:t>
      </w:r>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1"/>
        <w:gridCol w:w="2168"/>
        <w:gridCol w:w="2210"/>
        <w:gridCol w:w="2851"/>
        <w:gridCol w:w="1279"/>
        <w:gridCol w:w="1441"/>
        <w:gridCol w:w="171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5" w:type="pct"/>
            <w:gridSpan w:val="6"/>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887001遵化市消防救援大队本级</w:t>
            </w:r>
          </w:p>
        </w:tc>
        <w:tc>
          <w:tcPr>
            <w:tcW w:w="614" w:type="pct"/>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项目编码</w:t>
            </w:r>
          </w:p>
        </w:tc>
        <w:tc>
          <w:tcPr>
            <w:tcW w:w="1571" w:type="pct"/>
            <w:gridSpan w:val="2"/>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13028122P003151100014</w:t>
            </w:r>
          </w:p>
        </w:tc>
        <w:tc>
          <w:tcPr>
            <w:tcW w:w="1023"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项目名称</w:t>
            </w:r>
          </w:p>
        </w:tc>
        <w:tc>
          <w:tcPr>
            <w:tcW w:w="1589" w:type="pct"/>
            <w:gridSpan w:val="3"/>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购置城市主战消防车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预算规模及资金用途</w:t>
            </w:r>
          </w:p>
        </w:tc>
        <w:tc>
          <w:tcPr>
            <w:tcW w:w="77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预算数</w:t>
            </w:r>
          </w:p>
        </w:tc>
        <w:tc>
          <w:tcPr>
            <w:tcW w:w="793"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260.00</w:t>
            </w:r>
          </w:p>
        </w:tc>
        <w:tc>
          <w:tcPr>
            <w:tcW w:w="1023"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其中：财政资金</w:t>
            </w:r>
          </w:p>
        </w:tc>
        <w:tc>
          <w:tcPr>
            <w:tcW w:w="459"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260.00</w:t>
            </w:r>
          </w:p>
        </w:tc>
        <w:tc>
          <w:tcPr>
            <w:tcW w:w="515"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其他资金</w:t>
            </w:r>
          </w:p>
        </w:tc>
        <w:tc>
          <w:tcPr>
            <w:tcW w:w="614"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4184"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用于购置城市主战消防车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资金支出计划（%）</w:t>
            </w:r>
          </w:p>
        </w:tc>
        <w:tc>
          <w:tcPr>
            <w:tcW w:w="1571"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23"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5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29"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5"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1571"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23"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59"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29"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15"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184"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1.购置城市主战消防车1辆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7"/>
        <w:gridCol w:w="1389"/>
        <w:gridCol w:w="1930"/>
        <w:gridCol w:w="3658"/>
        <w:gridCol w:w="2287"/>
        <w:gridCol w:w="37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专业设备购置数量（辆）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新增购置的城市主战消防车的数量（1辆）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1辆,购买1辆城市主战消防车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车辆验收合格率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验收合格率=验收合格的设备数量/当年购置设备数量*100%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≥100%,主战消防车达到验收标准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各项任务完成及时率（%）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各项任务完成及时率（%）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≥98%,及时完成主战消防车的购买</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城市主站消防车的资金成本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≥98%,以最低成本购买主战消防车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设备使用率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设备使用率=设备实际使用时间/设备计划使用时间*100%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≥95%,主战消防车设备使用率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车辆业务保障能力提升情况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购置城市主战消防车对消防业务保障能力的提升情况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≥98%,能提升消费业务保障能力</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突发事件处置完成率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城市主战消防车的突发事件处置程度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≥98%,能够较好完成突发事件处理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提高城市主站消防车的生态要求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≥98%,主战消防车达到的生态效益</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用户满意度指标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通过问卷调查，反映满意的用户数占调查数之比</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≥98%,车辆达到的满意程度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bl>
    <w:p/>
    <w:p/>
    <w:p/>
    <w:p/>
    <w:p/>
    <w:p/>
    <w:p/>
    <w:p/>
    <w:p/>
    <w:p/>
    <w:p/>
    <w:p/>
    <w:p/>
    <w:p/>
    <w:p/>
    <w:p/>
    <w:p/>
    <w:p/>
    <w:p/>
    <w:p/>
    <w:p/>
    <w:p/>
    <w:p/>
    <w:p/>
    <w:p/>
    <w:p/>
    <w:p/>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6、现役官兵后勤保障经费绩效目标表</w:t>
      </w:r>
    </w:p>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01"/>
        <w:gridCol w:w="2386"/>
        <w:gridCol w:w="2096"/>
        <w:gridCol w:w="2834"/>
        <w:gridCol w:w="1274"/>
        <w:gridCol w:w="1435"/>
        <w:gridCol w:w="17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7" w:type="pct"/>
            <w:gridSpan w:val="6"/>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887001遵化市消防救援大队本级</w:t>
            </w:r>
          </w:p>
        </w:tc>
        <w:tc>
          <w:tcPr>
            <w:tcW w:w="612" w:type="pct"/>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项目编码</w:t>
            </w:r>
          </w:p>
        </w:tc>
        <w:tc>
          <w:tcPr>
            <w:tcW w:w="1608" w:type="pct"/>
            <w:gridSpan w:val="2"/>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13028122P00N014100025</w:t>
            </w:r>
          </w:p>
        </w:tc>
        <w:tc>
          <w:tcPr>
            <w:tcW w:w="101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项目名称</w:t>
            </w:r>
          </w:p>
        </w:tc>
        <w:tc>
          <w:tcPr>
            <w:tcW w:w="1583" w:type="pct"/>
            <w:gridSpan w:val="3"/>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预算规模及资金用途</w:t>
            </w:r>
          </w:p>
        </w:tc>
        <w:tc>
          <w:tcPr>
            <w:tcW w:w="85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预算数</w:t>
            </w:r>
          </w:p>
        </w:tc>
        <w:tc>
          <w:tcPr>
            <w:tcW w:w="752"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25.20</w:t>
            </w:r>
          </w:p>
        </w:tc>
        <w:tc>
          <w:tcPr>
            <w:tcW w:w="101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其中：财政资金</w:t>
            </w:r>
          </w:p>
        </w:tc>
        <w:tc>
          <w:tcPr>
            <w:tcW w:w="457"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25.20</w:t>
            </w:r>
          </w:p>
        </w:tc>
        <w:tc>
          <w:tcPr>
            <w:tcW w:w="513"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其他资金</w:t>
            </w:r>
          </w:p>
        </w:tc>
        <w:tc>
          <w:tcPr>
            <w:tcW w:w="612"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4209"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用于现役官兵后勤保障经费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资金支出计划（%）</w:t>
            </w:r>
          </w:p>
        </w:tc>
        <w:tc>
          <w:tcPr>
            <w:tcW w:w="1608"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1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5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25"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1608"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17"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57"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25"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209" w:type="pct"/>
            <w:gridSpan w:val="6"/>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 为保障现役官兵后勤保障，为做好火灾防范工作，减少火灾事故的产生打下基础。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9"/>
        <w:gridCol w:w="1331"/>
        <w:gridCol w:w="1852"/>
        <w:gridCol w:w="3089"/>
        <w:gridCol w:w="3207"/>
        <w:gridCol w:w="3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安全保障人数（人）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实际支付现役官兵安全保障经费的人数（实际13人）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13人,支付现役官兵安全保障经费的人数13人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现役官兵待遇保障率（%）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实际保障落实现役官兵待遇占应保障人数的比例</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100%,保障落实13人现役官兵待遇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完成率（%）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现役官兵后勤保障经费是否按月发放落实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100%,按月发放落实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现役官兵“两补一贴”所需资金成本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≥98%,节约现役官兵资金成本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长期使用性</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消防员安全经费是否合理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现役官兵后勤保障经费是否合理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≥98%,现役官兵后勤保障经费是否合理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社会效果</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保障现役官兵后勤保障经费的运行情况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≥98%,保障现役官兵后勤保障经费</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提高现役官兵“两补一贴”的生态要求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≥98%，满足生态效益指标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现役官兵对人事管理工作的满意情况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≥98%，现役官兵对人事管理工作的满意情况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bl>
    <w:p>
      <w:pPr>
        <w:rPr>
          <w:rFonts w:hint="eastAsia" w:ascii="方正仿宋简体" w:hAnsi="方正仿宋简体" w:eastAsia="方正仿宋简体" w:cs="方正仿宋简体"/>
          <w:b w:val="0"/>
          <w:bCs/>
          <w:kern w:val="2"/>
          <w:sz w:val="21"/>
          <w:szCs w:val="22"/>
          <w:lang w:val="en-US" w:eastAsia="zh-CN" w:bidi="ar-SA"/>
        </w:r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outlineLvl w:val="3"/>
        <w:rPr>
          <w:rFonts w:hint="eastAsia" w:ascii="方正仿宋简体" w:hAnsi="方正仿宋简体" w:eastAsia="方正仿宋简体" w:cs="方正仿宋简体"/>
          <w:color w:val="000000"/>
          <w:sz w:val="28"/>
          <w:lang w:val="en-US" w:eastAsia="zh-CN"/>
        </w:rPr>
      </w:pPr>
      <w:bookmarkStart w:id="8" w:name="_Toc_4_4_0000000010"/>
      <w:r>
        <w:rPr>
          <w:rFonts w:hint="eastAsia" w:ascii="方正仿宋简体" w:hAnsi="方正仿宋简体" w:eastAsia="方正仿宋简体" w:cs="方正仿宋简体"/>
          <w:color w:val="000000"/>
          <w:sz w:val="28"/>
          <w:lang w:val="en-US" w:eastAsia="zh-CN"/>
        </w:rPr>
        <w:t>7、消防车质保金绩效目标表</w:t>
      </w:r>
      <w:bookmarkEnd w:id="8"/>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63"/>
        <w:gridCol w:w="2581"/>
        <w:gridCol w:w="1898"/>
        <w:gridCol w:w="2848"/>
        <w:gridCol w:w="1285"/>
        <w:gridCol w:w="1446"/>
        <w:gridCol w:w="17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5" w:type="pct"/>
            <w:gridSpan w:val="6"/>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887001遵化市消防救援大队本级</w:t>
            </w:r>
          </w:p>
        </w:tc>
        <w:tc>
          <w:tcPr>
            <w:tcW w:w="614" w:type="pct"/>
            <w:tcBorders>
              <w:top w:val="single" w:color="FFFFFF" w:sz="6" w:space="0"/>
              <w:left w:val="single" w:color="FFFFFF" w:sz="6" w:space="0"/>
              <w:right w:val="single" w:color="FFFFFF" w:sz="6" w:space="0"/>
            </w:tcBorders>
            <w:noWrap w:val="0"/>
            <w:vAlign w:val="center"/>
          </w:tcPr>
          <w:p>
            <w:pPr>
              <w:pStyle w:val="17"/>
              <w:keepNext w:val="0"/>
              <w:keepLines w:val="0"/>
              <w:pageBreakBefore w:val="0"/>
              <w:widowControl/>
              <w:kinsoku/>
              <w:wordWrap/>
              <w:overflowPunct/>
              <w:topLinePunct w:val="0"/>
              <w:autoSpaceDE/>
              <w:autoSpaceDN/>
              <w:bidi w:val="0"/>
              <w:adjustRightInd/>
              <w:snapToGrid/>
              <w:spacing w:line="300" w:lineRule="exact"/>
              <w:jc w:val="righ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b w:val="0"/>
                <w:b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项目编码</w:t>
            </w:r>
          </w:p>
        </w:tc>
        <w:tc>
          <w:tcPr>
            <w:tcW w:w="1607" w:type="pct"/>
            <w:gridSpan w:val="2"/>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13028122P00315010001E</w:t>
            </w:r>
          </w:p>
        </w:tc>
        <w:tc>
          <w:tcPr>
            <w:tcW w:w="1022"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项目名称</w:t>
            </w:r>
          </w:p>
        </w:tc>
        <w:tc>
          <w:tcPr>
            <w:tcW w:w="1593" w:type="pct"/>
            <w:gridSpan w:val="3"/>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预算规模及资金用途</w:t>
            </w:r>
          </w:p>
        </w:tc>
        <w:tc>
          <w:tcPr>
            <w:tcW w:w="92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预算数</w:t>
            </w:r>
          </w:p>
        </w:tc>
        <w:tc>
          <w:tcPr>
            <w:tcW w:w="681"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0.80</w:t>
            </w:r>
          </w:p>
        </w:tc>
        <w:tc>
          <w:tcPr>
            <w:tcW w:w="1022"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其中：财政资金</w:t>
            </w:r>
          </w:p>
        </w:tc>
        <w:tc>
          <w:tcPr>
            <w:tcW w:w="461"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0.80</w:t>
            </w:r>
          </w:p>
        </w:tc>
        <w:tc>
          <w:tcPr>
            <w:tcW w:w="51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其他资金</w:t>
            </w:r>
          </w:p>
        </w:tc>
        <w:tc>
          <w:tcPr>
            <w:tcW w:w="614"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4223"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用于消防车质保金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资金支出计划（%）</w:t>
            </w:r>
          </w:p>
        </w:tc>
        <w:tc>
          <w:tcPr>
            <w:tcW w:w="1607"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22"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61"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32"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1607"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22"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61"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32"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223"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1.完成消防车质保金的支付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61"/>
        <w:gridCol w:w="1296"/>
        <w:gridCol w:w="1852"/>
        <w:gridCol w:w="3522"/>
        <w:gridCol w:w="2945"/>
        <w:gridCol w:w="3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专业设备购置数量（台/件/辆)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消防车的质保金数量</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1辆,消防车质保金</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车辆验收合格率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验收合格率=验收合格的设备数量/当年购置设备数量*100%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100%,车验收合格率达到100%</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质保金计划执行率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消防车质保金是否按照合同规定于2021年12月底前进行支付</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100%,按照合同规定于2021年12月底前进行支付</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车质保金的资金成本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≥98%,本着节约资金成本的原则</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设备使用率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设备使用率=设备实际使用时间/设备计划使用时间*100%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≥98%,提高车辆使用率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车辆业务保障能力提升情况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消防车对消防业务保障能力的提升情况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≥98%,车的业务保障能力的提升情况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突发事件处置完成率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消防车的突发事件处置程度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≥98%,消防车的突发事件处置程度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提高消防车的生态要求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≥98%,满足车辆的生态效益指标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用户满意度指标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通过问卷调查，反映满意的用户数占调查数之比</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≥98%,车辆使用的满意程度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bl>
    <w:p>
      <w:pPr>
        <w:sectPr>
          <w:pgSz w:w="16840" w:h="11900" w:orient="landscape"/>
          <w:pgMar w:top="1304" w:right="1984" w:bottom="1304" w:left="1134" w:header="720" w:footer="720" w:gutter="0"/>
          <w:cols w:space="720" w:num="1"/>
        </w:sectPr>
      </w:pPr>
    </w:p>
    <w:p>
      <w:pPr>
        <w:outlineLvl w:val="3"/>
        <w:rPr>
          <w:rFonts w:hint="eastAsia" w:ascii="方正仿宋简体" w:hAnsi="方正仿宋简体" w:eastAsia="方正仿宋简体" w:cs="方正仿宋简体"/>
          <w:color w:val="000000"/>
          <w:sz w:val="28"/>
          <w:lang w:val="en-US" w:eastAsia="zh-CN"/>
        </w:rPr>
      </w:pPr>
      <w:bookmarkStart w:id="9" w:name="_Toc_4_4_0000000011"/>
      <w:r>
        <w:rPr>
          <w:rFonts w:hint="eastAsia" w:ascii="方正仿宋简体" w:hAnsi="方正仿宋简体" w:eastAsia="方正仿宋简体" w:cs="方正仿宋简体"/>
          <w:color w:val="000000"/>
          <w:sz w:val="28"/>
          <w:lang w:val="en-US" w:eastAsia="zh-CN"/>
        </w:rPr>
        <w:t>8、消防改革性、奖励性补贴绩效目标表</w:t>
      </w:r>
      <w:bookmarkEnd w:id="9"/>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14"/>
        <w:gridCol w:w="2524"/>
        <w:gridCol w:w="2229"/>
        <w:gridCol w:w="2839"/>
        <w:gridCol w:w="1273"/>
        <w:gridCol w:w="1446"/>
        <w:gridCol w:w="170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7" w:type="pct"/>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887001遵化市消防救援大队本级</w:t>
            </w:r>
          </w:p>
        </w:tc>
        <w:tc>
          <w:tcPr>
            <w:tcW w:w="612" w:type="pct"/>
            <w:tcBorders>
              <w:top w:val="single" w:color="FFFFFF" w:sz="6" w:space="0"/>
              <w:left w:val="single" w:color="FFFFFF" w:sz="6" w:space="0"/>
              <w:right w:val="single" w:color="FFFFFF" w:sz="6" w:space="0"/>
            </w:tcBorders>
            <w:noWrap w:val="0"/>
            <w:vAlign w:val="center"/>
          </w:tcPr>
          <w:p>
            <w:pPr>
              <w:pStyle w:val="17"/>
              <w:jc w:val="right"/>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项目编码</w:t>
            </w:r>
          </w:p>
        </w:tc>
        <w:tc>
          <w:tcPr>
            <w:tcW w:w="1706" w:type="pct"/>
            <w:gridSpan w:val="2"/>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13028122P00315610001G</w:t>
            </w:r>
          </w:p>
        </w:tc>
        <w:tc>
          <w:tcPr>
            <w:tcW w:w="101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项目名称</w:t>
            </w:r>
          </w:p>
        </w:tc>
        <w:tc>
          <w:tcPr>
            <w:tcW w:w="1586" w:type="pct"/>
            <w:gridSpan w:val="3"/>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消防改革性、奖励性补贴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预算规模及资金用途</w:t>
            </w:r>
          </w:p>
        </w:tc>
        <w:tc>
          <w:tcPr>
            <w:tcW w:w="90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预算数</w:t>
            </w:r>
          </w:p>
        </w:tc>
        <w:tc>
          <w:tcPr>
            <w:tcW w:w="799"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115.89</w:t>
            </w:r>
          </w:p>
        </w:tc>
        <w:tc>
          <w:tcPr>
            <w:tcW w:w="101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其中：财政资金</w:t>
            </w:r>
          </w:p>
        </w:tc>
        <w:tc>
          <w:tcPr>
            <w:tcW w:w="457"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115.89</w:t>
            </w:r>
          </w:p>
        </w:tc>
        <w:tc>
          <w:tcPr>
            <w:tcW w:w="516"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其他资金</w:t>
            </w:r>
          </w:p>
        </w:tc>
        <w:tc>
          <w:tcPr>
            <w:tcW w:w="612"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4312"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用于消防改革性奖励性补贴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资金支出计划（%）</w:t>
            </w:r>
          </w:p>
        </w:tc>
        <w:tc>
          <w:tcPr>
            <w:tcW w:w="1706"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1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5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29"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1706"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19"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57"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29"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7"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312"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1.2022年消防救援人员改革性和奖励性补贴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8"/>
        <w:gridCol w:w="1131"/>
        <w:gridCol w:w="1894"/>
        <w:gridCol w:w="2541"/>
        <w:gridCol w:w="2776"/>
        <w:gridCol w:w="4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改革性补贴保障人数（人）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实际支付消防救援人员改革性和奖励性补贴经费的人数</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13人,实际消防救援人员改革性和奖励性补贴经费13人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改革性和奖励性补贴保障率（%）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实际保障落实消防救援人员补贴占应保障人数的比例</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100%,保障落实13人消防救援人员改革性和奖励性补贴</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完成率（%）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消防救援人员改革性和奖励性补贴经费是否按时发放落实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100%,消防救援人员改革性和奖励性补贴按时发放落实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消防救援人员改革性和奖励性补贴所需资金成本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≥98%,节约消防救援人员改革性和奖励性资金成本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长期使用性</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消防救援人员补贴经费是否合理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消防救援人员改革性和奖励性经费是否合理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≥98%,消防救援人员改革性和奖励性经费是否合理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社会效果</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保障消防救援人员改革性和奖励性经费的运行情况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≥98%,保障消防救援人员改革性和奖励性经费</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提高消防救援人员改革性和奖励性补贴的生态要求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≥98%，满足生态效益指标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消防救援人员对改革性和奖励性补贴的满意情况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≥98%，消防救援人员对改革性和奖励性补贴的满意情况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依据冀财建【2020】312号河北省财政厅关于提前下达2021年消防救援人员改革性和奖励性补贴的通知</w:t>
            </w:r>
          </w:p>
        </w:tc>
      </w:tr>
    </w:tbl>
    <w:p>
      <w:pPr>
        <w:rPr>
          <w:rFonts w:hint="eastAsia" w:ascii="方正仿宋简体" w:hAnsi="方正仿宋简体" w:eastAsia="方正仿宋简体" w:cs="方正仿宋简体"/>
          <w:b w:val="0"/>
          <w:bCs/>
          <w:kern w:val="2"/>
          <w:sz w:val="21"/>
          <w:szCs w:val="22"/>
          <w:lang w:val="en-US" w:eastAsia="zh-CN" w:bidi="ar-SA"/>
        </w:rPr>
        <w:sectPr>
          <w:pgSz w:w="16840" w:h="11900" w:orient="landscape"/>
          <w:pgMar w:top="1304" w:right="1984" w:bottom="1304" w:left="1134" w:header="720" w:footer="720" w:gutter="0"/>
          <w:cols w:space="720" w:num="1"/>
        </w:sectPr>
      </w:pP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 xml:space="preserve"> </w:t>
      </w:r>
      <w:bookmarkStart w:id="10" w:name="_Toc_4_4_0000000012"/>
      <w:r>
        <w:rPr>
          <w:rFonts w:hint="eastAsia" w:ascii="方正仿宋简体" w:hAnsi="方正仿宋简体" w:eastAsia="方正仿宋简体" w:cs="方正仿宋简体"/>
          <w:color w:val="000000"/>
          <w:sz w:val="28"/>
          <w:lang w:val="en-US" w:eastAsia="zh-CN"/>
        </w:rPr>
        <w:t>9、消防员购买劳务服务经费绩效目标表</w:t>
      </w:r>
      <w:bookmarkEnd w:id="10"/>
    </w:p>
    <w:tbl>
      <w:tblPr>
        <w:tblStyle w:val="9"/>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8"/>
        <w:gridCol w:w="1742"/>
        <w:gridCol w:w="2420"/>
        <w:gridCol w:w="3005"/>
        <w:gridCol w:w="1360"/>
        <w:gridCol w:w="1514"/>
        <w:gridCol w:w="180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4350" w:type="pct"/>
            <w:gridSpan w:val="6"/>
            <w:tcBorders>
              <w:top w:val="single" w:color="FFFFFF" w:sz="6" w:space="0"/>
              <w:left w:val="single" w:color="FFFFFF" w:sz="6" w:space="0"/>
              <w:right w:val="single" w:color="FFFFFF" w:sz="6" w:space="0"/>
            </w:tcBorders>
            <w:noWrap w:val="0"/>
            <w:vAlign w:val="center"/>
          </w:tcPr>
          <w:p>
            <w:pPr>
              <w:pStyle w:val="17"/>
            </w:pPr>
            <w:r>
              <w:rPr>
                <w:rFonts w:hint="eastAsia" w:ascii="方正仿宋简体" w:hAnsi="方正仿宋简体" w:eastAsia="方正仿宋简体" w:cs="方正仿宋简体"/>
              </w:rPr>
              <w:t>887001遵化市消防救援大队本级</w:t>
            </w:r>
          </w:p>
        </w:tc>
        <w:tc>
          <w:tcPr>
            <w:tcW w:w="649" w:type="pct"/>
            <w:tcBorders>
              <w:top w:val="single" w:color="FFFFFF" w:sz="6" w:space="0"/>
              <w:left w:val="single" w:color="FFFFFF" w:sz="6" w:space="0"/>
              <w:right w:val="single" w:color="FFFFFF" w:sz="6" w:space="0"/>
            </w:tcBorders>
            <w:noWrap w:val="0"/>
            <w:vAlign w:val="center"/>
          </w:tcPr>
          <w:p>
            <w:pPr>
              <w:pStyle w:val="19"/>
              <w:jc w:val="right"/>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项目编码</w:t>
            </w:r>
          </w:p>
        </w:tc>
        <w:tc>
          <w:tcPr>
            <w:tcW w:w="1493" w:type="pct"/>
            <w:gridSpan w:val="2"/>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13028122P00295910001W</w:t>
            </w:r>
          </w:p>
        </w:tc>
        <w:tc>
          <w:tcPr>
            <w:tcW w:w="107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项目名称</w:t>
            </w:r>
          </w:p>
        </w:tc>
        <w:tc>
          <w:tcPr>
            <w:tcW w:w="1678" w:type="pct"/>
            <w:gridSpan w:val="3"/>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消防员购买劳务服务经费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预算规模及资金用途</w:t>
            </w:r>
          </w:p>
        </w:tc>
        <w:tc>
          <w:tcPr>
            <w:tcW w:w="625"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预算数</w:t>
            </w:r>
          </w:p>
        </w:tc>
        <w:tc>
          <w:tcPr>
            <w:tcW w:w="867"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256.00</w:t>
            </w:r>
          </w:p>
        </w:tc>
        <w:tc>
          <w:tcPr>
            <w:tcW w:w="107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其中：财政资金</w:t>
            </w:r>
          </w:p>
        </w:tc>
        <w:tc>
          <w:tcPr>
            <w:tcW w:w="488"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256.00</w:t>
            </w:r>
          </w:p>
        </w:tc>
        <w:tc>
          <w:tcPr>
            <w:tcW w:w="540"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其他资金</w:t>
            </w:r>
          </w:p>
        </w:tc>
        <w:tc>
          <w:tcPr>
            <w:tcW w:w="649" w:type="pct"/>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4250" w:type="pct"/>
            <w:gridSpan w:val="6"/>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预算数256万元。其中:财政资金256万元,其他资金0万元。主要用于城南城北消防站90人工资、津贴、高危补助、奖金等。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vMerge w:val="restar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资金支出计划（%）</w:t>
            </w:r>
          </w:p>
        </w:tc>
        <w:tc>
          <w:tcPr>
            <w:tcW w:w="1493"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3月底</w:t>
            </w:r>
          </w:p>
        </w:tc>
        <w:tc>
          <w:tcPr>
            <w:tcW w:w="107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6月底</w:t>
            </w:r>
          </w:p>
        </w:tc>
        <w:tc>
          <w:tcPr>
            <w:tcW w:w="488"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10月底</w:t>
            </w:r>
          </w:p>
        </w:tc>
        <w:tc>
          <w:tcPr>
            <w:tcW w:w="1190" w:type="pct"/>
            <w:gridSpan w:val="2"/>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vMerge w:val="continue"/>
            <w:noWrap w:val="0"/>
            <w:vAlign w:val="top"/>
          </w:tcPr>
          <w:p>
            <w:pPr>
              <w:rPr>
                <w:rFonts w:hint="eastAsia" w:ascii="方正仿宋简体" w:hAnsi="方正仿宋简体" w:eastAsia="方正仿宋简体" w:cs="方正仿宋简体"/>
                <w:b/>
                <w:kern w:val="2"/>
                <w:sz w:val="21"/>
                <w:szCs w:val="22"/>
                <w:lang w:val="en-US" w:eastAsia="zh-CN" w:bidi="ar-SA"/>
              </w:rPr>
            </w:pPr>
          </w:p>
        </w:tc>
        <w:tc>
          <w:tcPr>
            <w:tcW w:w="1493"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30%</w:t>
            </w:r>
          </w:p>
        </w:tc>
        <w:tc>
          <w:tcPr>
            <w:tcW w:w="1078"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60%</w:t>
            </w:r>
          </w:p>
        </w:tc>
        <w:tc>
          <w:tcPr>
            <w:tcW w:w="488" w:type="pc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w:t>
            </w:r>
          </w:p>
        </w:tc>
        <w:tc>
          <w:tcPr>
            <w:tcW w:w="1190" w:type="pct"/>
            <w:gridSpan w:val="2"/>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pct"/>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绩效目标</w:t>
            </w:r>
          </w:p>
        </w:tc>
        <w:tc>
          <w:tcPr>
            <w:tcW w:w="4250" w:type="pct"/>
            <w:gridSpan w:val="6"/>
            <w:noWrap w:val="0"/>
            <w:vAlign w:val="center"/>
          </w:tcPr>
          <w:p>
            <w:pPr>
              <w:pStyle w:val="20"/>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1.消防员的工资、特殊岗位津贴及高危补助等劳务经费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2"/>
        <w:gridCol w:w="1180"/>
        <w:gridCol w:w="1994"/>
        <w:gridCol w:w="2905"/>
        <w:gridCol w:w="3224"/>
        <w:gridCol w:w="3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一级指标</w:t>
            </w:r>
          </w:p>
        </w:tc>
        <w:tc>
          <w:tcPr>
            <w:tcW w:w="1180" w:type="dxa"/>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二级指标</w:t>
            </w:r>
          </w:p>
        </w:tc>
        <w:tc>
          <w:tcPr>
            <w:tcW w:w="1994" w:type="dxa"/>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kern w:val="2"/>
                <w:sz w:val="21"/>
                <w:szCs w:val="22"/>
                <w:lang w:val="en-US" w:eastAsia="zh-CN" w:bidi="ar-SA"/>
              </w:rPr>
            </w:pPr>
            <w:r>
              <w:rPr>
                <w:rFonts w:hint="eastAsia" w:ascii="方正仿宋简体" w:hAnsi="方正仿宋简体" w:eastAsia="方正仿宋简体" w:cs="方正仿宋简体"/>
                <w:b/>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产出指标</w:t>
            </w: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数量指标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服务劳务保障人数（人）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实际支付南北站90人消防员工资经费的人数</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90人,实际支付南北站消防员工资90人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质量指标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消防员征召增长率（%）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 xml:space="preserve">南北站消防员现有数量同比征召增长比率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≥50%,南北站消防员现有数量同比征召增长50%　</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时效指标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工资发放完成率（%）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南北站90人工资经费是否按月发放落实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100%,南北站90人工资经费按月发放落实</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成本指标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消防员工资成本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发放消防员工资的资金成本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≥98%,节约消防员工资资金成本</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效益指标</w:t>
            </w: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可持续影响指标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长期使用性</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经济效益指标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消防员安全经费是否合理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南北站90人工资经费是否符合地方经费管理办法</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≥98%,南北站90人工资经费符合地方经费管理办法</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社会效益指标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达到的社会效果</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保障南北站90人工资经费的每月运行情况</w:t>
            </w:r>
          </w:p>
          <w:p>
            <w:pPr>
              <w:pStyle w:val="20"/>
              <w:rPr>
                <w:rFonts w:hint="eastAsia" w:ascii="方正仿宋简体" w:hAnsi="方正仿宋简体" w:eastAsia="方正仿宋简体" w:cs="方正仿宋简体"/>
                <w:b w:val="0"/>
                <w:bCs/>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≥98%,保障南北站90人工资经费的每月按时发放</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kern w:val="2"/>
                <w:sz w:val="21"/>
                <w:szCs w:val="22"/>
                <w:lang w:val="en-US" w:eastAsia="zh-CN" w:bidi="ar-SA"/>
              </w:rPr>
            </w:pP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提高消防员的生态保护意识</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≥98%,很好的满足生态效益指标</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满意度指标</w:t>
            </w:r>
          </w:p>
        </w:tc>
        <w:tc>
          <w:tcPr>
            <w:tcW w:w="1180"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服务对象满意度指标</w:t>
            </w:r>
          </w:p>
        </w:tc>
        <w:tc>
          <w:tcPr>
            <w:tcW w:w="1994" w:type="dxa"/>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服务对象满意度</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消防员对人事管理工作及工资待遇的满意情况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≥98%,消防员对人事管理工作及工资待遇的满意情况</w:t>
            </w:r>
          </w:p>
        </w:tc>
        <w:tc>
          <w:tcPr>
            <w:tcW w:w="0" w:type="auto"/>
            <w:noWrap w:val="0"/>
            <w:vAlign w:val="center"/>
          </w:tcPr>
          <w:p>
            <w:pPr>
              <w:pStyle w:val="20"/>
              <w:rPr>
                <w:rFonts w:hint="eastAsia" w:ascii="方正仿宋简体" w:hAnsi="方正仿宋简体" w:eastAsia="方正仿宋简体" w:cs="方正仿宋简体"/>
                <w:b w:val="0"/>
                <w:bCs/>
                <w:kern w:val="2"/>
                <w:sz w:val="21"/>
                <w:szCs w:val="22"/>
                <w:lang w:val="en-US" w:eastAsia="zh-CN" w:bidi="ar-SA"/>
              </w:rPr>
            </w:pPr>
            <w:r>
              <w:rPr>
                <w:rFonts w:hint="eastAsia" w:ascii="方正仿宋简体" w:hAnsi="方正仿宋简体" w:eastAsia="方正仿宋简体" w:cs="方正仿宋简体"/>
                <w:b w:val="0"/>
                <w:bCs/>
                <w:kern w:val="2"/>
                <w:sz w:val="21"/>
                <w:szCs w:val="22"/>
                <w:lang w:val="en-US" w:eastAsia="zh-CN" w:bidi="ar-SA"/>
              </w:rPr>
              <w:t>《河北省财政厅关于转发财政部《地方经费管理办法》的通知》</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outlineLvl w:val="3"/>
        <w:rPr>
          <w:rFonts w:hint="eastAsia" w:ascii="方正仿宋简体" w:hAnsi="方正仿宋简体" w:eastAsia="方正仿宋简体" w:cs="方正仿宋简体"/>
          <w:color w:val="000000"/>
          <w:sz w:val="28"/>
          <w:lang w:val="en-US" w:eastAsia="zh-CN"/>
        </w:rPr>
      </w:pPr>
      <w:bookmarkStart w:id="11" w:name="_Toc_4_4_0000000013"/>
      <w:r>
        <w:rPr>
          <w:rFonts w:hint="eastAsia" w:ascii="方正仿宋简体" w:hAnsi="方正仿宋简体" w:eastAsia="方正仿宋简体" w:cs="方正仿宋简体"/>
          <w:color w:val="000000"/>
          <w:sz w:val="28"/>
          <w:lang w:val="en-US" w:eastAsia="zh-CN"/>
        </w:rPr>
        <w:t>10、消防员后勤保障经费绩效目标表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26"/>
        <w:gridCol w:w="4040"/>
        <w:gridCol w:w="2505"/>
        <w:gridCol w:w="1734"/>
        <w:gridCol w:w="996"/>
        <w:gridCol w:w="1087"/>
        <w:gridCol w:w="12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87" w:type="dxa"/>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0" w:type="auto"/>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6196" w:type="dxa"/>
            <w:gridSpan w:val="2"/>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13028122P00047D10002R</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0" w:type="auto"/>
            <w:gridSpan w:val="3"/>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3824"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100.00</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100.00</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11719" w:type="dxa"/>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预算数100万元.其中:财政资金100万元,其他资金0万元。主要用于城南消防站50人、城北消防站40人伙食费服装费等。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6196" w:type="dxa"/>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0" w:type="auto"/>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6196" w:type="dxa"/>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w:t>
            </w:r>
          </w:p>
        </w:tc>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w:t>
            </w:r>
          </w:p>
        </w:tc>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w:t>
            </w:r>
          </w:p>
        </w:tc>
        <w:tc>
          <w:tcPr>
            <w:tcW w:w="0" w:type="auto"/>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19"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11719" w:type="dxa"/>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1.保障城南消防站50人、城北消防站40人伙食费服装费供给</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5"/>
        <w:gridCol w:w="1347"/>
        <w:gridCol w:w="1997"/>
        <w:gridCol w:w="2938"/>
        <w:gridCol w:w="3143"/>
        <w:gridCol w:w="36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后勤保障人数（人）</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实际支付消防员后勤保障经费的人数</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90人,实际支付消防员后勤保障经费90人</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消防员征召增长率（%）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消防员数量同比征召增长比率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≥50%,消防员现有数量同比征召增长50%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完成率（%）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消防员后勤保障经费是否按月发放落实</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100%,消防员后勤保障经费按月发放落实</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伙食费、服装费的资金成本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节约伙食费、服装费的资金成本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≥98%,节约伙食费、服装费的资金成本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长期使用性</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≥98%,能够长期较好地满足使用者对各项指标的要求</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消防员后勤保障经费是否合理</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消防员的后勤保障经费是否符合地方消费管理办法</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100%,消防员后勤保障经费符合地方经费管理办法</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社会效果</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保障消防员后勤保障经费的运行情况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≥98%,消防员后勤保障经费每月按时发放</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提高伙食费、服装费等后勤采购的生态要求</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≥98%,很好的满足生态效益指标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服务对象满意度</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消防员对人事管理工作的满意情况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≥98%,消防员对人事管理工作及工资待遇的满意情况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outlineLvl w:val="3"/>
        <w:rPr>
          <w:rFonts w:hint="eastAsia" w:ascii="方正仿宋简体" w:hAnsi="方正仿宋简体" w:eastAsia="方正仿宋简体" w:cs="方正仿宋简体"/>
          <w:color w:val="000000"/>
          <w:sz w:val="28"/>
          <w:lang w:val="en-US" w:eastAsia="zh-CN"/>
        </w:rPr>
      </w:pPr>
      <w:bookmarkStart w:id="12" w:name="_Toc_4_4_0000000014"/>
      <w:r>
        <w:rPr>
          <w:rFonts w:hint="eastAsia" w:ascii="方正仿宋简体" w:hAnsi="方正仿宋简体" w:eastAsia="方正仿宋简体" w:cs="方正仿宋简体"/>
          <w:color w:val="000000"/>
          <w:sz w:val="28"/>
          <w:lang w:val="en-US" w:eastAsia="zh-CN"/>
        </w:rPr>
        <w:t>11、消防站车辆维护运行费绩效目标表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55"/>
        <w:gridCol w:w="2244"/>
        <w:gridCol w:w="3840"/>
        <w:gridCol w:w="1973"/>
        <w:gridCol w:w="1109"/>
        <w:gridCol w:w="1236"/>
        <w:gridCol w:w="14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0" w:type="auto"/>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5"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5200" w:type="dxa"/>
            <w:gridSpan w:val="2"/>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13028122P002966100013</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0" w:type="auto"/>
            <w:gridSpan w:val="3"/>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消防站车辆维护运行费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5" w:type="dxa"/>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1918"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w:t>
            </w:r>
            <w:r>
              <w:rPr>
                <w:rFonts w:hint="eastAsia" w:ascii="方正仿宋简体" w:hAnsi="方正仿宋简体" w:eastAsia="方正仿宋简体" w:cs="方正仿宋简体"/>
                <w:b w:val="0"/>
                <w:bCs w:val="0"/>
                <w:kern w:val="2"/>
                <w:sz w:val="21"/>
                <w:szCs w:val="22"/>
                <w:lang w:val="en-US" w:eastAsia="zh-CN" w:bidi="ar-SA"/>
              </w:rPr>
              <w:t>00.00</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100.00</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0" w:type="auto"/>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5" w:type="dxa"/>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11883" w:type="dxa"/>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预算数100万元.其中:财政资金100万元,其他资金0万元。主要用于城南城北灭火、专勤车12辆、举高消防车6辆、战勤保障车4辆，共22辆消防车车辆维护运行费。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2055" w:type="dxa"/>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5200" w:type="dxa"/>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0" w:type="auto"/>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5" w:type="dxa"/>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5200" w:type="dxa"/>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w:t>
            </w:r>
          </w:p>
        </w:tc>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w:t>
            </w:r>
          </w:p>
        </w:tc>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w:t>
            </w:r>
          </w:p>
        </w:tc>
        <w:tc>
          <w:tcPr>
            <w:tcW w:w="0" w:type="auto"/>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5"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11883" w:type="dxa"/>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1.提高消防车使用效率，为消防防火工作打下坚实基础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3"/>
        <w:gridCol w:w="1162"/>
        <w:gridCol w:w="2038"/>
        <w:gridCol w:w="4089"/>
        <w:gridCol w:w="2157"/>
        <w:gridCol w:w="36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一级指标</w:t>
            </w:r>
          </w:p>
        </w:tc>
        <w:tc>
          <w:tcPr>
            <w:tcW w:w="1162"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二级指标</w:t>
            </w:r>
          </w:p>
        </w:tc>
        <w:tc>
          <w:tcPr>
            <w:tcW w:w="2037" w:type="dxa"/>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产出指标</w:t>
            </w: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数量指标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车辆耗材购置数量（组）</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车辆维护维修所需专用耗材的购置数量</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20辆,有20辆车需要维护</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质量指标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车辆维护维修率（%）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设备（含车辆）维修率=设备维修维护的时间/设备全年工作时间*100%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≥95%,车辆维修后达到的使用效果</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时效指标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车辆维修维护及时性</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消防站车辆故障时是否及时进行维护维修</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≥95%,及时对车辆进行维修</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成本指标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车辆维护运行费的资金成本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日常车辆维护运行所需的资金成本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≥95%,节约车辆维修成本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效益指标</w:t>
            </w: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可持续影响指标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维修后设备使用率（%）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设备使用率=设备实际使用时间/设备计划使用时间*100%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≥95%,设备维修后的使用率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经济效益指标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车辆维护运行费的资金成本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日常车辆维护运行所需的资金成本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≥98%,节约车辆维修成本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社会效益指标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车辆维护资金经济合理性</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日常车辆维护运行所需资金达到的经济合理性</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≥98%,提升业务保障能力</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加强节约集约利用</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加强节约集约利用，促进生态文明建设</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≥98%,加强节约集中利用</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满意度指标</w:t>
            </w:r>
          </w:p>
        </w:tc>
        <w:tc>
          <w:tcPr>
            <w:tcW w:w="1162"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服务对象满意度指标</w:t>
            </w:r>
          </w:p>
        </w:tc>
        <w:tc>
          <w:tcPr>
            <w:tcW w:w="2037" w:type="dxa"/>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提升公共服务水平</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车辆维护维修对消防公共服务水平的提升情况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≥98%,有利于提升公共服务水平</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bl>
    <w:p>
      <w:pPr>
        <w:sectPr>
          <w:pgSz w:w="16840" w:h="11900" w:orient="landscape"/>
          <w:pgMar w:top="1304" w:right="1984" w:bottom="1304" w:left="1134" w:header="720" w:footer="720" w:gutter="0"/>
          <w:cols w:space="720" w:num="1"/>
        </w:sectPr>
      </w:pPr>
    </w:p>
    <w:p>
      <w:pPr>
        <w:outlineLvl w:val="3"/>
        <w:rPr>
          <w:rFonts w:hint="eastAsia" w:ascii="方正仿宋简体" w:hAnsi="方正仿宋简体" w:eastAsia="方正仿宋简体" w:cs="方正仿宋简体"/>
          <w:color w:val="000000"/>
          <w:sz w:val="28"/>
          <w:lang w:val="en-US" w:eastAsia="zh-CN"/>
        </w:rPr>
      </w:pPr>
      <w:bookmarkStart w:id="13" w:name="_Toc_4_4_0000000015"/>
      <w:r>
        <w:rPr>
          <w:rFonts w:hint="eastAsia" w:ascii="方正仿宋简体" w:hAnsi="方正仿宋简体" w:eastAsia="方正仿宋简体" w:cs="方正仿宋简体"/>
          <w:color w:val="000000"/>
          <w:sz w:val="28"/>
          <w:lang w:val="en-US" w:eastAsia="zh-CN"/>
        </w:rPr>
        <w:t>12、消防站购置战斗服绩效目标表</w:t>
      </w:r>
      <w:bookmarkEnd w:id="13"/>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01"/>
        <w:gridCol w:w="2380"/>
        <w:gridCol w:w="2085"/>
        <w:gridCol w:w="2843"/>
        <w:gridCol w:w="1276"/>
        <w:gridCol w:w="1441"/>
        <w:gridCol w:w="17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7" w:type="pct"/>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612" w:type="pct"/>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1602" w:type="pct"/>
            <w:gridSpan w:val="2"/>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13028122P00314910001A</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1586" w:type="pct"/>
            <w:gridSpan w:val="3"/>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消防站购置战斗服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854"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748"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30.00</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458"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30.00</w:t>
            </w:r>
          </w:p>
        </w:tc>
        <w:tc>
          <w:tcPr>
            <w:tcW w:w="514"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612"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4209" w:type="pct"/>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用于消防站购置战斗服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1602"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458"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1127"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1602" w:type="pct"/>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w:t>
            </w:r>
          </w:p>
        </w:tc>
        <w:tc>
          <w:tcPr>
            <w:tcW w:w="1020" w:type="pc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w:t>
            </w:r>
          </w:p>
        </w:tc>
        <w:tc>
          <w:tcPr>
            <w:tcW w:w="458" w:type="pc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w:t>
            </w:r>
          </w:p>
        </w:tc>
        <w:tc>
          <w:tcPr>
            <w:tcW w:w="1127" w:type="pct"/>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4209" w:type="pct"/>
            <w:gridSpan w:val="6"/>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1.保障消防战斗服配备齐全，为消防火灾防范工作打下基础。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8"/>
        <w:gridCol w:w="1332"/>
        <w:gridCol w:w="1903"/>
        <w:gridCol w:w="3378"/>
        <w:gridCol w:w="2868"/>
        <w:gridCol w:w="3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专业设备购置数量（台/套）</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新增购置消防战斗服的数量</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60套，新增消防战斗服60套</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购置质量合格率（%）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购置质量合格的数量占购置总数量的比率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≥95%，购置质量合格的数量占95%以上</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购置计划执行率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购置计划执行率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≥95%，有效按计划执行战斗服的购买</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购置战斗服资金成本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战斗服购置的资金成本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≥98%，本着节约资金成本的原则</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设备使用率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设备使用率=设备实际使用时间/设备计划使用时间*100%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≥95%，提高战斗服使用效率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降低战斗服购置的成本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降低节约战斗服购置的成本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≥98%，降低购买战斗服的成本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业务保障能力提升情况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购置战斗服对业务保障能力的提升情况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≥98%，购置战斗服对业务保障能力的提升情况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提高战斗服购置的生态要求</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≥98%,满足战斗服购置生态效益指标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提升公共服务水平</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购置战斗服对公共服务水平的提升情况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 对公共服务水平的提升情况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bl>
    <w:p>
      <w:pPr>
        <w:rPr>
          <w:rFonts w:hint="eastAsia" w:ascii="方正仿宋简体" w:hAnsi="方正仿宋简体" w:eastAsia="方正仿宋简体" w:cs="方正仿宋简体"/>
          <w:b w:val="0"/>
          <w:bCs w:val="0"/>
          <w:kern w:val="2"/>
          <w:sz w:val="21"/>
          <w:szCs w:val="22"/>
          <w:lang w:val="en-US" w:eastAsia="zh-CN" w:bidi="ar-SA"/>
        </w:r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outlineLvl w:val="3"/>
        <w:rPr>
          <w:rFonts w:hint="eastAsia" w:ascii="方正仿宋简体" w:hAnsi="方正仿宋简体" w:eastAsia="方正仿宋简体" w:cs="方正仿宋简体"/>
          <w:color w:val="000000"/>
          <w:sz w:val="28"/>
          <w:lang w:val="en-US" w:eastAsia="zh-CN"/>
        </w:rPr>
      </w:pPr>
      <w:r>
        <w:rPr>
          <w:rFonts w:hint="eastAsia" w:ascii="方正仿宋简体" w:hAnsi="方正仿宋简体" w:eastAsia="方正仿宋简体" w:cs="方正仿宋简体"/>
          <w:color w:val="000000"/>
          <w:sz w:val="28"/>
          <w:lang w:val="en-US" w:eastAsia="zh-CN"/>
        </w:rPr>
        <w:t>13、消防站抢险救援器材绩效目标表</w:t>
      </w:r>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18"/>
        <w:gridCol w:w="2466"/>
        <w:gridCol w:w="2084"/>
        <w:gridCol w:w="2842"/>
        <w:gridCol w:w="1279"/>
        <w:gridCol w:w="1435"/>
        <w:gridCol w:w="17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7" w:type="pct"/>
            <w:gridSpan w:val="6"/>
            <w:tcBorders>
              <w:top w:val="single" w:color="FFFFFF" w:sz="6" w:space="0"/>
              <w:left w:val="single" w:color="FFFFFF" w:sz="6" w:space="0"/>
              <w:right w:val="single" w:color="FFFFFF" w:sz="6" w:space="0"/>
            </w:tcBorders>
            <w:noWrap w:val="0"/>
            <w:vAlign w:val="center"/>
          </w:tcPr>
          <w:p>
            <w:pPr>
              <w:pStyle w:val="17"/>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887001遵化市消防救援大队本级</w:t>
            </w:r>
          </w:p>
        </w:tc>
        <w:tc>
          <w:tcPr>
            <w:tcW w:w="612" w:type="pct"/>
            <w:tcBorders>
              <w:top w:val="single" w:color="FFFFFF" w:sz="6" w:space="0"/>
              <w:left w:val="single" w:color="FFFFFF" w:sz="6" w:space="0"/>
              <w:right w:val="single" w:color="FFFFFF" w:sz="6" w:space="0"/>
            </w:tcBorders>
            <w:noWrap w:val="0"/>
            <w:vAlign w:val="center"/>
          </w:tcPr>
          <w:p>
            <w:pPr>
              <w:pStyle w:val="18"/>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项目编码</w:t>
            </w:r>
          </w:p>
        </w:tc>
        <w:tc>
          <w:tcPr>
            <w:tcW w:w="1633" w:type="pct"/>
            <w:gridSpan w:val="2"/>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13028122P00821C10002X</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项目名称</w:t>
            </w:r>
          </w:p>
        </w:tc>
        <w:tc>
          <w:tcPr>
            <w:tcW w:w="1585" w:type="pct"/>
            <w:gridSpan w:val="3"/>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消防站抢险救援器材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预算规模及资金用途</w:t>
            </w:r>
          </w:p>
        </w:tc>
        <w:tc>
          <w:tcPr>
            <w:tcW w:w="885"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预算数</w:t>
            </w:r>
          </w:p>
        </w:tc>
        <w:tc>
          <w:tcPr>
            <w:tcW w:w="748"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30.00</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其中：财政资金</w:t>
            </w:r>
          </w:p>
        </w:tc>
        <w:tc>
          <w:tcPr>
            <w:tcW w:w="459"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30.00</w:t>
            </w:r>
          </w:p>
        </w:tc>
        <w:tc>
          <w:tcPr>
            <w:tcW w:w="513"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其他资金</w:t>
            </w:r>
          </w:p>
        </w:tc>
        <w:tc>
          <w:tcPr>
            <w:tcW w:w="612" w:type="pct"/>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4239" w:type="pct"/>
            <w:gridSpan w:val="6"/>
            <w:noWrap w:val="0"/>
            <w:vAlign w:val="center"/>
          </w:tcPr>
          <w:p>
            <w:pPr>
              <w:pStyle w:val="20"/>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用于消防站抢险救援器材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vMerge w:val="restar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资金支出计划（%）</w:t>
            </w:r>
          </w:p>
        </w:tc>
        <w:tc>
          <w:tcPr>
            <w:tcW w:w="1633"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3月底</w:t>
            </w:r>
          </w:p>
        </w:tc>
        <w:tc>
          <w:tcPr>
            <w:tcW w:w="102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6月底</w:t>
            </w:r>
          </w:p>
        </w:tc>
        <w:tc>
          <w:tcPr>
            <w:tcW w:w="459"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10月底</w:t>
            </w:r>
          </w:p>
        </w:tc>
        <w:tc>
          <w:tcPr>
            <w:tcW w:w="1126" w:type="pct"/>
            <w:gridSpan w:val="2"/>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vMerge w:val="continue"/>
            <w:noWrap w:val="0"/>
            <w:vAlign w:val="top"/>
          </w:tcPr>
          <w:p>
            <w:pPr>
              <w:rPr>
                <w:rFonts w:hint="eastAsia" w:ascii="方正仿宋简体" w:hAnsi="方正仿宋简体" w:eastAsia="方正仿宋简体" w:cs="方正仿宋简体"/>
                <w:b/>
                <w:bCs/>
                <w:kern w:val="2"/>
                <w:sz w:val="21"/>
                <w:szCs w:val="22"/>
                <w:lang w:val="en-US" w:eastAsia="zh-CN" w:bidi="ar-SA"/>
              </w:rPr>
            </w:pPr>
          </w:p>
        </w:tc>
        <w:tc>
          <w:tcPr>
            <w:tcW w:w="1633" w:type="pct"/>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30%</w:t>
            </w:r>
          </w:p>
        </w:tc>
        <w:tc>
          <w:tcPr>
            <w:tcW w:w="1020" w:type="pc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60%</w:t>
            </w:r>
          </w:p>
        </w:tc>
        <w:tc>
          <w:tcPr>
            <w:tcW w:w="459" w:type="pc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90%</w:t>
            </w:r>
          </w:p>
        </w:tc>
        <w:tc>
          <w:tcPr>
            <w:tcW w:w="1126" w:type="pct"/>
            <w:gridSpan w:val="2"/>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0" w:type="pct"/>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绩效目标</w:t>
            </w:r>
          </w:p>
        </w:tc>
        <w:tc>
          <w:tcPr>
            <w:tcW w:w="4239" w:type="pct"/>
            <w:gridSpan w:val="6"/>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1.保障抢险救援器材的配备齐全，为消防火灾防范工作打下基础。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3"/>
        <w:gridCol w:w="1261"/>
        <w:gridCol w:w="1967"/>
        <w:gridCol w:w="3181"/>
        <w:gridCol w:w="3337"/>
        <w:gridCol w:w="3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blHeader/>
          <w:jc w:val="center"/>
        </w:trPr>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一级指标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二级指标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三级指标</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绩效指标描述</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w:t>
            </w:r>
          </w:p>
        </w:tc>
        <w:tc>
          <w:tcPr>
            <w:tcW w:w="0" w:type="auto"/>
            <w:noWrap w:val="0"/>
            <w:vAlign w:val="center"/>
          </w:tcPr>
          <w:p>
            <w:pPr>
              <w:pStyle w:val="19"/>
              <w:rPr>
                <w:rFonts w:hint="eastAsia" w:ascii="方正仿宋简体" w:hAnsi="方正仿宋简体" w:eastAsia="方正仿宋简体" w:cs="方正仿宋简体"/>
                <w:b/>
                <w:bCs/>
                <w:kern w:val="2"/>
                <w:sz w:val="21"/>
                <w:szCs w:val="22"/>
                <w:lang w:val="en-US" w:eastAsia="zh-CN" w:bidi="ar-SA"/>
              </w:rPr>
            </w:pPr>
            <w:r>
              <w:rPr>
                <w:rFonts w:hint="eastAsia" w:ascii="方正仿宋简体" w:hAnsi="方正仿宋简体" w:eastAsia="方正仿宋简体" w:cs="方正仿宋简体"/>
                <w:b/>
                <w:bCs/>
                <w:kern w:val="2"/>
                <w:sz w:val="21"/>
                <w:szCs w:val="22"/>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产出指标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数量指标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专业设备购置数量（台/件/辆）</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新增消防站抢险救援器材的数量</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80台，新增消防站抢险救援器材80台</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质量指标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购置质量合格率（%）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购置质量合格的数量占购置总数量的比率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≥95%，购置质量合格的数量占95%以上</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时效指标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购置计划执行率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购置计划执行率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≥95%，有效按计划执行器材购买</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成本指标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购置消防器材资金成本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消防器材购置的资金成本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≥98%，本着节约资金成本的原则</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可持续影响指标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器材使用率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 xml:space="preserve">器材使用率=器材实际使用时间/器材计划使用时间*100%　 </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≥95%，提高器材使用效率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1"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经济效益指标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降低消防器材购置的成本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降低节约消防器材购置的成本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≥95%，降低购买器材的成本</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6"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社会效益指标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业务保障能力提升情况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购置消防站抢险救援器材对业务保障能力的提升情况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≥98%，购置消防站抢险救援器材对业务保障能力的提升情况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4" w:hRule="atLeast"/>
          <w:jc w:val="center"/>
        </w:trPr>
        <w:tc>
          <w:tcPr>
            <w:tcW w:w="0" w:type="auto"/>
            <w:vMerge w:val="continue"/>
            <w:noWrap w:val="0"/>
            <w:vAlign w:val="center"/>
          </w:tcPr>
          <w:p>
            <w:pPr>
              <w:rPr>
                <w:rFonts w:hint="eastAsia" w:ascii="方正仿宋简体" w:hAnsi="方正仿宋简体" w:eastAsia="方正仿宋简体" w:cs="方正仿宋简体"/>
                <w:b w:val="0"/>
                <w:bCs w:val="0"/>
                <w:kern w:val="2"/>
                <w:sz w:val="21"/>
                <w:szCs w:val="22"/>
                <w:lang w:val="en-US" w:eastAsia="zh-CN" w:bidi="ar-SA"/>
              </w:rPr>
            </w:pP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生态效益意识增强</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提高消防器材购置的生态要求</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≥98%,满足消防器材购置生态效益指标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8" w:hRule="atLeast"/>
          <w:jc w:val="center"/>
        </w:trPr>
        <w:tc>
          <w:tcPr>
            <w:tcW w:w="0" w:type="auto"/>
            <w:noWrap w:val="0"/>
            <w:vAlign w:val="center"/>
          </w:tcPr>
          <w:p>
            <w:pPr>
              <w:pStyle w:val="21"/>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服务对象满意度指标</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提升公共服务水平</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购置抢险救援器材对公共服务水平的提升情况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≥98%, 对公共服务水平的提升情况</w:t>
            </w:r>
          </w:p>
        </w:tc>
        <w:tc>
          <w:tcPr>
            <w:tcW w:w="0" w:type="auto"/>
            <w:noWrap w:val="0"/>
            <w:vAlign w:val="center"/>
          </w:tcPr>
          <w:p>
            <w:pPr>
              <w:pStyle w:val="20"/>
              <w:rPr>
                <w:rFonts w:hint="eastAsia" w:ascii="方正仿宋简体" w:hAnsi="方正仿宋简体" w:eastAsia="方正仿宋简体" w:cs="方正仿宋简体"/>
                <w:b w:val="0"/>
                <w:bCs w:val="0"/>
                <w:kern w:val="2"/>
                <w:sz w:val="21"/>
                <w:szCs w:val="22"/>
                <w:lang w:val="en-US" w:eastAsia="zh-CN" w:bidi="ar-SA"/>
              </w:rPr>
            </w:pPr>
            <w:r>
              <w:rPr>
                <w:rFonts w:hint="eastAsia" w:ascii="方正仿宋简体" w:hAnsi="方正仿宋简体" w:eastAsia="方正仿宋简体" w:cs="方正仿宋简体"/>
                <w:b w:val="0"/>
                <w:bCs w:val="0"/>
                <w:kern w:val="2"/>
                <w:sz w:val="21"/>
                <w:szCs w:val="22"/>
                <w:lang w:val="en-US" w:eastAsia="zh-CN" w:bidi="ar-SA"/>
              </w:rPr>
              <w:t>《河北省财政厅关于转发财政部《地方经费管理办法》的通知》</w:t>
            </w:r>
          </w:p>
        </w:tc>
      </w:tr>
    </w:tbl>
    <w:p>
      <w:pPr>
        <w:sectPr>
          <w:pgSz w:w="16840" w:h="11900" w:orient="landscape"/>
          <w:pgMar w:top="1304" w:right="1984" w:bottom="1304" w:left="1134" w:header="720" w:footer="720" w:gutter="0"/>
          <w:cols w:space="720" w:num="1"/>
        </w:sectPr>
      </w:pPr>
    </w:p>
    <w:p>
      <w:pPr>
        <w:ind w:firstLine="640" w:firstLineChars="200"/>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p>
    <w:p>
      <w:pPr>
        <w:spacing w:line="560" w:lineRule="exact"/>
        <w:ind w:firstLine="640" w:firstLineChars="200"/>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val="en-US" w:eastAsia="zh-CN"/>
        </w:rPr>
        <w:t>2022年，遵化市消防救援大队本级安排政府采购预算0.00万元。</w:t>
      </w:r>
    </w:p>
    <w:p>
      <w:pPr>
        <w:spacing w:line="560" w:lineRule="exact"/>
        <w:jc w:val="center"/>
        <w:rPr>
          <w:rFonts w:hint="eastAsia" w:ascii="方正仿宋简体" w:hAnsi="方正仿宋简体" w:eastAsia="方正仿宋简体" w:cs="方正仿宋简体"/>
          <w:sz w:val="32"/>
          <w:szCs w:val="32"/>
        </w:rPr>
      </w:pPr>
      <w:r>
        <w:rPr>
          <w:rFonts w:hint="eastAsia" w:ascii="宋体" w:hAnsi="宋体" w:eastAsia="方正仿宋简体" w:cs="方正仿宋简体"/>
          <w:color w:val="000000"/>
          <w:sz w:val="32"/>
          <w:szCs w:val="32"/>
          <w:lang w:eastAsia="zh-CN"/>
        </w:rPr>
        <w:t>本级</w:t>
      </w:r>
      <w:r>
        <w:rPr>
          <w:rFonts w:hint="eastAsia" w:ascii="宋体" w:hAnsi="宋体" w:eastAsia="方正仿宋简体" w:cs="方正仿宋简体"/>
          <w:color w:val="000000"/>
          <w:sz w:val="32"/>
          <w:szCs w:val="32"/>
        </w:rPr>
        <w:t>政府采购预算</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887001</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消防救援大队本级</w:t>
            </w:r>
          </w:p>
        </w:tc>
        <w:tc>
          <w:tcPr>
            <w:tcW w:w="6985"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政府采购项目来源</w:t>
            </w:r>
          </w:p>
        </w:tc>
        <w:tc>
          <w:tcPr>
            <w:tcW w:w="1245" w:type="dxa"/>
            <w:vMerge w:val="restart"/>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采购物品名称</w:t>
            </w:r>
          </w:p>
        </w:tc>
        <w:tc>
          <w:tcPr>
            <w:tcW w:w="1410" w:type="dxa"/>
            <w:vMerge w:val="restart"/>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政府采购目录序号</w:t>
            </w:r>
          </w:p>
        </w:tc>
        <w:tc>
          <w:tcPr>
            <w:tcW w:w="1065" w:type="dxa"/>
            <w:vMerge w:val="restart"/>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计量单位</w:t>
            </w:r>
          </w:p>
        </w:tc>
        <w:tc>
          <w:tcPr>
            <w:tcW w:w="1020" w:type="dxa"/>
            <w:vMerge w:val="restart"/>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数量</w:t>
            </w:r>
          </w:p>
        </w:tc>
        <w:tc>
          <w:tcPr>
            <w:tcW w:w="953" w:type="dxa"/>
            <w:vMerge w:val="restart"/>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单价</w:t>
            </w:r>
          </w:p>
        </w:tc>
        <w:tc>
          <w:tcPr>
            <w:tcW w:w="6985" w:type="dxa"/>
            <w:gridSpan w:val="6"/>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政府采购金额（当年</w:t>
            </w:r>
            <w:r>
              <w:rPr>
                <w:rFonts w:hint="eastAsia" w:ascii="方正仿宋简体" w:hAnsi="方正仿宋简体" w:eastAsia="方正仿宋简体" w:cs="方正仿宋简体"/>
                <w:bCs/>
                <w:sz w:val="21"/>
                <w:szCs w:val="21"/>
                <w:lang w:eastAsia="zh-CN"/>
              </w:rPr>
              <w:t>本级</w:t>
            </w:r>
            <w:r>
              <w:rPr>
                <w:rFonts w:hint="eastAsia" w:ascii="方正仿宋简体" w:hAnsi="方正仿宋简体" w:eastAsia="方正仿宋简体" w:cs="方正仿宋简体"/>
                <w:bCs/>
                <w:sz w:val="21"/>
                <w:szCs w:val="21"/>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6" w:hRule="atLeast"/>
          <w:tblHeader/>
          <w:jc w:val="center"/>
        </w:trPr>
        <w:tc>
          <w:tcPr>
            <w:tcW w:w="1027"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项目名称</w:t>
            </w:r>
          </w:p>
        </w:tc>
        <w:tc>
          <w:tcPr>
            <w:tcW w:w="1035"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预算资金</w:t>
            </w:r>
          </w:p>
        </w:tc>
        <w:tc>
          <w:tcPr>
            <w:tcW w:w="1245" w:type="dxa"/>
            <w:vMerge w:val="continue"/>
            <w:noWrap w:val="0"/>
            <w:vAlign w:val="center"/>
          </w:tcPr>
          <w:p>
            <w:pPr>
              <w:jc w:val="left"/>
              <w:rPr>
                <w:rFonts w:hint="eastAsia" w:ascii="方正仿宋简体" w:hAnsi="方正仿宋简体" w:eastAsia="方正仿宋简体" w:cs="方正仿宋简体"/>
                <w:bCs/>
                <w:sz w:val="21"/>
                <w:szCs w:val="21"/>
              </w:rPr>
            </w:pPr>
          </w:p>
        </w:tc>
        <w:tc>
          <w:tcPr>
            <w:tcW w:w="1410" w:type="dxa"/>
            <w:vMerge w:val="continue"/>
            <w:noWrap w:val="0"/>
            <w:vAlign w:val="center"/>
          </w:tcPr>
          <w:p>
            <w:pPr>
              <w:jc w:val="left"/>
              <w:rPr>
                <w:rFonts w:hint="eastAsia" w:ascii="方正仿宋简体" w:hAnsi="方正仿宋简体" w:eastAsia="方正仿宋简体" w:cs="方正仿宋简体"/>
                <w:bCs/>
                <w:sz w:val="21"/>
                <w:szCs w:val="21"/>
              </w:rPr>
            </w:pPr>
          </w:p>
        </w:tc>
        <w:tc>
          <w:tcPr>
            <w:tcW w:w="1065" w:type="dxa"/>
            <w:vMerge w:val="continue"/>
            <w:noWrap w:val="0"/>
            <w:vAlign w:val="center"/>
          </w:tcPr>
          <w:p>
            <w:pPr>
              <w:jc w:val="left"/>
              <w:rPr>
                <w:rFonts w:hint="eastAsia" w:ascii="方正仿宋简体" w:hAnsi="方正仿宋简体" w:eastAsia="方正仿宋简体" w:cs="方正仿宋简体"/>
                <w:bCs/>
                <w:sz w:val="21"/>
                <w:szCs w:val="21"/>
              </w:rPr>
            </w:pPr>
          </w:p>
        </w:tc>
        <w:tc>
          <w:tcPr>
            <w:tcW w:w="1020" w:type="dxa"/>
            <w:vMerge w:val="continue"/>
            <w:noWrap w:val="0"/>
            <w:vAlign w:val="center"/>
          </w:tcPr>
          <w:p>
            <w:pPr>
              <w:jc w:val="left"/>
              <w:rPr>
                <w:rFonts w:hint="eastAsia" w:ascii="方正仿宋简体" w:hAnsi="方正仿宋简体" w:eastAsia="方正仿宋简体" w:cs="方正仿宋简体"/>
                <w:bCs/>
                <w:sz w:val="21"/>
                <w:szCs w:val="21"/>
              </w:rPr>
            </w:pPr>
          </w:p>
        </w:tc>
        <w:tc>
          <w:tcPr>
            <w:tcW w:w="953" w:type="dxa"/>
            <w:vMerge w:val="continue"/>
            <w:noWrap w:val="0"/>
            <w:vAlign w:val="center"/>
          </w:tcPr>
          <w:p>
            <w:pPr>
              <w:jc w:val="left"/>
              <w:rPr>
                <w:rFonts w:hint="eastAsia" w:ascii="方正仿宋简体" w:hAnsi="方正仿宋简体" w:eastAsia="方正仿宋简体" w:cs="方正仿宋简体"/>
                <w:bCs/>
                <w:sz w:val="21"/>
                <w:szCs w:val="21"/>
              </w:rPr>
            </w:pPr>
          </w:p>
        </w:tc>
        <w:tc>
          <w:tcPr>
            <w:tcW w:w="827"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合计</w:t>
            </w:r>
          </w:p>
        </w:tc>
        <w:tc>
          <w:tcPr>
            <w:tcW w:w="1398"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一般公共预算拨款</w:t>
            </w:r>
          </w:p>
        </w:tc>
        <w:tc>
          <w:tcPr>
            <w:tcW w:w="1149"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基金预算拨款</w:t>
            </w:r>
          </w:p>
        </w:tc>
        <w:tc>
          <w:tcPr>
            <w:tcW w:w="1487"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国有资本经营预算拨款</w:t>
            </w:r>
          </w:p>
        </w:tc>
        <w:tc>
          <w:tcPr>
            <w:tcW w:w="1058"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财政专户核拨</w:t>
            </w:r>
          </w:p>
        </w:tc>
        <w:tc>
          <w:tcPr>
            <w:tcW w:w="1066" w:type="dxa"/>
            <w:noWrap w:val="0"/>
            <w:vAlign w:val="center"/>
          </w:tcPr>
          <w:p>
            <w:pPr>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0"/>
            <w:vAlign w:val="center"/>
          </w:tcPr>
          <w:p>
            <w:pPr>
              <w:spacing w:line="560" w:lineRule="exact"/>
              <w:jc w:val="center"/>
              <w:rPr>
                <w:rFonts w:hint="eastAsia" w:ascii="方正仿宋简体" w:hAnsi="方正仿宋简体" w:eastAsia="方正仿宋简体" w:cs="方正仿宋简体"/>
                <w:bCs/>
                <w:sz w:val="21"/>
                <w:szCs w:val="21"/>
              </w:rPr>
            </w:pPr>
          </w:p>
        </w:tc>
        <w:tc>
          <w:tcPr>
            <w:tcW w:w="1035"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245" w:type="dxa"/>
            <w:noWrap w:val="0"/>
            <w:vAlign w:val="center"/>
          </w:tcPr>
          <w:p>
            <w:pPr>
              <w:spacing w:line="560" w:lineRule="exact"/>
              <w:jc w:val="left"/>
              <w:rPr>
                <w:rFonts w:hint="eastAsia" w:ascii="方正仿宋简体" w:hAnsi="方正仿宋简体" w:eastAsia="方正仿宋简体" w:cs="方正仿宋简体"/>
                <w:bCs/>
                <w:sz w:val="21"/>
                <w:szCs w:val="21"/>
              </w:rPr>
            </w:pPr>
          </w:p>
        </w:tc>
        <w:tc>
          <w:tcPr>
            <w:tcW w:w="1410" w:type="dxa"/>
            <w:noWrap w:val="0"/>
            <w:vAlign w:val="center"/>
          </w:tcPr>
          <w:p>
            <w:pPr>
              <w:spacing w:line="560" w:lineRule="exact"/>
              <w:jc w:val="left"/>
              <w:rPr>
                <w:rFonts w:hint="eastAsia" w:ascii="方正仿宋简体" w:hAnsi="方正仿宋简体" w:eastAsia="方正仿宋简体" w:cs="方正仿宋简体"/>
                <w:bCs/>
                <w:sz w:val="21"/>
                <w:szCs w:val="21"/>
              </w:rPr>
            </w:pPr>
          </w:p>
        </w:tc>
        <w:tc>
          <w:tcPr>
            <w:tcW w:w="1065" w:type="dxa"/>
            <w:noWrap w:val="0"/>
            <w:vAlign w:val="center"/>
          </w:tcPr>
          <w:p>
            <w:pPr>
              <w:spacing w:line="560" w:lineRule="exact"/>
              <w:jc w:val="center"/>
              <w:rPr>
                <w:rFonts w:hint="eastAsia" w:ascii="方正仿宋简体" w:hAnsi="方正仿宋简体" w:eastAsia="方正仿宋简体" w:cs="方正仿宋简体"/>
                <w:bCs/>
                <w:sz w:val="21"/>
                <w:szCs w:val="21"/>
              </w:rPr>
            </w:pPr>
          </w:p>
        </w:tc>
        <w:tc>
          <w:tcPr>
            <w:tcW w:w="1020"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953"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827"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398"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149"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487"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058" w:type="dxa"/>
            <w:noWrap w:val="0"/>
            <w:vAlign w:val="center"/>
          </w:tcPr>
          <w:p>
            <w:pPr>
              <w:spacing w:line="560" w:lineRule="exact"/>
              <w:jc w:val="right"/>
              <w:rPr>
                <w:rFonts w:hint="eastAsia" w:ascii="方正仿宋简体" w:hAnsi="方正仿宋简体" w:eastAsia="方正仿宋简体" w:cs="方正仿宋简体"/>
                <w:bCs/>
                <w:sz w:val="21"/>
                <w:szCs w:val="21"/>
              </w:rPr>
            </w:pPr>
          </w:p>
        </w:tc>
        <w:tc>
          <w:tcPr>
            <w:tcW w:w="1066" w:type="dxa"/>
            <w:noWrap w:val="0"/>
            <w:vAlign w:val="center"/>
          </w:tcPr>
          <w:p>
            <w:pPr>
              <w:spacing w:line="560" w:lineRule="exact"/>
              <w:jc w:val="right"/>
              <w:rPr>
                <w:rFonts w:hint="eastAsia" w:ascii="方正仿宋简体" w:hAnsi="方正仿宋简体" w:eastAsia="方正仿宋简体" w:cs="方正仿宋简体"/>
                <w:bCs/>
                <w:sz w:val="21"/>
                <w:szCs w:val="21"/>
              </w:rPr>
            </w:pPr>
          </w:p>
        </w:tc>
      </w:tr>
    </w:tbl>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21"/>
          <w:szCs w:val="21"/>
        </w:rPr>
        <w:t>注：无政府采购预算财政拨款预算，空表列示。</w:t>
      </w:r>
    </w:p>
    <w:p>
      <w:pPr>
        <w:spacing w:before="156" w:beforeLines="50" w:after="156" w:afterLines="50" w:line="560" w:lineRule="exact"/>
        <w:jc w:val="left"/>
        <w:outlineLvl w:val="2"/>
        <w:rPr>
          <w:rFonts w:hint="eastAsia" w:ascii="楷体" w:hAnsi="楷体" w:eastAsia="楷体" w:cs="楷体"/>
          <w:sz w:val="32"/>
          <w:szCs w:val="32"/>
        </w:rPr>
      </w:pPr>
      <w:bookmarkStart w:id="14" w:name="_Toc68791551"/>
    </w:p>
    <w:p>
      <w:pPr>
        <w:autoSpaceDE w:val="0"/>
        <w:autoSpaceDN w:val="0"/>
        <w:adjustRightInd w:val="0"/>
        <w:snapToGrid w:val="0"/>
        <w:spacing w:line="570" w:lineRule="exact"/>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4"/>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宋体" w:hAnsi="宋体" w:eastAsia="方正仿宋简体" w:cs="Times New Roman"/>
          <w:sz w:val="32"/>
          <w:szCs w:val="32"/>
        </w:rPr>
        <w:t>遵化市</w:t>
      </w:r>
      <w:r>
        <w:rPr>
          <w:rFonts w:hint="eastAsia" w:ascii="宋体" w:hAnsi="宋体" w:eastAsia="方正仿宋简体" w:cs="Times New Roman"/>
          <w:sz w:val="32"/>
          <w:szCs w:val="32"/>
          <w:lang w:eastAsia="zh-CN"/>
        </w:rPr>
        <w:t>消防救援大队</w:t>
      </w:r>
      <w:r>
        <w:rPr>
          <w:rFonts w:hint="eastAsia" w:ascii="宋体" w:hAnsi="宋体" w:eastAsia="方正仿宋简体" w:cs="Times New Roman"/>
          <w:sz w:val="32"/>
          <w:szCs w:val="32"/>
        </w:rPr>
        <w:t>上年末固定资产金额为</w:t>
      </w:r>
      <w:r>
        <w:rPr>
          <w:rFonts w:hint="eastAsia" w:ascii="宋体" w:hAnsi="宋体" w:eastAsia="方正仿宋简体" w:cs="Times New Roman"/>
          <w:sz w:val="32"/>
          <w:szCs w:val="32"/>
          <w:lang w:val="en-US" w:eastAsia="zh-CN"/>
        </w:rPr>
        <w:t>3183.69</w:t>
      </w:r>
      <w:r>
        <w:rPr>
          <w:rFonts w:hint="eastAsia" w:ascii="宋体" w:hAnsi="宋体" w:eastAsia="方正仿宋简体" w:cs="Times New Roman"/>
          <w:sz w:val="32"/>
          <w:szCs w:val="32"/>
        </w:rPr>
        <w:t>万元（详见下表）。本年度拟购置固定资产总额为0万元。</w:t>
      </w:r>
    </w:p>
    <w:p>
      <w:pPr>
        <w:widowControl/>
        <w:spacing w:line="570" w:lineRule="exact"/>
        <w:ind w:firstLine="200"/>
        <w:jc w:val="center"/>
        <w:rPr>
          <w:rFonts w:hint="eastAsia" w:ascii="方正仿宋简体" w:hAnsi="宋体" w:eastAsia="方正仿宋简体" w:cs="宋体"/>
          <w:bCs/>
          <w:kern w:val="0"/>
          <w:sz w:val="32"/>
          <w:szCs w:val="32"/>
        </w:rPr>
      </w:pPr>
      <w:r>
        <w:rPr>
          <w:rFonts w:hint="eastAsia" w:ascii="方正仿宋简体" w:hAnsi="宋体" w:eastAsia="方正仿宋简体" w:cs="宋体"/>
          <w:bCs/>
          <w:kern w:val="0"/>
          <w:sz w:val="32"/>
          <w:szCs w:val="32"/>
          <w:lang w:eastAsia="zh-CN"/>
        </w:rPr>
        <w:t>遵化市消防救援大队</w:t>
      </w:r>
      <w:r>
        <w:rPr>
          <w:rFonts w:hint="eastAsia" w:ascii="方正仿宋简体" w:hAnsi="宋体" w:eastAsia="方正仿宋简体" w:cs="宋体"/>
          <w:bCs/>
          <w:kern w:val="0"/>
          <w:sz w:val="32"/>
          <w:szCs w:val="32"/>
        </w:rPr>
        <w:t>固定资产占用情况表</w:t>
      </w:r>
    </w:p>
    <w:tbl>
      <w:tblPr>
        <w:tblStyle w:val="9"/>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887</w:t>
            </w:r>
            <w:r>
              <w:rPr>
                <w:rFonts w:hint="eastAsia" w:ascii="方正仿宋简体" w:hAnsi="方正仿宋简体" w:eastAsia="方正仿宋简体" w:cs="方正仿宋简体"/>
                <w:sz w:val="32"/>
                <w:szCs w:val="32"/>
              </w:rPr>
              <w:t>001遵化市</w:t>
            </w:r>
            <w:r>
              <w:rPr>
                <w:rFonts w:hint="eastAsia" w:ascii="方正仿宋简体" w:hAnsi="方正仿宋简体" w:eastAsia="方正仿宋简体" w:cs="方正仿宋简体"/>
                <w:sz w:val="32"/>
                <w:szCs w:val="32"/>
                <w:lang w:eastAsia="zh-CN"/>
              </w:rPr>
              <w:t>消防救援大队本级</w:t>
            </w:r>
          </w:p>
        </w:tc>
        <w:tc>
          <w:tcPr>
            <w:tcW w:w="5285" w:type="dxa"/>
            <w:gridSpan w:val="2"/>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902" w:type="dxa"/>
            <w:noWrap w:val="0"/>
            <w:vAlign w:val="center"/>
          </w:tcPr>
          <w:p>
            <w:pPr>
              <w:spacing w:line="560" w:lineRule="exact"/>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项   目</w:t>
            </w:r>
          </w:p>
        </w:tc>
        <w:tc>
          <w:tcPr>
            <w:tcW w:w="2270" w:type="dxa"/>
            <w:noWrap w:val="0"/>
            <w:vAlign w:val="center"/>
          </w:tcPr>
          <w:p>
            <w:pPr>
              <w:spacing w:line="560" w:lineRule="exact"/>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数量</w:t>
            </w:r>
          </w:p>
        </w:tc>
        <w:tc>
          <w:tcPr>
            <w:tcW w:w="3015" w:type="dxa"/>
            <w:noWrap w:val="0"/>
            <w:vAlign w:val="center"/>
          </w:tcPr>
          <w:p>
            <w:pPr>
              <w:spacing w:line="560" w:lineRule="exact"/>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资产总额</w:t>
            </w:r>
          </w:p>
        </w:tc>
        <w:tc>
          <w:tcPr>
            <w:tcW w:w="2270"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3183.69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1、房屋（平方米）</w:t>
            </w:r>
          </w:p>
        </w:tc>
        <w:tc>
          <w:tcPr>
            <w:tcW w:w="2270"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3310</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549.96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 xml:space="preserve">   其中：办公用房（平方米）</w:t>
            </w:r>
          </w:p>
        </w:tc>
        <w:tc>
          <w:tcPr>
            <w:tcW w:w="2270"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3310</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549.96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2、车辆（台、辆）</w:t>
            </w:r>
          </w:p>
        </w:tc>
        <w:tc>
          <w:tcPr>
            <w:tcW w:w="2270"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9</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1320.38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3、单价在20万元以上的设备</w:t>
            </w:r>
          </w:p>
        </w:tc>
        <w:tc>
          <w:tcPr>
            <w:tcW w:w="2270"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0</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5902" w:type="dxa"/>
            <w:noWrap w:val="0"/>
            <w:vAlign w:val="center"/>
          </w:tcPr>
          <w:p>
            <w:pPr>
              <w:spacing w:line="560" w:lineRule="exact"/>
              <w:ind w:firstLine="420" w:firstLineChars="200"/>
              <w:jc w:val="left"/>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rPr>
              <w:t>4、其他固定资产</w:t>
            </w:r>
          </w:p>
        </w:tc>
        <w:tc>
          <w:tcPr>
            <w:tcW w:w="2270"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lang w:val="en-US" w:eastAsia="zh-CN"/>
              </w:rPr>
            </w:pPr>
            <w:r>
              <w:rPr>
                <w:rFonts w:hint="eastAsia" w:ascii="方正仿宋简体" w:hAnsi="方正仿宋简体" w:eastAsia="方正仿宋简体" w:cs="方正仿宋简体"/>
                <w:bCs/>
                <w:sz w:val="21"/>
                <w:szCs w:val="21"/>
                <w:lang w:val="en-US" w:eastAsia="zh-CN"/>
              </w:rPr>
              <w:t>2438</w:t>
            </w:r>
          </w:p>
        </w:tc>
        <w:tc>
          <w:tcPr>
            <w:tcW w:w="3015" w:type="dxa"/>
            <w:noWrap w:val="0"/>
            <w:vAlign w:val="center"/>
          </w:tcPr>
          <w:p>
            <w:pPr>
              <w:spacing w:line="560" w:lineRule="exact"/>
              <w:ind w:firstLine="420" w:firstLineChars="200"/>
              <w:jc w:val="center"/>
              <w:rPr>
                <w:rFonts w:hint="eastAsia" w:ascii="方正仿宋简体" w:hAnsi="方正仿宋简体" w:eastAsia="方正仿宋简体" w:cs="方正仿宋简体"/>
                <w:bCs/>
                <w:sz w:val="21"/>
                <w:szCs w:val="21"/>
              </w:rPr>
            </w:pPr>
            <w:r>
              <w:rPr>
                <w:rFonts w:hint="eastAsia" w:ascii="方正仿宋简体" w:hAnsi="方正仿宋简体" w:eastAsia="方正仿宋简体" w:cs="方正仿宋简体"/>
                <w:bCs/>
                <w:sz w:val="21"/>
                <w:szCs w:val="21"/>
                <w:lang w:val="en-US" w:eastAsia="zh-CN"/>
              </w:rPr>
              <w:t>1313.35</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15" w:name="_Toc68791552"/>
    </w:p>
    <w:p>
      <w:pPr>
        <w:autoSpaceDE w:val="0"/>
        <w:autoSpaceDN w:val="0"/>
        <w:adjustRightInd w:val="0"/>
        <w:snapToGrid w:val="0"/>
        <w:spacing w:line="57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15"/>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1、一般公共预算拨款收入：指财政当年拨付的资金。</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2、事业收入：指事业单位开展专业业务活动及辅助活动所取得的收入。</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3、其他收入：指除:“一般公共预算拨款收入”、“事业收入”等以外的收入。主要是按规定动用的租房收入、存款利息收入等。</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4、基本支出：指为保障机构正常运转、完成日常工作任务而发生的人员支出和公用支出。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5、项目支出：指在基本支出之外为完成特定行政任务和事业发展目标所发生的支出。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6、上缴上级支出：指下级单位上缴上级的支出。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7、</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三公</w:t>
      </w:r>
      <w:r>
        <w:rPr>
          <w:rFonts w:hint="eastAsia" w:ascii="宋体" w:hAnsi="宋体" w:eastAsia="方正仿宋简体" w:cs="方正仿宋简体"/>
          <w:sz w:val="32"/>
          <w:szCs w:val="32"/>
          <w:cs/>
        </w:rPr>
        <w:t>”</w:t>
      </w:r>
      <w:r>
        <w:rPr>
          <w:rFonts w:hint="eastAsia" w:ascii="宋体" w:hAnsi="宋体" w:eastAsia="方正仿宋简体" w:cs="方正仿宋简体"/>
          <w:sz w:val="32"/>
          <w:szCs w:val="32"/>
        </w:rPr>
        <w:t>经费：纳入省级财政预算管理的“三公”经费，是指省级</w:t>
      </w:r>
      <w:r>
        <w:rPr>
          <w:rFonts w:hint="eastAsia" w:ascii="宋体" w:hAnsi="宋体" w:eastAsia="方正仿宋简体" w:cs="方正仿宋简体"/>
          <w:sz w:val="32"/>
          <w:szCs w:val="32"/>
          <w:lang w:eastAsia="zh-CN"/>
        </w:rPr>
        <w:t>本级</w:t>
      </w:r>
      <w:r>
        <w:rPr>
          <w:rFonts w:hint="eastAsia" w:ascii="宋体" w:hAnsi="宋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8、机关运行费：是指各</w:t>
      </w:r>
      <w:r>
        <w:rPr>
          <w:rFonts w:hint="eastAsia" w:ascii="宋体" w:hAnsi="宋体" w:eastAsia="方正仿宋简体" w:cs="方正仿宋简体"/>
          <w:sz w:val="32"/>
          <w:szCs w:val="32"/>
          <w:lang w:eastAsia="zh-CN"/>
        </w:rPr>
        <w:t>本级</w:t>
      </w:r>
      <w:r>
        <w:rPr>
          <w:rFonts w:hint="eastAsia" w:ascii="宋体" w:hAnsi="宋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9、上年结转：指以前年度尚未完成、结转到本年仍按原规定用途继续使用的资金。</w:t>
      </w:r>
    </w:p>
    <w:p>
      <w:pPr>
        <w:tabs>
          <w:tab w:val="left" w:pos="11490"/>
        </w:tabs>
        <w:adjustRightInd w:val="0"/>
        <w:snapToGrid w:val="0"/>
        <w:spacing w:line="570" w:lineRule="exact"/>
        <w:ind w:firstLine="640" w:firstLineChars="200"/>
        <w:rPr>
          <w:rFonts w:hint="eastAsia" w:ascii="宋体" w:hAnsi="宋体" w:eastAsia="方正仿宋简体" w:cs="方正仿宋简体"/>
          <w:sz w:val="32"/>
          <w:szCs w:val="32"/>
        </w:rPr>
      </w:pPr>
      <w:r>
        <w:rPr>
          <w:rFonts w:hint="eastAsia" w:ascii="宋体" w:hAnsi="宋体" w:eastAsia="方正仿宋简体" w:cs="方正仿宋简体"/>
          <w:sz w:val="32"/>
          <w:szCs w:val="32"/>
        </w:rPr>
        <w:t>10、事业单位经营支出：指事业单位在专业业务活动及其辅助活动之外开展非独立核算经营活动发生的支出。</w:t>
      </w:r>
    </w:p>
    <w:bookmarkEnd w:id="6"/>
    <w:p>
      <w:pPr>
        <w:autoSpaceDE w:val="0"/>
        <w:autoSpaceDN w:val="0"/>
        <w:adjustRightInd w:val="0"/>
        <w:snapToGrid w:val="0"/>
        <w:spacing w:line="570" w:lineRule="exact"/>
        <w:ind w:firstLine="640" w:firstLineChars="200"/>
        <w:jc w:val="left"/>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九、其他需要说明的事项</w:t>
      </w:r>
    </w:p>
    <w:p>
      <w:pPr>
        <w:tabs>
          <w:tab w:val="left" w:pos="11490"/>
        </w:tabs>
        <w:spacing w:line="56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本级无其他需要说明的事项。</w:t>
      </w:r>
      <w:r>
        <w:rPr>
          <w:rFonts w:hint="eastAsia" w:ascii="方正仿宋简体" w:hAnsi="方正仿宋简体" w:eastAsia="方正仿宋简体" w:cs="方正仿宋简体"/>
          <w:sz w:val="32"/>
          <w:szCs w:val="32"/>
          <w:lang w:val="en-US" w:eastAsia="zh-CN"/>
        </w:rPr>
        <w:tab/>
      </w:r>
    </w:p>
    <w:sectPr>
      <w:footerReference r:id="rId6"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vigOtEAAAACAQAADwAAAAAAAAABACAAAAAiAAAAZHJzL2Rv&#10;d25yZXYueG1sUEsBAhQAFAAAAAgAh07iQIuOR5vPAQAAmQMAAA4AAAAAAAAAAQAgAAAAIAEAAGRy&#10;cy9lMm9Eb2MueG1sUEsFBgAAAAAGAAYAWQEAAGE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5"/>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AE32A"/>
    <w:multiLevelType w:val="singleLevel"/>
    <w:tmpl w:val="368AE3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NDA2YjU0YWE2YzJmOTE1NzdlOTBhM2I3NTc3ZjA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C60112"/>
    <w:rsid w:val="00CB4BB6"/>
    <w:rsid w:val="00DB20E1"/>
    <w:rsid w:val="00DC5A62"/>
    <w:rsid w:val="00F8192C"/>
    <w:rsid w:val="00FC307B"/>
    <w:rsid w:val="01F03090"/>
    <w:rsid w:val="024C4CC7"/>
    <w:rsid w:val="031E5023"/>
    <w:rsid w:val="033A6154"/>
    <w:rsid w:val="034F401E"/>
    <w:rsid w:val="03685B9C"/>
    <w:rsid w:val="03D424E6"/>
    <w:rsid w:val="049D7FDE"/>
    <w:rsid w:val="04F63CC6"/>
    <w:rsid w:val="053F2F51"/>
    <w:rsid w:val="05636FCC"/>
    <w:rsid w:val="05DA705A"/>
    <w:rsid w:val="069528D3"/>
    <w:rsid w:val="07A1465B"/>
    <w:rsid w:val="07CF5EEC"/>
    <w:rsid w:val="07DD47A7"/>
    <w:rsid w:val="07DF090C"/>
    <w:rsid w:val="07EB0F1A"/>
    <w:rsid w:val="085327BB"/>
    <w:rsid w:val="085C5796"/>
    <w:rsid w:val="08A52DFF"/>
    <w:rsid w:val="08FC3767"/>
    <w:rsid w:val="090411D3"/>
    <w:rsid w:val="09155309"/>
    <w:rsid w:val="09A064A3"/>
    <w:rsid w:val="09AE68F1"/>
    <w:rsid w:val="09BB3503"/>
    <w:rsid w:val="0A0A5F3C"/>
    <w:rsid w:val="0A597F3F"/>
    <w:rsid w:val="0AE57BFB"/>
    <w:rsid w:val="0C472F3C"/>
    <w:rsid w:val="0C8B7B4A"/>
    <w:rsid w:val="0DDD0437"/>
    <w:rsid w:val="0E3804ED"/>
    <w:rsid w:val="0E3F4C6B"/>
    <w:rsid w:val="0E551E27"/>
    <w:rsid w:val="0EC818B7"/>
    <w:rsid w:val="0EE2007D"/>
    <w:rsid w:val="0FFE6D6C"/>
    <w:rsid w:val="11EE6459"/>
    <w:rsid w:val="123E55EC"/>
    <w:rsid w:val="12CB7C01"/>
    <w:rsid w:val="12EF4843"/>
    <w:rsid w:val="134C5AA1"/>
    <w:rsid w:val="139412EE"/>
    <w:rsid w:val="14BA13CD"/>
    <w:rsid w:val="14F849C2"/>
    <w:rsid w:val="155F32D4"/>
    <w:rsid w:val="156A27BC"/>
    <w:rsid w:val="15FD116F"/>
    <w:rsid w:val="160E3983"/>
    <w:rsid w:val="165D57B7"/>
    <w:rsid w:val="166F3C6D"/>
    <w:rsid w:val="1690383A"/>
    <w:rsid w:val="171659AA"/>
    <w:rsid w:val="17A53929"/>
    <w:rsid w:val="187668BA"/>
    <w:rsid w:val="18792896"/>
    <w:rsid w:val="193403F5"/>
    <w:rsid w:val="199320CD"/>
    <w:rsid w:val="1AB3725D"/>
    <w:rsid w:val="1ACD6FF8"/>
    <w:rsid w:val="1DB01DBE"/>
    <w:rsid w:val="1E1823CB"/>
    <w:rsid w:val="1E1D2B90"/>
    <w:rsid w:val="1E8E32A8"/>
    <w:rsid w:val="1ED46405"/>
    <w:rsid w:val="1EE95C5B"/>
    <w:rsid w:val="20E97FF5"/>
    <w:rsid w:val="217F591B"/>
    <w:rsid w:val="21925097"/>
    <w:rsid w:val="229318FF"/>
    <w:rsid w:val="229A1643"/>
    <w:rsid w:val="23152068"/>
    <w:rsid w:val="234E1072"/>
    <w:rsid w:val="235D61C6"/>
    <w:rsid w:val="23CB4526"/>
    <w:rsid w:val="243D7F64"/>
    <w:rsid w:val="256E39DA"/>
    <w:rsid w:val="26C863CA"/>
    <w:rsid w:val="26D70594"/>
    <w:rsid w:val="26E919BE"/>
    <w:rsid w:val="27A47DDD"/>
    <w:rsid w:val="27AC7CC9"/>
    <w:rsid w:val="288464AA"/>
    <w:rsid w:val="28CB4ABF"/>
    <w:rsid w:val="28CF521A"/>
    <w:rsid w:val="29275089"/>
    <w:rsid w:val="2AAE7BE1"/>
    <w:rsid w:val="2C983A2F"/>
    <w:rsid w:val="2D1F6C70"/>
    <w:rsid w:val="2DA4298B"/>
    <w:rsid w:val="2E0964AA"/>
    <w:rsid w:val="2F592C85"/>
    <w:rsid w:val="30AF3E6F"/>
    <w:rsid w:val="31A101D1"/>
    <w:rsid w:val="32670ECF"/>
    <w:rsid w:val="32805A67"/>
    <w:rsid w:val="32CA62CD"/>
    <w:rsid w:val="32D84F99"/>
    <w:rsid w:val="32E67722"/>
    <w:rsid w:val="336F0F37"/>
    <w:rsid w:val="33AB0573"/>
    <w:rsid w:val="33BC1771"/>
    <w:rsid w:val="34422BCC"/>
    <w:rsid w:val="34AC4354"/>
    <w:rsid w:val="34C42820"/>
    <w:rsid w:val="34E55F43"/>
    <w:rsid w:val="34F27B45"/>
    <w:rsid w:val="35311E43"/>
    <w:rsid w:val="362D43E7"/>
    <w:rsid w:val="36CA5D55"/>
    <w:rsid w:val="370C533A"/>
    <w:rsid w:val="374F5F3F"/>
    <w:rsid w:val="384C4EA0"/>
    <w:rsid w:val="385601F1"/>
    <w:rsid w:val="38A774FA"/>
    <w:rsid w:val="38F56B86"/>
    <w:rsid w:val="39B95739"/>
    <w:rsid w:val="39EE27C2"/>
    <w:rsid w:val="3A847683"/>
    <w:rsid w:val="3B2F2A32"/>
    <w:rsid w:val="3BE93DE9"/>
    <w:rsid w:val="3CE40773"/>
    <w:rsid w:val="3E8B7CBC"/>
    <w:rsid w:val="3E9739D8"/>
    <w:rsid w:val="3FC03E23"/>
    <w:rsid w:val="3FC267A5"/>
    <w:rsid w:val="3FD22FC7"/>
    <w:rsid w:val="3FDE78A1"/>
    <w:rsid w:val="4063693E"/>
    <w:rsid w:val="408D1B8F"/>
    <w:rsid w:val="40DF0E09"/>
    <w:rsid w:val="41543F25"/>
    <w:rsid w:val="417B67B7"/>
    <w:rsid w:val="41D157C2"/>
    <w:rsid w:val="41F97124"/>
    <w:rsid w:val="425603E3"/>
    <w:rsid w:val="42DA0485"/>
    <w:rsid w:val="430E7270"/>
    <w:rsid w:val="43DC73BB"/>
    <w:rsid w:val="4458751E"/>
    <w:rsid w:val="447F6705"/>
    <w:rsid w:val="46BA6D19"/>
    <w:rsid w:val="46E82FB1"/>
    <w:rsid w:val="47031780"/>
    <w:rsid w:val="476651DD"/>
    <w:rsid w:val="48214178"/>
    <w:rsid w:val="483B1E05"/>
    <w:rsid w:val="4870538C"/>
    <w:rsid w:val="492F1465"/>
    <w:rsid w:val="494F7FAB"/>
    <w:rsid w:val="498854B1"/>
    <w:rsid w:val="4BC52A12"/>
    <w:rsid w:val="4BE115E5"/>
    <w:rsid w:val="4CEA2D7E"/>
    <w:rsid w:val="4D5B1197"/>
    <w:rsid w:val="4D8A180B"/>
    <w:rsid w:val="4DA442EC"/>
    <w:rsid w:val="4DB432F6"/>
    <w:rsid w:val="4E954280"/>
    <w:rsid w:val="4EF349C3"/>
    <w:rsid w:val="4F500EF7"/>
    <w:rsid w:val="4FCD588C"/>
    <w:rsid w:val="4FF3183B"/>
    <w:rsid w:val="4FF56E75"/>
    <w:rsid w:val="4FF7762A"/>
    <w:rsid w:val="503A0A23"/>
    <w:rsid w:val="505C355C"/>
    <w:rsid w:val="509B122F"/>
    <w:rsid w:val="50C61561"/>
    <w:rsid w:val="515F5C27"/>
    <w:rsid w:val="51687056"/>
    <w:rsid w:val="51C33170"/>
    <w:rsid w:val="522E159E"/>
    <w:rsid w:val="5329786E"/>
    <w:rsid w:val="54525A49"/>
    <w:rsid w:val="54C120D0"/>
    <w:rsid w:val="54DC46EC"/>
    <w:rsid w:val="555A379D"/>
    <w:rsid w:val="558D21B9"/>
    <w:rsid w:val="55EA2A2C"/>
    <w:rsid w:val="5605007D"/>
    <w:rsid w:val="56981841"/>
    <w:rsid w:val="588E0985"/>
    <w:rsid w:val="58AC51CA"/>
    <w:rsid w:val="58E13A06"/>
    <w:rsid w:val="594E241C"/>
    <w:rsid w:val="597328C1"/>
    <w:rsid w:val="5BB60A7E"/>
    <w:rsid w:val="5BCD23A9"/>
    <w:rsid w:val="5C6357D3"/>
    <w:rsid w:val="5C76110E"/>
    <w:rsid w:val="5D1517A3"/>
    <w:rsid w:val="5D2C1174"/>
    <w:rsid w:val="5D3C3B24"/>
    <w:rsid w:val="5D496449"/>
    <w:rsid w:val="5D6967E0"/>
    <w:rsid w:val="5F5175FF"/>
    <w:rsid w:val="5F567AB1"/>
    <w:rsid w:val="61C7162B"/>
    <w:rsid w:val="61E47B98"/>
    <w:rsid w:val="620E3E48"/>
    <w:rsid w:val="62272621"/>
    <w:rsid w:val="6248439C"/>
    <w:rsid w:val="638B4489"/>
    <w:rsid w:val="646F2F1F"/>
    <w:rsid w:val="64A2308F"/>
    <w:rsid w:val="64B4044D"/>
    <w:rsid w:val="650C7C0D"/>
    <w:rsid w:val="663514F4"/>
    <w:rsid w:val="66A04E52"/>
    <w:rsid w:val="68C36416"/>
    <w:rsid w:val="6A1D02D2"/>
    <w:rsid w:val="6A6909B1"/>
    <w:rsid w:val="6A724DC3"/>
    <w:rsid w:val="6B430A2E"/>
    <w:rsid w:val="6C603669"/>
    <w:rsid w:val="6C6F771A"/>
    <w:rsid w:val="6C944351"/>
    <w:rsid w:val="6CBB3C39"/>
    <w:rsid w:val="6D550BB3"/>
    <w:rsid w:val="6F0C4ACF"/>
    <w:rsid w:val="6F40683E"/>
    <w:rsid w:val="71110C2B"/>
    <w:rsid w:val="71136F71"/>
    <w:rsid w:val="712D27DB"/>
    <w:rsid w:val="71A6516C"/>
    <w:rsid w:val="71AA15F1"/>
    <w:rsid w:val="7304063B"/>
    <w:rsid w:val="736A0139"/>
    <w:rsid w:val="73A94A88"/>
    <w:rsid w:val="73E21E46"/>
    <w:rsid w:val="74961386"/>
    <w:rsid w:val="754A1737"/>
    <w:rsid w:val="75F27075"/>
    <w:rsid w:val="760A4BBB"/>
    <w:rsid w:val="760D1A5C"/>
    <w:rsid w:val="76384823"/>
    <w:rsid w:val="76D35717"/>
    <w:rsid w:val="76DD4C70"/>
    <w:rsid w:val="775D5293"/>
    <w:rsid w:val="77935322"/>
    <w:rsid w:val="780204DD"/>
    <w:rsid w:val="78DB7570"/>
    <w:rsid w:val="79161645"/>
    <w:rsid w:val="7AAF4FDA"/>
    <w:rsid w:val="7AB12FDA"/>
    <w:rsid w:val="7AE765B8"/>
    <w:rsid w:val="7B193B0B"/>
    <w:rsid w:val="7B3545DB"/>
    <w:rsid w:val="7B397DEA"/>
    <w:rsid w:val="7BD5403F"/>
    <w:rsid w:val="7C427128"/>
    <w:rsid w:val="7C7C0F53"/>
    <w:rsid w:val="7CBF6081"/>
    <w:rsid w:val="7CFE11C6"/>
    <w:rsid w:val="7D1D1970"/>
    <w:rsid w:val="7D3B4EF2"/>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character" w:styleId="13">
    <w:name w:val="Hyperlink"/>
    <w:basedOn w:val="11"/>
    <w:unhideWhenUsed/>
    <w:qFormat/>
    <w:uiPriority w:val="99"/>
    <w:rPr>
      <w:color w:val="0000FF"/>
      <w:u w:val="single"/>
    </w:rPr>
  </w:style>
  <w:style w:type="character" w:customStyle="1" w:styleId="14">
    <w:name w:val="页脚 Char"/>
    <w:basedOn w:val="11"/>
    <w:link w:val="5"/>
    <w:semiHidden/>
    <w:qFormat/>
    <w:uiPriority w:val="99"/>
    <w:rPr>
      <w:kern w:val="2"/>
      <w:sz w:val="18"/>
      <w:szCs w:val="18"/>
    </w:rPr>
  </w:style>
  <w:style w:type="character" w:customStyle="1" w:styleId="15">
    <w:name w:val="页眉 Char"/>
    <w:basedOn w:val="11"/>
    <w:link w:val="6"/>
    <w:semiHidden/>
    <w:qFormat/>
    <w:uiPriority w:val="99"/>
    <w:rPr>
      <w:kern w:val="2"/>
      <w:sz w:val="18"/>
      <w:szCs w:val="18"/>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2">
    <w:name w:val="p0"/>
    <w:basedOn w:val="1"/>
    <w:qFormat/>
    <w:uiPriority w:val="0"/>
    <w:pPr>
      <w:widowControl/>
    </w:pPr>
    <w:rPr>
      <w:rFonts w:ascii="宋体" w:hAnsi="宋体" w:cs="宋体"/>
      <w:kern w:val="0"/>
      <w:sz w:val="32"/>
      <w:szCs w:val="32"/>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52</Pages>
  <Words>18166</Words>
  <Characters>20008</Characters>
  <Lines>150</Lines>
  <Paragraphs>42</Paragraphs>
  <TotalTime>0</TotalTime>
  <ScaleCrop>false</ScaleCrop>
  <LinksUpToDate>false</LinksUpToDate>
  <CharactersWithSpaces>20736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李雪</cp:lastModifiedBy>
  <cp:lastPrinted>2022-04-01T02:04:00Z</cp:lastPrinted>
  <dcterms:modified xsi:type="dcterms:W3CDTF">2024-03-21T07:35:56Z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E75F29CBA5BE480F8B702F3F287960B2</vt:lpwstr>
  </property>
</Properties>
</file>