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宋体" w:eastAsia="方正小标宋简体"/>
          <w:sz w:val="44"/>
        </w:rPr>
      </w:pPr>
      <w:r>
        <w:rPr>
          <w:rFonts w:hint="eastAsia" w:ascii="方正小标宋简体" w:eastAsia="方正小标宋简体"/>
          <w:sz w:val="44"/>
        </w:rPr>
        <w:t>2022年</w:t>
      </w:r>
      <w:r>
        <w:rPr>
          <w:rFonts w:hint="eastAsia" w:ascii="方正小标宋简体" w:eastAsia="方正小标宋简体"/>
          <w:sz w:val="44"/>
          <w:lang w:eastAsia="zh-CN"/>
        </w:rPr>
        <w:t>单位</w:t>
      </w:r>
      <w:r>
        <w:rPr>
          <w:rFonts w:hint="eastAsia" w:ascii="方正小标宋简体" w:eastAsia="方正小标宋简体"/>
          <w:sz w:val="44"/>
        </w:rPr>
        <w:t>预算信息公开目录</w:t>
      </w:r>
    </w:p>
    <w:p>
      <w:pPr>
        <w:jc w:val="center"/>
        <w:rPr>
          <w:rFonts w:ascii="方正仿宋简体" w:hAnsi="宋体" w:eastAsia="方正仿宋简体"/>
          <w:sz w:val="30"/>
        </w:rPr>
      </w:pPr>
      <w:r>
        <w:rPr>
          <w:rFonts w:hint="eastAsia" w:ascii="方正仿宋简体" w:hAnsi="黑体" w:eastAsia="方正仿宋简体"/>
          <w:sz w:val="30"/>
        </w:rPr>
        <w:t xml:space="preserve"> </w:t>
      </w:r>
    </w:p>
    <w:p>
      <w:pPr>
        <w:ind w:firstLine="560" w:firstLineChars="200"/>
        <w:jc w:val="left"/>
        <w:rPr>
          <w:rFonts w:ascii="方正黑体简体" w:hAnsi="宋体" w:eastAsia="方正黑体简体"/>
          <w:sz w:val="28"/>
        </w:rPr>
      </w:pPr>
      <w:r>
        <w:rPr>
          <w:rFonts w:hint="eastAsia" w:ascii="方正黑体简体" w:eastAsia="方正黑体简体"/>
          <w:sz w:val="28"/>
          <w:lang w:eastAsia="zh-CN"/>
        </w:rPr>
        <w:t>本级</w:t>
      </w:r>
      <w:r>
        <w:rPr>
          <w:rFonts w:hint="eastAsia" w:ascii="方正黑体简体" w:eastAsia="方正黑体简体"/>
          <w:sz w:val="28"/>
        </w:rPr>
        <w:t>预算公开表</w:t>
      </w:r>
    </w:p>
    <w:p>
      <w:pPr>
        <w:pStyle w:val="6"/>
        <w:tabs>
          <w:tab w:val="right" w:leader="dot" w:pos="14789"/>
        </w:tabs>
        <w:ind w:firstLine="140" w:firstLineChars="50"/>
        <w:rPr>
          <w:rFonts w:ascii="方正仿宋简体" w:eastAsia="方正仿宋简体"/>
          <w:sz w:val="28"/>
        </w:rPr>
      </w:pPr>
      <w:r>
        <w:rPr>
          <w:rFonts w:hint="eastAsia" w:ascii="方正仿宋简体" w:eastAsia="方正仿宋简体"/>
          <w:sz w:val="28"/>
        </w:rPr>
        <w:fldChar w:fldCharType="begin"/>
      </w:r>
      <w:r>
        <w:rPr>
          <w:rFonts w:hint="eastAsia" w:ascii="方正仿宋简体" w:eastAsia="方正仿宋简体"/>
          <w:sz w:val="28"/>
        </w:rPr>
        <w:instrText xml:space="preserve"> TOC \o "2-2" \h \z \u \t "-1" </w:instrText>
      </w:r>
      <w:r>
        <w:rPr>
          <w:rFonts w:hint="eastAsia" w:ascii="方正仿宋简体" w:eastAsia="方正仿宋简体"/>
          <w:sz w:val="28"/>
        </w:rPr>
        <w:fldChar w:fldCharType="separate"/>
      </w:r>
      <w:r>
        <w:fldChar w:fldCharType="begin"/>
      </w:r>
      <w:r>
        <w:instrText xml:space="preserve"> HYPERLINK \l "_Toc68791536"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预算收支总表…………………………………………………………………………………………………………</w:t>
      </w:r>
      <w:r>
        <w:rPr>
          <w:rFonts w:hint="eastAsia" w:ascii="方正仿宋简体" w:eastAsia="方正仿宋简体"/>
          <w:sz w:val="28"/>
        </w:rPr>
        <w:t>1</w:t>
      </w:r>
      <w:r>
        <w:rPr>
          <w:rFonts w:hint="eastAsia" w:ascii="方正仿宋简体" w:eastAsia="方正仿宋简体"/>
          <w:sz w:val="28"/>
        </w:rPr>
        <w:fldChar w:fldCharType="end"/>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"_Toc68791537"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预算收入总表…………………………………………………………………………………………………………</w:t>
      </w:r>
      <w:r>
        <w:rPr>
          <w:rFonts w:hint="eastAsia" w:ascii="方正仿宋简体" w:eastAsia="方正仿宋简体"/>
          <w:sz w:val="28"/>
        </w:rPr>
        <w:t>3</w:t>
      </w:r>
      <w:r>
        <w:rPr>
          <w:rFonts w:hint="eastAsia" w:ascii="方正仿宋简体" w:eastAsia="方正仿宋简体"/>
          <w:sz w:val="28"/>
        </w:rPr>
        <w:fldChar w:fldCharType="end"/>
      </w:r>
      <w:r>
        <w:rPr>
          <w:rFonts w:hint="eastAsia" w:ascii="方正仿宋简体" w:eastAsia="方正仿宋简体"/>
        </w:rPr>
        <w:t xml:space="preserve"> </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"_Toc68791538"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预算支出总表…………………………………………………………………………………………………………</w:t>
      </w:r>
      <w:r>
        <w:rPr>
          <w:rFonts w:hint="eastAsia" w:ascii="方正仿宋简体" w:eastAsia="方正仿宋简体"/>
          <w:sz w:val="28"/>
        </w:rPr>
        <w:t>5</w:t>
      </w:r>
      <w:r>
        <w:rPr>
          <w:rFonts w:hint="eastAsia" w:ascii="方正仿宋简体" w:eastAsia="方正仿宋简体"/>
          <w:sz w:val="28"/>
        </w:rPr>
        <w:fldChar w:fldCharType="end"/>
      </w:r>
    </w:p>
    <w:p>
      <w:pPr>
        <w:pStyle w:val="6"/>
        <w:tabs>
          <w:tab w:val="right" w:leader="dot" w:pos="14789"/>
        </w:tabs>
        <w:ind w:firstLine="105" w:firstLineChars="50"/>
        <w:rPr>
          <w:rFonts w:ascii="方正仿宋简体" w:eastAsia="方正仿宋简体"/>
          <w:sz w:val="28"/>
        </w:rPr>
      </w:pPr>
      <w:r>
        <w:rPr>
          <w:rFonts w:hint="eastAsia" w:ascii="方正仿宋简体" w:eastAsia="方正仿宋简体"/>
        </w:rPr>
        <w:t xml:space="preserve"> </w:t>
      </w:r>
      <w:r>
        <w:fldChar w:fldCharType="begin"/>
      </w:r>
      <w:r>
        <w:instrText xml:space="preserve"> HYPERLINK \l "_Toc68791539"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预算财政拨款收支总表………………………………………………………………………………………………</w:t>
      </w:r>
      <w:r>
        <w:rPr>
          <w:rFonts w:hint="eastAsia" w:ascii="方正仿宋简体" w:eastAsia="方正仿宋简体"/>
          <w:sz w:val="28"/>
        </w:rPr>
        <w:t>7</w:t>
      </w:r>
      <w:r>
        <w:rPr>
          <w:rFonts w:hint="eastAsia" w:ascii="方正仿宋简体" w:eastAsia="方正仿宋简体"/>
          <w:sz w:val="28"/>
        </w:rPr>
        <w:fldChar w:fldCharType="end"/>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"_Toc68791540"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预算一般公共预算财政拨款支出表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w:t>
      </w:r>
      <w:r>
        <w:rPr>
          <w:rFonts w:hint="eastAsia" w:ascii="方正仿宋简体" w:eastAsia="方正仿宋简体"/>
        </w:rPr>
        <w:t xml:space="preserve"> </w:t>
      </w:r>
      <w:r>
        <w:rPr>
          <w:rStyle w:val="12"/>
          <w:rFonts w:hint="eastAsia" w:ascii="方正仿宋简体" w:eastAsia="方正仿宋简体"/>
          <w:color w:val="auto"/>
          <w:sz w:val="28"/>
          <w:u w:val="none"/>
        </w:rPr>
        <w:t>9</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"_Toc68791541"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预算一般公共预算财政拨款基本支出表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……………………………………………………………………………11</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"_Toc68791542"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预算政府基金预算财政拨款支出表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…………………………………………………………………………………13</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"_Toc68791543"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预算国有资本经营预算财政拨款支出表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……………………………………………………………………………14</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"_Toc68791544" </w:instrText>
      </w:r>
      <w:r>
        <w:fldChar w:fldCharType="separate"/>
      </w:r>
      <w:r>
        <w:rPr>
          <w:rStyle w:val="12"/>
          <w:rFonts w:hint="eastAsia" w:ascii="方正仿宋简体" w:eastAsia="方正仿宋简体"/>
          <w:color w:val="auto"/>
          <w:sz w:val="28"/>
          <w:u w:val="none"/>
          <w:lang w:eastAsia="zh-CN"/>
        </w:rPr>
        <w:t>本级</w:t>
      </w:r>
      <w:r>
        <w:rPr>
          <w:rStyle w:val="12"/>
          <w:rFonts w:hint="eastAsia" w:ascii="方正仿宋简体" w:eastAsia="方正仿宋简体"/>
          <w:color w:val="auto"/>
          <w:sz w:val="28"/>
          <w:u w:val="none"/>
        </w:rPr>
        <w:t>预算财政拨款“三公”经费支出表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…………………………………………………………………………………15</w:t>
      </w:r>
    </w:p>
    <w:p>
      <w:pPr>
        <w:ind w:left="420" w:leftChars="200"/>
        <w:jc w:val="center"/>
        <w:rPr>
          <w:rFonts w:ascii="方正仿宋简体" w:hAnsi="宋体" w:eastAsia="方正仿宋简体"/>
        </w:rPr>
      </w:pPr>
      <w:r>
        <w:rPr>
          <w:rFonts w:hint="eastAsia" w:ascii="方正仿宋简体" w:eastAsia="方正仿宋简体"/>
          <w:sz w:val="28"/>
        </w:rPr>
        <w:fldChar w:fldCharType="end"/>
      </w:r>
    </w:p>
    <w:p>
      <w:pPr>
        <w:ind w:firstLine="560" w:firstLineChars="200"/>
        <w:jc w:val="left"/>
        <w:rPr>
          <w:rFonts w:ascii="方正黑体简体" w:hAnsi="宋体" w:eastAsia="方正黑体简体"/>
          <w:sz w:val="28"/>
        </w:rPr>
      </w:pPr>
      <w:r>
        <w:rPr>
          <w:rFonts w:hint="eastAsia" w:ascii="方正黑体简体" w:eastAsia="方正黑体简体"/>
          <w:sz w:val="28"/>
          <w:lang w:eastAsia="zh-CN"/>
        </w:rPr>
        <w:t>本级</w:t>
      </w:r>
      <w:r>
        <w:rPr>
          <w:rFonts w:hint="eastAsia" w:ascii="方正黑体简体" w:eastAsia="方正黑体简体"/>
          <w:sz w:val="28"/>
        </w:rPr>
        <w:t>预算信息公开情况说明</w:t>
      </w:r>
    </w:p>
    <w:p>
      <w:pPr>
        <w:pStyle w:val="2"/>
        <w:tabs>
          <w:tab w:val="right" w:leader="dot" w:pos="14789"/>
        </w:tabs>
        <w:ind w:left="420" w:leftChars="200"/>
        <w:rPr>
          <w:rFonts w:ascii="方正仿宋简体" w:eastAsia="方正仿宋简体"/>
          <w:sz w:val="28"/>
        </w:rPr>
      </w:pPr>
      <w:r>
        <w:rPr>
          <w:rFonts w:hint="eastAsia" w:ascii="方正仿宋简体" w:eastAsia="方正仿宋简体"/>
          <w:sz w:val="28"/>
        </w:rPr>
        <w:fldChar w:fldCharType="begin"/>
      </w:r>
      <w:r>
        <w:rPr>
          <w:rFonts w:hint="eastAsia" w:ascii="方正仿宋简体" w:eastAsia="方正仿宋简体"/>
          <w:sz w:val="28"/>
        </w:rPr>
        <w:instrText xml:space="preserve"> TOC \o "3-3" \h \z \u \t "-1" </w:instrText>
      </w:r>
      <w:r>
        <w:rPr>
          <w:rFonts w:hint="eastAsia" w:ascii="方正仿宋简体" w:eastAsia="方正仿宋简体"/>
          <w:sz w:val="28"/>
        </w:rPr>
        <w:fldChar w:fldCharType="separate"/>
      </w:r>
      <w:r>
        <w:fldChar w:fldCharType="begin"/>
      </w:r>
      <w:r>
        <w:instrText xml:space="preserve"> HYPERLINK \l "_Toc68791545" </w:instrText>
      </w:r>
      <w:r>
        <w:fldChar w:fldCharType="separate"/>
      </w:r>
      <w:r>
        <w:rPr>
          <w:rStyle w:val="12"/>
          <w:rFonts w:hint="eastAsia" w:ascii="方正仿宋简体" w:hAnsi="黑体" w:eastAsia="方正仿宋简体"/>
          <w:color w:val="auto"/>
          <w:sz w:val="28"/>
          <w:u w:val="none"/>
        </w:rPr>
        <w:t>一、</w:t>
      </w:r>
      <w:r>
        <w:rPr>
          <w:rStyle w:val="12"/>
          <w:rFonts w:hint="eastAsia" w:ascii="方正仿宋简体" w:hAnsi="黑体" w:eastAsia="方正仿宋简体"/>
          <w:color w:val="auto"/>
          <w:sz w:val="28"/>
          <w:u w:val="none"/>
          <w:lang w:eastAsia="zh-CN"/>
        </w:rPr>
        <w:t>本级</w:t>
      </w:r>
      <w:r>
        <w:rPr>
          <w:rStyle w:val="12"/>
          <w:rFonts w:hint="eastAsia" w:ascii="方正仿宋简体" w:hAnsi="黑体" w:eastAsia="方正仿宋简体"/>
          <w:color w:val="auto"/>
          <w:sz w:val="28"/>
          <w:u w:val="none"/>
        </w:rPr>
        <w:t>职责及机构设置情况</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……………………………………………………………………………………………16</w:t>
      </w:r>
    </w:p>
    <w:p>
      <w:pPr>
        <w:pStyle w:val="2"/>
        <w:tabs>
          <w:tab w:val="right" w:leader="dot" w:pos="14789"/>
        </w:tabs>
        <w:ind w:left="420" w:leftChars="200"/>
        <w:rPr>
          <w:rStyle w:val="12"/>
          <w:rFonts w:hint="eastAsia" w:ascii="方正仿宋简体" w:eastAsia="方正仿宋简体"/>
          <w:color w:val="auto"/>
          <w:sz w:val="28"/>
          <w:u w:val="none"/>
          <w:lang w:eastAsia="zh-CN"/>
        </w:rPr>
      </w:pPr>
      <w:r>
        <w:fldChar w:fldCharType="begin"/>
      </w:r>
      <w:r>
        <w:instrText xml:space="preserve"> HYPERLINK \l "_Toc68791546" </w:instrText>
      </w:r>
      <w:r>
        <w:fldChar w:fldCharType="separate"/>
      </w:r>
      <w:r>
        <w:rPr>
          <w:rStyle w:val="12"/>
          <w:rFonts w:hint="eastAsia" w:ascii="方正仿宋简体" w:hAnsi="黑体" w:eastAsia="方正仿宋简体"/>
          <w:color w:val="auto"/>
          <w:sz w:val="28"/>
          <w:u w:val="none"/>
        </w:rPr>
        <w:t>二、</w:t>
      </w:r>
      <w:r>
        <w:rPr>
          <w:rStyle w:val="12"/>
          <w:rFonts w:hint="eastAsia" w:ascii="方正仿宋简体" w:hAnsi="黑体" w:eastAsia="方正仿宋简体"/>
          <w:color w:val="auto"/>
          <w:sz w:val="28"/>
          <w:u w:val="none"/>
          <w:lang w:eastAsia="zh-CN"/>
        </w:rPr>
        <w:t>本级</w:t>
      </w:r>
      <w:r>
        <w:rPr>
          <w:rStyle w:val="12"/>
          <w:rFonts w:hint="eastAsia" w:ascii="方正仿宋简体" w:hAnsi="黑体" w:eastAsia="方正仿宋简体"/>
          <w:color w:val="auto"/>
          <w:sz w:val="28"/>
          <w:u w:val="none"/>
        </w:rPr>
        <w:t>预算安排的总体情况</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w:t>
      </w:r>
      <w:r>
        <w:rPr>
          <w:rStyle w:val="12"/>
          <w:rFonts w:hint="eastAsia" w:ascii="方正仿宋简体" w:eastAsia="方正仿宋简体"/>
          <w:color w:val="auto"/>
          <w:sz w:val="28"/>
          <w:u w:val="none"/>
          <w:lang w:val="en-US" w:eastAsia="zh-CN"/>
        </w:rPr>
        <w:t>23</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"_Toc68791547" </w:instrText>
      </w:r>
      <w:r>
        <w:fldChar w:fldCharType="separate"/>
      </w:r>
      <w:r>
        <w:rPr>
          <w:rStyle w:val="12"/>
          <w:rFonts w:hint="eastAsia" w:ascii="方正仿宋简体" w:hAnsi="黑体" w:eastAsia="方正仿宋简体"/>
          <w:color w:val="auto"/>
          <w:sz w:val="28"/>
          <w:u w:val="none"/>
        </w:rPr>
        <w:t>三、机关运行经费安排情况</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………………………………………………………………………………………………2</w:t>
      </w:r>
      <w:r>
        <w:rPr>
          <w:rStyle w:val="12"/>
          <w:rFonts w:hint="eastAsia" w:ascii="方正仿宋简体" w:eastAsia="方正仿宋简体"/>
          <w:color w:val="auto"/>
          <w:sz w:val="28"/>
          <w:u w:val="none"/>
          <w:lang w:val="en-US" w:eastAsia="zh-CN"/>
        </w:rPr>
        <w:t>4</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"_Toc68791548" </w:instrText>
      </w:r>
      <w:r>
        <w:fldChar w:fldCharType="separate"/>
      </w:r>
      <w:r>
        <w:rPr>
          <w:rStyle w:val="12"/>
          <w:rFonts w:hint="eastAsia" w:ascii="方正仿宋简体" w:hAnsi="黑体" w:eastAsia="方正仿宋简体"/>
          <w:color w:val="auto"/>
          <w:sz w:val="28"/>
          <w:u w:val="none"/>
        </w:rPr>
        <w:t>四、财政拨款“三公”经费预算情况及增减变化原因</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…………………………………………………………………2</w:t>
      </w:r>
      <w:r>
        <w:rPr>
          <w:rStyle w:val="12"/>
          <w:rFonts w:hint="eastAsia" w:ascii="方正仿宋简体" w:eastAsia="方正仿宋简体"/>
          <w:color w:val="auto"/>
          <w:sz w:val="28"/>
          <w:u w:val="none"/>
          <w:lang w:val="en-US" w:eastAsia="zh-CN"/>
        </w:rPr>
        <w:t>4</w:t>
      </w:r>
    </w:p>
    <w:p>
      <w:pPr>
        <w:pStyle w:val="2"/>
        <w:tabs>
          <w:tab w:val="right" w:leader="dot" w:pos="14789"/>
        </w:tabs>
        <w:ind w:left="420" w:leftChars="200"/>
        <w:rPr>
          <w:rFonts w:ascii="方正仿宋简体" w:eastAsia="方正仿宋简体"/>
          <w:sz w:val="28"/>
        </w:rPr>
      </w:pPr>
      <w:r>
        <w:fldChar w:fldCharType="begin"/>
      </w:r>
      <w:r>
        <w:instrText xml:space="preserve"> HYPERLINK \l "_Toc68791549" </w:instrText>
      </w:r>
      <w:r>
        <w:fldChar w:fldCharType="separate"/>
      </w:r>
      <w:r>
        <w:rPr>
          <w:rStyle w:val="12"/>
          <w:rFonts w:hint="eastAsia" w:ascii="方正仿宋简体" w:hAnsi="黑体" w:eastAsia="方正仿宋简体"/>
          <w:color w:val="auto"/>
          <w:sz w:val="28"/>
          <w:u w:val="none"/>
        </w:rPr>
        <w:t>五、预算绩效信息</w:t>
      </w:r>
      <w:r>
        <w:rPr>
          <w:rStyle w:val="12"/>
          <w:rFonts w:hint="eastAsia" w:ascii="方正仿宋简体" w:eastAsia="方正仿宋简体"/>
          <w:color w:val="auto"/>
          <w:sz w:val="28"/>
          <w:u w:val="none"/>
        </w:rPr>
        <w:t>…………………………………………………………………………………………………………</w:t>
      </w:r>
      <w:r>
        <w:rPr>
          <w:rFonts w:hint="eastAsia" w:ascii="方正仿宋简体" w:eastAsia="方正仿宋简体"/>
          <w:sz w:val="28"/>
        </w:rPr>
        <w:t>2</w:t>
      </w:r>
      <w:r>
        <w:rPr>
          <w:rFonts w:hint="eastAsia" w:ascii="方正仿宋简体" w:eastAsia="方正仿宋简体"/>
          <w:sz w:val="28"/>
          <w:lang w:val="en-US" w:eastAsia="zh-CN"/>
        </w:rPr>
        <w:t>5</w:t>
      </w:r>
      <w:r>
        <w:rPr>
          <w:rFonts w:hint="eastAsia" w:ascii="方正仿宋简体" w:eastAsia="方正仿宋简体"/>
          <w:sz w:val="28"/>
        </w:rPr>
        <w:fldChar w:fldCharType="end"/>
      </w:r>
    </w:p>
    <w:p>
      <w:pPr>
        <w:pStyle w:val="2"/>
        <w:tabs>
          <w:tab w:val="right" w:leader="dot" w:pos="14789"/>
        </w:tabs>
        <w:ind w:left="420" w:leftChars="200"/>
        <w:rPr>
          <w:rFonts w:ascii="方正仿宋简体" w:eastAsia="方正仿宋简体"/>
          <w:sz w:val="28"/>
        </w:rPr>
      </w:pPr>
      <w:r>
        <w:fldChar w:fldCharType="begin"/>
      </w:r>
      <w:r>
        <w:instrText xml:space="preserve"> HYPERLINK \l "_Toc68791550" </w:instrText>
      </w:r>
      <w:r>
        <w:fldChar w:fldCharType="separate"/>
      </w:r>
      <w:r>
        <w:rPr>
          <w:rStyle w:val="12"/>
          <w:rFonts w:hint="eastAsia" w:ascii="方正仿宋简体" w:eastAsia="方正仿宋简体"/>
          <w:color w:val="auto"/>
          <w:sz w:val="28"/>
          <w:u w:val="none"/>
        </w:rPr>
        <w:t>六、政府采购预算情况</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……………………………………………………………………………………………………28</w:t>
      </w:r>
    </w:p>
    <w:p>
      <w:pPr>
        <w:pStyle w:val="2"/>
        <w:tabs>
          <w:tab w:val="right" w:leader="dot" w:pos="14789"/>
        </w:tabs>
        <w:ind w:left="420" w:leftChars="200"/>
        <w:rPr>
          <w:rFonts w:ascii="方正仿宋简体" w:eastAsia="方正仿宋简体"/>
          <w:sz w:val="28"/>
        </w:rPr>
      </w:pPr>
      <w:r>
        <w:fldChar w:fldCharType="begin"/>
      </w:r>
      <w:r>
        <w:instrText xml:space="preserve"> HYPERLINK \l "_Toc68791551" </w:instrText>
      </w:r>
      <w:r>
        <w:fldChar w:fldCharType="separate"/>
      </w:r>
      <w:r>
        <w:rPr>
          <w:rStyle w:val="12"/>
          <w:rFonts w:hint="eastAsia" w:ascii="方正仿宋简体" w:hAnsi="黑体" w:eastAsia="方正仿宋简体"/>
          <w:color w:val="auto"/>
          <w:sz w:val="28"/>
          <w:u w:val="none"/>
        </w:rPr>
        <w:t>七、国有资产信息</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…………………………………………………………………………………………………………29</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"_Toc68791552" </w:instrText>
      </w:r>
      <w:r>
        <w:fldChar w:fldCharType="separate"/>
      </w:r>
      <w:r>
        <w:rPr>
          <w:rStyle w:val="12"/>
          <w:rFonts w:hint="eastAsia" w:ascii="方正仿宋简体" w:hAnsi="黑体" w:eastAsia="方正仿宋简体"/>
          <w:color w:val="auto"/>
          <w:sz w:val="28"/>
          <w:u w:val="none"/>
        </w:rPr>
        <w:t>八、名词解释</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w:t>
      </w:r>
      <w:r>
        <w:rPr>
          <w:rStyle w:val="12"/>
          <w:rFonts w:hint="eastAsia" w:ascii="方正仿宋简体" w:eastAsia="方正仿宋简体"/>
          <w:color w:val="auto"/>
          <w:sz w:val="28"/>
          <w:u w:val="none"/>
          <w:lang w:val="en-US" w:eastAsia="zh-CN"/>
        </w:rPr>
        <w:t>29</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"_Toc68791553" </w:instrText>
      </w:r>
      <w:r>
        <w:fldChar w:fldCharType="separate"/>
      </w:r>
      <w:r>
        <w:rPr>
          <w:rStyle w:val="12"/>
          <w:rFonts w:hint="eastAsia" w:ascii="方正仿宋简体" w:hAnsi="黑体" w:eastAsia="方正仿宋简体"/>
          <w:color w:val="auto"/>
          <w:sz w:val="28"/>
          <w:u w:val="none"/>
        </w:rPr>
        <w:t>九、其他需要说明的事项</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…………………………………………………………………………………………………3</w:t>
      </w:r>
      <w:r>
        <w:rPr>
          <w:rStyle w:val="12"/>
          <w:rFonts w:hint="eastAsia" w:ascii="方正仿宋简体" w:eastAsia="方正仿宋简体"/>
          <w:color w:val="auto"/>
          <w:sz w:val="28"/>
          <w:u w:val="none"/>
          <w:lang w:val="en-US" w:eastAsia="zh-CN"/>
        </w:rPr>
        <w:t>0</w:t>
      </w:r>
    </w:p>
    <w:p>
      <w:pPr>
        <w:ind w:left="420" w:leftChars="200"/>
        <w:jc w:val="center"/>
        <w:rPr>
          <w:rFonts w:ascii="方正仿宋简体" w:hAnsi="黑体" w:eastAsia="方正仿宋简体"/>
          <w:kern w:val="0"/>
          <w:sz w:val="22"/>
        </w:rPr>
        <w:sectPr>
          <w:footerReference r:id="rId3" w:type="default"/>
          <w:pgSz w:w="16839" w:h="11907" w:orient="landscape"/>
          <w:pgMar w:top="680" w:right="1020" w:bottom="680" w:left="1020" w:header="851" w:footer="992" w:gutter="0"/>
          <w:pgNumType w:start="1"/>
          <w:cols w:space="720" w:num="1"/>
          <w:docGrid w:type="lines" w:linePitch="312" w:charSpace="0"/>
        </w:sectPr>
      </w:pPr>
      <w:r>
        <w:rPr>
          <w:rFonts w:hint="eastAsia" w:ascii="方正仿宋简体" w:eastAsia="方正仿宋简体"/>
          <w:sz w:val="28"/>
        </w:rPr>
        <w:fldChar w:fldCharType="end"/>
      </w:r>
    </w:p>
    <w:tbl>
      <w:tblPr>
        <w:tblStyle w:val="8"/>
        <w:tblpPr w:leftFromText="180" w:rightFromText="180" w:vertAnchor="text" w:horzAnchor="page" w:tblpX="1404" w:tblpY="526"/>
        <w:tblOverlap w:val="never"/>
        <w:tblW w:w="5143" w:type="pct"/>
        <w:tblInd w:w="0" w:type="dxa"/>
        <w:tblLayout w:type="fixed"/>
        <w:tblCellMar>
          <w:top w:w="0" w:type="dxa"/>
          <w:left w:w="108" w:type="dxa"/>
          <w:bottom w:w="0" w:type="dxa"/>
          <w:right w:w="108" w:type="dxa"/>
        </w:tblCellMar>
      </w:tblPr>
      <w:tblGrid>
        <w:gridCol w:w="202"/>
        <w:gridCol w:w="282"/>
        <w:gridCol w:w="769"/>
        <w:gridCol w:w="293"/>
        <w:gridCol w:w="550"/>
        <w:gridCol w:w="1850"/>
        <w:gridCol w:w="293"/>
        <w:gridCol w:w="469"/>
        <w:gridCol w:w="192"/>
        <w:gridCol w:w="253"/>
        <w:gridCol w:w="28"/>
        <w:gridCol w:w="244"/>
        <w:gridCol w:w="31"/>
        <w:gridCol w:w="503"/>
        <w:gridCol w:w="117"/>
        <w:gridCol w:w="673"/>
        <w:gridCol w:w="349"/>
        <w:gridCol w:w="111"/>
        <w:gridCol w:w="71"/>
        <w:gridCol w:w="229"/>
        <w:gridCol w:w="117"/>
        <w:gridCol w:w="386"/>
        <w:gridCol w:w="337"/>
        <w:gridCol w:w="355"/>
        <w:gridCol w:w="22"/>
        <w:gridCol w:w="263"/>
        <w:gridCol w:w="195"/>
        <w:gridCol w:w="300"/>
        <w:gridCol w:w="429"/>
        <w:gridCol w:w="235"/>
        <w:gridCol w:w="188"/>
        <w:gridCol w:w="275"/>
        <w:gridCol w:w="250"/>
        <w:gridCol w:w="185"/>
        <w:gridCol w:w="213"/>
        <w:gridCol w:w="133"/>
        <w:gridCol w:w="241"/>
        <w:gridCol w:w="117"/>
        <w:gridCol w:w="34"/>
        <w:gridCol w:w="161"/>
        <w:gridCol w:w="148"/>
        <w:gridCol w:w="392"/>
        <w:gridCol w:w="102"/>
        <w:gridCol w:w="90"/>
        <w:gridCol w:w="71"/>
        <w:gridCol w:w="550"/>
        <w:gridCol w:w="460"/>
        <w:gridCol w:w="275"/>
        <w:gridCol w:w="862"/>
        <w:gridCol w:w="46"/>
        <w:gridCol w:w="102"/>
        <w:gridCol w:w="142"/>
        <w:gridCol w:w="259"/>
      </w:tblGrid>
      <w:tr>
        <w:tblPrEx>
          <w:tblCellMar>
            <w:top w:w="0" w:type="dxa"/>
            <w:left w:w="108" w:type="dxa"/>
            <w:bottom w:w="0" w:type="dxa"/>
            <w:right w:w="108" w:type="dxa"/>
          </w:tblCellMar>
        </w:tblPrEx>
        <w:trPr>
          <w:gridAfter w:val="3"/>
          <w:wAfter w:w="164" w:type="pct"/>
          <w:trHeight w:val="315" w:hRule="atLeast"/>
        </w:trPr>
        <w:tc>
          <w:tcPr>
            <w:tcW w:w="1586" w:type="pct"/>
            <w:gridSpan w:val="9"/>
            <w:tcBorders>
              <w:top w:val="nil"/>
              <w:left w:val="nil"/>
              <w:bottom w:val="nil"/>
              <w:right w:val="nil"/>
            </w:tcBorders>
            <w:noWrap/>
            <w:vAlign w:val="center"/>
          </w:tcPr>
          <w:p>
            <w:pPr>
              <w:widowControl/>
              <w:jc w:val="left"/>
              <w:rPr>
                <w:rFonts w:ascii="方正黑体简体" w:hAnsi="黑体" w:eastAsia="方正黑体简体"/>
                <w:kern w:val="0"/>
                <w:sz w:val="22"/>
              </w:rPr>
            </w:pPr>
            <w:r>
              <w:rPr>
                <w:rFonts w:hint="eastAsia" w:ascii="方正黑体简体" w:hAnsi="黑体" w:eastAsia="方正黑体简体"/>
                <w:kern w:val="0"/>
                <w:sz w:val="22"/>
              </w:rPr>
              <w:t>附表1-1</w:t>
            </w:r>
          </w:p>
        </w:tc>
        <w:tc>
          <w:tcPr>
            <w:tcW w:w="1008" w:type="pct"/>
            <w:gridSpan w:val="13"/>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1221" w:type="pct"/>
            <w:gridSpan w:val="17"/>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1021" w:type="pct"/>
            <w:gridSpan w:val="11"/>
            <w:tcBorders>
              <w:top w:val="nil"/>
              <w:left w:val="nil"/>
              <w:bottom w:val="nil"/>
              <w:right w:val="nil"/>
            </w:tcBorders>
            <w:noWrap/>
            <w:vAlign w:val="center"/>
          </w:tcPr>
          <w:p>
            <w:pPr>
              <w:widowControl/>
              <w:jc w:val="left"/>
              <w:rPr>
                <w:rFonts w:ascii="方正仿宋简体" w:hAnsi="黑体" w:eastAsia="方正仿宋简体"/>
                <w:kern w:val="0"/>
                <w:sz w:val="22"/>
              </w:rPr>
            </w:pPr>
          </w:p>
        </w:tc>
      </w:tr>
      <w:tr>
        <w:tblPrEx>
          <w:tblCellMar>
            <w:top w:w="0" w:type="dxa"/>
            <w:left w:w="108" w:type="dxa"/>
            <w:bottom w:w="0" w:type="dxa"/>
            <w:right w:w="108" w:type="dxa"/>
          </w:tblCellMar>
        </w:tblPrEx>
        <w:trPr>
          <w:gridAfter w:val="3"/>
          <w:wAfter w:w="164" w:type="pct"/>
          <w:trHeight w:val="570" w:hRule="atLeast"/>
        </w:trPr>
        <w:tc>
          <w:tcPr>
            <w:tcW w:w="4836" w:type="pct"/>
            <w:gridSpan w:val="50"/>
            <w:tcBorders>
              <w:top w:val="nil"/>
              <w:left w:val="nil"/>
              <w:bottom w:val="nil"/>
              <w:right w:val="nil"/>
            </w:tcBorders>
            <w:noWrap/>
            <w:vAlign w:val="center"/>
          </w:tcPr>
          <w:p>
            <w:pPr>
              <w:widowControl/>
              <w:snapToGrid w:val="0"/>
              <w:spacing w:line="180" w:lineRule="atLeast"/>
              <w:jc w:val="left"/>
              <w:rPr>
                <w:rFonts w:ascii="方正小标宋简体" w:hAnsi="黑体" w:eastAsia="方正小标宋简体"/>
                <w:kern w:val="0"/>
                <w:sz w:val="36"/>
                <w:szCs w:val="36"/>
              </w:rPr>
            </w:pPr>
            <w:r>
              <w:rPr>
                <w:rFonts w:hint="eastAsia" w:ascii="方正仿宋简体" w:hAnsi="黑体" w:eastAsia="方正仿宋简体"/>
                <w:kern w:val="0"/>
                <w:sz w:val="22"/>
              </w:rPr>
              <w:t xml:space="preserve">                                                  </w:t>
            </w:r>
            <w:r>
              <w:rPr>
                <w:rFonts w:hint="eastAsia" w:ascii="方正小标宋简体" w:hAnsi="黑体" w:eastAsia="方正小标宋简体"/>
                <w:kern w:val="0"/>
                <w:sz w:val="22"/>
              </w:rPr>
              <w:t xml:space="preserve"> </w:t>
            </w:r>
            <w:r>
              <w:rPr>
                <w:rFonts w:hint="eastAsia" w:ascii="方正小标宋简体" w:hAnsi="黑体" w:eastAsia="方正小标宋简体"/>
                <w:kern w:val="0"/>
                <w:sz w:val="36"/>
                <w:szCs w:val="36"/>
                <w:lang w:eastAsia="zh-CN"/>
              </w:rPr>
              <w:t>单位</w:t>
            </w:r>
            <w:r>
              <w:rPr>
                <w:rFonts w:hint="eastAsia" w:ascii="方正小标宋简体" w:hAnsi="黑体" w:eastAsia="方正小标宋简体"/>
                <w:kern w:val="0"/>
                <w:sz w:val="36"/>
                <w:szCs w:val="36"/>
              </w:rPr>
              <w:t>预算收支总表</w:t>
            </w:r>
          </w:p>
        </w:tc>
      </w:tr>
      <w:tr>
        <w:tblPrEx>
          <w:tblCellMar>
            <w:top w:w="0" w:type="dxa"/>
            <w:left w:w="108" w:type="dxa"/>
            <w:bottom w:w="0" w:type="dxa"/>
            <w:right w:w="108" w:type="dxa"/>
          </w:tblCellMar>
        </w:tblPrEx>
        <w:trPr>
          <w:gridAfter w:val="3"/>
          <w:wAfter w:w="164" w:type="pct"/>
          <w:trHeight w:val="300" w:hRule="atLeast"/>
        </w:trPr>
        <w:tc>
          <w:tcPr>
            <w:tcW w:w="1586" w:type="pct"/>
            <w:gridSpan w:val="9"/>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599" w:type="pct"/>
            <w:gridSpan w:val="7"/>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1630" w:type="pct"/>
            <w:gridSpan w:val="23"/>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021" w:type="pct"/>
            <w:gridSpan w:val="11"/>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r>
      <w:tr>
        <w:tblPrEx>
          <w:tblCellMar>
            <w:top w:w="0" w:type="dxa"/>
            <w:left w:w="108" w:type="dxa"/>
            <w:bottom w:w="0" w:type="dxa"/>
            <w:right w:w="108" w:type="dxa"/>
          </w:tblCellMar>
        </w:tblPrEx>
        <w:trPr>
          <w:gridAfter w:val="3"/>
          <w:wAfter w:w="164" w:type="pct"/>
          <w:trHeight w:val="289" w:hRule="atLeast"/>
        </w:trPr>
        <w:tc>
          <w:tcPr>
            <w:tcW w:w="2297" w:type="pct"/>
            <w:gridSpan w:val="1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收入</w:t>
            </w:r>
          </w:p>
        </w:tc>
        <w:tc>
          <w:tcPr>
            <w:tcW w:w="2539" w:type="pct"/>
            <w:gridSpan w:val="33"/>
            <w:tcBorders>
              <w:top w:val="single" w:color="auto" w:sz="4" w:space="0"/>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支出</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926" w:type="pct"/>
            <w:gridSpan w:val="10"/>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预算数</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1032" w:type="pct"/>
            <w:gridSpan w:val="12"/>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预算数</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一、一般公共预算拨款收入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一、一般公共服务支出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Times New Roman" w:eastAsia="方正仿宋简体"/>
                <w:color w:val="000000"/>
                <w:sz w:val="22"/>
              </w:rPr>
            </w:pPr>
            <w:r>
              <w:rPr>
                <w:rFonts w:hint="eastAsia" w:ascii="方正仿宋简体" w:hAnsi="Times New Roman" w:eastAsia="方正仿宋简体"/>
                <w:color w:val="000000"/>
                <w:kern w:val="0"/>
                <w:sz w:val="22"/>
              </w:rPr>
              <w:t>581．03</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二、政府性基金预算拨款收入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二、外交支出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三、国有资本经营预算拨款收入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三、国防支出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四、财政专户管理资金收入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四、公共安全支出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五、事业收入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五、教育支出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六、事业单位经营收入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六、科学技术支出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七、上级补助收入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七、文化体育与传媒支出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八、附属单位上缴收入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八、社会保障和就业支出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黑体" w:eastAsia="方正仿宋简体"/>
                <w:kern w:val="0"/>
                <w:sz w:val="22"/>
              </w:rPr>
            </w:pPr>
            <w:r>
              <w:rPr>
                <w:rFonts w:hint="eastAsia" w:ascii="方正仿宋简体" w:hAnsi="Times New Roman" w:eastAsia="方正仿宋简体"/>
                <w:color w:val="000000"/>
                <w:kern w:val="0"/>
                <w:sz w:val="22"/>
              </w:rPr>
              <w:t>74．77</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九、其他收入</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九、卫生健康支出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黑体" w:eastAsia="方正仿宋简体"/>
                <w:kern w:val="0"/>
                <w:sz w:val="22"/>
              </w:rPr>
            </w:pPr>
            <w:r>
              <w:rPr>
                <w:rFonts w:hint="eastAsia" w:ascii="方正仿宋简体" w:hAnsi="黑体" w:eastAsia="方正仿宋简体"/>
                <w:kern w:val="0"/>
                <w:sz w:val="22"/>
              </w:rPr>
              <w:t>77．93</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十、节能环保支出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十一、城乡社区支出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十二、农林水支出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Times New Roman" w:eastAsia="方正仿宋简体"/>
                <w:color w:val="000000"/>
                <w:sz w:val="22"/>
              </w:rPr>
            </w:pPr>
            <w:r>
              <w:rPr>
                <w:rFonts w:hint="eastAsia" w:ascii="方正仿宋简体" w:hAnsi="Times New Roman" w:eastAsia="方正仿宋简体"/>
                <w:color w:val="000000"/>
                <w:kern w:val="0"/>
                <w:sz w:val="22"/>
              </w:rPr>
              <w:t xml:space="preserve">150.00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十三、交通运输支出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十四、资源勘探工业信息等支出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十五、商业服务业等支出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十六、金融支出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十七、援助其他地区支出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十八、自然资源海洋气象等支出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十九、住房保障支出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Times New Roman" w:eastAsia="方正仿宋简体"/>
                <w:color w:val="000000"/>
                <w:sz w:val="22"/>
              </w:rPr>
            </w:pPr>
            <w:r>
              <w:rPr>
                <w:rFonts w:hint="eastAsia" w:ascii="方正仿宋简体" w:hAnsi="Times New Roman" w:eastAsia="方正仿宋简体"/>
                <w:color w:val="000000"/>
                <w:kern w:val="0"/>
                <w:sz w:val="22"/>
              </w:rPr>
              <w:t>43．24</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二十、粮油物资储备支出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二十一、国有资本经营预算支出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二十二、灾害防治及应急管理支出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二十三、债务还本支出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二十四、债务付息支出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90"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二十五、债务发行费用支出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二十六、其他支出</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4" w:type="pct"/>
          <w:trHeight w:val="382"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本年收入合计</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本年支出合计</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xml:space="preserve">         上年结转结余</w:t>
            </w:r>
          </w:p>
        </w:tc>
        <w:tc>
          <w:tcPr>
            <w:tcW w:w="926" w:type="pct"/>
            <w:gridSpan w:val="10"/>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xml:space="preserve">                年终结转结余</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p>
        </w:tc>
      </w:tr>
      <w:tr>
        <w:tblPrEx>
          <w:tblCellMar>
            <w:top w:w="0" w:type="dxa"/>
            <w:left w:w="108" w:type="dxa"/>
            <w:bottom w:w="0" w:type="dxa"/>
            <w:right w:w="108" w:type="dxa"/>
          </w:tblCellMar>
        </w:tblPrEx>
        <w:trPr>
          <w:gridAfter w:val="3"/>
          <w:wAfter w:w="164" w:type="pct"/>
          <w:trHeight w:val="289" w:hRule="atLeast"/>
        </w:trPr>
        <w:tc>
          <w:tcPr>
            <w:tcW w:w="1372" w:type="pct"/>
            <w:gridSpan w:val="7"/>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926"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1032"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r>
      <w:tr>
        <w:tblPrEx>
          <w:tblCellMar>
            <w:top w:w="0" w:type="dxa"/>
            <w:left w:w="108" w:type="dxa"/>
            <w:bottom w:w="0" w:type="dxa"/>
            <w:right w:w="108" w:type="dxa"/>
          </w:tblCellMar>
        </w:tblPrEx>
        <w:trPr>
          <w:gridBefore w:val="1"/>
          <w:wBefore w:w="65" w:type="pct"/>
          <w:trHeight w:val="439" w:hRule="atLeast"/>
        </w:trPr>
        <w:tc>
          <w:tcPr>
            <w:tcW w:w="340" w:type="pct"/>
            <w:gridSpan w:val="2"/>
            <w:tcBorders>
              <w:top w:val="nil"/>
              <w:left w:val="nil"/>
              <w:bottom w:val="nil"/>
              <w:right w:val="nil"/>
            </w:tcBorders>
            <w:noWrap/>
            <w:vAlign w:val="center"/>
          </w:tcPr>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tc>
        <w:tc>
          <w:tcPr>
            <w:tcW w:w="1119" w:type="pct"/>
            <w:gridSpan w:val="5"/>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405" w:type="pct"/>
            <w:gridSpan w:val="6"/>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502" w:type="pct"/>
            <w:gridSpan w:val="6"/>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387" w:type="pct"/>
            <w:gridSpan w:val="4"/>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467" w:type="pct"/>
            <w:gridSpan w:val="6"/>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150" w:type="pct"/>
            <w:gridSpan w:val="2"/>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210" w:type="pct"/>
            <w:gridSpan w:val="3"/>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222" w:type="pct"/>
            <w:gridSpan w:val="5"/>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970" w:type="pct"/>
            <w:gridSpan w:val="10"/>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79" w:type="pct"/>
            <w:gridSpan w:val="2"/>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85" w:type="pct"/>
            <w:tcBorders>
              <w:top w:val="nil"/>
              <w:left w:val="nil"/>
              <w:bottom w:val="nil"/>
              <w:right w:val="nil"/>
            </w:tcBorders>
            <w:noWrap/>
            <w:vAlign w:val="center"/>
          </w:tcPr>
          <w:p>
            <w:pPr>
              <w:widowControl/>
              <w:jc w:val="left"/>
              <w:rPr>
                <w:rFonts w:ascii="方正仿宋简体" w:hAnsi="黑体" w:eastAsia="方正仿宋简体"/>
                <w:kern w:val="0"/>
                <w:sz w:val="22"/>
              </w:rPr>
            </w:pPr>
          </w:p>
        </w:tc>
      </w:tr>
      <w:tr>
        <w:tblPrEx>
          <w:tblCellMar>
            <w:top w:w="0" w:type="dxa"/>
            <w:left w:w="108" w:type="dxa"/>
            <w:bottom w:w="0" w:type="dxa"/>
            <w:right w:w="108" w:type="dxa"/>
          </w:tblCellMar>
        </w:tblPrEx>
        <w:trPr>
          <w:gridBefore w:val="1"/>
          <w:gridAfter w:val="3"/>
          <w:wBefore w:w="65" w:type="pct"/>
          <w:wAfter w:w="164" w:type="pct"/>
          <w:trHeight w:val="1628" w:hRule="atLeast"/>
        </w:trPr>
        <w:tc>
          <w:tcPr>
            <w:tcW w:w="4771" w:type="pct"/>
            <w:gridSpan w:val="49"/>
            <w:tcBorders>
              <w:top w:val="nil"/>
              <w:left w:val="nil"/>
              <w:bottom w:val="nil"/>
              <w:right w:val="nil"/>
            </w:tcBorders>
            <w:noWrap/>
            <w:vAlign w:val="center"/>
          </w:tcPr>
          <w:p>
            <w:pPr>
              <w:widowControl/>
              <w:jc w:val="left"/>
              <w:rPr>
                <w:rFonts w:ascii="方正黑体简体" w:hAnsi="黑体" w:eastAsia="方正黑体简体"/>
                <w:kern w:val="0"/>
                <w:sz w:val="32"/>
                <w:szCs w:val="32"/>
              </w:rPr>
            </w:pPr>
            <w:r>
              <w:rPr>
                <w:rFonts w:hint="eastAsia" w:ascii="方正黑体简体" w:hAnsi="黑体" w:eastAsia="方正黑体简体"/>
                <w:kern w:val="0"/>
                <w:sz w:val="32"/>
                <w:szCs w:val="32"/>
              </w:rPr>
              <w:t>附表：1—2</w:t>
            </w:r>
          </w:p>
          <w:p>
            <w:pPr>
              <w:widowControl/>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lang w:eastAsia="zh-CN"/>
              </w:rPr>
              <w:t>单位</w:t>
            </w:r>
            <w:r>
              <w:rPr>
                <w:rFonts w:hint="eastAsia" w:ascii="方正小标宋简体" w:hAnsi="黑体" w:eastAsia="方正小标宋简体"/>
                <w:kern w:val="0"/>
                <w:sz w:val="44"/>
                <w:szCs w:val="44"/>
              </w:rPr>
              <w:t>预算收入总表</w:t>
            </w:r>
          </w:p>
        </w:tc>
      </w:tr>
      <w:tr>
        <w:tblPrEx>
          <w:tblCellMar>
            <w:top w:w="0" w:type="dxa"/>
            <w:left w:w="108" w:type="dxa"/>
            <w:bottom w:w="0" w:type="dxa"/>
            <w:right w:w="108" w:type="dxa"/>
          </w:tblCellMar>
        </w:tblPrEx>
        <w:trPr>
          <w:gridBefore w:val="1"/>
          <w:gridAfter w:val="3"/>
          <w:wBefore w:w="65" w:type="pct"/>
          <w:wAfter w:w="164" w:type="pct"/>
          <w:trHeight w:val="300" w:hRule="atLeast"/>
        </w:trPr>
        <w:tc>
          <w:tcPr>
            <w:tcW w:w="1458" w:type="pct"/>
            <w:gridSpan w:val="7"/>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405" w:type="pct"/>
            <w:gridSpan w:val="6"/>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502" w:type="pct"/>
            <w:gridSpan w:val="6"/>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7" w:type="pct"/>
            <w:gridSpan w:val="4"/>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617" w:type="pct"/>
            <w:gridSpan w:val="8"/>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210" w:type="pct"/>
            <w:gridSpan w:val="3"/>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p>
        </w:tc>
        <w:tc>
          <w:tcPr>
            <w:tcW w:w="222" w:type="pct"/>
            <w:gridSpan w:val="5"/>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p>
        </w:tc>
        <w:tc>
          <w:tcPr>
            <w:tcW w:w="175" w:type="pct"/>
            <w:gridSpan w:val="2"/>
            <w:tcBorders>
              <w:top w:val="nil"/>
              <w:left w:val="nil"/>
              <w:bottom w:val="nil"/>
              <w:right w:val="nil"/>
            </w:tcBorders>
            <w:shd w:val="clear" w:color="auto" w:fill="auto"/>
            <w:noWrap/>
            <w:vAlign w:val="center"/>
          </w:tcPr>
          <w:p>
            <w:pPr>
              <w:widowControl/>
              <w:snapToGrid w:val="0"/>
              <w:spacing w:line="180" w:lineRule="atLeast"/>
              <w:jc w:val="left"/>
              <w:rPr>
                <w:rFonts w:ascii="方正仿宋简体" w:hAnsi="黑体" w:eastAsia="方正仿宋简体"/>
                <w:kern w:val="0"/>
                <w:sz w:val="22"/>
              </w:rPr>
            </w:pPr>
          </w:p>
        </w:tc>
        <w:tc>
          <w:tcPr>
            <w:tcW w:w="412" w:type="pct"/>
            <w:gridSpan w:val="5"/>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p>
        </w:tc>
        <w:tc>
          <w:tcPr>
            <w:tcW w:w="383" w:type="pct"/>
            <w:gridSpan w:val="3"/>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r>
      <w:tr>
        <w:tblPrEx>
          <w:tblCellMar>
            <w:top w:w="0" w:type="dxa"/>
            <w:left w:w="108" w:type="dxa"/>
            <w:bottom w:w="0" w:type="dxa"/>
            <w:right w:w="108" w:type="dxa"/>
          </w:tblCellMar>
        </w:tblPrEx>
        <w:trPr>
          <w:gridBefore w:val="1"/>
          <w:gridAfter w:val="3"/>
          <w:wBefore w:w="65" w:type="pct"/>
          <w:wAfter w:w="164" w:type="pct"/>
          <w:trHeight w:val="450" w:hRule="atLeast"/>
        </w:trPr>
        <w:tc>
          <w:tcPr>
            <w:tcW w:w="1458" w:type="pct"/>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w:t>
            </w:r>
          </w:p>
        </w:tc>
        <w:tc>
          <w:tcPr>
            <w:tcW w:w="405"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2524" w:type="pct"/>
            <w:gridSpan w:val="33"/>
            <w:tcBorders>
              <w:top w:val="single" w:color="auto" w:sz="4" w:space="0"/>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本年收入</w:t>
            </w:r>
          </w:p>
        </w:tc>
        <w:tc>
          <w:tcPr>
            <w:tcW w:w="383"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上年结转</w:t>
            </w:r>
          </w:p>
        </w:tc>
      </w:tr>
      <w:tr>
        <w:tblPrEx>
          <w:tblCellMar>
            <w:top w:w="0" w:type="dxa"/>
            <w:left w:w="108" w:type="dxa"/>
            <w:bottom w:w="0" w:type="dxa"/>
            <w:right w:w="108" w:type="dxa"/>
          </w:tblCellMar>
        </w:tblPrEx>
        <w:trPr>
          <w:gridBefore w:val="1"/>
          <w:gridAfter w:val="3"/>
          <w:wBefore w:w="65" w:type="pct"/>
          <w:wAfter w:w="164" w:type="pct"/>
          <w:trHeight w:val="795" w:hRule="atLeast"/>
        </w:trPr>
        <w:tc>
          <w:tcPr>
            <w:tcW w:w="435"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功能分类科目编码</w:t>
            </w:r>
          </w:p>
        </w:tc>
        <w:tc>
          <w:tcPr>
            <w:tcW w:w="1024" w:type="pct"/>
            <w:gridSpan w:val="4"/>
            <w:tcBorders>
              <w:top w:val="nil"/>
              <w:left w:val="nil"/>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科目名称</w:t>
            </w:r>
          </w:p>
        </w:tc>
        <w:tc>
          <w:tcPr>
            <w:tcW w:w="405"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405" w:type="pct"/>
            <w:gridSpan w:val="4"/>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小计</w:t>
            </w:r>
          </w:p>
        </w:tc>
        <w:tc>
          <w:tcPr>
            <w:tcW w:w="369" w:type="pct"/>
            <w:gridSpan w:val="5"/>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财政拨款收入</w:t>
            </w:r>
          </w:p>
        </w:tc>
        <w:tc>
          <w:tcPr>
            <w:tcW w:w="367" w:type="pct"/>
            <w:gridSpan w:val="5"/>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财政专户收入</w:t>
            </w:r>
          </w:p>
        </w:tc>
        <w:tc>
          <w:tcPr>
            <w:tcW w:w="276" w:type="pct"/>
            <w:gridSpan w:val="3"/>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事业收入</w:t>
            </w:r>
          </w:p>
        </w:tc>
        <w:tc>
          <w:tcPr>
            <w:tcW w:w="230" w:type="pct"/>
            <w:gridSpan w:val="3"/>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经营收入</w:t>
            </w:r>
          </w:p>
        </w:tc>
        <w:tc>
          <w:tcPr>
            <w:tcW w:w="228" w:type="pct"/>
            <w:gridSpan w:val="4"/>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上级补助收入</w:t>
            </w:r>
          </w:p>
        </w:tc>
        <w:tc>
          <w:tcPr>
            <w:tcW w:w="323" w:type="pct"/>
            <w:gridSpan w:val="7"/>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附属单位上缴收入</w:t>
            </w:r>
          </w:p>
        </w:tc>
        <w:tc>
          <w:tcPr>
            <w:tcW w:w="326" w:type="pct"/>
            <w:gridSpan w:val="2"/>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其他收入</w:t>
            </w:r>
          </w:p>
        </w:tc>
        <w:tc>
          <w:tcPr>
            <w:tcW w:w="383"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Before w:val="1"/>
          <w:gridAfter w:val="3"/>
          <w:wBefore w:w="65" w:type="pct"/>
          <w:wAfter w:w="164" w:type="pct"/>
          <w:trHeight w:val="450" w:hRule="atLeast"/>
        </w:trPr>
        <w:tc>
          <w:tcPr>
            <w:tcW w:w="1458" w:type="pct"/>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926.97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 xml:space="preserve">926.97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 xml:space="preserve">926.97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450" w:hRule="atLeast"/>
        </w:trPr>
        <w:tc>
          <w:tcPr>
            <w:tcW w:w="340" w:type="pct"/>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一般公共服务支出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450" w:hRule="atLeast"/>
        </w:trPr>
        <w:tc>
          <w:tcPr>
            <w:tcW w:w="340" w:type="pct"/>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政府办公厅（室）及相关机构事务</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368" w:hRule="atLeast"/>
        </w:trPr>
        <w:tc>
          <w:tcPr>
            <w:tcW w:w="340" w:type="pct"/>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2010301</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行政运行</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450"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社会保障和就业支出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373"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行政事业单位养老支出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510"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2080505</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机关事业单位基本养老保险缴费支出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510"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2080506</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机关事业单位职业年金缴费支出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431"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卫生健康支出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510"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行政事业单位医疗</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510"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2101101</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行政单位医疗</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438"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农林水支出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332"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农村综合改革</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510"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2130705</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对村民委员会和村党支部的补助</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289"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住房保障支出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339"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住房改革支出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1"/>
          <w:gridAfter w:val="3"/>
          <w:wBefore w:w="65" w:type="pct"/>
          <w:wAfter w:w="164" w:type="pct"/>
          <w:trHeight w:val="356" w:hRule="atLeast"/>
        </w:trPr>
        <w:tc>
          <w:tcPr>
            <w:tcW w:w="34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2210201</w:t>
            </w:r>
          </w:p>
        </w:tc>
        <w:tc>
          <w:tcPr>
            <w:tcW w:w="1119"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住房公积金</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405"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6"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30"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8"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3"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65" w:hRule="atLeast"/>
        </w:trPr>
        <w:tc>
          <w:tcPr>
            <w:tcW w:w="344" w:type="pct"/>
            <w:gridSpan w:val="2"/>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ind w:right="-395" w:rightChars="-188"/>
              <w:jc w:val="left"/>
              <w:rPr>
                <w:rFonts w:ascii="方正黑体简体" w:hAnsi="黑体" w:eastAsia="方正黑体简体"/>
                <w:kern w:val="0"/>
                <w:sz w:val="22"/>
              </w:rPr>
            </w:pPr>
            <w:r>
              <w:rPr>
                <w:rFonts w:hint="eastAsia" w:ascii="方正黑体简体" w:hAnsi="黑体" w:eastAsia="方正黑体简体"/>
                <w:kern w:val="0"/>
                <w:sz w:val="22"/>
              </w:rPr>
              <w:t>附表1-3</w:t>
            </w:r>
          </w:p>
        </w:tc>
        <w:tc>
          <w:tcPr>
            <w:tcW w:w="1266" w:type="pct"/>
            <w:gridSpan w:val="9"/>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591" w:type="pct"/>
            <w:gridSpan w:val="6"/>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553" w:type="pct"/>
            <w:gridSpan w:val="7"/>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606" w:type="pct"/>
            <w:gridSpan w:val="7"/>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399" w:type="pct"/>
            <w:gridSpan w:val="8"/>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390" w:type="pct"/>
            <w:gridSpan w:val="5"/>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517" w:type="pct"/>
            <w:gridSpan w:val="3"/>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Before w:val="2"/>
          <w:gridAfter w:val="4"/>
          <w:wBefore w:w="156" w:type="pct"/>
          <w:wAfter w:w="178" w:type="pct"/>
          <w:trHeight w:val="465" w:hRule="atLeast"/>
        </w:trPr>
        <w:tc>
          <w:tcPr>
            <w:tcW w:w="4666" w:type="pct"/>
            <w:gridSpan w:val="47"/>
            <w:tcBorders>
              <w:top w:val="nil"/>
              <w:left w:val="nil"/>
              <w:bottom w:val="nil"/>
              <w:right w:val="nil"/>
            </w:tcBorders>
            <w:noWrap/>
            <w:vAlign w:val="center"/>
          </w:tcPr>
          <w:p>
            <w:pPr>
              <w:widowControl/>
              <w:snapToGrid w:val="0"/>
              <w:spacing w:line="240" w:lineRule="atLeast"/>
              <w:jc w:val="left"/>
              <w:rPr>
                <w:rFonts w:ascii="方正小标宋简体" w:hAnsi="黑体" w:eastAsia="方正小标宋简体"/>
                <w:kern w:val="0"/>
                <w:sz w:val="44"/>
                <w:szCs w:val="44"/>
              </w:rPr>
            </w:pPr>
            <w:r>
              <w:rPr>
                <w:rFonts w:hint="eastAsia" w:ascii="方正仿宋简体" w:hAnsi="黑体" w:eastAsia="方正仿宋简体"/>
                <w:kern w:val="0"/>
                <w:sz w:val="22"/>
              </w:rPr>
              <w:t xml:space="preserve">                                                 </w:t>
            </w:r>
            <w:r>
              <w:rPr>
                <w:rFonts w:hint="eastAsia" w:ascii="方正小标宋简体" w:hAnsi="黑体" w:eastAsia="方正小标宋简体"/>
                <w:kern w:val="0"/>
                <w:sz w:val="44"/>
                <w:szCs w:val="44"/>
                <w:lang w:eastAsia="zh-CN"/>
              </w:rPr>
              <w:t>单位</w:t>
            </w:r>
            <w:r>
              <w:rPr>
                <w:rFonts w:hint="eastAsia" w:ascii="方正小标宋简体" w:hAnsi="黑体" w:eastAsia="方正小标宋简体"/>
                <w:kern w:val="0"/>
                <w:sz w:val="44"/>
                <w:szCs w:val="44"/>
              </w:rPr>
              <w:t>预算支出总表</w:t>
            </w:r>
          </w:p>
        </w:tc>
      </w:tr>
      <w:tr>
        <w:tblPrEx>
          <w:tblCellMar>
            <w:top w:w="0" w:type="dxa"/>
            <w:left w:w="108" w:type="dxa"/>
            <w:bottom w:w="0" w:type="dxa"/>
            <w:right w:w="108" w:type="dxa"/>
          </w:tblCellMar>
        </w:tblPrEx>
        <w:trPr>
          <w:gridBefore w:val="2"/>
          <w:gridAfter w:val="4"/>
          <w:wBefore w:w="156" w:type="pct"/>
          <w:wAfter w:w="178" w:type="pct"/>
          <w:trHeight w:val="495" w:hRule="atLeast"/>
        </w:trPr>
        <w:tc>
          <w:tcPr>
            <w:tcW w:w="1810" w:type="pct"/>
            <w:gridSpan w:val="13"/>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502"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504"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543"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250" w:type="pct"/>
            <w:gridSpan w:val="4"/>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r>
      <w:tr>
        <w:tblPrEx>
          <w:tblCellMar>
            <w:top w:w="0" w:type="dxa"/>
            <w:left w:w="108" w:type="dxa"/>
            <w:bottom w:w="0" w:type="dxa"/>
            <w:right w:w="108" w:type="dxa"/>
          </w:tblCellMar>
        </w:tblPrEx>
        <w:trPr>
          <w:gridBefore w:val="2"/>
          <w:gridAfter w:val="4"/>
          <w:wBefore w:w="156" w:type="pct"/>
          <w:wAfter w:w="178" w:type="pct"/>
          <w:trHeight w:val="450" w:hRule="atLeast"/>
        </w:trPr>
        <w:tc>
          <w:tcPr>
            <w:tcW w:w="1810" w:type="pct"/>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w:t>
            </w:r>
          </w:p>
        </w:tc>
        <w:tc>
          <w:tcPr>
            <w:tcW w:w="502" w:type="pct"/>
            <w:gridSpan w:val="6"/>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本年支出合计</w:t>
            </w:r>
          </w:p>
        </w:tc>
        <w:tc>
          <w:tcPr>
            <w:tcW w:w="504"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基本支出</w:t>
            </w:r>
          </w:p>
        </w:tc>
        <w:tc>
          <w:tcPr>
            <w:tcW w:w="543"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项目支出</w:t>
            </w:r>
          </w:p>
        </w:tc>
        <w:tc>
          <w:tcPr>
            <w:tcW w:w="250" w:type="pct"/>
            <w:gridSpan w:val="4"/>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经营支出</w:t>
            </w:r>
          </w:p>
        </w:tc>
        <w:tc>
          <w:tcPr>
            <w:tcW w:w="309"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上缴上级支出</w:t>
            </w:r>
          </w:p>
        </w:tc>
        <w:tc>
          <w:tcPr>
            <w:tcW w:w="747"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对附属单位补助支出</w:t>
            </w:r>
          </w:p>
        </w:tc>
      </w:tr>
      <w:tr>
        <w:tblPrEx>
          <w:tblCellMar>
            <w:top w:w="0" w:type="dxa"/>
            <w:left w:w="108" w:type="dxa"/>
            <w:bottom w:w="0" w:type="dxa"/>
            <w:right w:w="108" w:type="dxa"/>
          </w:tblCellMar>
        </w:tblPrEx>
        <w:trPr>
          <w:gridBefore w:val="2"/>
          <w:gridAfter w:val="4"/>
          <w:wBefore w:w="156" w:type="pct"/>
          <w:wAfter w:w="178" w:type="pct"/>
          <w:trHeight w:val="810" w:hRule="atLeast"/>
        </w:trPr>
        <w:tc>
          <w:tcPr>
            <w:tcW w:w="521"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功能分类科目编码</w:t>
            </w:r>
          </w:p>
        </w:tc>
        <w:tc>
          <w:tcPr>
            <w:tcW w:w="1289" w:type="pct"/>
            <w:gridSpan w:val="10"/>
            <w:tcBorders>
              <w:top w:val="nil"/>
              <w:left w:val="nil"/>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科目名称</w:t>
            </w:r>
          </w:p>
        </w:tc>
        <w:tc>
          <w:tcPr>
            <w:tcW w:w="502" w:type="pct"/>
            <w:gridSpan w:val="6"/>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504"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543"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250" w:type="pct"/>
            <w:gridSpan w:val="4"/>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309"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747"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Before w:val="2"/>
          <w:gridAfter w:val="4"/>
          <w:wBefore w:w="156" w:type="pct"/>
          <w:wAfter w:w="178" w:type="pct"/>
          <w:trHeight w:val="450" w:hRule="atLeast"/>
        </w:trPr>
        <w:tc>
          <w:tcPr>
            <w:tcW w:w="1810" w:type="pct"/>
            <w:gridSpan w:val="1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 xml:space="preserve">926.97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776．97</w:t>
            </w:r>
            <w:r>
              <w:rPr>
                <w:rFonts w:hint="eastAsia" w:ascii="方正仿宋简体" w:hAnsi="Times New Roman" w:eastAsia="方正仿宋简体"/>
                <w:color w:val="000000"/>
                <w:sz w:val="22"/>
                <w:szCs w:val="24"/>
              </w:rPr>
              <w:t xml:space="preserve">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1</w:t>
            </w:r>
            <w:r>
              <w:rPr>
                <w:rFonts w:hint="eastAsia" w:ascii="方正仿宋简体" w:hAnsi="宋体" w:eastAsia="方正仿宋简体"/>
                <w:color w:val="000000"/>
                <w:sz w:val="22"/>
                <w:szCs w:val="24"/>
              </w:rPr>
              <w:t>50</w:t>
            </w:r>
            <w:r>
              <w:rPr>
                <w:rFonts w:hint="eastAsia" w:ascii="方正仿宋简体" w:hAnsi="Times New Roman" w:eastAsia="方正仿宋简体"/>
                <w:color w:val="000000"/>
                <w:sz w:val="22"/>
                <w:szCs w:val="24"/>
              </w:rPr>
              <w:t xml:space="preserve">.00 </w:t>
            </w: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50" w:hRule="atLeast"/>
        </w:trPr>
        <w:tc>
          <w:tcPr>
            <w:tcW w:w="522"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一般公共服务支出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50" w:hRule="atLeast"/>
        </w:trPr>
        <w:tc>
          <w:tcPr>
            <w:tcW w:w="522"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政府办公厅（室）及相关机构事务</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50" w:hRule="atLeast"/>
        </w:trPr>
        <w:tc>
          <w:tcPr>
            <w:tcW w:w="522"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2010301</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行政运行</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5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社会保障和就业支出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5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行政事业单位养老支出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2080505</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机关事业单位基本养老保险缴费支出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2080506</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机关事业单位职业年金缴费支出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331"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卫生健康支出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行政事业单位医疗</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2101101</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行政单位医疗</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农林水支出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农村综合改革</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2130705</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对村民委员会和村党支部的补助</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住房保障支出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住房改革支出</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4"/>
          <w:wBefore w:w="156" w:type="pct"/>
          <w:wAfter w:w="178" w:type="pct"/>
          <w:trHeight w:val="480" w:hRule="atLeast"/>
        </w:trPr>
        <w:tc>
          <w:tcPr>
            <w:tcW w:w="5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2210201</w:t>
            </w:r>
          </w:p>
        </w:tc>
        <w:tc>
          <w:tcPr>
            <w:tcW w:w="1289"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住房公积金</w:t>
            </w:r>
          </w:p>
        </w:tc>
        <w:tc>
          <w:tcPr>
            <w:tcW w:w="50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43"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50"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9"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494" w:hRule="atLeast"/>
        </w:trPr>
        <w:tc>
          <w:tcPr>
            <w:tcW w:w="4714" w:type="pct"/>
            <w:gridSpan w:val="49"/>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bookmarkStart w:id="0" w:name="RANGE!A1:G38"/>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黑体简体" w:hAnsi="黑体" w:eastAsia="方正黑体简体"/>
                <w:kern w:val="0"/>
                <w:sz w:val="44"/>
                <w:szCs w:val="44"/>
              </w:rPr>
            </w:pPr>
            <w:r>
              <w:rPr>
                <w:rFonts w:hint="eastAsia" w:ascii="方正黑体简体" w:hAnsi="黑体" w:eastAsia="方正黑体简体"/>
                <w:kern w:val="0"/>
                <w:sz w:val="22"/>
              </w:rPr>
              <w:t>附表1-4</w:t>
            </w:r>
            <w:bookmarkEnd w:id="0"/>
            <w:r>
              <w:rPr>
                <w:rFonts w:hint="eastAsia" w:ascii="方正黑体简体" w:hAnsi="黑体" w:eastAsia="方正黑体简体"/>
                <w:kern w:val="0"/>
                <w:sz w:val="22"/>
              </w:rPr>
              <w:t xml:space="preserve">                                           </w:t>
            </w:r>
            <w:r>
              <w:rPr>
                <w:rFonts w:hint="eastAsia" w:ascii="方正黑体简体" w:hAnsi="黑体" w:eastAsia="方正黑体简体"/>
                <w:kern w:val="0"/>
                <w:sz w:val="44"/>
                <w:szCs w:val="44"/>
              </w:rPr>
              <w:t xml:space="preserve"> </w:t>
            </w:r>
          </w:p>
          <w:p>
            <w:pPr>
              <w:widowControl/>
              <w:snapToGrid w:val="0"/>
              <w:spacing w:line="240" w:lineRule="atLeast"/>
              <w:jc w:val="center"/>
              <w:rPr>
                <w:rFonts w:ascii="方正小标宋简体" w:hAnsi="黑体" w:eastAsia="方正小标宋简体"/>
                <w:kern w:val="0"/>
                <w:sz w:val="22"/>
              </w:rPr>
            </w:pPr>
            <w:r>
              <w:rPr>
                <w:rFonts w:hint="eastAsia" w:ascii="方正小标宋简体" w:hAnsi="黑体" w:eastAsia="方正小标宋简体"/>
                <w:kern w:val="0"/>
                <w:sz w:val="44"/>
                <w:szCs w:val="44"/>
                <w:lang w:eastAsia="zh-CN"/>
              </w:rPr>
              <w:t>单位</w:t>
            </w:r>
            <w:r>
              <w:rPr>
                <w:rFonts w:hint="eastAsia" w:ascii="方正小标宋简体" w:hAnsi="黑体" w:eastAsia="方正小标宋简体"/>
                <w:kern w:val="0"/>
                <w:sz w:val="44"/>
                <w:szCs w:val="44"/>
              </w:rPr>
              <w:t>预算财政拨款收支总表</w:t>
            </w:r>
          </w:p>
        </w:tc>
      </w:tr>
      <w:tr>
        <w:tblPrEx>
          <w:tblCellMar>
            <w:top w:w="0" w:type="dxa"/>
            <w:left w:w="108" w:type="dxa"/>
            <w:bottom w:w="0" w:type="dxa"/>
            <w:right w:w="108" w:type="dxa"/>
          </w:tblCellMar>
        </w:tblPrEx>
        <w:trPr>
          <w:gridBefore w:val="2"/>
          <w:gridAfter w:val="2"/>
          <w:wBefore w:w="156" w:type="pct"/>
          <w:wAfter w:w="130" w:type="pct"/>
          <w:trHeight w:val="300" w:hRule="atLeast"/>
        </w:trPr>
        <w:tc>
          <w:tcPr>
            <w:tcW w:w="1521" w:type="pct"/>
            <w:gridSpan w:val="9"/>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79"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010" w:type="pct"/>
            <w:gridSpan w:val="25"/>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338" w:type="pct"/>
            <w:gridSpan w:val="7"/>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p>
        </w:tc>
        <w:tc>
          <w:tcPr>
            <w:tcW w:w="439" w:type="pct"/>
            <w:gridSpan w:val="4"/>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c>
          <w:tcPr>
            <w:tcW w:w="327" w:type="pct"/>
            <w:gridSpan w:val="3"/>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p>
            <w:pPr>
              <w:widowControl/>
              <w:snapToGrid w:val="0"/>
              <w:spacing w:line="24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512" w:type="pct"/>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收入</w:t>
            </w:r>
          </w:p>
        </w:tc>
        <w:tc>
          <w:tcPr>
            <w:tcW w:w="3202" w:type="pct"/>
            <w:gridSpan w:val="41"/>
            <w:tcBorders>
              <w:top w:val="single" w:color="auto" w:sz="4" w:space="0"/>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支出</w:t>
            </w:r>
          </w:p>
        </w:tc>
      </w:tr>
      <w:tr>
        <w:tblPrEx>
          <w:tblCellMar>
            <w:top w:w="0" w:type="dxa"/>
            <w:left w:w="108" w:type="dxa"/>
            <w:bottom w:w="0" w:type="dxa"/>
            <w:right w:w="108" w:type="dxa"/>
          </w:tblCellMar>
        </w:tblPrEx>
        <w:trPr>
          <w:gridBefore w:val="2"/>
          <w:gridAfter w:val="2"/>
          <w:wBefore w:w="156" w:type="pct"/>
          <w:wAfter w:w="130" w:type="pct"/>
          <w:trHeight w:val="630"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391"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金额</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479" w:type="pct"/>
            <w:gridSpan w:val="7"/>
            <w:tcBorders>
              <w:top w:val="nil"/>
              <w:left w:val="nil"/>
              <w:bottom w:val="single" w:color="auto" w:sz="4" w:space="0"/>
              <w:right w:val="single" w:color="auto" w:sz="4" w:space="0"/>
            </w:tcBorders>
            <w:shd w:val="clear" w:color="000000" w:fill="FFFFFF"/>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一般公共预算财政拨款</w:t>
            </w:r>
          </w:p>
        </w:tc>
        <w:tc>
          <w:tcPr>
            <w:tcW w:w="439" w:type="pct"/>
            <w:gridSpan w:val="9"/>
            <w:tcBorders>
              <w:top w:val="nil"/>
              <w:left w:val="nil"/>
              <w:bottom w:val="single" w:color="auto" w:sz="4" w:space="0"/>
              <w:right w:val="single" w:color="auto" w:sz="4" w:space="0"/>
            </w:tcBorders>
            <w:shd w:val="clear" w:color="000000" w:fill="FFFFFF"/>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政府性基金预算财政拨款</w:t>
            </w:r>
          </w:p>
        </w:tc>
        <w:tc>
          <w:tcPr>
            <w:tcW w:w="743" w:type="pct"/>
            <w:gridSpan w:val="6"/>
            <w:tcBorders>
              <w:top w:val="nil"/>
              <w:left w:val="nil"/>
              <w:bottom w:val="single" w:color="auto" w:sz="4" w:space="0"/>
              <w:right w:val="single" w:color="auto" w:sz="4" w:space="0"/>
            </w:tcBorders>
            <w:shd w:val="clear" w:color="000000" w:fill="FFFFFF"/>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国有资本经营预算财政拨款</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一、一般公共预算财政拨款</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一、一般公共服务支出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二、政府性基金预算财政拨款</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二、外交支出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三、国有资本经营预算财政拨款</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三、国防支出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四、公共安全支出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五、教育支出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六、科学技术支出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七、文化体育与传媒支出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八、社会保障和就业支出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7</w:t>
            </w: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7</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363"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九、卫生健康支出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十、节能环保支出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十一、城乡社区支出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十二、农林水支出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1</w:t>
            </w:r>
            <w:r>
              <w:rPr>
                <w:rFonts w:hint="eastAsia" w:ascii="方正仿宋简体" w:hAnsi="宋体" w:eastAsia="方正仿宋简体"/>
                <w:color w:val="000000"/>
                <w:sz w:val="22"/>
                <w:szCs w:val="24"/>
              </w:rPr>
              <w:t>50</w:t>
            </w: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1</w:t>
            </w:r>
            <w:r>
              <w:rPr>
                <w:rFonts w:hint="eastAsia" w:ascii="方正仿宋简体" w:hAnsi="宋体" w:eastAsia="方正仿宋简体"/>
                <w:color w:val="000000"/>
                <w:sz w:val="22"/>
                <w:szCs w:val="24"/>
              </w:rPr>
              <w:t>50</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十三、交通运输支出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十四、资源勘探工业信息等支出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十五、商业服务业等支出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十六、金融支出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十七、援助其他地区支出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431"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十八、自然资源海洋气象等支出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十九、住房保障支出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二十、粮油物资储备支出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二十一、国有资本经营预算支出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9"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二十二、灾害防治及应急管理支出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二十三、债务还本支出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二十四、债务付息支出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二十五、债务发行费用支出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二十六、其他支出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本年收入合计</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本年支出合计</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年初财政拨款结转和结余</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年末财政拨款结转和结余</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一、一般公共预算拨款</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二、政府性基金预算拨款</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三、国有资本经营预算拨款</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7"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Before w:val="2"/>
          <w:gridAfter w:val="2"/>
          <w:wBefore w:w="156" w:type="pct"/>
          <w:wAfter w:w="130" w:type="pct"/>
          <w:trHeight w:val="289" w:hRule="atLeast"/>
        </w:trPr>
        <w:tc>
          <w:tcPr>
            <w:tcW w:w="1121"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391"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1157"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479"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snapToGrid w:val="0"/>
        <w:spacing w:line="240" w:lineRule="atLeast"/>
        <w:jc w:val="left"/>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4952" w:type="pct"/>
        <w:tblInd w:w="95" w:type="dxa"/>
        <w:tblLayout w:type="fixed"/>
        <w:tblCellMar>
          <w:top w:w="0" w:type="dxa"/>
          <w:left w:w="108" w:type="dxa"/>
          <w:bottom w:w="0" w:type="dxa"/>
          <w:right w:w="108" w:type="dxa"/>
        </w:tblCellMar>
      </w:tblPr>
      <w:tblGrid>
        <w:gridCol w:w="1292"/>
        <w:gridCol w:w="3411"/>
        <w:gridCol w:w="2489"/>
        <w:gridCol w:w="2433"/>
        <w:gridCol w:w="2052"/>
        <w:gridCol w:w="1701"/>
        <w:gridCol w:w="1493"/>
      </w:tblGrid>
      <w:tr>
        <w:tblPrEx>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shd w:val="clear" w:color="000000" w:fill="FFFFFF"/>
            <w:vAlign w:val="center"/>
          </w:tcPr>
          <w:p>
            <w:pPr>
              <w:widowControl/>
              <w:snapToGrid w:val="0"/>
              <w:spacing w:line="240" w:lineRule="atLeast"/>
              <w:jc w:val="left"/>
              <w:rPr>
                <w:rFonts w:ascii="方正黑体简体" w:hAnsi="宋体" w:eastAsia="方正黑体简体" w:cs="宋体"/>
                <w:bCs/>
                <w:kern w:val="0"/>
                <w:sz w:val="22"/>
              </w:rPr>
            </w:pPr>
            <w:r>
              <w:rPr>
                <w:rFonts w:hint="eastAsia" w:ascii="方正黑体简体" w:hAnsi="宋体" w:eastAsia="方正黑体简体" w:cs="宋体"/>
                <w:bCs/>
                <w:kern w:val="0"/>
                <w:sz w:val="22"/>
              </w:rPr>
              <w:t xml:space="preserve">附表1-5                                      </w:t>
            </w:r>
          </w:p>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lang w:eastAsia="zh-CN"/>
              </w:rPr>
              <w:t>单位</w:t>
            </w:r>
            <w:r>
              <w:rPr>
                <w:rFonts w:hint="eastAsia" w:ascii="方正小标宋简体" w:hAnsi="方正小标宋_GBK" w:eastAsia="方正小标宋简体" w:cs="宋体"/>
                <w:kern w:val="0"/>
                <w:sz w:val="36"/>
                <w:szCs w:val="36"/>
              </w:rPr>
              <w:t>预算一般公共预算财政拨款支出表</w:t>
            </w:r>
          </w:p>
        </w:tc>
      </w:tr>
      <w:tr>
        <w:tblPrEx>
          <w:tblCellMar>
            <w:top w:w="0" w:type="dxa"/>
            <w:left w:w="108" w:type="dxa"/>
            <w:bottom w:w="0" w:type="dxa"/>
            <w:right w:w="108" w:type="dxa"/>
          </w:tblCellMar>
        </w:tblPrEx>
        <w:trPr>
          <w:trHeight w:val="435" w:hRule="atLeast"/>
        </w:trPr>
        <w:tc>
          <w:tcPr>
            <w:tcW w:w="1581"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837" w:type="pct"/>
            <w:tcBorders>
              <w:top w:val="nil"/>
              <w:left w:val="nil"/>
              <w:bottom w:val="nil"/>
              <w:right w:val="nil"/>
            </w:tcBorders>
            <w:shd w:val="clear" w:color="000000" w:fill="FFFFFF"/>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18"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690"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1074" w:type="pct"/>
            <w:gridSpan w:val="2"/>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600" w:hRule="atLeast"/>
        </w:trPr>
        <w:tc>
          <w:tcPr>
            <w:tcW w:w="1581"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837"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合计</w:t>
            </w:r>
          </w:p>
        </w:tc>
        <w:tc>
          <w:tcPr>
            <w:tcW w:w="2080" w:type="pct"/>
            <w:gridSpan w:val="3"/>
            <w:tcBorders>
              <w:top w:val="single" w:color="auto" w:sz="4" w:space="0"/>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基本支出</w:t>
            </w:r>
          </w:p>
        </w:tc>
        <w:tc>
          <w:tcPr>
            <w:tcW w:w="502"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项目支出</w:t>
            </w:r>
          </w:p>
        </w:tc>
      </w:tr>
      <w:tr>
        <w:tblPrEx>
          <w:tblCellMar>
            <w:top w:w="0" w:type="dxa"/>
            <w:left w:w="108" w:type="dxa"/>
            <w:bottom w:w="0" w:type="dxa"/>
            <w:right w:w="108" w:type="dxa"/>
          </w:tblCellMar>
        </w:tblPrEx>
        <w:trPr>
          <w:trHeight w:val="990" w:hRule="atLeast"/>
        </w:trPr>
        <w:tc>
          <w:tcPr>
            <w:tcW w:w="43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功能分类科目编码</w:t>
            </w:r>
          </w:p>
        </w:tc>
        <w:tc>
          <w:tcPr>
            <w:tcW w:w="1147"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83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4"/>
              </w:rPr>
            </w:pPr>
          </w:p>
        </w:tc>
        <w:tc>
          <w:tcPr>
            <w:tcW w:w="818"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小计</w:t>
            </w:r>
          </w:p>
        </w:tc>
        <w:tc>
          <w:tcPr>
            <w:tcW w:w="690"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人员经费</w:t>
            </w:r>
          </w:p>
        </w:tc>
        <w:tc>
          <w:tcPr>
            <w:tcW w:w="5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公用经费</w:t>
            </w:r>
          </w:p>
        </w:tc>
        <w:tc>
          <w:tcPr>
            <w:tcW w:w="502"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4"/>
              </w:rPr>
            </w:pPr>
          </w:p>
        </w:tc>
      </w:tr>
      <w:tr>
        <w:tblPrEx>
          <w:tblCellMar>
            <w:top w:w="0" w:type="dxa"/>
            <w:left w:w="108" w:type="dxa"/>
            <w:bottom w:w="0" w:type="dxa"/>
            <w:right w:w="108" w:type="dxa"/>
          </w:tblCellMar>
        </w:tblPrEx>
        <w:trPr>
          <w:trHeight w:val="450" w:hRule="atLeast"/>
        </w:trPr>
        <w:tc>
          <w:tcPr>
            <w:tcW w:w="1581"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837"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926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97</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97</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686．84</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.00</w:t>
            </w: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一般公共服务支出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490.9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20103</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政府办公厅（室）及相关机构事务</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490.9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2010301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行政运行</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490.9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社会保障和就业支出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20805</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行政事业单位养老支出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2080505</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机关事业单位基本养老保险缴费支出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2080506</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机关事业单位职业年金缴费支出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210</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卫生健康支出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21011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行政事业单位医疗</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2101101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行政单位医疗</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298"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213</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农林水支出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r>
      <w:tr>
        <w:tblPrEx>
          <w:tblCellMar>
            <w:top w:w="0" w:type="dxa"/>
            <w:left w:w="108" w:type="dxa"/>
            <w:bottom w:w="0" w:type="dxa"/>
            <w:right w:w="108" w:type="dxa"/>
          </w:tblCellMar>
        </w:tblPrEx>
        <w:trPr>
          <w:trHeight w:val="33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21307</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农村综合改革</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.00</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.00</w:t>
            </w:r>
          </w:p>
        </w:tc>
      </w:tr>
      <w:tr>
        <w:tblPrEx>
          <w:tblCellMar>
            <w:top w:w="0" w:type="dxa"/>
            <w:left w:w="108" w:type="dxa"/>
            <w:bottom w:w="0" w:type="dxa"/>
            <w:right w:w="108" w:type="dxa"/>
          </w:tblCellMar>
        </w:tblPrEx>
        <w:trPr>
          <w:trHeight w:val="349"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2130705</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对村民委员会和村党支部的补助</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r>
      <w:tr>
        <w:tblPrEx>
          <w:tblCellMar>
            <w:top w:w="0" w:type="dxa"/>
            <w:left w:w="108" w:type="dxa"/>
            <w:bottom w:w="0" w:type="dxa"/>
            <w:right w:w="108" w:type="dxa"/>
          </w:tblCellMar>
        </w:tblPrEx>
        <w:trPr>
          <w:trHeight w:val="270"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221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住房保障支出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1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22102</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住房改革支出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279"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2210201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住房公积金</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4934" w:type="pct"/>
        <w:tblInd w:w="0" w:type="dxa"/>
        <w:tblLayout w:type="autofit"/>
        <w:tblCellMar>
          <w:top w:w="0" w:type="dxa"/>
          <w:left w:w="108" w:type="dxa"/>
          <w:bottom w:w="0" w:type="dxa"/>
          <w:right w:w="108" w:type="dxa"/>
        </w:tblCellMar>
      </w:tblPr>
      <w:tblGrid>
        <w:gridCol w:w="1378"/>
        <w:gridCol w:w="2904"/>
        <w:gridCol w:w="581"/>
        <w:gridCol w:w="2323"/>
        <w:gridCol w:w="202"/>
        <w:gridCol w:w="2703"/>
        <w:gridCol w:w="388"/>
        <w:gridCol w:w="4338"/>
      </w:tblGrid>
      <w:tr>
        <w:tblPrEx>
          <w:tblCellMar>
            <w:top w:w="0" w:type="dxa"/>
            <w:left w:w="108" w:type="dxa"/>
            <w:bottom w:w="0" w:type="dxa"/>
            <w:right w:w="108" w:type="dxa"/>
          </w:tblCellMar>
        </w:tblPrEx>
        <w:trPr>
          <w:trHeight w:val="435" w:hRule="atLeast"/>
        </w:trPr>
        <w:tc>
          <w:tcPr>
            <w:tcW w:w="465" w:type="pct"/>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bookmarkStart w:id="1" w:name="RANGE!A1:F38"/>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1-6</w:t>
            </w:r>
            <w:bookmarkEnd w:id="1"/>
          </w:p>
        </w:tc>
        <w:tc>
          <w:tcPr>
            <w:tcW w:w="980" w:type="pct"/>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c>
          <w:tcPr>
            <w:tcW w:w="980" w:type="pct"/>
            <w:gridSpan w:val="2"/>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c>
          <w:tcPr>
            <w:tcW w:w="980" w:type="pct"/>
            <w:gridSpan w:val="2"/>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c>
          <w:tcPr>
            <w:tcW w:w="1595" w:type="pct"/>
            <w:gridSpan w:val="2"/>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r>
      <w:tr>
        <w:tblPrEx>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000000" w:fill="FFFFFF"/>
            <w:vAlign w:val="center"/>
          </w:tcPr>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lang w:eastAsia="zh-CN"/>
              </w:rPr>
              <w:t>单位</w:t>
            </w:r>
            <w:r>
              <w:rPr>
                <w:rFonts w:hint="eastAsia" w:ascii="方正小标宋简体" w:hAnsi="方正小标宋_GBK" w:eastAsia="方正小标宋简体" w:cs="宋体"/>
                <w:kern w:val="0"/>
                <w:sz w:val="36"/>
                <w:szCs w:val="36"/>
              </w:rPr>
              <w:t>预算一般公共预算财政拨款基本支出表</w:t>
            </w:r>
          </w:p>
        </w:tc>
      </w:tr>
      <w:tr>
        <w:tblPrEx>
          <w:tblCellMar>
            <w:top w:w="0" w:type="dxa"/>
            <w:left w:w="108" w:type="dxa"/>
            <w:bottom w:w="0" w:type="dxa"/>
            <w:right w:w="108" w:type="dxa"/>
          </w:tblCellMar>
        </w:tblPrEx>
        <w:trPr>
          <w:trHeight w:val="435" w:hRule="atLeast"/>
        </w:trPr>
        <w:tc>
          <w:tcPr>
            <w:tcW w:w="1641" w:type="pct"/>
            <w:gridSpan w:val="3"/>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784"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980"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1595" w:type="pct"/>
            <w:gridSpan w:val="2"/>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600" w:hRule="atLeast"/>
        </w:trPr>
        <w:tc>
          <w:tcPr>
            <w:tcW w:w="1641"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3359" w:type="pct"/>
            <w:gridSpan w:val="5"/>
            <w:tcBorders>
              <w:top w:val="single" w:color="auto" w:sz="4" w:space="0"/>
              <w:left w:val="nil"/>
              <w:bottom w:val="single" w:color="auto" w:sz="4" w:space="0"/>
              <w:right w:val="single" w:color="000000"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基本支出</w:t>
            </w:r>
          </w:p>
        </w:tc>
      </w:tr>
      <w:tr>
        <w:tblPrEx>
          <w:tblCellMar>
            <w:top w:w="0" w:type="dxa"/>
            <w:left w:w="108" w:type="dxa"/>
            <w:bottom w:w="0" w:type="dxa"/>
            <w:right w:w="108" w:type="dxa"/>
          </w:tblCellMar>
        </w:tblPrEx>
        <w:trPr>
          <w:trHeight w:val="768" w:hRule="atLeast"/>
        </w:trPr>
        <w:tc>
          <w:tcPr>
            <w:tcW w:w="465"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经济分类科目编码</w:t>
            </w:r>
          </w:p>
        </w:tc>
        <w:tc>
          <w:tcPr>
            <w:tcW w:w="1176" w:type="pct"/>
            <w:gridSpan w:val="2"/>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852" w:type="pct"/>
            <w:gridSpan w:val="2"/>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合计</w:t>
            </w:r>
          </w:p>
        </w:tc>
        <w:tc>
          <w:tcPr>
            <w:tcW w:w="1043" w:type="pct"/>
            <w:gridSpan w:val="2"/>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人员经费</w:t>
            </w:r>
          </w:p>
        </w:tc>
        <w:tc>
          <w:tcPr>
            <w:tcW w:w="146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公用经费</w:t>
            </w:r>
          </w:p>
        </w:tc>
      </w:tr>
      <w:tr>
        <w:tblPrEx>
          <w:tblCellMar>
            <w:top w:w="0" w:type="dxa"/>
            <w:left w:w="108" w:type="dxa"/>
            <w:bottom w:w="0" w:type="dxa"/>
            <w:right w:w="108" w:type="dxa"/>
          </w:tblCellMar>
        </w:tblPrEx>
        <w:trPr>
          <w:trHeight w:val="420" w:hRule="atLeast"/>
        </w:trPr>
        <w:tc>
          <w:tcPr>
            <w:tcW w:w="1641"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97</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686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84</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90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13</w:t>
            </w: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工资福利支出</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654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654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基本工资</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182</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90</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182</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90</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津贴补贴</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4"/>
                <w:szCs w:val="24"/>
              </w:rPr>
              <w:t>218</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59</w:t>
            </w:r>
            <w:r>
              <w:rPr>
                <w:rFonts w:hint="eastAsia" w:ascii="方正仿宋简体" w:hAnsi="Times New Roman" w:eastAsia="方正仿宋简体"/>
                <w:color w:val="000000"/>
                <w:sz w:val="24"/>
                <w:szCs w:val="24"/>
              </w:rPr>
              <w:t xml:space="preserve"> </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4"/>
                <w:szCs w:val="24"/>
              </w:rPr>
              <w:t>218</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59</w:t>
            </w:r>
            <w:r>
              <w:rPr>
                <w:rFonts w:hint="eastAsia" w:ascii="方正仿宋简体" w:hAnsi="Times New Roman" w:eastAsia="方正仿宋简体"/>
                <w:color w:val="000000"/>
                <w:sz w:val="24"/>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奖金</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8.</w:t>
            </w: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 xml:space="preserve">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8.</w:t>
            </w: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绩效工资</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36</w:t>
            </w:r>
            <w:r>
              <w:rPr>
                <w:rFonts w:hint="eastAsia" w:ascii="方正仿宋简体" w:hAnsi="Times New Roman" w:eastAsia="方正仿宋简体"/>
                <w:color w:val="000000"/>
                <w:sz w:val="22"/>
                <w:szCs w:val="24"/>
              </w:rPr>
              <w:t xml:space="preserve">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36</w:t>
            </w:r>
            <w:r>
              <w:rPr>
                <w:rFonts w:hint="eastAsia" w:ascii="方正仿宋简体" w:hAnsi="Times New Roman" w:eastAsia="方正仿宋简体"/>
                <w:color w:val="000000"/>
                <w:sz w:val="22"/>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30108</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机关事业单位基本养老保险缴费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职业年金缴费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30110</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职工基本医疗保险缴费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78</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78</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公务员医疗补助缴费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31</w:t>
            </w:r>
            <w:r>
              <w:rPr>
                <w:rFonts w:hint="eastAsia" w:ascii="方正仿宋简体" w:hAnsi="Times New Roman" w:eastAsia="方正仿宋简体"/>
                <w:color w:val="000000"/>
                <w:sz w:val="22"/>
                <w:szCs w:val="24"/>
              </w:rPr>
              <w:t>.5</w:t>
            </w:r>
            <w:r>
              <w:rPr>
                <w:rFonts w:hint="eastAsia" w:ascii="方正仿宋简体" w:hAnsi="宋体" w:eastAsia="方正仿宋简体"/>
                <w:color w:val="000000"/>
                <w:sz w:val="22"/>
                <w:szCs w:val="24"/>
              </w:rPr>
              <w:t>2</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31</w:t>
            </w:r>
            <w:r>
              <w:rPr>
                <w:rFonts w:hint="eastAsia" w:ascii="方正仿宋简体" w:hAnsi="Times New Roman" w:eastAsia="方正仿宋简体"/>
                <w:color w:val="000000"/>
                <w:sz w:val="22"/>
                <w:szCs w:val="24"/>
              </w:rPr>
              <w:t>.5</w:t>
            </w:r>
            <w:r>
              <w:rPr>
                <w:rFonts w:hint="eastAsia" w:ascii="方正仿宋简体" w:hAnsi="宋体" w:eastAsia="方正仿宋简体"/>
                <w:color w:val="000000"/>
                <w:sz w:val="22"/>
                <w:szCs w:val="24"/>
              </w:rPr>
              <w:t>2</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其他社会保障缴费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住房公积金</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商品和服务支出</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办公费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2</w:t>
            </w:r>
            <w:r>
              <w:rPr>
                <w:rFonts w:hint="eastAsia" w:ascii="方正仿宋简体" w:hAnsi="Times New Roman" w:eastAsia="方正仿宋简体"/>
                <w:color w:val="000000"/>
                <w:sz w:val="24"/>
                <w:szCs w:val="24"/>
              </w:rPr>
              <w:t xml:space="preserve">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30206</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电费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0</w:t>
            </w:r>
            <w:r>
              <w:rPr>
                <w:rFonts w:hint="eastAsia" w:ascii="方正仿宋简体" w:hAnsi="Times New Roman" w:eastAsia="方正仿宋简体"/>
                <w:color w:val="000000"/>
                <w:sz w:val="24"/>
                <w:szCs w:val="24"/>
              </w:rPr>
              <w:t xml:space="preserve">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邮电费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4</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00</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30208</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取暖费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 xml:space="preserve">15.00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差旅费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84</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维修(护)费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92</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30215</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会议费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0.2</w:t>
            </w: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30216</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培训费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0.2</w:t>
            </w: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公务接待费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0.</w:t>
            </w: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30228</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工会经费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62</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30229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福利费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55</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30231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公务用车运行维护费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 xml:space="preserve">19.20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30239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其他交通费用</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2</w:t>
            </w: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.4</w:t>
            </w:r>
            <w:r>
              <w:rPr>
                <w:rFonts w:hint="eastAsia" w:ascii="方正仿宋简体" w:hAnsi="宋体" w:eastAsia="方正仿宋简体"/>
                <w:color w:val="000000"/>
                <w:sz w:val="24"/>
                <w:szCs w:val="24"/>
              </w:rPr>
              <w:t>6</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30299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其他商品和服务支出</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98</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对个人和家庭的补助</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1.9</w:t>
            </w:r>
            <w:r>
              <w:rPr>
                <w:rFonts w:hint="eastAsia" w:ascii="方正仿宋简体" w:hAnsi="宋体" w:eastAsia="方正仿宋简体"/>
                <w:color w:val="000000"/>
                <w:sz w:val="24"/>
                <w:szCs w:val="24"/>
              </w:rPr>
              <w:t>1</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1.9</w:t>
            </w:r>
            <w:r>
              <w:rPr>
                <w:rFonts w:hint="eastAsia" w:ascii="方正仿宋简体" w:hAnsi="宋体" w:eastAsia="方正仿宋简体"/>
                <w:color w:val="000000"/>
                <w:sz w:val="24"/>
                <w:szCs w:val="24"/>
              </w:rPr>
              <w:t>1</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30302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退休费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16</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28</w:t>
            </w:r>
            <w:r>
              <w:rPr>
                <w:rFonts w:hint="eastAsia" w:ascii="方正仿宋简体" w:hAnsi="Times New Roman" w:eastAsia="方正仿宋简体"/>
                <w:color w:val="000000"/>
                <w:sz w:val="24"/>
                <w:szCs w:val="24"/>
              </w:rPr>
              <w:t xml:space="preserve"> </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16</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28</w:t>
            </w:r>
            <w:r>
              <w:rPr>
                <w:rFonts w:hint="eastAsia" w:ascii="方正仿宋简体" w:hAnsi="Times New Roman" w:eastAsia="方正仿宋简体"/>
                <w:color w:val="000000"/>
                <w:sz w:val="24"/>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30307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医疗费补助</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63</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63</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4933" w:type="pct"/>
        <w:tblInd w:w="0" w:type="dxa"/>
        <w:tblLayout w:type="autofit"/>
        <w:tblCellMar>
          <w:top w:w="0" w:type="dxa"/>
          <w:left w:w="108" w:type="dxa"/>
          <w:bottom w:w="0" w:type="dxa"/>
          <w:right w:w="108" w:type="dxa"/>
        </w:tblCellMar>
      </w:tblPr>
      <w:tblGrid>
        <w:gridCol w:w="2669"/>
        <w:gridCol w:w="2782"/>
        <w:gridCol w:w="2779"/>
        <w:gridCol w:w="2779"/>
        <w:gridCol w:w="3805"/>
      </w:tblGrid>
      <w:tr>
        <w:tblPrEx>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000000" w:fill="FFFFFF"/>
            <w:vAlign w:val="center"/>
          </w:tcPr>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 xml:space="preserve">1-7                                </w:t>
            </w:r>
          </w:p>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lang w:eastAsia="zh-CN"/>
              </w:rPr>
              <w:t>单位</w:t>
            </w:r>
            <w:r>
              <w:rPr>
                <w:rFonts w:hint="eastAsia" w:ascii="方正小标宋简体" w:hAnsi="方正小标宋_GBK" w:eastAsia="方正小标宋简体" w:cs="宋体"/>
                <w:kern w:val="0"/>
                <w:sz w:val="36"/>
                <w:szCs w:val="36"/>
              </w:rPr>
              <w:t>预算政府性基金预算财政拨款支出表</w:t>
            </w:r>
          </w:p>
        </w:tc>
      </w:tr>
      <w:tr>
        <w:tblPrEx>
          <w:tblCellMar>
            <w:top w:w="0" w:type="dxa"/>
            <w:left w:w="108" w:type="dxa"/>
            <w:bottom w:w="0" w:type="dxa"/>
            <w:right w:w="108" w:type="dxa"/>
          </w:tblCellMar>
        </w:tblPrEx>
        <w:trPr>
          <w:trHeight w:val="450" w:hRule="atLeast"/>
        </w:trPr>
        <w:tc>
          <w:tcPr>
            <w:tcW w:w="1840"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938"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938"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1284"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420" w:hRule="atLeast"/>
        </w:trPr>
        <w:tc>
          <w:tcPr>
            <w:tcW w:w="184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合计</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基本支出</w:t>
            </w:r>
            <w:r>
              <w:rPr>
                <w:rFonts w:hint="eastAsia" w:ascii="方正仿宋简体" w:hAnsi="Times New Roman" w:eastAsia="方正仿宋简体"/>
                <w:bCs/>
                <w:kern w:val="0"/>
                <w:sz w:val="22"/>
              </w:rPr>
              <w:t xml:space="preserve">  </w:t>
            </w:r>
          </w:p>
        </w:tc>
        <w:tc>
          <w:tcPr>
            <w:tcW w:w="128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项目支出</w:t>
            </w:r>
          </w:p>
        </w:tc>
      </w:tr>
      <w:tr>
        <w:tblPrEx>
          <w:tblCellMar>
            <w:top w:w="0" w:type="dxa"/>
            <w:left w:w="108" w:type="dxa"/>
            <w:bottom w:w="0" w:type="dxa"/>
            <w:right w:w="108" w:type="dxa"/>
          </w:tblCellMar>
        </w:tblPrEx>
        <w:trPr>
          <w:trHeight w:val="624" w:hRule="atLeast"/>
        </w:trPr>
        <w:tc>
          <w:tcPr>
            <w:tcW w:w="901"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功能分类科目编码</w:t>
            </w:r>
          </w:p>
        </w:tc>
        <w:tc>
          <w:tcPr>
            <w:tcW w:w="939" w:type="pct"/>
            <w:vMerge w:val="restart"/>
            <w:tcBorders>
              <w:top w:val="nil"/>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284"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624" w:hRule="atLeast"/>
        </w:trPr>
        <w:tc>
          <w:tcPr>
            <w:tcW w:w="901"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9" w:type="pct"/>
            <w:vMerge w:val="continue"/>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284"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450" w:hRule="atLeast"/>
        </w:trPr>
        <w:tc>
          <w:tcPr>
            <w:tcW w:w="184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315" w:hRule="atLeast"/>
        </w:trPr>
        <w:tc>
          <w:tcPr>
            <w:tcW w:w="5000" w:type="pct"/>
            <w:gridSpan w:val="5"/>
            <w:tcBorders>
              <w:top w:val="single" w:color="auto" w:sz="4" w:space="0"/>
              <w:left w:val="nil"/>
              <w:bottom w:val="nil"/>
              <w:right w:val="nil"/>
            </w:tcBorders>
            <w:noWrap/>
            <w:vAlign w:val="center"/>
          </w:tcPr>
          <w:p>
            <w:pPr>
              <w:widowControl/>
              <w:snapToGrid w:val="0"/>
              <w:spacing w:line="240" w:lineRule="atLeast"/>
              <w:jc w:val="left"/>
              <w:rPr>
                <w:rFonts w:ascii="方正仿宋简体" w:hAnsi="宋体" w:eastAsia="方正仿宋简体" w:cs="宋体"/>
                <w:kern w:val="0"/>
                <w:sz w:val="24"/>
              </w:rPr>
            </w:pPr>
            <w:r>
              <w:rPr>
                <w:rFonts w:hint="eastAsia" w:ascii="方正仿宋简体" w:hAnsi="宋体" w:eastAsia="方正仿宋简体" w:cs="宋体"/>
                <w:kern w:val="0"/>
                <w:sz w:val="24"/>
              </w:rPr>
              <w:t>注：无政府基金预算财政拨款预算，空表列示。</w:t>
            </w: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4933" w:type="pct"/>
        <w:tblInd w:w="0" w:type="dxa"/>
        <w:tblLayout w:type="autofit"/>
        <w:tblCellMar>
          <w:top w:w="0" w:type="dxa"/>
          <w:left w:w="108" w:type="dxa"/>
          <w:bottom w:w="0" w:type="dxa"/>
          <w:right w:w="108" w:type="dxa"/>
        </w:tblCellMar>
      </w:tblPr>
      <w:tblGrid>
        <w:gridCol w:w="3229"/>
        <w:gridCol w:w="2821"/>
        <w:gridCol w:w="2527"/>
        <w:gridCol w:w="3120"/>
        <w:gridCol w:w="3117"/>
      </w:tblGrid>
      <w:tr>
        <w:tblPrEx>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000000" w:fill="FFFFFF"/>
            <w:vAlign w:val="center"/>
          </w:tcPr>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 xml:space="preserve">1-8                         </w:t>
            </w:r>
          </w:p>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lang w:eastAsia="zh-CN"/>
              </w:rPr>
              <w:t>单位</w:t>
            </w:r>
            <w:r>
              <w:rPr>
                <w:rFonts w:hint="eastAsia" w:ascii="方正小标宋简体" w:hAnsi="方正小标宋_GBK" w:eastAsia="方正小标宋简体" w:cs="宋体"/>
                <w:kern w:val="0"/>
                <w:sz w:val="36"/>
                <w:szCs w:val="36"/>
              </w:rPr>
              <w:t>预算国有资本经营预算财政拨款支出表</w:t>
            </w:r>
          </w:p>
        </w:tc>
      </w:tr>
      <w:tr>
        <w:tblPrEx>
          <w:tblCellMar>
            <w:top w:w="0" w:type="dxa"/>
            <w:left w:w="108" w:type="dxa"/>
            <w:bottom w:w="0" w:type="dxa"/>
            <w:right w:w="108" w:type="dxa"/>
          </w:tblCellMar>
        </w:tblPrEx>
        <w:trPr>
          <w:trHeight w:val="435" w:hRule="atLeast"/>
        </w:trPr>
        <w:tc>
          <w:tcPr>
            <w:tcW w:w="2042"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853"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1053"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1052"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435" w:hRule="atLeast"/>
        </w:trPr>
        <w:tc>
          <w:tcPr>
            <w:tcW w:w="2042"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853"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合计</w:t>
            </w:r>
          </w:p>
        </w:tc>
        <w:tc>
          <w:tcPr>
            <w:tcW w:w="1053"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基本支出</w:t>
            </w:r>
            <w:r>
              <w:rPr>
                <w:rFonts w:hint="eastAsia" w:ascii="方正仿宋简体" w:hAnsi="Times New Roman" w:eastAsia="方正仿宋简体"/>
                <w:bCs/>
                <w:kern w:val="0"/>
                <w:sz w:val="22"/>
              </w:rPr>
              <w:t xml:space="preserve">  </w:t>
            </w:r>
          </w:p>
        </w:tc>
        <w:tc>
          <w:tcPr>
            <w:tcW w:w="1052"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项目支出</w:t>
            </w:r>
          </w:p>
        </w:tc>
      </w:tr>
      <w:tr>
        <w:tblPrEx>
          <w:tblCellMar>
            <w:top w:w="0" w:type="dxa"/>
            <w:left w:w="108" w:type="dxa"/>
            <w:bottom w:w="0" w:type="dxa"/>
            <w:right w:w="108" w:type="dxa"/>
          </w:tblCellMar>
        </w:tblPrEx>
        <w:trPr>
          <w:trHeight w:val="624" w:hRule="atLeast"/>
        </w:trPr>
        <w:tc>
          <w:tcPr>
            <w:tcW w:w="109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功能分类科目编码</w:t>
            </w:r>
          </w:p>
        </w:tc>
        <w:tc>
          <w:tcPr>
            <w:tcW w:w="952" w:type="pct"/>
            <w:vMerge w:val="restart"/>
            <w:tcBorders>
              <w:top w:val="nil"/>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8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2"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624" w:hRule="atLeast"/>
        </w:trPr>
        <w:tc>
          <w:tcPr>
            <w:tcW w:w="109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8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2"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450" w:hRule="atLeast"/>
        </w:trPr>
        <w:tc>
          <w:tcPr>
            <w:tcW w:w="2042"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315" w:hRule="atLeast"/>
        </w:trPr>
        <w:tc>
          <w:tcPr>
            <w:tcW w:w="5000" w:type="pct"/>
            <w:gridSpan w:val="5"/>
            <w:tcBorders>
              <w:top w:val="single" w:color="auto" w:sz="4" w:space="0"/>
              <w:left w:val="nil"/>
              <w:bottom w:val="nil"/>
              <w:right w:val="nil"/>
            </w:tcBorders>
            <w:noWrap/>
            <w:vAlign w:val="center"/>
          </w:tcPr>
          <w:p>
            <w:pPr>
              <w:widowControl/>
              <w:snapToGrid w:val="0"/>
              <w:spacing w:line="240" w:lineRule="atLeast"/>
              <w:jc w:val="left"/>
              <w:rPr>
                <w:rFonts w:ascii="方正仿宋简体" w:hAnsi="宋体" w:eastAsia="方正仿宋简体" w:cs="宋体"/>
                <w:kern w:val="0"/>
                <w:sz w:val="24"/>
              </w:rPr>
            </w:pPr>
            <w:r>
              <w:rPr>
                <w:rFonts w:hint="eastAsia" w:ascii="方正仿宋简体" w:hAnsi="宋体" w:eastAsia="方正仿宋简体" w:cs="宋体"/>
                <w:kern w:val="0"/>
                <w:sz w:val="24"/>
              </w:rPr>
              <w:t>注：无国有资本经营预算财政拨款预算，空表列示。</w:t>
            </w: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5000" w:type="pct"/>
        <w:tblInd w:w="0" w:type="dxa"/>
        <w:tblLayout w:type="autofit"/>
        <w:tblCellMar>
          <w:top w:w="0" w:type="dxa"/>
          <w:left w:w="108" w:type="dxa"/>
          <w:bottom w:w="0" w:type="dxa"/>
          <w:right w:w="108" w:type="dxa"/>
        </w:tblCellMar>
      </w:tblPr>
      <w:tblGrid>
        <w:gridCol w:w="3318"/>
        <w:gridCol w:w="2925"/>
        <w:gridCol w:w="2925"/>
        <w:gridCol w:w="2925"/>
        <w:gridCol w:w="2922"/>
      </w:tblGrid>
      <w:tr>
        <w:tblPrEx>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000000" w:fill="FFFFFF"/>
            <w:vAlign w:val="center"/>
          </w:tcPr>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 xml:space="preserve">1-9                                  </w:t>
            </w:r>
          </w:p>
          <w:p>
            <w:pPr>
              <w:widowControl/>
              <w:snapToGrid w:val="0"/>
              <w:spacing w:line="240" w:lineRule="atLeast"/>
              <w:jc w:val="center"/>
              <w:rPr>
                <w:rFonts w:ascii="方正小标宋简体" w:hAnsi="Times New Roman" w:eastAsia="方正小标宋简体"/>
                <w:kern w:val="0"/>
                <w:sz w:val="36"/>
                <w:szCs w:val="36"/>
              </w:rPr>
            </w:pPr>
            <w:r>
              <w:rPr>
                <w:rFonts w:hint="eastAsia" w:ascii="方正小标宋简体" w:hAnsi="方正小标宋_GBK" w:eastAsia="方正小标宋简体"/>
                <w:kern w:val="0"/>
                <w:sz w:val="36"/>
                <w:szCs w:val="36"/>
                <w:lang w:eastAsia="zh-CN"/>
              </w:rPr>
              <w:t>单位</w:t>
            </w:r>
            <w:r>
              <w:rPr>
                <w:rFonts w:hint="eastAsia" w:ascii="方正小标宋简体" w:hAnsi="方正小标宋_GBK" w:eastAsia="方正小标宋简体"/>
                <w:kern w:val="0"/>
                <w:sz w:val="36"/>
                <w:szCs w:val="36"/>
              </w:rPr>
              <w:t>预算财政拨款</w:t>
            </w:r>
            <w:r>
              <w:rPr>
                <w:rFonts w:hint="eastAsia" w:ascii="方正小标宋简体" w:hAnsi="Times New Roman" w:eastAsia="方正小标宋简体"/>
                <w:kern w:val="0"/>
                <w:sz w:val="36"/>
                <w:szCs w:val="36"/>
              </w:rPr>
              <w:t>“</w:t>
            </w:r>
            <w:r>
              <w:rPr>
                <w:rFonts w:hint="eastAsia" w:ascii="方正小标宋简体" w:hAnsi="方正小标宋_GBK" w:eastAsia="方正小标宋简体"/>
                <w:kern w:val="0"/>
                <w:sz w:val="36"/>
                <w:szCs w:val="36"/>
              </w:rPr>
              <w:t>三公</w:t>
            </w:r>
            <w:r>
              <w:rPr>
                <w:rFonts w:hint="eastAsia" w:ascii="方正小标宋简体" w:hAnsi="Times New Roman" w:eastAsia="方正小标宋简体"/>
                <w:kern w:val="0"/>
                <w:sz w:val="36"/>
                <w:szCs w:val="36"/>
              </w:rPr>
              <w:t>”</w:t>
            </w:r>
            <w:r>
              <w:rPr>
                <w:rFonts w:hint="eastAsia" w:ascii="方正小标宋简体" w:hAnsi="方正小标宋_GBK" w:eastAsia="方正小标宋简体"/>
                <w:kern w:val="0"/>
                <w:sz w:val="36"/>
                <w:szCs w:val="36"/>
              </w:rPr>
              <w:t>经费支出表</w:t>
            </w:r>
          </w:p>
        </w:tc>
      </w:tr>
      <w:tr>
        <w:tblPrEx>
          <w:tblCellMar>
            <w:top w:w="0" w:type="dxa"/>
            <w:left w:w="108" w:type="dxa"/>
            <w:bottom w:w="0" w:type="dxa"/>
            <w:right w:w="108" w:type="dxa"/>
          </w:tblCellMar>
        </w:tblPrEx>
        <w:trPr>
          <w:trHeight w:val="360" w:hRule="atLeast"/>
        </w:trPr>
        <w:tc>
          <w:tcPr>
            <w:tcW w:w="2079"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974"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974" w:type="pct"/>
            <w:tcBorders>
              <w:top w:val="nil"/>
              <w:left w:val="nil"/>
              <w:bottom w:val="nil"/>
              <w:right w:val="nil"/>
            </w:tcBorders>
            <w:shd w:val="clear" w:color="000000" w:fill="FFFFFF"/>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690" w:hRule="atLeast"/>
        </w:trPr>
        <w:tc>
          <w:tcPr>
            <w:tcW w:w="1105" w:type="pct"/>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项目</w:t>
            </w:r>
          </w:p>
        </w:tc>
        <w:tc>
          <w:tcPr>
            <w:tcW w:w="3894" w:type="pct"/>
            <w:gridSpan w:val="4"/>
            <w:tcBorders>
              <w:top w:val="single" w:color="auto" w:sz="4" w:space="0"/>
              <w:left w:val="nil"/>
              <w:bottom w:val="single" w:color="auto" w:sz="4" w:space="0"/>
              <w:right w:val="single" w:color="000000"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资金来源</w:t>
            </w:r>
          </w:p>
        </w:tc>
      </w:tr>
      <w:tr>
        <w:tblPrEx>
          <w:tblCellMar>
            <w:top w:w="0" w:type="dxa"/>
            <w:left w:w="108" w:type="dxa"/>
            <w:bottom w:w="0" w:type="dxa"/>
            <w:right w:w="108" w:type="dxa"/>
          </w:tblCellMar>
        </w:tblPrEx>
        <w:trPr>
          <w:trHeight w:val="690" w:hRule="atLeast"/>
        </w:trPr>
        <w:tc>
          <w:tcPr>
            <w:tcW w:w="1105" w:type="pct"/>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合计</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一般公共预算财政拨款</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政府性基金财政拨款</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国有资本经营预算财政拨款</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974" w:type="pct"/>
            <w:tcBorders>
              <w:top w:val="nil"/>
              <w:left w:val="nil"/>
              <w:bottom w:val="single" w:color="auto" w:sz="4" w:space="0"/>
              <w:right w:val="single" w:color="auto" w:sz="4" w:space="0"/>
            </w:tcBorders>
          </w:tcPr>
          <w:p>
            <w:pPr>
              <w:snapToGrid w:val="0"/>
              <w:spacing w:line="240" w:lineRule="atLeast"/>
              <w:jc w:val="center"/>
              <w:rPr>
                <w:rFonts w:hint="default" w:ascii="方正仿宋简体" w:hAnsi="Times New Roman" w:eastAsia="方正仿宋简体"/>
                <w:kern w:val="0"/>
                <w:sz w:val="22"/>
                <w:lang w:val="en-US" w:eastAsia="zh-CN"/>
              </w:rPr>
            </w:pPr>
            <w:r>
              <w:rPr>
                <w:rFonts w:hint="eastAsia" w:ascii="方正仿宋简体" w:hAnsi="宋体" w:eastAsia="方正仿宋简体"/>
                <w:color w:val="000000"/>
                <w:sz w:val="22"/>
                <w:szCs w:val="24"/>
              </w:rPr>
              <w:t>20</w:t>
            </w:r>
            <w:r>
              <w:rPr>
                <w:rFonts w:hint="eastAsia" w:ascii="方正仿宋简体" w:hAnsi="Times New Roman" w:eastAsia="方正仿宋简体"/>
                <w:color w:val="000000"/>
                <w:sz w:val="22"/>
                <w:szCs w:val="24"/>
              </w:rPr>
              <w:t>.</w:t>
            </w:r>
            <w:r>
              <w:rPr>
                <w:rFonts w:hint="eastAsia" w:ascii="方正仿宋简体" w:hAnsi="Times New Roman" w:eastAsia="方正仿宋简体"/>
                <w:color w:val="000000"/>
                <w:sz w:val="22"/>
                <w:szCs w:val="24"/>
                <w:lang w:val="en-US" w:eastAsia="zh-CN"/>
              </w:rPr>
              <w:t>10</w:t>
            </w:r>
          </w:p>
        </w:tc>
        <w:tc>
          <w:tcPr>
            <w:tcW w:w="974" w:type="pct"/>
            <w:tcBorders>
              <w:top w:val="nil"/>
              <w:left w:val="nil"/>
              <w:bottom w:val="single" w:color="auto" w:sz="4" w:space="0"/>
              <w:right w:val="single" w:color="auto" w:sz="4" w:space="0"/>
            </w:tcBorders>
          </w:tcPr>
          <w:p>
            <w:pPr>
              <w:snapToGrid w:val="0"/>
              <w:spacing w:line="240" w:lineRule="atLeast"/>
              <w:jc w:val="center"/>
              <w:rPr>
                <w:rFonts w:hint="default" w:ascii="方正仿宋简体" w:hAnsi="Times New Roman" w:eastAsia="方正仿宋简体"/>
                <w:kern w:val="0"/>
                <w:sz w:val="22"/>
                <w:lang w:val="en-US" w:eastAsia="zh-CN"/>
              </w:rPr>
            </w:pPr>
            <w:r>
              <w:rPr>
                <w:rFonts w:hint="eastAsia" w:ascii="方正仿宋简体" w:hAnsi="宋体" w:eastAsia="方正仿宋简体"/>
                <w:color w:val="000000"/>
                <w:sz w:val="22"/>
                <w:szCs w:val="24"/>
              </w:rPr>
              <w:t>20</w:t>
            </w:r>
            <w:r>
              <w:rPr>
                <w:rFonts w:hint="eastAsia" w:ascii="方正仿宋简体" w:hAnsi="Times New Roman" w:eastAsia="方正仿宋简体"/>
                <w:color w:val="000000"/>
                <w:sz w:val="22"/>
                <w:szCs w:val="24"/>
              </w:rPr>
              <w:t>.</w:t>
            </w:r>
            <w:r>
              <w:rPr>
                <w:rFonts w:hint="eastAsia" w:ascii="方正仿宋简体" w:hAnsi="Times New Roman" w:eastAsia="方正仿宋简体"/>
                <w:color w:val="000000"/>
                <w:sz w:val="22"/>
                <w:szCs w:val="24"/>
                <w:lang w:val="en-US" w:eastAsia="zh-CN"/>
              </w:rPr>
              <w:t>10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一、因公出国（境）费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二、公务用车购置及运行费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其中：公务用车购置费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xml:space="preserve">           </w:t>
            </w:r>
            <w:r>
              <w:rPr>
                <w:rFonts w:hint="eastAsia" w:ascii="方正仿宋简体" w:hAnsi="方正仿宋_GBK" w:eastAsia="方正仿宋简体"/>
                <w:kern w:val="0"/>
                <w:sz w:val="22"/>
              </w:rPr>
              <w:t>公务用车运行费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三、公务接待费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0.</w:t>
            </w:r>
            <w:r>
              <w:rPr>
                <w:rFonts w:hint="eastAsia" w:ascii="方正仿宋简体" w:hAnsi="宋体" w:eastAsia="方正仿宋简体"/>
                <w:color w:val="000000"/>
                <w:sz w:val="22"/>
                <w:szCs w:val="24"/>
              </w:rPr>
              <w:t>90</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0.</w:t>
            </w:r>
            <w:r>
              <w:rPr>
                <w:rFonts w:hint="eastAsia" w:ascii="方正仿宋简体" w:hAnsi="宋体" w:eastAsia="方正仿宋简体"/>
                <w:color w:val="000000"/>
                <w:sz w:val="22"/>
                <w:szCs w:val="24"/>
              </w:rPr>
              <w:t>90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bl>
    <w:p>
      <w:pPr>
        <w:widowControl/>
        <w:jc w:val="left"/>
        <w:rPr>
          <w:rFonts w:ascii="方正仿宋简体" w:hAnsi="宋体" w:eastAsia="方正仿宋简体" w:cs="宋体"/>
          <w:sz w:val="44"/>
          <w:szCs w:val="44"/>
        </w:rPr>
        <w:sectPr>
          <w:headerReference r:id="rId4" w:type="default"/>
          <w:footerReference r:id="rId5" w:type="default"/>
          <w:pgSz w:w="16839" w:h="11907" w:orient="landscape"/>
          <w:pgMar w:top="680" w:right="1020" w:bottom="680" w:left="1020" w:header="851" w:footer="992" w:gutter="0"/>
          <w:pgNumType w:fmt="decimal" w:start="1"/>
          <w:cols w:space="720" w:num="1"/>
          <w:docGrid w:type="lines" w:linePitch="312" w:charSpace="0"/>
        </w:sectPr>
      </w:pPr>
    </w:p>
    <w:p>
      <w:pPr>
        <w:widowControl/>
        <w:jc w:val="left"/>
        <w:rPr>
          <w:rFonts w:ascii="方正仿宋简体" w:hAnsi="宋体" w:eastAsia="方正仿宋简体" w:cs="宋体"/>
          <w:sz w:val="44"/>
          <w:szCs w:val="44"/>
        </w:rPr>
        <w:sectPr>
          <w:type w:val="continuous"/>
          <w:pgSz w:w="16839" w:h="11907" w:orient="landscape"/>
          <w:pgMar w:top="680" w:right="1020" w:bottom="680" w:left="102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宋体" w:eastAsia="方正小标宋简体" w:cs="Arial"/>
          <w:color w:val="000000"/>
          <w:kern w:val="0"/>
          <w:sz w:val="40"/>
          <w:szCs w:val="40"/>
        </w:rPr>
        <w:t>遵化市兴旺寨乡人民政府</w:t>
      </w:r>
      <w:r>
        <w:rPr>
          <w:rFonts w:hint="eastAsia" w:ascii="方正小标宋简体" w:hAnsi="方正小标宋简体" w:eastAsia="方正小标宋简体" w:cs="方正小标宋简体"/>
          <w:sz w:val="44"/>
          <w:szCs w:val="44"/>
        </w:rPr>
        <w:t>2022年</w:t>
      </w:r>
      <w:r>
        <w:rPr>
          <w:rFonts w:hint="eastAsia" w:ascii="方正小标宋简体" w:hAnsi="方正小标宋简体" w:eastAsia="方正小标宋简体" w:cs="方正小标宋简体"/>
          <w:sz w:val="44"/>
          <w:szCs w:val="44"/>
          <w:lang w:eastAsia="zh-CN"/>
        </w:rPr>
        <w:t>单位</w:t>
      </w:r>
    </w:p>
    <w:p>
      <w:pPr>
        <w:keepNext w:val="0"/>
        <w:keepLines w:val="0"/>
        <w:pageBreakBefore w:val="0"/>
        <w:kinsoku/>
        <w:wordWrap/>
        <w:overflowPunct/>
        <w:topLinePunct w:val="0"/>
        <w:autoSpaceDE/>
        <w:autoSpaceDN/>
        <w:bidi w:val="0"/>
        <w:adjustRightIn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预算信息公开情况说明</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autoSpaceDE/>
        <w:autoSpaceDN/>
        <w:bidi w:val="0"/>
        <w:adjustRightInd/>
        <w:spacing w:line="570" w:lineRule="exact"/>
        <w:jc w:val="both"/>
        <w:textAlignment w:val="auto"/>
        <w:rPr>
          <w:rFonts w:ascii="方正小标宋简体" w:hAnsi="宋体" w:eastAsia="方正小标宋简体" w:cs="Arial"/>
          <w:color w:val="000000"/>
          <w:kern w:val="0"/>
          <w:sz w:val="40"/>
          <w:szCs w:val="40"/>
        </w:rPr>
      </w:pPr>
    </w:p>
    <w:p>
      <w:pPr>
        <w:keepNext w:val="0"/>
        <w:keepLines w:val="0"/>
        <w:pageBreakBefore w:val="0"/>
        <w:tabs>
          <w:tab w:val="left" w:pos="540"/>
        </w:tabs>
        <w:kinsoku/>
        <w:wordWrap/>
        <w:overflowPunct/>
        <w:topLinePunct w:val="0"/>
        <w:autoSpaceDE/>
        <w:autoSpaceDN/>
        <w:bidi w:val="0"/>
        <w:adjustRightInd/>
        <w:spacing w:line="570" w:lineRule="exact"/>
        <w:ind w:firstLine="720" w:firstLineChars="225"/>
        <w:textAlignment w:val="auto"/>
        <w:rPr>
          <w:rFonts w:ascii="方正仿宋简体" w:hAnsi="黑体" w:eastAsia="方正仿宋简体" w:cs="黑体"/>
          <w:color w:val="000000"/>
          <w:kern w:val="0"/>
          <w:sz w:val="32"/>
          <w:szCs w:val="32"/>
        </w:rPr>
      </w:pPr>
      <w:r>
        <w:rPr>
          <w:rFonts w:hint="eastAsia" w:ascii="方正仿宋简体" w:hAnsi="黑体" w:eastAsia="方正仿宋简体" w:cs="黑体"/>
          <w:sz w:val="32"/>
          <w:szCs w:val="32"/>
        </w:rPr>
        <w:t>按照《中华人民共和国预算法》、《地方预决算公开操作规程》和《河北省省级预算公开办法》规定，现将遵化市兴旺寨乡人民政府2022年</w:t>
      </w:r>
      <w:r>
        <w:rPr>
          <w:rFonts w:hint="eastAsia" w:ascii="方正仿宋简体" w:hAnsi="黑体" w:eastAsia="方正仿宋简体" w:cs="黑体"/>
          <w:sz w:val="32"/>
          <w:szCs w:val="32"/>
          <w:lang w:eastAsia="zh-CN"/>
        </w:rPr>
        <w:t>单位</w:t>
      </w:r>
      <w:r>
        <w:rPr>
          <w:rFonts w:hint="eastAsia" w:ascii="方正仿宋简体" w:hAnsi="黑体" w:eastAsia="方正仿宋简体" w:cs="黑体"/>
          <w:sz w:val="32"/>
          <w:szCs w:val="32"/>
        </w:rPr>
        <w:t>预算公开如下：</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黑体简体" w:hAnsi="方正黑体简体" w:eastAsia="方正黑体简体" w:cs="方正黑体简体"/>
          <w:sz w:val="32"/>
          <w:szCs w:val="32"/>
        </w:rPr>
      </w:pPr>
      <w:bookmarkStart w:id="2" w:name="_Toc68791545"/>
      <w:r>
        <w:rPr>
          <w:rFonts w:hint="eastAsia" w:ascii="方正黑体简体" w:hAnsi="方正黑体简体" w:eastAsia="方正黑体简体" w:cs="方正黑体简体"/>
          <w:sz w:val="32"/>
          <w:szCs w:val="32"/>
        </w:rPr>
        <w:t>一、</w:t>
      </w:r>
      <w:r>
        <w:rPr>
          <w:rFonts w:hint="eastAsia" w:ascii="方正黑体简体" w:hAnsi="方正黑体简体" w:eastAsia="方正黑体简体" w:cs="方正黑体简体"/>
          <w:sz w:val="32"/>
          <w:szCs w:val="32"/>
          <w:lang w:eastAsia="zh-CN"/>
        </w:rPr>
        <w:t>单位</w:t>
      </w:r>
      <w:r>
        <w:rPr>
          <w:rFonts w:hint="eastAsia" w:ascii="方正黑体简体" w:hAnsi="方正黑体简体" w:eastAsia="方正黑体简体" w:cs="方正黑体简体"/>
          <w:sz w:val="32"/>
          <w:szCs w:val="32"/>
        </w:rPr>
        <w:t>职责</w:t>
      </w:r>
      <w:r>
        <w:rPr>
          <w:rFonts w:hint="eastAsia" w:ascii="方正黑体简体" w:hAnsi="方正黑体简体" w:eastAsia="方正黑体简体" w:cs="方正黑体简体"/>
          <w:sz w:val="32"/>
          <w:szCs w:val="32"/>
          <w:lang w:eastAsia="zh-CN"/>
        </w:rPr>
        <w:t>、</w:t>
      </w:r>
      <w:r>
        <w:rPr>
          <w:rFonts w:hint="eastAsia" w:ascii="方正黑体简体" w:hAnsi="方正黑体简体" w:eastAsia="方正黑体简体" w:cs="方正黑体简体"/>
          <w:sz w:val="32"/>
          <w:szCs w:val="32"/>
        </w:rPr>
        <w:t>机构设置</w:t>
      </w:r>
      <w:r>
        <w:rPr>
          <w:rFonts w:hint="eastAsia" w:ascii="方正黑体简体" w:hAnsi="方正黑体简体" w:eastAsia="方正黑体简体" w:cs="方正黑体简体"/>
          <w:sz w:val="32"/>
          <w:szCs w:val="32"/>
          <w:lang w:eastAsia="zh-CN"/>
        </w:rPr>
        <w:t>等基本</w:t>
      </w:r>
      <w:r>
        <w:rPr>
          <w:rFonts w:hint="eastAsia" w:ascii="方正黑体简体" w:hAnsi="方正黑体简体" w:eastAsia="方正黑体简体" w:cs="方正黑体简体"/>
          <w:sz w:val="32"/>
          <w:szCs w:val="32"/>
        </w:rPr>
        <w:t>情况</w:t>
      </w:r>
      <w:bookmarkEnd w:id="2"/>
      <w:bookmarkStart w:id="6" w:name="_GoBack"/>
      <w:bookmarkEnd w:id="6"/>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w:t>
      </w:r>
      <w:r>
        <w:rPr>
          <w:rFonts w:hint="eastAsia" w:ascii="方正楷体简体" w:hAnsi="方正楷体简体" w:eastAsia="方正楷体简体" w:cs="方正楷体简体"/>
          <w:sz w:val="32"/>
          <w:szCs w:val="32"/>
          <w:lang w:eastAsia="zh-CN"/>
        </w:rPr>
        <w:t>单位</w:t>
      </w:r>
      <w:r>
        <w:rPr>
          <w:rFonts w:hint="eastAsia" w:ascii="方正楷体简体" w:hAnsi="方正楷体简体" w:eastAsia="方正楷体简体" w:cs="方正楷体简体"/>
          <w:sz w:val="32"/>
          <w:szCs w:val="32"/>
        </w:rPr>
        <w:t>职责</w:t>
      </w:r>
    </w:p>
    <w:p>
      <w:pPr>
        <w:keepNext w:val="0"/>
        <w:keepLines w:val="0"/>
        <w:pageBreakBefore w:val="0"/>
        <w:widowControl/>
        <w:numPr>
          <w:ilvl w:val="0"/>
          <w:numId w:val="0"/>
        </w:numPr>
        <w:tabs>
          <w:tab w:val="left" w:pos="5552"/>
          <w:tab w:val="left" w:pos="7323"/>
          <w:tab w:val="left" w:pos="12218"/>
          <w:tab w:val="left" w:pos="14365"/>
          <w:tab w:val="left" w:pos="17759"/>
          <w:tab w:val="left" w:pos="19300"/>
          <w:tab w:val="left" w:pos="20220"/>
        </w:tabs>
        <w:kinsoku/>
        <w:wordWrap/>
        <w:overflowPunct/>
        <w:topLinePunct w:val="0"/>
        <w:autoSpaceDE/>
        <w:autoSpaceDN/>
        <w:bidi w:val="0"/>
        <w:adjustRightInd/>
        <w:spacing w:line="570" w:lineRule="exact"/>
        <w:ind w:leftChars="78" w:firstLine="640" w:firstLineChars="200"/>
        <w:jc w:val="left"/>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宣传贯彻执行党的路线方针政策和党中央、上级党组织及本乡党员代表大会（党员大会）的决议。贯彻执行法律、法规、规章和上级人民代表大会及其常务委员会决议及上级政府的决定、命令，执行本级人民代表大会的决议。</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2、讨论和决定本乡经济建设、政治建设、文化建设、社会建设、生态文明建设和党的建设以及乡村振兴中的重大问题。</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3、组织召开本级人民代表大会，充分行使重大事项决定权、监督权和任免权，做好人大代表工作，联系选民、反映群众意见和要求。</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执行本行政区域内的经济和社会发展计划、预算，管理本行政区域内的经济、教育、科学、文化、卫生健康、体育事业和财政、统计、民政、司法行政等行政工作。落实本行政区域内发展规划、专项规划、区域规划、国土空间规划。</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5、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6、加强乡党委自身建设和村党组织建设，以及其他隶属乡党委的党组织建设，抓好发展党员工作，加强党员队伍建设。维护和执行党的纪律，监督党员干部和其他任何工作人员严格遵守国家法律法规。</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7、按照干部管理权限，负责对干部的教育、培训、选拔、考核和监督工作。协助管理上级有关</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单位</w:t>
      </w:r>
      <w:r>
        <w:rPr>
          <w:rFonts w:hint="eastAsia" w:ascii="方正仿宋简体" w:hAnsi="方正仿宋简体" w:eastAsia="方正仿宋简体" w:cs="方正仿宋简体"/>
          <w:color w:val="000000" w:themeColor="text1"/>
          <w:sz w:val="32"/>
          <w:szCs w:val="32"/>
          <w14:textFill>
            <w14:solidFill>
              <w14:schemeClr w14:val="tx1"/>
            </w14:solidFill>
          </w14:textFill>
        </w:rPr>
        <w:t>驻乡单位的干部。做好人才服务工作。</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8、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9、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keepNext w:val="0"/>
        <w:keepLines w:val="0"/>
        <w:pageBreakBefore w:val="0"/>
        <w:kinsoku/>
        <w:wordWrap/>
        <w:overflowPunct/>
        <w:topLinePunct w:val="0"/>
        <w:autoSpaceDE/>
        <w:autoSpaceDN/>
        <w:bidi w:val="0"/>
        <w:adjustRightInd/>
        <w:spacing w:line="570" w:lineRule="exact"/>
        <w:ind w:firstLine="482"/>
        <w:textAlignment w:val="auto"/>
        <w:rPr>
          <w:rFonts w:ascii="方正仿宋简体" w:hAnsi="黑体" w:eastAsia="方正仿宋简体" w:cs="黑体"/>
          <w:color w:val="000000" w:themeColor="text1"/>
          <w:sz w:val="28"/>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10、承办上级党委、人大、政府交办的其他事项</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（二）机构设置</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MS Mincho"/>
          <w:snapToGrid w:val="0"/>
          <w:kern w:val="0"/>
          <w:sz w:val="32"/>
          <w:szCs w:val="32"/>
        </w:rPr>
      </w:pPr>
      <w:r>
        <w:rPr>
          <w:rFonts w:hint="eastAsia" w:ascii="方正仿宋简体" w:hAnsi="方正仿宋简体" w:eastAsia="方正仿宋简体" w:cs="方正仿宋简体"/>
          <w:snapToGrid w:val="0"/>
          <w:kern w:val="0"/>
          <w:sz w:val="32"/>
          <w:szCs w:val="32"/>
        </w:rPr>
        <w:t>1、党政综合办公室（财政所）。</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rPr>
      </w:pPr>
      <w:r>
        <w:rPr>
          <w:rFonts w:hint="eastAsia" w:ascii="方正仿宋简体" w:eastAsia="方正仿宋简体" w:cs="MS Mincho"/>
          <w:sz w:val="32"/>
          <w:szCs w:val="32"/>
        </w:rPr>
        <w:t>主要承担乡党委、政府日常事务等职责。负责机关综合协调、重要会务及决定事项的督查督办、公文运转、调查研究、综合文稿的起草及审核、保密机要、档案信息、政务公开、值班及后勤保障等工作。</w:t>
      </w:r>
      <w:r>
        <w:rPr>
          <w:rFonts w:hint="eastAsia" w:ascii="方正仿宋简体" w:eastAsia="方正仿宋简体" w:cs="方正仿宋简体"/>
          <w:sz w:val="32"/>
          <w:szCs w:val="32"/>
        </w:rPr>
        <w:t>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w:t>
      </w:r>
      <w:r>
        <w:rPr>
          <w:rFonts w:hint="eastAsia" w:ascii="方正仿宋简体" w:eastAsia="方正仿宋简体" w:cs="MS Mincho"/>
          <w:sz w:val="32"/>
          <w:szCs w:val="32"/>
        </w:rPr>
        <w:t>负责财政预（决）算编制、预算执行和预算管理，统一管理本级各项政府性收支；负责国有资产和政府性债务管理，承担各项财政性资金监管工作。</w:t>
      </w:r>
      <w:r>
        <w:rPr>
          <w:rFonts w:hint="eastAsia" w:ascii="方正仿宋简体" w:eastAsia="方正仿宋简体" w:cs="方正仿宋简体"/>
          <w:sz w:val="32"/>
          <w:szCs w:val="32"/>
        </w:rPr>
        <w:t>完成党委、政府交办的其他工作任务。</w:t>
      </w:r>
    </w:p>
    <w:p>
      <w:pPr>
        <w:keepNext w:val="0"/>
        <w:keepLines w:val="0"/>
        <w:pageBreakBefore w:val="0"/>
        <w:numPr>
          <w:ilvl w:val="0"/>
          <w:numId w:val="1"/>
        </w:numPr>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cs="方正仿宋简体"/>
          <w:snapToGrid w:val="0"/>
          <w:kern w:val="0"/>
          <w:sz w:val="32"/>
          <w:szCs w:val="32"/>
        </w:rPr>
      </w:pPr>
      <w:r>
        <w:rPr>
          <w:rFonts w:hint="eastAsia" w:ascii="方正仿宋简体" w:hAnsi="宋体" w:eastAsia="方正仿宋简体" w:cs="方正仿宋简体"/>
          <w:snapToGrid w:val="0"/>
          <w:kern w:val="0"/>
          <w:sz w:val="32"/>
          <w:szCs w:val="32"/>
        </w:rPr>
        <w:t>党建工作办公室（人大主席团办公室）。</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方正仿宋简体"/>
          <w:sz w:val="32"/>
          <w:szCs w:val="32"/>
        </w:rPr>
      </w:pPr>
      <w:r>
        <w:rPr>
          <w:rFonts w:hint="eastAsia" w:ascii="方正仿宋简体" w:eastAsia="方正仿宋简体" w:cs="方正仿宋简体"/>
          <w:sz w:val="32"/>
          <w:szCs w:val="32"/>
        </w:rPr>
        <w:t>主要承担基层党组织建设以及党员的发展、教育、管理、监督和服务工作；负责非公有制企业和社会组织党建工作；完善乡党委议事规则，建立基层党组织向乡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乡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pPr>
        <w:pStyle w:val="7"/>
        <w:keepNext w:val="0"/>
        <w:keepLines w:val="0"/>
        <w:pageBreakBefore w:val="0"/>
        <w:widowControl w:val="0"/>
        <w:kinsoku/>
        <w:wordWrap/>
        <w:overflowPunct/>
        <w:topLinePunct w:val="0"/>
        <w:autoSpaceDE/>
        <w:autoSpaceDN/>
        <w:bidi w:val="0"/>
        <w:adjustRightInd/>
        <w:spacing w:before="0" w:beforeAutospacing="0" w:after="0" w:afterAutospacing="0" w:line="570" w:lineRule="exact"/>
        <w:ind w:firstLine="645"/>
        <w:jc w:val="both"/>
        <w:textAlignment w:val="auto"/>
        <w:rPr>
          <w:rFonts w:ascii="方正仿宋简体" w:hAnsi="方正仿宋简体" w:eastAsia="方正仿宋简体" w:cs="方正仿宋简体"/>
          <w:color w:val="000000"/>
          <w:kern w:val="2"/>
          <w:sz w:val="32"/>
          <w:szCs w:val="32"/>
          <w:shd w:val="clear" w:color="auto" w:fill="FFFFFF"/>
        </w:rPr>
      </w:pPr>
      <w:r>
        <w:rPr>
          <w:rFonts w:hint="eastAsia" w:ascii="方正仿宋简体" w:hAnsi="方正仿宋简体" w:eastAsia="方正仿宋简体" w:cs="方正仿宋简体"/>
          <w:color w:val="000000"/>
          <w:kern w:val="2"/>
          <w:sz w:val="32"/>
          <w:szCs w:val="32"/>
          <w:shd w:val="clear" w:color="auto" w:fill="FFFFFF"/>
        </w:rPr>
        <w:t>3、应急管理办公室（发展改革办公室）。</w:t>
      </w:r>
    </w:p>
    <w:p>
      <w:pPr>
        <w:pStyle w:val="7"/>
        <w:keepNext w:val="0"/>
        <w:keepLines w:val="0"/>
        <w:pageBreakBefore w:val="0"/>
        <w:widowControl w:val="0"/>
        <w:kinsoku/>
        <w:wordWrap/>
        <w:overflowPunct/>
        <w:topLinePunct w:val="0"/>
        <w:autoSpaceDE/>
        <w:autoSpaceDN/>
        <w:bidi w:val="0"/>
        <w:adjustRightInd/>
        <w:spacing w:before="0" w:beforeAutospacing="0" w:after="0" w:afterAutospacing="0" w:line="570" w:lineRule="exact"/>
        <w:ind w:firstLine="645"/>
        <w:jc w:val="both"/>
        <w:textAlignment w:val="auto"/>
        <w:rPr>
          <w:rFonts w:ascii="方正仿宋简体" w:eastAsia="方正仿宋简体" w:cs="方正仿宋简体"/>
          <w:sz w:val="32"/>
          <w:szCs w:val="32"/>
        </w:rPr>
      </w:pPr>
      <w:r>
        <w:rPr>
          <w:rFonts w:hint="eastAsia" w:ascii="方正仿宋简体" w:eastAsia="方正仿宋简体" w:cs="方正仿宋简体"/>
          <w:sz w:val="32"/>
          <w:szCs w:val="32"/>
        </w:rPr>
        <w:t>负责贯彻执行安全生产、应急管理、消防、防灾减灾救灾等方面的法律法规和政策规定；加强辖区生产经营单位安全生产状况的监督检查，协助上级有关</w:t>
      </w:r>
      <w:r>
        <w:rPr>
          <w:rFonts w:hint="eastAsia" w:ascii="方正仿宋简体" w:eastAsia="方正仿宋简体" w:cs="方正仿宋简体"/>
          <w:sz w:val="32"/>
          <w:szCs w:val="32"/>
          <w:lang w:eastAsia="zh-CN"/>
        </w:rPr>
        <w:t>单位</w:t>
      </w:r>
      <w:r>
        <w:rPr>
          <w:rFonts w:hint="eastAsia" w:ascii="方正仿宋简体" w:eastAsia="方正仿宋简体" w:cs="方正仿宋简体"/>
          <w:sz w:val="32"/>
          <w:szCs w:val="32"/>
        </w:rPr>
        <w:t>依法履行安全生产监督管理职责；依法做好辖区突发事件应对工作，制定本级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w:t>
      </w:r>
      <w:r>
        <w:rPr>
          <w:rFonts w:hint="eastAsia" w:ascii="方正仿宋简体" w:eastAsia="方正仿宋简体" w:cs="MS Mincho"/>
          <w:sz w:val="32"/>
          <w:szCs w:val="32"/>
        </w:rPr>
        <w:t>负责辖区自然灾害救助相关工作，加强防灾减灾宣传教育，建立健全自然灾害救助款物和捐赠款物的监督检查制度，并及时受理投诉和举报。</w:t>
      </w:r>
      <w:r>
        <w:rPr>
          <w:rFonts w:hint="eastAsia" w:ascii="方正仿宋简体" w:eastAsia="方正仿宋简体" w:cs="方正仿宋简体"/>
          <w:sz w:val="32"/>
          <w:szCs w:val="32"/>
        </w:rPr>
        <w:t>负责辖区乡道、村道建设管理和乡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4、自然资源和生态环境办公室。</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Calibri"/>
          <w:sz w:val="32"/>
          <w:szCs w:val="32"/>
        </w:rPr>
      </w:pPr>
      <w:r>
        <w:rPr>
          <w:rFonts w:hint="eastAsia" w:ascii="方正仿宋简体" w:eastAsia="方正仿宋简体" w:cs="方正仿宋简体"/>
          <w:sz w:val="32"/>
          <w:szCs w:val="32"/>
        </w:rPr>
        <w:t>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乡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w:t>
      </w:r>
      <w:r>
        <w:rPr>
          <w:rFonts w:hint="eastAsia" w:ascii="方正仿宋简体" w:eastAsia="方正仿宋简体" w:cs="方正仿宋简体"/>
          <w:sz w:val="32"/>
          <w:szCs w:val="32"/>
          <w:lang w:eastAsia="zh-CN"/>
        </w:rPr>
        <w:t>单位</w:t>
      </w:r>
      <w:r>
        <w:rPr>
          <w:rFonts w:hint="eastAsia" w:ascii="方正仿宋简体" w:eastAsia="方正仿宋简体" w:cs="方正仿宋简体"/>
          <w:sz w:val="32"/>
          <w:szCs w:val="32"/>
        </w:rPr>
        <w:t>做好地下水相关管理和监督工作；按照职责分工做好“散乱污”企业综合整治工作；组织开展全民义务植树、古树名木保护利用工作；在上级城市绿化行政主管</w:t>
      </w:r>
      <w:r>
        <w:rPr>
          <w:rFonts w:hint="eastAsia" w:ascii="方正仿宋简体" w:eastAsia="方正仿宋简体" w:cs="方正仿宋简体"/>
          <w:sz w:val="32"/>
          <w:szCs w:val="32"/>
          <w:lang w:eastAsia="zh-CN"/>
        </w:rPr>
        <w:t>单位</w:t>
      </w:r>
      <w:r>
        <w:rPr>
          <w:rFonts w:hint="eastAsia" w:ascii="方正仿宋简体" w:eastAsia="方正仿宋简体" w:cs="方正仿宋简体"/>
          <w:sz w:val="32"/>
          <w:szCs w:val="32"/>
        </w:rPr>
        <w:t>指导下，负责辖区内的绿化工作；完成党委、政府交办的其他工作任务。</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cs="MS Mincho"/>
          <w:kern w:val="0"/>
          <w:sz w:val="32"/>
          <w:szCs w:val="32"/>
        </w:rPr>
      </w:pPr>
      <w:r>
        <w:rPr>
          <w:rFonts w:hint="eastAsia" w:ascii="方正仿宋简体" w:hAnsi="宋体" w:eastAsia="方正仿宋简体" w:cs="MS Mincho"/>
          <w:kern w:val="0"/>
          <w:sz w:val="32"/>
          <w:szCs w:val="32"/>
        </w:rPr>
        <w:t>5、综合行政执法队</w:t>
      </w:r>
      <w:r>
        <w:rPr>
          <w:rFonts w:hint="eastAsia" w:ascii="方正仿宋简体" w:eastAsia="方正仿宋简体"/>
          <w:color w:val="000000"/>
          <w:sz w:val="32"/>
          <w:szCs w:val="32"/>
        </w:rPr>
        <w:t>（综合指挥和信息化网络中心、社会治理办公室）</w:t>
      </w:r>
      <w:r>
        <w:rPr>
          <w:rFonts w:hint="eastAsia" w:ascii="方正仿宋简体" w:hAnsi="宋体" w:eastAsia="方正仿宋简体" w:cs="MS Mincho"/>
          <w:kern w:val="0"/>
          <w:sz w:val="32"/>
          <w:szCs w:val="32"/>
        </w:rPr>
        <w:t>。</w:t>
      </w:r>
    </w:p>
    <w:p>
      <w:pPr>
        <w:pStyle w:val="7"/>
        <w:keepNext w:val="0"/>
        <w:keepLines w:val="0"/>
        <w:pageBreakBefore w:val="0"/>
        <w:widowControl w:val="0"/>
        <w:kinsoku/>
        <w:wordWrap/>
        <w:overflowPunct/>
        <w:topLinePunct w:val="0"/>
        <w:autoSpaceDE/>
        <w:autoSpaceDN/>
        <w:bidi w:val="0"/>
        <w:adjustRightInd/>
        <w:spacing w:before="0" w:beforeAutospacing="0" w:after="0" w:afterAutospacing="0" w:line="570" w:lineRule="exact"/>
        <w:ind w:firstLine="645"/>
        <w:jc w:val="both"/>
        <w:textAlignment w:val="auto"/>
        <w:rPr>
          <w:rFonts w:ascii="方正仿宋简体" w:eastAsia="方正仿宋简体" w:cs="MS Mincho"/>
          <w:sz w:val="32"/>
          <w:szCs w:val="32"/>
        </w:rPr>
      </w:pPr>
      <w:r>
        <w:rPr>
          <w:rFonts w:hint="eastAsia" w:ascii="方正仿宋简体" w:eastAsia="方正仿宋简体" w:cs="MS Mincho"/>
          <w:sz w:val="32"/>
          <w:szCs w:val="32"/>
        </w:rPr>
        <w:t>根据法律法规和省政府授权，依法开展综合行政执法工作。协助有关</w:t>
      </w:r>
      <w:r>
        <w:rPr>
          <w:rFonts w:hint="eastAsia" w:ascii="方正仿宋简体" w:eastAsia="方正仿宋简体" w:cs="MS Mincho"/>
          <w:sz w:val="32"/>
          <w:szCs w:val="32"/>
          <w:lang w:eastAsia="zh-CN"/>
        </w:rPr>
        <w:t>单位</w:t>
      </w:r>
      <w:r>
        <w:rPr>
          <w:rFonts w:hint="eastAsia" w:ascii="方正仿宋简体" w:eastAsia="方正仿宋简体" w:cs="MS Mincho"/>
          <w:sz w:val="32"/>
          <w:szCs w:val="32"/>
        </w:rPr>
        <w:t>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pPr>
        <w:keepNext w:val="0"/>
        <w:keepLines w:val="0"/>
        <w:pageBreakBefore w:val="0"/>
        <w:numPr>
          <w:ilvl w:val="0"/>
          <w:numId w:val="2"/>
        </w:numPr>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cs="MS Mincho"/>
          <w:kern w:val="0"/>
          <w:sz w:val="32"/>
          <w:szCs w:val="32"/>
        </w:rPr>
      </w:pPr>
      <w:r>
        <w:rPr>
          <w:rFonts w:hint="eastAsia" w:ascii="方正仿宋简体" w:hAnsi="宋体" w:eastAsia="方正仿宋简体" w:cs="MS Mincho"/>
          <w:kern w:val="0"/>
          <w:sz w:val="32"/>
          <w:szCs w:val="32"/>
        </w:rPr>
        <w:t>行政综合服务中心（文化综合服务站）。</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MS Mincho"/>
          <w:sz w:val="32"/>
          <w:szCs w:val="32"/>
        </w:rPr>
      </w:pPr>
      <w:r>
        <w:rPr>
          <w:rFonts w:hint="eastAsia" w:ascii="方正仿宋简体" w:eastAsia="方正仿宋简体" w:cs="MS Mincho"/>
          <w:sz w:val="32"/>
          <w:szCs w:val="32"/>
        </w:rPr>
        <w:t>主要负责法律法规或政策文件明确由本级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乡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w:t>
      </w:r>
      <w:r>
        <w:rPr>
          <w:rFonts w:hint="eastAsia" w:ascii="方正仿宋简体" w:eastAsia="方正仿宋简体" w:cs="方正仿宋简体"/>
          <w:sz w:val="32"/>
          <w:szCs w:val="32"/>
        </w:rPr>
        <w:t>任务。</w:t>
      </w:r>
    </w:p>
    <w:p>
      <w:pPr>
        <w:keepNext w:val="0"/>
        <w:keepLines w:val="0"/>
        <w:pageBreakBefore w:val="0"/>
        <w:numPr>
          <w:ilvl w:val="0"/>
          <w:numId w:val="2"/>
        </w:numPr>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农业综合服务中心。</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Calibri"/>
          <w:sz w:val="32"/>
          <w:szCs w:val="32"/>
        </w:rPr>
      </w:pPr>
      <w:r>
        <w:rPr>
          <w:rFonts w:hint="eastAsia" w:ascii="方正仿宋简体" w:eastAsia="方正仿宋简体" w:cs="方正仿宋简体"/>
          <w:sz w:val="32"/>
          <w:szCs w:val="32"/>
        </w:rPr>
        <w:t>负责实施农业发展规划、农业综合开发、农业产业化管理服务、农村集体资产产权制度改革、乡村振兴战略和美丽乡村建设以及生态旅游发展、休闲农业和乡村旅游的开发建设与管理等有关工作。负责辖区内农村集体资产管理的指导和监督，</w:t>
      </w:r>
      <w:r>
        <w:rPr>
          <w:rFonts w:hint="eastAsia" w:ascii="方正仿宋简体" w:eastAsia="方正仿宋简体"/>
          <w:sz w:val="32"/>
          <w:szCs w:val="32"/>
        </w:rPr>
        <w:t>按分工和权限负责村集体财务管理工作</w:t>
      </w:r>
      <w:r>
        <w:rPr>
          <w:rFonts w:hint="eastAsia" w:ascii="方正仿宋简体" w:eastAsia="方正仿宋简体" w:cs="方正仿宋简体"/>
          <w:sz w:val="32"/>
          <w:szCs w:val="32"/>
        </w:rPr>
        <w:t>；负责辖区内村民委员会成员的任期和离任经济责任审计工作；按照职责分工负责辖区农民负担监管工作，组织开展农民负担专项检查；按权限落实好农村重点改革任务；</w:t>
      </w:r>
      <w:r>
        <w:rPr>
          <w:rFonts w:hint="eastAsia" w:ascii="方正仿宋简体" w:hAnsi="Times New Roman" w:eastAsia="方正仿宋简体"/>
          <w:sz w:val="32"/>
          <w:szCs w:val="32"/>
        </w:rPr>
        <w:t>负责本辖区农村扶贫开发的具体实施工作；</w:t>
      </w:r>
      <w:r>
        <w:rPr>
          <w:rFonts w:hint="eastAsia" w:ascii="方正仿宋简体" w:eastAsia="方正仿宋简体" w:cs="方正仿宋简体"/>
          <w:sz w:val="32"/>
          <w:szCs w:val="32"/>
        </w:rPr>
        <w:t>按职责分工负责农产品质量安全监管工作，加强农产品质量安全知识的宣传，及时处理并上报有关单位和个人报告的农产品质量安全事故；</w:t>
      </w:r>
      <w:r>
        <w:rPr>
          <w:rFonts w:hint="eastAsia" w:ascii="方正仿宋简体" w:eastAsia="方正仿宋简体"/>
          <w:sz w:val="32"/>
          <w:szCs w:val="32"/>
        </w:rPr>
        <w:t>依法组织群众协助做好本辖区的动物疫病预防与控制工作，组织饲养动物的单位和个人做好强制免疫工作；</w:t>
      </w:r>
      <w:r>
        <w:rPr>
          <w:rFonts w:hint="eastAsia" w:ascii="方正仿宋简体" w:hAnsi="Times New Roman" w:eastAsia="方正仿宋简体"/>
          <w:sz w:val="32"/>
          <w:szCs w:val="32"/>
        </w:rPr>
        <w:t>负责农业机械化相关工作；</w:t>
      </w:r>
      <w:r>
        <w:rPr>
          <w:rFonts w:hint="eastAsia" w:ascii="方正仿宋简体" w:eastAsia="方正仿宋简体" w:cs="方正仿宋简体"/>
          <w:sz w:val="32"/>
          <w:szCs w:val="32"/>
        </w:rPr>
        <w:t>负责辖区人居环境改善工作；协助有关</w:t>
      </w:r>
      <w:r>
        <w:rPr>
          <w:rFonts w:hint="eastAsia" w:ascii="方正仿宋简体" w:eastAsia="方正仿宋简体" w:cs="方正仿宋简体"/>
          <w:sz w:val="32"/>
          <w:szCs w:val="32"/>
          <w:lang w:eastAsia="zh-CN"/>
        </w:rPr>
        <w:t>单位</w:t>
      </w:r>
      <w:r>
        <w:rPr>
          <w:rFonts w:hint="eastAsia" w:ascii="方正仿宋简体" w:eastAsia="方正仿宋简体" w:cs="方正仿宋简体"/>
          <w:sz w:val="32"/>
          <w:szCs w:val="32"/>
        </w:rPr>
        <w:t>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w:t>
      </w:r>
      <w:r>
        <w:rPr>
          <w:rFonts w:hint="eastAsia" w:ascii="方正仿宋简体" w:eastAsia="方正仿宋简体" w:cs="方正仿宋简体"/>
          <w:sz w:val="32"/>
          <w:szCs w:val="32"/>
          <w:lang w:eastAsia="zh-CN"/>
        </w:rPr>
        <w:t>单位</w:t>
      </w:r>
      <w:r>
        <w:rPr>
          <w:rFonts w:hint="eastAsia" w:ascii="方正仿宋简体" w:eastAsia="方正仿宋简体" w:cs="方正仿宋简体"/>
          <w:sz w:val="32"/>
          <w:szCs w:val="32"/>
        </w:rPr>
        <w:t>做好辖区畜禽养殖污染防治工作；负责公共场所和乡村病死畜禽收集处理和上报；负责辖区农村土地承包管理工作；承担农村土地承包经营纠纷调解相关工作；</w:t>
      </w:r>
      <w:r>
        <w:rPr>
          <w:rFonts w:hint="eastAsia" w:ascii="方正仿宋简体" w:eastAsia="方正仿宋简体"/>
          <w:sz w:val="32"/>
          <w:szCs w:val="32"/>
        </w:rPr>
        <w:t>协助开展辖区基本农田保护管理工作；负责农民培训和技术推广等相关工作。</w:t>
      </w:r>
      <w:r>
        <w:rPr>
          <w:rFonts w:hint="eastAsia" w:ascii="方正仿宋简体" w:eastAsia="方正仿宋简体" w:cs="方正仿宋简体"/>
          <w:sz w:val="32"/>
          <w:szCs w:val="32"/>
        </w:rPr>
        <w:t>完成党委、政府交办的其他工作任务。</w:t>
      </w:r>
    </w:p>
    <w:p>
      <w:pPr>
        <w:pStyle w:val="45"/>
        <w:keepNext w:val="0"/>
        <w:keepLines w:val="0"/>
        <w:pageBreakBefore w:val="0"/>
        <w:numPr>
          <w:ilvl w:val="0"/>
          <w:numId w:val="2"/>
        </w:numPr>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退役军人服务站。</w:t>
      </w:r>
    </w:p>
    <w:p>
      <w:pPr>
        <w:pStyle w:val="45"/>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黑体"/>
          <w:color w:val="000000" w:themeColor="text1"/>
          <w:sz w:val="32"/>
          <w14:textFill>
            <w14:solidFill>
              <w14:schemeClr w14:val="tx1"/>
            </w14:solidFill>
          </w14:textFill>
        </w:rPr>
      </w:pPr>
      <w:r>
        <w:rPr>
          <w:rFonts w:hint="eastAsia" w:ascii="方正仿宋简体" w:eastAsia="方正仿宋简体" w:cs="方正仿宋简体"/>
          <w:sz w:val="32"/>
          <w:szCs w:val="32"/>
        </w:rPr>
        <w:t>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w:t>
      </w:r>
      <w:r>
        <w:rPr>
          <w:rFonts w:hint="eastAsia" w:ascii="方正仿宋简体" w:eastAsia="方正仿宋简体" w:cs="方正仿宋简体"/>
          <w:sz w:val="32"/>
          <w:szCs w:val="32"/>
          <w:lang w:eastAsia="zh-CN"/>
        </w:rPr>
        <w:t>单位</w:t>
      </w:r>
      <w:r>
        <w:rPr>
          <w:rFonts w:hint="eastAsia" w:ascii="方正仿宋简体" w:eastAsia="方正仿宋简体" w:cs="方正仿宋简体"/>
          <w:sz w:val="32"/>
          <w:szCs w:val="32"/>
        </w:rPr>
        <w:t>做好来信、来访工作；负责依照法定权限，做好本辖区拥军优属工作。完成党委、政府交办的其他工作任务。</w:t>
      </w:r>
    </w:p>
    <w:p>
      <w:pPr>
        <w:spacing w:line="570" w:lineRule="exact"/>
        <w:jc w:val="center"/>
        <w:rPr>
          <w:rFonts w:ascii="方正仿宋简体" w:hAnsi="方正小标宋简体" w:eastAsia="方正仿宋简体" w:cs="方正小标宋简体"/>
          <w:bCs/>
          <w:color w:val="000000" w:themeColor="text1"/>
          <w:sz w:val="32"/>
          <w14:textFill>
            <w14:solidFill>
              <w14:schemeClr w14:val="tx1"/>
            </w14:solidFill>
          </w14:textFill>
        </w:rPr>
      </w:pPr>
      <w:r>
        <w:rPr>
          <w:rFonts w:hint="eastAsia" w:ascii="方正仿宋简体" w:hAnsi="方正小标宋简体" w:eastAsia="方正仿宋简体" w:cs="方正小标宋简体"/>
          <w:bCs/>
          <w:color w:val="000000" w:themeColor="text1"/>
          <w:sz w:val="32"/>
          <w:lang w:eastAsia="zh-CN"/>
          <w14:textFill>
            <w14:solidFill>
              <w14:schemeClr w14:val="tx1"/>
            </w14:solidFill>
          </w14:textFill>
        </w:rPr>
        <w:t>单位</w:t>
      </w:r>
      <w:r>
        <w:rPr>
          <w:rFonts w:hint="eastAsia" w:ascii="方正仿宋简体" w:hAnsi="方正小标宋简体" w:eastAsia="方正仿宋简体" w:cs="方正小标宋简体"/>
          <w:bCs/>
          <w:color w:val="000000" w:themeColor="text1"/>
          <w:sz w:val="32"/>
          <w14:textFill>
            <w14:solidFill>
              <w14:schemeClr w14:val="tx1"/>
            </w14:solidFill>
          </w14:textFill>
        </w:rPr>
        <w:t>机构设置情况</w:t>
      </w:r>
    </w:p>
    <w:tbl>
      <w:tblPr>
        <w:tblStyle w:val="8"/>
        <w:tblW w:w="14738" w:type="dxa"/>
        <w:tblInd w:w="108" w:type="dxa"/>
        <w:tblLayout w:type="autofit"/>
        <w:tblCellMar>
          <w:top w:w="0" w:type="dxa"/>
          <w:left w:w="0" w:type="dxa"/>
          <w:bottom w:w="0" w:type="dxa"/>
          <w:right w:w="0" w:type="dxa"/>
        </w:tblCellMar>
      </w:tblPr>
      <w:tblGrid>
        <w:gridCol w:w="6704"/>
        <w:gridCol w:w="1981"/>
        <w:gridCol w:w="1703"/>
        <w:gridCol w:w="4350"/>
      </w:tblGrid>
      <w:tr>
        <w:tblPrEx>
          <w:tblCellMar>
            <w:top w:w="0" w:type="dxa"/>
            <w:left w:w="0" w:type="dxa"/>
            <w:bottom w:w="0" w:type="dxa"/>
            <w:right w:w="0" w:type="dxa"/>
          </w:tblCellMar>
        </w:tblPrEx>
        <w:trPr>
          <w:trHeight w:val="512" w:hRule="atLeast"/>
          <w:tblHeader/>
        </w:trPr>
        <w:tc>
          <w:tcPr>
            <w:tcW w:w="670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line="300" w:lineRule="exact"/>
              <w:jc w:val="center"/>
              <w:rPr>
                <w:rFonts w:ascii="方正仿宋简体" w:hAnsi="方正楷体简体" w:eastAsia="方正仿宋简体" w:cs="方正楷体简体"/>
                <w:bCs/>
                <w:color w:val="000000" w:themeColor="text1"/>
                <w:sz w:val="32"/>
                <w:szCs w:val="32"/>
                <w14:textFill>
                  <w14:solidFill>
                    <w14:schemeClr w14:val="tx1"/>
                  </w14:solidFill>
                </w14:textFill>
              </w:rPr>
            </w:pPr>
            <w:r>
              <w:rPr>
                <w:rFonts w:hint="eastAsia" w:ascii="方正仿宋简体" w:hAnsi="方正楷体简体" w:eastAsia="方正仿宋简体" w:cs="方正楷体简体"/>
                <w:bCs/>
                <w:color w:val="000000" w:themeColor="text1"/>
                <w:sz w:val="32"/>
                <w:szCs w:val="32"/>
                <w14:textFill>
                  <w14:solidFill>
                    <w14:schemeClr w14:val="tx1"/>
                  </w14:solidFill>
                </w14:textFill>
              </w:rPr>
              <w:t>单位名称</w:t>
            </w:r>
          </w:p>
        </w:tc>
        <w:tc>
          <w:tcPr>
            <w:tcW w:w="19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楷体简体" w:eastAsia="方正仿宋简体" w:cs="方正楷体简体"/>
                <w:bCs/>
                <w:color w:val="000000" w:themeColor="text1"/>
                <w:sz w:val="32"/>
                <w:szCs w:val="32"/>
                <w14:textFill>
                  <w14:solidFill>
                    <w14:schemeClr w14:val="tx1"/>
                  </w14:solidFill>
                </w14:textFill>
              </w:rPr>
            </w:pPr>
            <w:r>
              <w:rPr>
                <w:rFonts w:hint="eastAsia" w:ascii="方正仿宋简体" w:hAnsi="方正楷体简体" w:eastAsia="方正仿宋简体" w:cs="方正楷体简体"/>
                <w:bCs/>
                <w:color w:val="000000" w:themeColor="text1"/>
                <w:sz w:val="32"/>
                <w:szCs w:val="32"/>
                <w14:textFill>
                  <w14:solidFill>
                    <w14:schemeClr w14:val="tx1"/>
                  </w14:solidFill>
                </w14:textFill>
              </w:rPr>
              <w:t>单位性质</w:t>
            </w:r>
          </w:p>
        </w:tc>
        <w:tc>
          <w:tcPr>
            <w:tcW w:w="170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楷体简体" w:eastAsia="方正仿宋简体" w:cs="方正楷体简体"/>
                <w:bCs/>
                <w:color w:val="000000" w:themeColor="text1"/>
                <w:sz w:val="32"/>
                <w:szCs w:val="32"/>
                <w14:textFill>
                  <w14:solidFill>
                    <w14:schemeClr w14:val="tx1"/>
                  </w14:solidFill>
                </w14:textFill>
              </w:rPr>
            </w:pPr>
            <w:r>
              <w:rPr>
                <w:rFonts w:hint="eastAsia" w:ascii="方正仿宋简体" w:hAnsi="方正楷体简体" w:eastAsia="方正仿宋简体" w:cs="方正楷体简体"/>
                <w:bCs/>
                <w:color w:val="000000" w:themeColor="text1"/>
                <w:sz w:val="32"/>
                <w:szCs w:val="32"/>
                <w14:textFill>
                  <w14:solidFill>
                    <w14:schemeClr w14:val="tx1"/>
                  </w14:solidFill>
                </w14:textFill>
              </w:rPr>
              <w:t>单位规格</w:t>
            </w:r>
          </w:p>
        </w:tc>
        <w:tc>
          <w:tcPr>
            <w:tcW w:w="43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楷体简体" w:eastAsia="方正仿宋简体" w:cs="方正楷体简体"/>
                <w:bCs/>
                <w:color w:val="000000" w:themeColor="text1"/>
                <w:sz w:val="32"/>
                <w:szCs w:val="32"/>
                <w14:textFill>
                  <w14:solidFill>
                    <w14:schemeClr w14:val="tx1"/>
                  </w14:solidFill>
                </w14:textFill>
              </w:rPr>
            </w:pPr>
            <w:r>
              <w:rPr>
                <w:rFonts w:hint="eastAsia" w:ascii="方正仿宋简体" w:hAnsi="方正楷体简体" w:eastAsia="方正仿宋简体" w:cs="方正楷体简体"/>
                <w:bCs/>
                <w:color w:val="000000" w:themeColor="text1"/>
                <w:sz w:val="32"/>
                <w:szCs w:val="32"/>
                <w14:textFill>
                  <w14:solidFill>
                    <w14:schemeClr w14:val="tx1"/>
                  </w14:solidFill>
                </w14:textFill>
              </w:rPr>
              <w:t>经费保障形式</w:t>
            </w:r>
          </w:p>
        </w:tc>
      </w:tr>
      <w:tr>
        <w:tblPrEx>
          <w:tblCellMar>
            <w:top w:w="0" w:type="dxa"/>
            <w:left w:w="0" w:type="dxa"/>
            <w:bottom w:w="0" w:type="dxa"/>
            <w:right w:w="0" w:type="dxa"/>
          </w:tblCellMar>
        </w:tblPrEx>
        <w:trPr>
          <w:trHeight w:val="716" w:hRule="atLeast"/>
        </w:trPr>
        <w:tc>
          <w:tcPr>
            <w:tcW w:w="670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line="300" w:lineRule="exact"/>
              <w:jc w:val="left"/>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遵化市兴旺寨乡人民政府</w:t>
            </w:r>
          </w:p>
        </w:tc>
        <w:tc>
          <w:tcPr>
            <w:tcW w:w="19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行政</w:t>
            </w:r>
          </w:p>
        </w:tc>
        <w:tc>
          <w:tcPr>
            <w:tcW w:w="170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正科级</w:t>
            </w:r>
          </w:p>
        </w:tc>
        <w:tc>
          <w:tcPr>
            <w:tcW w:w="43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财政拨款</w:t>
            </w:r>
          </w:p>
        </w:tc>
      </w:tr>
    </w:tbl>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bookmarkStart w:id="3" w:name="_Toc68791546"/>
      <w:r>
        <w:rPr>
          <w:rFonts w:hint="eastAsia" w:ascii="方正黑体简体" w:hAnsi="方正黑体简体" w:eastAsia="方正黑体简体" w:cs="方正黑体简体"/>
          <w:sz w:val="32"/>
          <w:szCs w:val="32"/>
        </w:rPr>
        <w:t>二、</w:t>
      </w:r>
      <w:r>
        <w:rPr>
          <w:rFonts w:hint="eastAsia" w:ascii="方正黑体简体" w:hAnsi="方正黑体简体" w:eastAsia="方正黑体简体" w:cs="方正黑体简体"/>
          <w:sz w:val="32"/>
          <w:szCs w:val="32"/>
          <w:lang w:eastAsia="zh-CN"/>
        </w:rPr>
        <w:t>单位</w:t>
      </w:r>
      <w:r>
        <w:rPr>
          <w:rFonts w:hint="eastAsia" w:ascii="方正黑体简体" w:hAnsi="方正黑体简体" w:eastAsia="方正黑体简体" w:cs="方正黑体简体"/>
          <w:sz w:val="32"/>
          <w:szCs w:val="32"/>
        </w:rPr>
        <w:t>预算安排的总体情况</w:t>
      </w:r>
      <w:bookmarkEnd w:id="3"/>
    </w:p>
    <w:p>
      <w:pPr>
        <w:keepNext w:val="0"/>
        <w:keepLines w:val="0"/>
        <w:pageBreakBefore w:val="0"/>
        <w:kinsoku/>
        <w:wordWrap/>
        <w:overflowPunct/>
        <w:topLinePunct w:val="0"/>
        <w:bidi w:val="0"/>
        <w:snapToGrid/>
        <w:spacing w:line="570" w:lineRule="exact"/>
        <w:ind w:firstLine="720" w:firstLineChars="225"/>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按照预算管理有关规定，目前我市</w:t>
      </w:r>
      <w:r>
        <w:rPr>
          <w:rFonts w:hint="eastAsia" w:ascii="方正仿宋简体" w:hAnsi="黑体" w:eastAsia="方正仿宋简体" w:cs="黑体"/>
          <w:sz w:val="32"/>
          <w:szCs w:val="32"/>
          <w:lang w:eastAsia="zh-CN"/>
        </w:rPr>
        <w:t>单位</w:t>
      </w:r>
      <w:r>
        <w:rPr>
          <w:rFonts w:hint="eastAsia" w:ascii="方正仿宋简体" w:hAnsi="黑体" w:eastAsia="方正仿宋简体" w:cs="黑体"/>
          <w:sz w:val="32"/>
          <w:szCs w:val="32"/>
        </w:rPr>
        <w:t>预算的编制实行综合预算制度，即全部收入和支出都反映在预算中。</w:t>
      </w:r>
    </w:p>
    <w:p>
      <w:pPr>
        <w:keepNext w:val="0"/>
        <w:keepLines w:val="0"/>
        <w:pageBreakBefore w:val="0"/>
        <w:numPr>
          <w:ilvl w:val="0"/>
          <w:numId w:val="3"/>
        </w:numPr>
        <w:kinsoku/>
        <w:wordWrap/>
        <w:overflowPunct/>
        <w:topLinePunct w:val="0"/>
        <w:bidi w:val="0"/>
        <w:snapToGrid/>
        <w:spacing w:line="570" w:lineRule="exact"/>
        <w:ind w:firstLine="640"/>
        <w:textAlignment w:val="auto"/>
        <w:rPr>
          <w:rFonts w:hint="eastAsia" w:ascii="方正仿宋简体" w:hAnsi="黑体" w:eastAsia="方正仿宋简体" w:cs="黑体"/>
          <w:sz w:val="32"/>
          <w:szCs w:val="32"/>
        </w:rPr>
      </w:pPr>
      <w:r>
        <w:rPr>
          <w:rFonts w:hint="eastAsia" w:ascii="方正仿宋简体" w:hAnsi="黑体" w:eastAsia="方正仿宋简体" w:cs="黑体"/>
          <w:sz w:val="32"/>
          <w:szCs w:val="32"/>
        </w:rPr>
        <w:t>收入说明</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反映本</w:t>
      </w:r>
      <w:r>
        <w:rPr>
          <w:rFonts w:hint="eastAsia" w:ascii="方正仿宋简体" w:hAnsi="黑体" w:eastAsia="方正仿宋简体" w:cs="黑体"/>
          <w:sz w:val="32"/>
          <w:szCs w:val="32"/>
          <w:lang w:eastAsia="zh-CN"/>
        </w:rPr>
        <w:t>单位</w:t>
      </w:r>
      <w:r>
        <w:rPr>
          <w:rFonts w:hint="eastAsia" w:ascii="方正仿宋简体" w:hAnsi="黑体" w:eastAsia="方正仿宋简体" w:cs="黑体"/>
          <w:sz w:val="32"/>
          <w:szCs w:val="32"/>
        </w:rPr>
        <w:t>当年全部收入。2022年预算收入926.97万元，其中：一般公共预算收入926.97万元，基金预算收入0万元，财政专户核拨收入0万元，其他来源收入0万元。</w:t>
      </w:r>
    </w:p>
    <w:p>
      <w:pPr>
        <w:keepNext w:val="0"/>
        <w:keepLines w:val="0"/>
        <w:pageBreakBefore w:val="0"/>
        <w:kinsoku/>
        <w:wordWrap/>
        <w:overflowPunct/>
        <w:topLinePunct w:val="0"/>
        <w:bidi w:val="0"/>
        <w:snapToGrid/>
        <w:spacing w:line="570" w:lineRule="exact"/>
        <w:ind w:firstLine="64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2、支出说明</w:t>
      </w:r>
    </w:p>
    <w:p>
      <w:pPr>
        <w:keepNext w:val="0"/>
        <w:keepLines w:val="0"/>
        <w:pageBreakBefore w:val="0"/>
        <w:kinsoku/>
        <w:wordWrap/>
        <w:overflowPunct/>
        <w:topLinePunct w:val="0"/>
        <w:bidi w:val="0"/>
        <w:snapToGrid/>
        <w:spacing w:line="570" w:lineRule="exact"/>
        <w:ind w:firstLine="64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收支预算总表支出栏、基本支出表、项目支出表按经济分类和支出功能分类科目编制，反映遵化市兴旺寨乡人民政府2022年度</w:t>
      </w:r>
      <w:r>
        <w:rPr>
          <w:rFonts w:hint="eastAsia" w:ascii="方正仿宋简体" w:hAnsi="黑体" w:eastAsia="方正仿宋简体" w:cs="黑体"/>
          <w:sz w:val="32"/>
          <w:szCs w:val="32"/>
          <w:lang w:eastAsia="zh-CN"/>
        </w:rPr>
        <w:t>单位</w:t>
      </w:r>
      <w:r>
        <w:rPr>
          <w:rFonts w:hint="eastAsia" w:ascii="方正仿宋简体" w:hAnsi="黑体" w:eastAsia="方正仿宋简体" w:cs="黑体"/>
          <w:sz w:val="32"/>
          <w:szCs w:val="32"/>
        </w:rPr>
        <w:t>预算中支出预算的总体情况。2022年支出预算926.97万元，其中基本支出776.97万元，包括人员经费686.84万元和日常公用经费90.13万元；项目支出150万元</w:t>
      </w:r>
      <w:r>
        <w:rPr>
          <w:rFonts w:hint="eastAsia" w:ascii="方正仿宋简体" w:hAnsi="黑体" w:eastAsia="方正仿宋简体" w:cs="黑体"/>
          <w:sz w:val="32"/>
          <w:szCs w:val="32"/>
          <w:lang w:eastAsia="zh-CN"/>
        </w:rPr>
        <w:t>，</w:t>
      </w:r>
      <w:r>
        <w:rPr>
          <w:rFonts w:hint="eastAsia" w:ascii="方正仿宋简体" w:hAnsi="黑体" w:eastAsia="方正仿宋简体" w:cs="黑体"/>
          <w:sz w:val="32"/>
          <w:szCs w:val="32"/>
          <w:highlight w:val="none"/>
          <w:lang w:eastAsia="zh-CN"/>
        </w:rPr>
        <w:t>主要为服务群众专项经费所需经费</w:t>
      </w:r>
      <w:r>
        <w:rPr>
          <w:rFonts w:hint="eastAsia" w:ascii="方正仿宋简体" w:hAnsi="黑体" w:eastAsia="方正仿宋简体" w:cs="黑体"/>
          <w:sz w:val="32"/>
          <w:szCs w:val="32"/>
          <w:highlight w:val="none"/>
        </w:rPr>
        <w:t>。</w:t>
      </w:r>
    </w:p>
    <w:p>
      <w:pPr>
        <w:keepNext w:val="0"/>
        <w:keepLines w:val="0"/>
        <w:pageBreakBefore w:val="0"/>
        <w:kinsoku/>
        <w:wordWrap/>
        <w:overflowPunct/>
        <w:topLinePunct w:val="0"/>
        <w:bidi w:val="0"/>
        <w:snapToGrid/>
        <w:spacing w:line="570" w:lineRule="exact"/>
        <w:ind w:firstLine="64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3、比上年增减情况</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2022年预算收支安排926.97万元，较2021年预算增加200.23万元，其中：基本支出增加83.23万元，主要为增加人员经费支出88.13万元（人员经费增加的主要原因为增加行政事业编制调入人员）；日常公用经费减少4.9万元（原因是2022年公车补贴费用福利费等项目减少）。项目支出比2021年增加117万元（增加主要原因是取消维稳经费环境治理经费增加服务群众专项经费150万元）。</w:t>
      </w:r>
    </w:p>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三、机关运行经费安排情况</w:t>
      </w:r>
    </w:p>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方正仿宋简体" w:hAnsi="黑体" w:eastAsia="方正仿宋简体" w:cs="黑体"/>
          <w:sz w:val="32"/>
          <w:szCs w:val="32"/>
          <w:highlight w:val="none"/>
        </w:rPr>
      </w:pPr>
      <w:r>
        <w:rPr>
          <w:rFonts w:hint="eastAsia" w:ascii="方正仿宋简体" w:eastAsia="方正仿宋简体"/>
          <w:sz w:val="32"/>
          <w:szCs w:val="32"/>
          <w:highlight w:val="none"/>
        </w:rPr>
        <w:t>2022</w:t>
      </w:r>
      <w:r>
        <w:rPr>
          <w:rFonts w:hint="eastAsia" w:ascii="方正仿宋简体" w:eastAsia="方正仿宋简体" w:cs="方正仿宋_GBK"/>
          <w:sz w:val="32"/>
          <w:szCs w:val="32"/>
          <w:highlight w:val="none"/>
        </w:rPr>
        <w:t>年，我乡机关运行经费共计安排</w:t>
      </w:r>
      <w:r>
        <w:rPr>
          <w:rFonts w:hint="eastAsia" w:ascii="方正仿宋简体" w:eastAsia="方正仿宋简体"/>
          <w:sz w:val="32"/>
          <w:szCs w:val="32"/>
          <w:highlight w:val="none"/>
        </w:rPr>
        <w:t>90.13</w:t>
      </w:r>
      <w:r>
        <w:rPr>
          <w:rFonts w:hint="eastAsia" w:ascii="方正仿宋简体" w:eastAsia="方正仿宋简体" w:cs="方正仿宋_GBK"/>
          <w:sz w:val="32"/>
          <w:szCs w:val="32"/>
          <w:highlight w:val="none"/>
        </w:rPr>
        <w:t>万元，主要用于：</w:t>
      </w:r>
      <w:r>
        <w:rPr>
          <w:rFonts w:hint="eastAsia" w:ascii="方正仿宋简体" w:hAnsi="黑体" w:eastAsia="方正仿宋简体" w:cs="黑体"/>
          <w:sz w:val="32"/>
          <w:szCs w:val="32"/>
          <w:highlight w:val="none"/>
        </w:rPr>
        <w:t>2022年机关办公费、电费、邮电费、取暖费、差旅费、</w:t>
      </w:r>
      <w:r>
        <w:rPr>
          <w:rFonts w:hint="eastAsia" w:ascii="方正仿宋简体" w:hAnsi="黑体" w:eastAsia="方正仿宋简体" w:cs="黑体"/>
          <w:sz w:val="32"/>
          <w:szCs w:val="32"/>
          <w:highlight w:val="none"/>
          <w:lang w:eastAsia="zh-CN"/>
        </w:rPr>
        <w:t>维修（护）费、</w:t>
      </w:r>
      <w:r>
        <w:rPr>
          <w:rFonts w:hint="eastAsia" w:ascii="方正仿宋简体" w:hAnsi="黑体" w:eastAsia="方正仿宋简体" w:cs="黑体"/>
          <w:sz w:val="32"/>
          <w:szCs w:val="32"/>
          <w:highlight w:val="none"/>
        </w:rPr>
        <w:t>会议费、培训费、 公务用车运行维护费、公务接待费、工会经费及福利费、</w:t>
      </w:r>
      <w:r>
        <w:rPr>
          <w:rFonts w:hint="eastAsia" w:ascii="方正仿宋简体" w:hAnsi="黑体" w:eastAsia="方正仿宋简体" w:cs="黑体"/>
          <w:sz w:val="32"/>
          <w:szCs w:val="32"/>
          <w:highlight w:val="none"/>
          <w:lang w:eastAsia="zh-CN"/>
        </w:rPr>
        <w:t>其他交通费用</w:t>
      </w:r>
      <w:r>
        <w:rPr>
          <w:rFonts w:hint="eastAsia" w:ascii="方正仿宋简体" w:hAnsi="黑体" w:eastAsia="方正仿宋简体" w:cs="黑体"/>
          <w:sz w:val="32"/>
          <w:szCs w:val="32"/>
          <w:highlight w:val="none"/>
        </w:rPr>
        <w:t>和其它商品服务支出等支出。</w:t>
      </w:r>
    </w:p>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四、财政拨款“三公”经费预算情况及增减变化原因</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ind w:firstLine="640" w:firstLineChars="200"/>
        <w:jc w:val="left"/>
        <w:textAlignment w:val="auto"/>
        <w:rPr>
          <w:rFonts w:hint="eastAsia" w:ascii="方正仿宋简体" w:hAnsi="黑体" w:eastAsia="方正仿宋简体" w:cs="黑体"/>
          <w:sz w:val="32"/>
          <w:szCs w:val="32"/>
        </w:rPr>
      </w:pPr>
      <w:r>
        <w:rPr>
          <w:rFonts w:hint="eastAsia" w:ascii="方正仿宋简体" w:hAnsi="黑体" w:eastAsia="方正仿宋简体" w:cs="黑体"/>
          <w:sz w:val="32"/>
          <w:szCs w:val="32"/>
        </w:rPr>
        <w:t>2022年我乡“三公”经费预算安排20.</w:t>
      </w:r>
      <w:r>
        <w:rPr>
          <w:rFonts w:hint="eastAsia" w:ascii="方正仿宋简体" w:hAnsi="黑体" w:eastAsia="方正仿宋简体" w:cs="黑体"/>
          <w:sz w:val="32"/>
          <w:szCs w:val="32"/>
          <w:lang w:val="en-US" w:eastAsia="zh-CN"/>
        </w:rPr>
        <w:t>10</w:t>
      </w:r>
      <w:r>
        <w:rPr>
          <w:rFonts w:hint="eastAsia" w:ascii="方正仿宋简体" w:hAnsi="黑体" w:eastAsia="方正仿宋简体" w:cs="黑体"/>
          <w:sz w:val="32"/>
          <w:szCs w:val="32"/>
        </w:rPr>
        <w:t>万元，比2021年预算</w:t>
      </w:r>
      <w:r>
        <w:rPr>
          <w:rFonts w:hint="eastAsia" w:ascii="方正仿宋简体" w:hAnsi="黑体" w:eastAsia="方正仿宋简体" w:cs="黑体"/>
          <w:color w:val="auto"/>
          <w:sz w:val="32"/>
          <w:szCs w:val="32"/>
          <w:lang w:eastAsia="zh-CN"/>
        </w:rPr>
        <w:t>减少</w:t>
      </w:r>
      <w:r>
        <w:rPr>
          <w:rFonts w:hint="eastAsia" w:ascii="方正仿宋简体" w:hAnsi="黑体" w:eastAsia="方正仿宋简体" w:cs="黑体"/>
          <w:color w:val="auto"/>
          <w:sz w:val="32"/>
          <w:szCs w:val="32"/>
          <w:lang w:val="en-US" w:eastAsia="zh-CN"/>
        </w:rPr>
        <w:t>0.1</w:t>
      </w:r>
      <w:r>
        <w:rPr>
          <w:rFonts w:hint="eastAsia" w:ascii="方正仿宋简体" w:hAnsi="黑体" w:eastAsia="方正仿宋简体" w:cs="黑体"/>
          <w:sz w:val="32"/>
          <w:szCs w:val="32"/>
        </w:rPr>
        <w:t xml:space="preserve">万元。具体安排情况为： </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ind w:firstLine="640" w:firstLineChars="200"/>
        <w:jc w:val="left"/>
        <w:textAlignment w:val="auto"/>
        <w:rPr>
          <w:rFonts w:ascii="方正仿宋简体" w:hAnsi="黑体" w:eastAsia="方正仿宋简体" w:cs="黑体"/>
          <w:sz w:val="32"/>
          <w:szCs w:val="32"/>
          <w:highlight w:val="none"/>
        </w:rPr>
      </w:pPr>
      <w:r>
        <w:rPr>
          <w:rFonts w:hint="eastAsia" w:ascii="方正仿宋简体" w:hAnsi="黑体" w:eastAsia="方正仿宋简体" w:cs="黑体"/>
          <w:sz w:val="32"/>
          <w:szCs w:val="32"/>
        </w:rPr>
        <w:t>（一）公务用车购置及运行费。共计安排19.2万元，比2021年预算减少0.1万元。其中①公务用车购置安排0万元</w:t>
      </w:r>
      <w:r>
        <w:rPr>
          <w:rFonts w:hint="eastAsia" w:ascii="方正仿宋简体" w:hAnsi="黑体" w:eastAsia="方正仿宋简体" w:cs="黑体"/>
          <w:sz w:val="32"/>
          <w:szCs w:val="32"/>
          <w:highlight w:val="none"/>
        </w:rPr>
        <w:t>，与2021年持平，无增减变化。②公车运行维护经费安排19.20万元，比上年预算减少0.10万元</w:t>
      </w:r>
      <w:r>
        <w:rPr>
          <w:rFonts w:hint="eastAsia" w:ascii="方正仿宋简体" w:hAnsi="黑体" w:eastAsia="方正仿宋简体" w:cs="黑体"/>
          <w:sz w:val="32"/>
          <w:szCs w:val="32"/>
          <w:highlight w:val="none"/>
          <w:lang w:eastAsia="zh-CN"/>
        </w:rPr>
        <w:t>，主要</w:t>
      </w:r>
      <w:r>
        <w:rPr>
          <w:rFonts w:hint="eastAsia" w:ascii="方正仿宋简体" w:hAnsi="方正仿宋简体" w:eastAsia="方正仿宋简体" w:cs="方正仿宋简体"/>
          <w:sz w:val="32"/>
          <w:szCs w:val="32"/>
          <w:highlight w:val="none"/>
        </w:rPr>
        <w:t>为按照上级要求，</w:t>
      </w:r>
      <w:r>
        <w:rPr>
          <w:rFonts w:hint="eastAsia" w:ascii="方正仿宋简体" w:hAnsi="方正仿宋简体" w:eastAsia="方正仿宋简体" w:cs="方正仿宋简体"/>
          <w:sz w:val="32"/>
          <w:szCs w:val="32"/>
          <w:highlight w:val="none"/>
          <w:lang w:eastAsia="zh-CN"/>
        </w:rPr>
        <w:t>厉行节约，减少三公经费开支</w:t>
      </w:r>
      <w:r>
        <w:rPr>
          <w:rFonts w:hint="eastAsia" w:ascii="方正仿宋简体" w:hAnsi="黑体" w:eastAsia="方正仿宋简体" w:cs="黑体"/>
          <w:sz w:val="32"/>
          <w:szCs w:val="32"/>
          <w:highlight w:val="none"/>
        </w:rPr>
        <w:t>。</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jc w:val="left"/>
        <w:textAlignment w:val="auto"/>
        <w:rPr>
          <w:rFonts w:ascii="方正仿宋简体" w:hAnsi="黑体" w:eastAsia="方正仿宋简体" w:cs="黑体"/>
          <w:sz w:val="32"/>
          <w:szCs w:val="32"/>
          <w:highlight w:val="none"/>
        </w:rPr>
      </w:pPr>
      <w:r>
        <w:rPr>
          <w:rFonts w:hint="eastAsia" w:ascii="方正仿宋简体" w:hAnsi="黑体" w:eastAsia="方正仿宋简体" w:cs="黑体"/>
          <w:sz w:val="32"/>
          <w:szCs w:val="32"/>
          <w:highlight w:val="none"/>
        </w:rPr>
        <w:t xml:space="preserve">  （二）公务接待费。安排0.90万元，与2021年持平</w:t>
      </w:r>
      <w:r>
        <w:rPr>
          <w:rFonts w:hint="eastAsia" w:ascii="方正仿宋简体" w:hAnsi="黑体" w:eastAsia="方正仿宋简体" w:cs="黑体"/>
          <w:sz w:val="32"/>
          <w:szCs w:val="32"/>
          <w:highlight w:val="none"/>
          <w:lang w:eastAsia="zh-CN"/>
        </w:rPr>
        <w:t>，主要是</w:t>
      </w:r>
      <w:r>
        <w:rPr>
          <w:rFonts w:hint="eastAsia" w:ascii="仿宋" w:hAnsi="仿宋" w:eastAsia="仿宋" w:cs="仿宋"/>
          <w:sz w:val="32"/>
          <w:szCs w:val="32"/>
          <w:highlight w:val="none"/>
        </w:rPr>
        <w:t>按照统一定额标准计算，无增加变化</w:t>
      </w:r>
      <w:r>
        <w:rPr>
          <w:rFonts w:hint="eastAsia" w:ascii="方正仿宋简体" w:hAnsi="黑体" w:eastAsia="方正仿宋简体" w:cs="黑体"/>
          <w:sz w:val="32"/>
          <w:szCs w:val="32"/>
          <w:highlight w:val="none"/>
        </w:rPr>
        <w:t>。</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jc w:val="left"/>
        <w:textAlignment w:val="auto"/>
        <w:rPr>
          <w:rFonts w:ascii="方正仿宋简体" w:hAnsi="黑体" w:eastAsia="方正仿宋简体" w:cs="黑体"/>
          <w:sz w:val="32"/>
          <w:szCs w:val="32"/>
          <w:highlight w:val="none"/>
        </w:rPr>
      </w:pPr>
      <w:r>
        <w:rPr>
          <w:rFonts w:hint="eastAsia" w:ascii="方正仿宋简体" w:hAnsi="黑体" w:eastAsia="方正仿宋简体" w:cs="黑体"/>
          <w:sz w:val="32"/>
          <w:szCs w:val="32"/>
          <w:highlight w:val="none"/>
        </w:rPr>
        <w:t xml:space="preserve">  （三）因公出国（境）费安排0万元，与2021年持平，无增减变化</w:t>
      </w:r>
      <w:r>
        <w:rPr>
          <w:rFonts w:hint="eastAsia" w:ascii="方正仿宋简体" w:hAnsi="黑体" w:eastAsia="方正仿宋简体" w:cs="黑体"/>
          <w:sz w:val="32"/>
          <w:szCs w:val="32"/>
          <w:highlight w:val="none"/>
          <w:lang w:eastAsia="zh-CN"/>
        </w:rPr>
        <w:t>，主要是</w:t>
      </w:r>
      <w:r>
        <w:rPr>
          <w:rFonts w:hint="eastAsia" w:ascii="仿宋" w:hAnsi="仿宋" w:eastAsia="仿宋" w:cs="仿宋"/>
          <w:sz w:val="32"/>
          <w:szCs w:val="32"/>
          <w:highlight w:val="none"/>
        </w:rPr>
        <w:t>没有因公出国安排，所以未安排因公出国费</w:t>
      </w:r>
      <w:r>
        <w:rPr>
          <w:rFonts w:hint="eastAsia" w:ascii="方正仿宋简体" w:hAnsi="黑体" w:eastAsia="方正仿宋简体" w:cs="黑体"/>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黑体简体" w:hAnsi="方正黑体简体" w:eastAsia="方正黑体简体" w:cs="方正黑体简体"/>
          <w:sz w:val="32"/>
          <w:szCs w:val="32"/>
        </w:rPr>
      </w:pPr>
      <w:bookmarkStart w:id="4" w:name="_Toc68791549"/>
      <w:r>
        <w:rPr>
          <w:rFonts w:hint="eastAsia" w:ascii="方正黑体简体" w:hAnsi="方正黑体简体" w:eastAsia="方正黑体简体" w:cs="方正黑体简体"/>
          <w:sz w:val="32"/>
          <w:szCs w:val="32"/>
        </w:rPr>
        <w:t>五、预算绩效信息</w:t>
      </w:r>
      <w:bookmarkEnd w:id="4"/>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第一部分 </w:t>
      </w:r>
      <w:r>
        <w:rPr>
          <w:rFonts w:hint="eastAsia" w:ascii="方正仿宋简体" w:hAnsi="方正仿宋简体" w:eastAsia="方正仿宋简体" w:cs="方正仿宋简体"/>
          <w:sz w:val="32"/>
          <w:szCs w:val="32"/>
          <w:lang w:eastAsia="zh-CN"/>
        </w:rPr>
        <w:t>单位</w:t>
      </w:r>
      <w:r>
        <w:rPr>
          <w:rFonts w:hint="eastAsia" w:ascii="方正仿宋简体" w:hAnsi="方正仿宋简体" w:eastAsia="方正仿宋简体" w:cs="方正仿宋简体"/>
          <w:sz w:val="32"/>
          <w:szCs w:val="32"/>
        </w:rPr>
        <w:t>整体绩效目标</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总体绩效目标</w:t>
      </w:r>
    </w:p>
    <w:p>
      <w:pPr>
        <w:keepNext w:val="0"/>
        <w:keepLines w:val="0"/>
        <w:pageBreakBefore w:val="0"/>
        <w:kinsoku/>
        <w:wordWrap/>
        <w:overflowPunct/>
        <w:topLinePunct w:val="0"/>
        <w:bidi w:val="0"/>
        <w:snapToGrid/>
        <w:spacing w:line="570" w:lineRule="exact"/>
        <w:textAlignment w:val="auto"/>
        <w:rPr>
          <w:rFonts w:ascii="方正仿宋简体" w:eastAsia="方正仿宋简体"/>
          <w:sz w:val="32"/>
          <w:szCs w:val="32"/>
        </w:rPr>
      </w:pPr>
      <w:r>
        <w:rPr>
          <w:rFonts w:hint="eastAsia" w:ascii="方正仿宋简体" w:eastAsia="方正仿宋简体"/>
          <w:sz w:val="32"/>
          <w:szCs w:val="32"/>
        </w:rPr>
        <w:t>　根据遵政字［2017］17号《遵化市乡镇财政管理体制改革暂行办法》的通知的要求，2022年我乡在环境治理方面要抓好美丽乡村建设，全面提升乡村宜居环境的水平，保障我乡主干道等区域配齐环卫设施，推进户分类、组收集、村运转、乡镇处理垃圾收集，改善30个村生态环境，保障我乡环保等各项检查达标；在乡镇维稳方面减少我乡社会不安定因素和矛盾纠纷，指导和督导有关</w:t>
      </w:r>
      <w:r>
        <w:rPr>
          <w:rFonts w:hint="eastAsia" w:ascii="方正仿宋简体" w:eastAsia="方正仿宋简体"/>
          <w:sz w:val="32"/>
          <w:szCs w:val="32"/>
          <w:lang w:eastAsia="zh-CN"/>
        </w:rPr>
        <w:t>单位</w:t>
      </w:r>
      <w:r>
        <w:rPr>
          <w:rFonts w:hint="eastAsia" w:ascii="方正仿宋简体" w:eastAsia="方正仿宋简体"/>
          <w:sz w:val="32"/>
          <w:szCs w:val="32"/>
        </w:rPr>
        <w:t>，充分发挥人民调解、行政调解、防范重大安全事故，保障社会和谐稳定。</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（二）分项绩效目标</w:t>
      </w:r>
    </w:p>
    <w:p>
      <w:pPr>
        <w:keepNext w:val="0"/>
        <w:keepLines w:val="0"/>
        <w:pageBreakBefore w:val="0"/>
        <w:kinsoku/>
        <w:wordWrap/>
        <w:overflowPunct/>
        <w:topLinePunct w:val="0"/>
        <w:bidi w:val="0"/>
        <w:snapToGrid/>
        <w:spacing w:line="570" w:lineRule="exact"/>
        <w:ind w:firstLine="320" w:firstLineChars="100"/>
        <w:textAlignment w:val="auto"/>
        <w:rPr>
          <w:rFonts w:ascii="方正仿宋简体" w:eastAsia="方正仿宋简体"/>
          <w:sz w:val="32"/>
          <w:szCs w:val="32"/>
        </w:rPr>
      </w:pPr>
      <w:r>
        <w:rPr>
          <w:rFonts w:hint="eastAsia" w:ascii="方正仿宋简体" w:eastAsia="方正仿宋简体"/>
          <w:sz w:val="32"/>
          <w:szCs w:val="32"/>
        </w:rPr>
        <w:t>完成服务群众专项经费（兴旺寨乡）项目，主要用于乡镇环境治理工作。</w:t>
      </w:r>
    </w:p>
    <w:p>
      <w:pPr>
        <w:keepNext w:val="0"/>
        <w:keepLines w:val="0"/>
        <w:pageBreakBefore w:val="0"/>
        <w:kinsoku/>
        <w:wordWrap/>
        <w:overflowPunct/>
        <w:topLinePunct w:val="0"/>
        <w:bidi w:val="0"/>
        <w:snapToGrid/>
        <w:spacing w:line="570" w:lineRule="exact"/>
        <w:textAlignment w:val="auto"/>
        <w:rPr>
          <w:rFonts w:ascii="方正仿宋简体" w:eastAsia="方正仿宋简体"/>
          <w:sz w:val="32"/>
          <w:szCs w:val="32"/>
        </w:rPr>
      </w:pPr>
      <w:r>
        <w:rPr>
          <w:rFonts w:hint="eastAsia" w:ascii="方正仿宋简体" w:eastAsia="方正仿宋简体"/>
          <w:sz w:val="32"/>
          <w:szCs w:val="32"/>
        </w:rPr>
        <w:t>绩效目标：保障我乡主干道等区域配齐环卫设施，推进户分类、组收集、村运转、乡镇处理垃圾集中收集，改善30个村生态环境。</w:t>
      </w:r>
    </w:p>
    <w:p>
      <w:pPr>
        <w:keepNext w:val="0"/>
        <w:keepLines w:val="0"/>
        <w:pageBreakBefore w:val="0"/>
        <w:kinsoku/>
        <w:wordWrap/>
        <w:overflowPunct/>
        <w:topLinePunct w:val="0"/>
        <w:bidi w:val="0"/>
        <w:snapToGrid/>
        <w:spacing w:line="570" w:lineRule="exact"/>
        <w:textAlignment w:val="auto"/>
        <w:rPr>
          <w:rFonts w:ascii="方正仿宋简体" w:eastAsia="方正仿宋简体"/>
          <w:sz w:val="32"/>
          <w:szCs w:val="32"/>
        </w:rPr>
      </w:pPr>
      <w:r>
        <w:rPr>
          <w:rFonts w:hint="eastAsia" w:ascii="方正仿宋简体" w:eastAsia="方正仿宋简体"/>
          <w:sz w:val="32"/>
          <w:szCs w:val="32"/>
        </w:rPr>
        <w:t>绩效指标：生活垃圾无害化处理及受益群众满意度的提升率≥95%。</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（三）工作保障措施</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1</w:t>
      </w:r>
      <w:r>
        <w:rPr>
          <w:rFonts w:hint="eastAsia" w:ascii="方正仿宋简体" w:eastAsia="方正仿宋简体"/>
          <w:sz w:val="32"/>
          <w:szCs w:val="32"/>
        </w:rPr>
        <w:t>）完善制度建设。制定完善预算绩效管理制度、资金管理办法、工作保障制度等，为全年预算绩效目标的实现奠定制度基础。</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2</w:t>
      </w:r>
      <w:r>
        <w:rPr>
          <w:rFonts w:hint="eastAsia" w:ascii="方正仿宋简体" w:eastAsia="方正仿宋简体"/>
          <w:sz w:val="32"/>
          <w:szCs w:val="32"/>
        </w:rPr>
        <w:t>）加强支出管理。通过优化支出结构、编细编实预算、加快履行政府采购手续、尽快启动项目、及时支付资金、6月底前细化代编预算、按规定及时下达资金等多种措施，确保支出进度达标。</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3</w:t>
      </w:r>
      <w:r>
        <w:rPr>
          <w:rFonts w:hint="eastAsia" w:ascii="方正仿宋简体" w:eastAsia="方正仿宋简体"/>
          <w:sz w:val="32"/>
          <w:szCs w:val="32"/>
        </w:rPr>
        <w:t>）加强绩效运行监控。按要求开展绩效运行监控，发现问题及时采取措施，确保绩效目标如期保质实现。</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4</w:t>
      </w:r>
      <w:r>
        <w:rPr>
          <w:rFonts w:hint="eastAsia" w:ascii="方正仿宋简体" w:eastAsia="方正仿宋简体"/>
          <w:sz w:val="32"/>
          <w:szCs w:val="32"/>
        </w:rPr>
        <w:t>）做好绩效自评。按要求开展上年度</w:t>
      </w:r>
      <w:r>
        <w:rPr>
          <w:rFonts w:hint="eastAsia" w:ascii="方正仿宋简体" w:eastAsia="方正仿宋简体"/>
          <w:sz w:val="32"/>
          <w:szCs w:val="32"/>
          <w:lang w:eastAsia="zh-CN"/>
        </w:rPr>
        <w:t>单位</w:t>
      </w:r>
      <w:r>
        <w:rPr>
          <w:rFonts w:hint="eastAsia" w:ascii="方正仿宋简体" w:eastAsia="方正仿宋简体"/>
          <w:sz w:val="32"/>
          <w:szCs w:val="32"/>
        </w:rPr>
        <w:t>预算绩效自评和重点评价工作，对评价中发现的问题及时整改，调整优化支出结构，提高财政资金使用效益。</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5</w:t>
      </w:r>
      <w:r>
        <w:rPr>
          <w:rFonts w:hint="eastAsia" w:ascii="方正仿宋简体" w:eastAsia="方正仿宋简体"/>
          <w:sz w:val="32"/>
          <w:szCs w:val="32"/>
        </w:rPr>
        <w:t>）规范财务资产管理。完善财务管理制度，严格审批程序，加强固定资产登记、使用和报废处置管理，做到支出合理，物尽其用。</w:t>
      </w:r>
    </w:p>
    <w:p>
      <w:pPr>
        <w:keepNext w:val="0"/>
        <w:keepLines w:val="0"/>
        <w:pageBreakBefore w:val="0"/>
        <w:kinsoku/>
        <w:wordWrap/>
        <w:overflowPunct/>
        <w:topLinePunct w:val="0"/>
        <w:bidi w:val="0"/>
        <w:snapToGrid/>
        <w:spacing w:line="570" w:lineRule="exact"/>
        <w:ind w:firstLine="640" w:firstLineChars="200"/>
        <w:textAlignment w:val="auto"/>
        <w:rPr>
          <w:rFonts w:hint="eastAsia"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6</w:t>
      </w:r>
      <w:r>
        <w:rPr>
          <w:rFonts w:hint="eastAsia" w:ascii="方正仿宋简体" w:eastAsia="方正仿宋简体"/>
          <w:sz w:val="32"/>
          <w:szCs w:val="32"/>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七）加强宣传培训调研等。加强人员培训，提高本</w:t>
      </w:r>
      <w:r>
        <w:rPr>
          <w:rFonts w:hint="eastAsia" w:ascii="方正仿宋简体" w:eastAsia="方正仿宋简体"/>
          <w:sz w:val="32"/>
          <w:szCs w:val="32"/>
          <w:lang w:eastAsia="zh-CN"/>
        </w:rPr>
        <w:t>单位</w:t>
      </w:r>
      <w:r>
        <w:rPr>
          <w:rFonts w:hint="eastAsia" w:ascii="方正仿宋简体" w:eastAsia="方正仿宋简体"/>
          <w:sz w:val="32"/>
          <w:szCs w:val="32"/>
        </w:rPr>
        <w:t>职工业务素质；加强调研，提出优化财政资金配置、提高资金使用效益的意见；加大宣传力度，强化预算绩效管理意识，促进预算绩效管理水平进一步提升。</w:t>
      </w:r>
    </w:p>
    <w:p>
      <w:pPr>
        <w:keepNext w:val="0"/>
        <w:keepLines w:val="0"/>
        <w:pageBreakBefore w:val="0"/>
        <w:kinsoku/>
        <w:wordWrap/>
        <w:overflowPunct/>
        <w:topLinePunct w:val="0"/>
        <w:bidi w:val="0"/>
        <w:snapToGrid/>
        <w:spacing w:line="570" w:lineRule="exact"/>
        <w:ind w:firstLine="640" w:firstLineChars="200"/>
        <w:textAlignment w:val="auto"/>
        <w:rPr>
          <w:rFonts w:hint="eastAsia" w:ascii="方正仿宋简体" w:hAnsi="黑体" w:eastAsia="方正仿宋简体" w:cs="黑体"/>
          <w:sz w:val="32"/>
          <w:szCs w:val="32"/>
        </w:rPr>
      </w:pPr>
      <w:r>
        <w:rPr>
          <w:rFonts w:hint="eastAsia" w:ascii="方正仿宋简体" w:hAnsi="黑体" w:eastAsia="方正仿宋简体" w:cs="黑体"/>
          <w:sz w:val="32"/>
          <w:szCs w:val="32"/>
        </w:rPr>
        <w:t xml:space="preserve">第二部分 </w:t>
      </w:r>
      <w:r>
        <w:rPr>
          <w:rFonts w:hint="eastAsia" w:ascii="方正仿宋简体" w:hAnsi="黑体" w:eastAsia="方正仿宋简体" w:cs="黑体"/>
          <w:sz w:val="32"/>
          <w:szCs w:val="32"/>
          <w:lang w:eastAsia="zh-CN"/>
        </w:rPr>
        <w:t>单位</w:t>
      </w:r>
      <w:r>
        <w:rPr>
          <w:rFonts w:hint="eastAsia" w:ascii="方正仿宋简体" w:hAnsi="黑体" w:eastAsia="方正仿宋简体" w:cs="黑体"/>
          <w:sz w:val="32"/>
          <w:szCs w:val="32"/>
        </w:rPr>
        <w:t>预算项目绩效目标</w:t>
      </w:r>
      <w:bookmarkStart w:id="5" w:name="_Toc_4_4_0000000004"/>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1、服务群众专项经费绩效目标表</w:t>
      </w:r>
      <w:bookmarkEnd w:id="5"/>
    </w:p>
    <w:tbl>
      <w:tblPr>
        <w:tblStyle w:val="8"/>
        <w:tblW w:w="14447"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24"/>
        <w:gridCol w:w="1695"/>
        <w:gridCol w:w="829"/>
        <w:gridCol w:w="1014"/>
        <w:gridCol w:w="1510"/>
        <w:gridCol w:w="1183"/>
        <w:gridCol w:w="1985"/>
        <w:gridCol w:w="1417"/>
        <w:gridCol w:w="282"/>
        <w:gridCol w:w="200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2439" w:type="dxa"/>
            <w:gridSpan w:val="9"/>
            <w:tcBorders>
              <w:top w:val="single" w:color="FFFFFF" w:sz="6" w:space="0"/>
              <w:left w:val="single" w:color="FFFFFF" w:sz="6" w:space="0"/>
              <w:right w:val="single" w:color="FFFFFF" w:sz="6" w:space="0"/>
            </w:tcBorders>
            <w:vAlign w:val="center"/>
          </w:tcPr>
          <w:p>
            <w:pPr>
              <w:pStyle w:val="16"/>
              <w:jc w:val="both"/>
              <w:rPr>
                <w:rFonts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634遵化市兴旺寨乡人民政府本级</w:t>
            </w:r>
          </w:p>
        </w:tc>
        <w:tc>
          <w:tcPr>
            <w:tcW w:w="2008" w:type="dxa"/>
            <w:tcBorders>
              <w:top w:val="single" w:color="FFFFFF" w:sz="6" w:space="0"/>
              <w:left w:val="single" w:color="FFFFFF" w:sz="6" w:space="0"/>
              <w:right w:val="single" w:color="FFFFFF" w:sz="6" w:space="0"/>
            </w:tcBorders>
            <w:vAlign w:val="center"/>
          </w:tcPr>
          <w:p>
            <w:pPr>
              <w:pStyle w:val="17"/>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项目编码</w:t>
            </w:r>
          </w:p>
        </w:tc>
        <w:tc>
          <w:tcPr>
            <w:tcW w:w="3538" w:type="dxa"/>
            <w:gridSpan w:val="3"/>
            <w:vAlign w:val="center"/>
          </w:tcPr>
          <w:p>
            <w:pPr>
              <w:pStyle w:val="19"/>
              <w:rPr>
                <w:rFonts w:ascii="方正仿宋简体" w:hAnsi="方正仿宋简体" w:eastAsia="方正仿宋简体" w:cs="方正仿宋简体"/>
                <w:szCs w:val="21"/>
              </w:rPr>
            </w:pPr>
            <w:r>
              <w:rPr>
                <w:rFonts w:hint="eastAsia" w:ascii="方正仿宋简体" w:hAnsi="Calibri" w:eastAsia="方正仿宋简体" w:cs="宋体"/>
                <w:color w:val="000000"/>
                <w:kern w:val="0"/>
                <w:sz w:val="22"/>
              </w:rPr>
              <w:t>[13028122P00243910001P]</w:t>
            </w:r>
          </w:p>
        </w:tc>
        <w:tc>
          <w:tcPr>
            <w:tcW w:w="2693"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项目名称</w:t>
            </w:r>
          </w:p>
        </w:tc>
        <w:tc>
          <w:tcPr>
            <w:tcW w:w="5692" w:type="dxa"/>
            <w:gridSpan w:val="4"/>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预算规模及资金用途</w:t>
            </w:r>
          </w:p>
        </w:tc>
        <w:tc>
          <w:tcPr>
            <w:tcW w:w="1695"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预算数</w:t>
            </w:r>
          </w:p>
        </w:tc>
        <w:tc>
          <w:tcPr>
            <w:tcW w:w="1843"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150</w:t>
            </w:r>
          </w:p>
        </w:tc>
        <w:tc>
          <w:tcPr>
            <w:tcW w:w="2693"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其中：财政   资金</w:t>
            </w:r>
          </w:p>
        </w:tc>
        <w:tc>
          <w:tcPr>
            <w:tcW w:w="1985"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150</w:t>
            </w:r>
          </w:p>
        </w:tc>
        <w:tc>
          <w:tcPr>
            <w:tcW w:w="1417"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其他资金</w:t>
            </w:r>
          </w:p>
        </w:tc>
        <w:tc>
          <w:tcPr>
            <w:tcW w:w="2290" w:type="dxa"/>
            <w:gridSpan w:val="2"/>
            <w:vAlign w:val="center"/>
          </w:tcPr>
          <w:p>
            <w:pPr>
              <w:pStyle w:val="19"/>
              <w:jc w:val="both"/>
              <w:rPr>
                <w:rFonts w:ascii="方正仿宋简体" w:hAnsi="方正仿宋简体" w:eastAsia="方正仿宋简体" w:cs="方正仿宋简体"/>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11923" w:type="dxa"/>
            <w:gridSpan w:val="9"/>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此项资金用于本辖区30个行政村的卫生清理及运输。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资金支出计划（%）</w:t>
            </w:r>
          </w:p>
        </w:tc>
        <w:tc>
          <w:tcPr>
            <w:tcW w:w="3538" w:type="dxa"/>
            <w:gridSpan w:val="3"/>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3月底</w:t>
            </w:r>
          </w:p>
        </w:tc>
        <w:tc>
          <w:tcPr>
            <w:tcW w:w="2693"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6月底</w:t>
            </w:r>
          </w:p>
        </w:tc>
        <w:tc>
          <w:tcPr>
            <w:tcW w:w="1985"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lang w:val="en-US" w:eastAsia="zh-CN"/>
              </w:rPr>
              <w:t>9</w:t>
            </w:r>
            <w:r>
              <w:rPr>
                <w:rFonts w:hint="eastAsia" w:ascii="方正仿宋简体" w:hAnsi="方正仿宋简体" w:eastAsia="方正仿宋简体" w:cs="方正仿宋简体"/>
                <w:b w:val="0"/>
                <w:szCs w:val="21"/>
              </w:rPr>
              <w:t>月底</w:t>
            </w:r>
          </w:p>
        </w:tc>
        <w:tc>
          <w:tcPr>
            <w:tcW w:w="3707" w:type="dxa"/>
            <w:gridSpan w:val="3"/>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3538" w:type="dxa"/>
            <w:gridSpan w:val="3"/>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w:t>
            </w:r>
          </w:p>
        </w:tc>
        <w:tc>
          <w:tcPr>
            <w:tcW w:w="2693" w:type="dxa"/>
            <w:gridSpan w:val="2"/>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60%</w:t>
            </w:r>
          </w:p>
        </w:tc>
        <w:tc>
          <w:tcPr>
            <w:tcW w:w="1985" w:type="dxa"/>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3707" w:type="dxa"/>
            <w:gridSpan w:val="3"/>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绩效目标</w:t>
            </w:r>
          </w:p>
        </w:tc>
        <w:tc>
          <w:tcPr>
            <w:tcW w:w="11923" w:type="dxa"/>
            <w:gridSpan w:val="9"/>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 保障全乡30个村卫生达标，防止病毒蔓延，保障环境质量。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524"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一级指标</w:t>
            </w:r>
          </w:p>
        </w:tc>
        <w:tc>
          <w:tcPr>
            <w:tcW w:w="2524"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二级指标</w:t>
            </w:r>
          </w:p>
        </w:tc>
        <w:tc>
          <w:tcPr>
            <w:tcW w:w="2524"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三级指标</w:t>
            </w:r>
          </w:p>
        </w:tc>
        <w:tc>
          <w:tcPr>
            <w:tcW w:w="3168"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绩效指标描述</w:t>
            </w:r>
          </w:p>
        </w:tc>
        <w:tc>
          <w:tcPr>
            <w:tcW w:w="1417"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指标值</w:t>
            </w:r>
          </w:p>
        </w:tc>
        <w:tc>
          <w:tcPr>
            <w:tcW w:w="2290"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产出指标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村人居环境整治个数</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辖区30个村</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30个村</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质量指标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提高环境卫生状况</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环境卫生质量得到提升</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时效指标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设施正常使用率</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垃圾桶正常使用</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成本指标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资金成本</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资金成本</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经济效益指标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经济影响力</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带动经济发展</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社会效益指标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生活垃圾处理</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垃圾收集及运输</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生态效益指标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生态环境质量改善</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生态环境质量改善</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可持续影响指标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人居环境整体水平</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人居生活环境得到改善</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满意度指标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服务对象满意度指标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观众满意度</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观众满意度</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bl>
    <w:p>
      <w:pPr>
        <w:rPr>
          <w:rFonts w:ascii="方正仿宋简体" w:eastAsia="方正仿宋简体"/>
          <w:sz w:val="28"/>
          <w:szCs w:val="28"/>
        </w:rPr>
      </w:pPr>
    </w:p>
    <w:p>
      <w:pPr>
        <w:tabs>
          <w:tab w:val="left" w:pos="5955"/>
        </w:tabs>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ab/>
      </w:r>
    </w:p>
    <w:p>
      <w:pPr>
        <w:keepNext w:val="0"/>
        <w:keepLines w:val="0"/>
        <w:pageBreakBefore w:val="0"/>
        <w:widowControl w:val="0"/>
        <w:kinsoku/>
        <w:wordWrap/>
        <w:overflowPunct/>
        <w:topLinePunct w:val="0"/>
        <w:autoSpaceDE/>
        <w:autoSpaceDN/>
        <w:bidi w:val="0"/>
        <w:adjustRightInd/>
        <w:snapToGrid/>
        <w:spacing w:line="620" w:lineRule="exact"/>
        <w:ind w:firstLine="560"/>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560"/>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56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六、政府采购预算情况</w:t>
      </w:r>
    </w:p>
    <w:p>
      <w:pPr>
        <w:spacing w:line="560" w:lineRule="exact"/>
        <w:rPr>
          <w:rFonts w:ascii="方正仿宋简体" w:hAnsi="仿宋" w:eastAsia="方正仿宋简体" w:cs="仿宋"/>
          <w:sz w:val="32"/>
          <w:szCs w:val="32"/>
        </w:rPr>
      </w:pPr>
      <w:r>
        <w:rPr>
          <w:rFonts w:hint="eastAsia" w:ascii="方正仿宋简体" w:hAnsi="黑体" w:eastAsia="方正仿宋简体" w:cs="黑体"/>
          <w:sz w:val="32"/>
          <w:szCs w:val="32"/>
        </w:rPr>
        <w:t xml:space="preserve">     </w:t>
      </w:r>
      <w:r>
        <w:rPr>
          <w:rFonts w:hint="eastAsia" w:ascii="方正仿宋简体" w:hAnsi="仿宋" w:eastAsia="方正仿宋简体" w:cs="仿宋"/>
          <w:sz w:val="32"/>
          <w:szCs w:val="32"/>
        </w:rPr>
        <w:t>2022年，遵化市兴旺寨乡人民政府安排政府采购预算0.00万元。</w:t>
      </w:r>
    </w:p>
    <w:p>
      <w:pPr>
        <w:pStyle w:val="31"/>
        <w:ind w:firstLine="560"/>
        <w:rPr>
          <w:rFonts w:ascii="方正仿宋简体" w:hAnsi="黑体" w:eastAsia="方正仿宋简体" w:cs="黑体"/>
          <w:sz w:val="32"/>
          <w:szCs w:val="32"/>
        </w:rPr>
      </w:pPr>
      <w:r>
        <w:rPr>
          <w:rFonts w:hint="eastAsia" w:ascii="方正仿宋简体" w:hAnsi="宋体" w:eastAsia="方正仿宋简体"/>
          <w:sz w:val="32"/>
          <w:szCs w:val="32"/>
        </w:rPr>
        <w:t xml:space="preserve">                        </w:t>
      </w:r>
      <w:r>
        <w:rPr>
          <w:rFonts w:hint="eastAsia" w:ascii="方正仿宋简体" w:hAnsi="黑体" w:eastAsia="方正仿宋简体" w:cs="黑体"/>
          <w:sz w:val="32"/>
          <w:szCs w:val="32"/>
          <w:lang w:eastAsia="zh-CN"/>
        </w:rPr>
        <w:t>单位</w:t>
      </w:r>
      <w:r>
        <w:rPr>
          <w:rFonts w:hint="eastAsia" w:ascii="方正仿宋简体" w:hAnsi="黑体" w:eastAsia="方正仿宋简体" w:cs="黑体"/>
          <w:sz w:val="32"/>
          <w:szCs w:val="32"/>
        </w:rPr>
        <w:t>政府采购预算</w:t>
      </w:r>
    </w:p>
    <w:tbl>
      <w:tblPr>
        <w:tblStyle w:val="8"/>
        <w:tblpPr w:leftFromText="180" w:rightFromText="180" w:vertAnchor="text" w:horzAnchor="page" w:tblpXSpec="center" w:tblpY="283"/>
        <w:tblOverlap w:val="never"/>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9"/>
        <w:gridCol w:w="875"/>
        <w:gridCol w:w="1230"/>
        <w:gridCol w:w="1133"/>
        <w:gridCol w:w="785"/>
        <w:gridCol w:w="740"/>
        <w:gridCol w:w="698"/>
        <w:gridCol w:w="1828"/>
        <w:gridCol w:w="1256"/>
        <w:gridCol w:w="1256"/>
        <w:gridCol w:w="1256"/>
        <w:gridCol w:w="1257"/>
        <w:gridCol w:w="12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985"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仿宋简体" w:hAnsi="仿宋" w:eastAsia="方正仿宋简体" w:cs="仿宋"/>
                <w:sz w:val="32"/>
                <w:szCs w:val="32"/>
              </w:rPr>
            </w:pPr>
            <w:r>
              <w:rPr>
                <w:rFonts w:hint="eastAsia" w:ascii="方正仿宋简体" w:hAnsi="仿宋" w:eastAsia="方正仿宋简体" w:cs="仿宋"/>
                <w:sz w:val="32"/>
                <w:szCs w:val="32"/>
              </w:rPr>
              <w:t>634遵化市兴旺寨乡人民政府</w:t>
            </w:r>
          </w:p>
        </w:tc>
        <w:tc>
          <w:tcPr>
            <w:tcW w:w="7320" w:type="dxa"/>
            <w:gridSpan w:val="6"/>
            <w:tcBorders>
              <w:top w:val="single" w:color="FFFFFF" w:sz="6" w:space="0"/>
              <w:left w:val="single" w:color="FFFFFF" w:sz="6" w:space="0"/>
              <w:right w:val="single" w:color="FFFFFF" w:sz="6" w:space="0"/>
            </w:tcBorders>
            <w:vAlign w:val="center"/>
          </w:tcPr>
          <w:p>
            <w:pPr>
              <w:spacing w:line="300" w:lineRule="exact"/>
              <w:jc w:val="right"/>
              <w:rPr>
                <w:rFonts w:ascii="方正仿宋简体" w:hAnsi="仿宋" w:eastAsia="方正仿宋简体" w:cs="仿宋"/>
                <w:sz w:val="32"/>
                <w:szCs w:val="32"/>
              </w:rPr>
            </w:pPr>
            <w:r>
              <w:rPr>
                <w:rFonts w:hint="eastAsia" w:ascii="方正仿宋简体" w:hAnsi="仿宋" w:eastAsia="方正仿宋简体" w:cs="仿宋"/>
                <w:sz w:val="32"/>
                <w:szCs w:val="3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44" w:hRule="atLeast"/>
          <w:tblHeader/>
          <w:jc w:val="center"/>
        </w:trPr>
        <w:tc>
          <w:tcPr>
            <w:tcW w:w="1845" w:type="dxa"/>
            <w:gridSpan w:val="2"/>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政府采购项目来源</w:t>
            </w:r>
          </w:p>
        </w:tc>
        <w:tc>
          <w:tcPr>
            <w:tcW w:w="1110"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采购物品名称</w:t>
            </w:r>
          </w:p>
        </w:tc>
        <w:tc>
          <w:tcPr>
            <w:tcW w:w="1023"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政府采购目录序号</w:t>
            </w:r>
          </w:p>
        </w:tc>
        <w:tc>
          <w:tcPr>
            <w:tcW w:w="709"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计量  单位</w:t>
            </w:r>
          </w:p>
        </w:tc>
        <w:tc>
          <w:tcPr>
            <w:tcW w:w="668"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数量</w:t>
            </w:r>
          </w:p>
        </w:tc>
        <w:tc>
          <w:tcPr>
            <w:tcW w:w="630"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单价</w:t>
            </w:r>
          </w:p>
        </w:tc>
        <w:tc>
          <w:tcPr>
            <w:tcW w:w="7320" w:type="dxa"/>
            <w:gridSpan w:val="6"/>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055"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项目名称</w:t>
            </w:r>
          </w:p>
        </w:tc>
        <w:tc>
          <w:tcPr>
            <w:tcW w:w="790"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预算资金</w:t>
            </w:r>
          </w:p>
        </w:tc>
        <w:tc>
          <w:tcPr>
            <w:tcW w:w="1110" w:type="dxa"/>
            <w:vMerge w:val="continue"/>
            <w:vAlign w:val="center"/>
          </w:tcPr>
          <w:p>
            <w:pPr>
              <w:spacing w:line="300" w:lineRule="exact"/>
              <w:jc w:val="left"/>
              <w:rPr>
                <w:rFonts w:ascii="方正仿宋简体" w:hAnsi="仿宋" w:eastAsia="方正仿宋简体" w:cs="仿宋"/>
                <w:sz w:val="32"/>
                <w:szCs w:val="32"/>
              </w:rPr>
            </w:pPr>
          </w:p>
        </w:tc>
        <w:tc>
          <w:tcPr>
            <w:tcW w:w="1023" w:type="dxa"/>
            <w:vMerge w:val="continue"/>
            <w:vAlign w:val="center"/>
          </w:tcPr>
          <w:p>
            <w:pPr>
              <w:spacing w:line="300" w:lineRule="exact"/>
              <w:jc w:val="left"/>
              <w:rPr>
                <w:rFonts w:ascii="方正仿宋简体" w:hAnsi="仿宋" w:eastAsia="方正仿宋简体" w:cs="仿宋"/>
                <w:sz w:val="32"/>
                <w:szCs w:val="32"/>
              </w:rPr>
            </w:pPr>
          </w:p>
        </w:tc>
        <w:tc>
          <w:tcPr>
            <w:tcW w:w="709" w:type="dxa"/>
            <w:vMerge w:val="continue"/>
            <w:vAlign w:val="center"/>
          </w:tcPr>
          <w:p>
            <w:pPr>
              <w:spacing w:line="300" w:lineRule="exact"/>
              <w:jc w:val="left"/>
              <w:rPr>
                <w:rFonts w:ascii="方正仿宋简体" w:hAnsi="仿宋" w:eastAsia="方正仿宋简体" w:cs="仿宋"/>
                <w:sz w:val="32"/>
                <w:szCs w:val="32"/>
              </w:rPr>
            </w:pPr>
          </w:p>
        </w:tc>
        <w:tc>
          <w:tcPr>
            <w:tcW w:w="668" w:type="dxa"/>
            <w:vMerge w:val="continue"/>
            <w:vAlign w:val="center"/>
          </w:tcPr>
          <w:p>
            <w:pPr>
              <w:spacing w:line="300" w:lineRule="exact"/>
              <w:jc w:val="left"/>
              <w:rPr>
                <w:rFonts w:ascii="方正仿宋简体" w:hAnsi="仿宋" w:eastAsia="方正仿宋简体" w:cs="仿宋"/>
                <w:sz w:val="32"/>
                <w:szCs w:val="32"/>
              </w:rPr>
            </w:pPr>
          </w:p>
        </w:tc>
        <w:tc>
          <w:tcPr>
            <w:tcW w:w="630" w:type="dxa"/>
            <w:vMerge w:val="continue"/>
            <w:vAlign w:val="center"/>
          </w:tcPr>
          <w:p>
            <w:pPr>
              <w:spacing w:line="300" w:lineRule="exact"/>
              <w:jc w:val="left"/>
              <w:rPr>
                <w:rFonts w:ascii="方正仿宋简体" w:hAnsi="仿宋" w:eastAsia="方正仿宋简体" w:cs="仿宋"/>
                <w:sz w:val="32"/>
                <w:szCs w:val="32"/>
              </w:rPr>
            </w:pPr>
          </w:p>
        </w:tc>
        <w:tc>
          <w:tcPr>
            <w:tcW w:w="1650"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合计</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一般公共预算拨款</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基金预算拨款</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国有资本经营预算拨款</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财政专户核拨</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08" w:hRule="atLeast"/>
          <w:jc w:val="center"/>
        </w:trPr>
        <w:tc>
          <w:tcPr>
            <w:tcW w:w="1055" w:type="dxa"/>
            <w:vAlign w:val="center"/>
          </w:tcPr>
          <w:p>
            <w:pPr>
              <w:spacing w:line="300" w:lineRule="exact"/>
              <w:jc w:val="center"/>
              <w:rPr>
                <w:rFonts w:ascii="方正仿宋简体" w:hAnsi="仿宋" w:eastAsia="方正仿宋简体" w:cs="仿宋"/>
                <w:sz w:val="32"/>
                <w:szCs w:val="32"/>
              </w:rPr>
            </w:pPr>
          </w:p>
        </w:tc>
        <w:tc>
          <w:tcPr>
            <w:tcW w:w="790" w:type="dxa"/>
            <w:vAlign w:val="center"/>
          </w:tcPr>
          <w:p>
            <w:pPr>
              <w:spacing w:line="300" w:lineRule="exact"/>
              <w:jc w:val="right"/>
              <w:rPr>
                <w:rFonts w:ascii="方正仿宋简体" w:hAnsi="仿宋" w:eastAsia="方正仿宋简体" w:cs="仿宋"/>
                <w:sz w:val="32"/>
                <w:szCs w:val="32"/>
              </w:rPr>
            </w:pPr>
          </w:p>
        </w:tc>
        <w:tc>
          <w:tcPr>
            <w:tcW w:w="1110" w:type="dxa"/>
            <w:vAlign w:val="center"/>
          </w:tcPr>
          <w:p>
            <w:pPr>
              <w:spacing w:line="300" w:lineRule="exact"/>
              <w:jc w:val="left"/>
              <w:rPr>
                <w:rFonts w:ascii="方正仿宋简体" w:hAnsi="仿宋" w:eastAsia="方正仿宋简体" w:cs="仿宋"/>
                <w:sz w:val="32"/>
                <w:szCs w:val="32"/>
              </w:rPr>
            </w:pPr>
          </w:p>
        </w:tc>
        <w:tc>
          <w:tcPr>
            <w:tcW w:w="1023" w:type="dxa"/>
            <w:vAlign w:val="center"/>
          </w:tcPr>
          <w:p>
            <w:pPr>
              <w:spacing w:line="300" w:lineRule="exact"/>
              <w:jc w:val="left"/>
              <w:rPr>
                <w:rFonts w:ascii="方正仿宋简体" w:hAnsi="仿宋" w:eastAsia="方正仿宋简体" w:cs="仿宋"/>
                <w:sz w:val="32"/>
                <w:szCs w:val="32"/>
              </w:rPr>
            </w:pPr>
          </w:p>
        </w:tc>
        <w:tc>
          <w:tcPr>
            <w:tcW w:w="709" w:type="dxa"/>
            <w:vAlign w:val="center"/>
          </w:tcPr>
          <w:p>
            <w:pPr>
              <w:spacing w:line="300" w:lineRule="exact"/>
              <w:jc w:val="center"/>
              <w:rPr>
                <w:rFonts w:ascii="方正仿宋简体" w:hAnsi="仿宋" w:eastAsia="方正仿宋简体" w:cs="仿宋"/>
                <w:sz w:val="32"/>
                <w:szCs w:val="32"/>
              </w:rPr>
            </w:pPr>
          </w:p>
        </w:tc>
        <w:tc>
          <w:tcPr>
            <w:tcW w:w="668" w:type="dxa"/>
            <w:vAlign w:val="center"/>
          </w:tcPr>
          <w:p>
            <w:pPr>
              <w:spacing w:line="300" w:lineRule="exact"/>
              <w:jc w:val="right"/>
              <w:rPr>
                <w:rFonts w:ascii="方正仿宋简体" w:hAnsi="仿宋" w:eastAsia="方正仿宋简体" w:cs="仿宋"/>
                <w:sz w:val="32"/>
                <w:szCs w:val="32"/>
              </w:rPr>
            </w:pPr>
          </w:p>
        </w:tc>
        <w:tc>
          <w:tcPr>
            <w:tcW w:w="630" w:type="dxa"/>
            <w:vAlign w:val="center"/>
          </w:tcPr>
          <w:p>
            <w:pPr>
              <w:spacing w:line="300" w:lineRule="exact"/>
              <w:jc w:val="right"/>
              <w:rPr>
                <w:rFonts w:ascii="方正仿宋简体" w:hAnsi="仿宋" w:eastAsia="方正仿宋简体" w:cs="仿宋"/>
                <w:sz w:val="32"/>
                <w:szCs w:val="32"/>
              </w:rPr>
            </w:pPr>
          </w:p>
        </w:tc>
        <w:tc>
          <w:tcPr>
            <w:tcW w:w="1650"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r>
    </w:tbl>
    <w:p>
      <w:pPr>
        <w:jc w:val="left"/>
        <w:rPr>
          <w:rFonts w:ascii="方正仿宋简体" w:hAnsi="仿宋" w:eastAsia="方正仿宋简体" w:cs="仿宋"/>
          <w:sz w:val="32"/>
          <w:szCs w:val="32"/>
        </w:rPr>
      </w:pPr>
      <w:r>
        <w:rPr>
          <w:rFonts w:hint="eastAsia" w:ascii="方正仿宋简体" w:hAnsi="仿宋" w:eastAsia="方正仿宋简体" w:cs="仿宋"/>
          <w:sz w:val="32"/>
          <w:szCs w:val="32"/>
        </w:rPr>
        <w:t>注：无政府采购预算</w:t>
      </w:r>
      <w:r>
        <w:rPr>
          <w:rFonts w:hint="eastAsia" w:ascii="方正仿宋简体" w:hAnsi="仿宋" w:eastAsia="方正仿宋简体" w:cs="仿宋"/>
          <w:sz w:val="32"/>
          <w:szCs w:val="32"/>
          <w:lang w:val="en-US" w:eastAsia="zh-CN"/>
        </w:rPr>
        <w:t>财政拨款预算</w:t>
      </w:r>
      <w:r>
        <w:rPr>
          <w:rFonts w:hint="eastAsia" w:ascii="方正仿宋简体" w:hAnsi="仿宋" w:eastAsia="方正仿宋简体" w:cs="仿宋"/>
          <w:sz w:val="32"/>
          <w:szCs w:val="32"/>
        </w:rPr>
        <w:t xml:space="preserve">，空表列示。 </w:t>
      </w:r>
    </w:p>
    <w:p>
      <w:pPr>
        <w:spacing w:line="560" w:lineRule="exact"/>
        <w:rPr>
          <w:rFonts w:ascii="方正仿宋简体" w:hAnsi="黑体" w:eastAsia="方正仿宋简体" w:cs="黑体"/>
          <w:sz w:val="32"/>
          <w:szCs w:val="32"/>
        </w:rPr>
      </w:pPr>
    </w:p>
    <w:tbl>
      <w:tblPr>
        <w:tblStyle w:val="8"/>
        <w:tblW w:w="14692" w:type="dxa"/>
        <w:tblInd w:w="-459" w:type="dxa"/>
        <w:tblLayout w:type="autofit"/>
        <w:tblCellMar>
          <w:top w:w="0" w:type="dxa"/>
          <w:left w:w="108" w:type="dxa"/>
          <w:bottom w:w="0" w:type="dxa"/>
          <w:right w:w="108" w:type="dxa"/>
        </w:tblCellMar>
      </w:tblPr>
      <w:tblGrid>
        <w:gridCol w:w="2572"/>
        <w:gridCol w:w="2020"/>
        <w:gridCol w:w="2020"/>
        <w:gridCol w:w="2020"/>
        <w:gridCol w:w="2020"/>
        <w:gridCol w:w="2020"/>
        <w:gridCol w:w="2020"/>
      </w:tblGrid>
      <w:tr>
        <w:tblPrEx>
          <w:tblCellMar>
            <w:top w:w="0" w:type="dxa"/>
            <w:left w:w="108" w:type="dxa"/>
            <w:bottom w:w="0" w:type="dxa"/>
            <w:right w:w="108" w:type="dxa"/>
          </w:tblCellMar>
        </w:tblPrEx>
        <w:trPr>
          <w:trHeight w:val="390" w:hRule="atLeast"/>
        </w:trPr>
        <w:tc>
          <w:tcPr>
            <w:tcW w:w="2572"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center"/>
              <w:rPr>
                <w:rFonts w:ascii="方正仿宋简体" w:hAnsi="宋体" w:eastAsia="方正仿宋简体" w:cs="Arial"/>
                <w:color w:val="000000"/>
                <w:kern w:val="0"/>
                <w:sz w:val="30"/>
                <w:szCs w:val="3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r>
    </w:tbl>
    <w:p>
      <w:pPr>
        <w:tabs>
          <w:tab w:val="left" w:pos="7035"/>
        </w:tabs>
        <w:autoSpaceDE w:val="0"/>
        <w:autoSpaceDN w:val="0"/>
        <w:adjustRightInd w:val="0"/>
        <w:jc w:val="lef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方正仿宋简体" w:hAnsi="黑体" w:eastAsia="方正仿宋简体" w:cs="黑体"/>
          <w:sz w:val="32"/>
          <w:szCs w:val="32"/>
        </w:rPr>
      </w:pPr>
      <w:r>
        <w:rPr>
          <w:rFonts w:hint="eastAsia" w:ascii="方正黑体简体" w:hAnsi="方正黑体简体" w:eastAsia="方正黑体简体" w:cs="方正黑体简体"/>
          <w:sz w:val="32"/>
          <w:szCs w:val="32"/>
        </w:rPr>
        <w:t>七、国有资产信息情况</w:t>
      </w:r>
      <w:r>
        <w:rPr>
          <w:rFonts w:hint="eastAsia" w:ascii="方正仿宋简体" w:hAnsi="黑体" w:eastAsia="方正仿宋简体" w:cs="黑体"/>
          <w:sz w:val="32"/>
          <w:szCs w:val="32"/>
        </w:rPr>
        <w:tab/>
      </w:r>
    </w:p>
    <w:p>
      <w:pPr>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我乡2021年末固定资产金额为203.69万元（详见下表）。本年度无国有资产购置情况。</w:t>
      </w:r>
    </w:p>
    <w:p>
      <w:pPr>
        <w:ind w:firstLine="640"/>
        <w:rPr>
          <w:rFonts w:ascii="方正仿宋简体" w:hAnsi="黑体" w:eastAsia="方正仿宋简体" w:cs="黑体"/>
          <w:sz w:val="28"/>
          <w:szCs w:val="28"/>
        </w:rPr>
      </w:pPr>
    </w:p>
    <w:tbl>
      <w:tblPr>
        <w:tblStyle w:val="8"/>
        <w:tblW w:w="0" w:type="auto"/>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599" w:hRule="atLeast"/>
        </w:trPr>
        <w:tc>
          <w:tcPr>
            <w:tcW w:w="13482" w:type="dxa"/>
            <w:gridSpan w:val="3"/>
            <w:tcBorders>
              <w:top w:val="nil"/>
              <w:left w:val="nil"/>
              <w:bottom w:val="nil"/>
              <w:right w:val="nil"/>
            </w:tcBorders>
            <w:vAlign w:val="center"/>
          </w:tcPr>
          <w:p>
            <w:pPr>
              <w:widowControl/>
              <w:ind w:left="218" w:leftChars="104" w:firstLine="230" w:firstLineChars="72"/>
              <w:jc w:val="center"/>
              <w:rPr>
                <w:rFonts w:ascii="方正仿宋简体" w:hAnsi="黑体" w:eastAsia="方正仿宋简体" w:cs="黑体"/>
                <w:bCs/>
                <w:kern w:val="0"/>
                <w:sz w:val="32"/>
                <w:szCs w:val="32"/>
              </w:rPr>
            </w:pPr>
            <w:r>
              <w:rPr>
                <w:rFonts w:hint="eastAsia" w:ascii="方正仿宋简体" w:hAnsi="黑体" w:eastAsia="方正仿宋简体" w:cs="黑体"/>
                <w:bCs/>
                <w:kern w:val="0"/>
                <w:sz w:val="32"/>
                <w:szCs w:val="32"/>
              </w:rPr>
              <w:t>固定资产占用情况表</w:t>
            </w:r>
          </w:p>
        </w:tc>
      </w:tr>
      <w:tr>
        <w:tblPrEx>
          <w:tblCellMar>
            <w:top w:w="0" w:type="dxa"/>
            <w:left w:w="108" w:type="dxa"/>
            <w:bottom w:w="0" w:type="dxa"/>
            <w:right w:w="108" w:type="dxa"/>
          </w:tblCellMar>
        </w:tblPrEx>
        <w:trPr>
          <w:trHeight w:val="353" w:hRule="atLeast"/>
        </w:trPr>
        <w:tc>
          <w:tcPr>
            <w:tcW w:w="8379" w:type="dxa"/>
            <w:gridSpan w:val="2"/>
            <w:tcBorders>
              <w:top w:val="nil"/>
              <w:left w:val="nil"/>
              <w:bottom w:val="nil"/>
              <w:right w:val="nil"/>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编制</w:t>
            </w:r>
            <w:r>
              <w:rPr>
                <w:rFonts w:hint="eastAsia" w:ascii="方正仿宋简体" w:hAnsi="黑体" w:eastAsia="方正仿宋简体" w:cs="黑体"/>
                <w:kern w:val="0"/>
                <w:sz w:val="28"/>
                <w:szCs w:val="28"/>
                <w:lang w:eastAsia="zh-CN"/>
              </w:rPr>
              <w:t>单位</w:t>
            </w:r>
            <w:r>
              <w:rPr>
                <w:rFonts w:hint="eastAsia" w:ascii="方正仿宋简体" w:hAnsi="黑体" w:eastAsia="方正仿宋简体" w:cs="黑体"/>
                <w:kern w:val="0"/>
                <w:sz w:val="28"/>
                <w:szCs w:val="28"/>
              </w:rPr>
              <w:t>：遵化市兴旺寨乡人民政府</w:t>
            </w:r>
          </w:p>
        </w:tc>
        <w:tc>
          <w:tcPr>
            <w:tcW w:w="5103" w:type="dxa"/>
            <w:tcBorders>
              <w:top w:val="nil"/>
              <w:left w:val="nil"/>
              <w:bottom w:val="nil"/>
              <w:right w:val="nil"/>
            </w:tcBorders>
            <w:vAlign w:val="center"/>
          </w:tcPr>
          <w:p>
            <w:pPr>
              <w:widowControl/>
              <w:ind w:firstLine="840" w:firstLineChars="300"/>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截止时间：2021年12月31日  </w:t>
            </w:r>
          </w:p>
        </w:tc>
      </w:tr>
      <w:tr>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bCs/>
                <w:kern w:val="0"/>
                <w:sz w:val="28"/>
                <w:szCs w:val="28"/>
              </w:rPr>
            </w:pPr>
            <w:r>
              <w:rPr>
                <w:rFonts w:hint="eastAsia" w:ascii="方正仿宋简体" w:hAnsi="黑体" w:eastAsia="方正仿宋简体" w:cs="黑体"/>
                <w:bCs/>
                <w:kern w:val="0"/>
                <w:sz w:val="28"/>
                <w:szCs w:val="28"/>
              </w:rPr>
              <w:t>项   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Cs/>
                <w:kern w:val="0"/>
                <w:sz w:val="28"/>
                <w:szCs w:val="28"/>
              </w:rPr>
            </w:pPr>
            <w:r>
              <w:rPr>
                <w:rFonts w:hint="eastAsia" w:ascii="方正仿宋简体" w:hAnsi="黑体" w:eastAsia="方正仿宋简体" w:cs="黑体"/>
                <w:bCs/>
                <w:kern w:val="0"/>
                <w:sz w:val="28"/>
                <w:szCs w:val="28"/>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Cs/>
                <w:kern w:val="0"/>
                <w:sz w:val="28"/>
                <w:szCs w:val="28"/>
              </w:rPr>
            </w:pPr>
            <w:r>
              <w:rPr>
                <w:rFonts w:hint="eastAsia" w:ascii="方正仿宋简体" w:hAnsi="黑体" w:eastAsia="方正仿宋简体" w:cs="黑体"/>
                <w:bCs/>
                <w:kern w:val="0"/>
                <w:sz w:val="28"/>
                <w:szCs w:val="28"/>
              </w:rPr>
              <w:t>价值（金额单位：万元）</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资产总额</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203.69</w:t>
            </w:r>
          </w:p>
        </w:tc>
      </w:tr>
      <w:tr>
        <w:tblPrEx>
          <w:tblCellMar>
            <w:top w:w="0" w:type="dxa"/>
            <w:left w:w="108" w:type="dxa"/>
            <w:bottom w:w="0" w:type="dxa"/>
            <w:right w:w="108" w:type="dxa"/>
          </w:tblCellMar>
        </w:tblPrEx>
        <w:trPr>
          <w:trHeight w:val="446"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1、房屋（平方米）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263</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16</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   其中：办公用房（平方米）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263</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16</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2、车辆（台、辆）</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37.73</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3、单价在20万元以上的设备</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　</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4、其他固定资产</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　238</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149.96</w:t>
            </w:r>
          </w:p>
        </w:tc>
      </w:tr>
    </w:tbl>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八、专业名词解释</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1、一般公共预算拨款收入：指财政当年拨付的资金。</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2、事业收入：指事业单位开展专业业务活动及辅助活动所取得的收入。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3、其他收入：指除上述“财政拨款收入”、“事业收入”等以外的收入。主要是按规定动用的租房收入、存款利息收入等。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方正仿宋简体" w:hAnsi="黑体" w:eastAsia="方正仿宋简体" w:cs="黑体"/>
          <w:sz w:val="32"/>
          <w:szCs w:val="32"/>
        </w:rPr>
        <w:sectPr>
          <w:headerReference r:id="rId6" w:type="default"/>
          <w:pgSz w:w="16840" w:h="11900" w:orient="landscape"/>
          <w:pgMar w:top="680" w:right="1440" w:bottom="680" w:left="1440" w:header="720" w:footer="720" w:gutter="0"/>
          <w:pgNumType w:fmt="decimal"/>
          <w:cols w:space="720" w:num="1"/>
          <w:docGrid w:linePitch="286" w:charSpace="0"/>
        </w:sect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5、项目支出：指在基本支出之外为完成特定行政任务和事业发展目标所发生的支出。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6、上缴上级支出：指所属单位上缴上级的支出。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7、“三公”经费：纳入财政预算管理的“三公”经费，是指各</w:t>
      </w:r>
      <w:r>
        <w:rPr>
          <w:rFonts w:hint="eastAsia" w:ascii="方正仿宋简体" w:hAnsi="黑体" w:eastAsia="方正仿宋简体" w:cs="黑体"/>
          <w:sz w:val="32"/>
          <w:szCs w:val="32"/>
          <w:lang w:eastAsia="zh-CN"/>
        </w:rPr>
        <w:t>单位</w:t>
      </w:r>
      <w:r>
        <w:rPr>
          <w:rFonts w:hint="eastAsia" w:ascii="方正仿宋简体" w:hAnsi="黑体" w:eastAsia="方正仿宋简体" w:cs="黑体"/>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九、其他需要说明的事项</w:t>
      </w:r>
    </w:p>
    <w:p>
      <w:pPr>
        <w:keepNext w:val="0"/>
        <w:keepLines w:val="0"/>
        <w:pageBreakBefore w:val="0"/>
        <w:widowControl w:val="0"/>
        <w:tabs>
          <w:tab w:val="left" w:pos="11490"/>
        </w:tabs>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1、遵化市兴旺寨乡人民政府2022年</w:t>
      </w:r>
      <w:r>
        <w:rPr>
          <w:rFonts w:hint="eastAsia" w:ascii="方正仿宋简体" w:hAnsi="方正仿宋简体" w:eastAsia="方正仿宋简体" w:cs="方正仿宋简体"/>
          <w:sz w:val="32"/>
          <w:szCs w:val="32"/>
          <w:lang w:eastAsia="zh-CN"/>
        </w:rPr>
        <w:t>单位</w:t>
      </w:r>
      <w:r>
        <w:rPr>
          <w:rFonts w:hint="eastAsia" w:ascii="方正仿宋简体" w:hAnsi="方正仿宋简体" w:eastAsia="方正仿宋简体" w:cs="方正仿宋简体"/>
          <w:sz w:val="32"/>
          <w:szCs w:val="32"/>
        </w:rPr>
        <w:t>预算中未安排政府性基金预算，故政府性基金预算财政拨款支出表为空。</w:t>
      </w:r>
    </w:p>
    <w:p>
      <w:pPr>
        <w:keepNext w:val="0"/>
        <w:keepLines w:val="0"/>
        <w:pageBreakBefore w:val="0"/>
        <w:widowControl w:val="0"/>
        <w:tabs>
          <w:tab w:val="left" w:pos="11490"/>
        </w:tabs>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2、遵化市兴旺寨乡人民政府2022年</w:t>
      </w:r>
      <w:r>
        <w:rPr>
          <w:rFonts w:hint="eastAsia" w:ascii="方正仿宋简体" w:hAnsi="方正仿宋简体" w:eastAsia="方正仿宋简体" w:cs="方正仿宋简体"/>
          <w:sz w:val="32"/>
          <w:szCs w:val="32"/>
          <w:lang w:eastAsia="zh-CN"/>
        </w:rPr>
        <w:t>单位</w:t>
      </w:r>
      <w:r>
        <w:rPr>
          <w:rFonts w:hint="eastAsia" w:ascii="方正仿宋简体" w:hAnsi="方正仿宋简体" w:eastAsia="方正仿宋简体" w:cs="方正仿宋简体"/>
          <w:sz w:val="32"/>
          <w:szCs w:val="32"/>
        </w:rPr>
        <w:t>预算中未安排国有资本经营预算，故国有资本经营预算财政拨款支出表为空。</w:t>
      </w:r>
    </w:p>
    <w:p>
      <w:pPr>
        <w:spacing w:line="560" w:lineRule="exact"/>
        <w:jc w:val="left"/>
        <w:rPr>
          <w:rFonts w:ascii="方正仿宋简体" w:hAnsi="方正仿宋简体" w:eastAsia="方正仿宋简体" w:cs="方正仿宋简体"/>
          <w:sz w:val="32"/>
          <w:szCs w:val="32"/>
        </w:rPr>
      </w:pPr>
    </w:p>
    <w:p>
      <w:pPr>
        <w:rPr>
          <w:rFonts w:ascii="方正仿宋简体" w:hAnsi="黑体" w:eastAsia="方正仿宋简体" w:cs="黑体"/>
          <w:sz w:val="32"/>
          <w:szCs w:val="32"/>
        </w:rPr>
      </w:pPr>
    </w:p>
    <w:sectPr>
      <w:pgSz w:w="16840" w:h="11900" w:orient="landscape"/>
      <w:pgMar w:top="680" w:right="1440" w:bottom="680" w:left="1440"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14799"/>
        <w:tab w:val="clear" w:pos="4153"/>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1479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7DA80"/>
    <w:multiLevelType w:val="singleLevel"/>
    <w:tmpl w:val="F687DA80"/>
    <w:lvl w:ilvl="0" w:tentative="0">
      <w:start w:val="1"/>
      <w:numFmt w:val="decimal"/>
      <w:suff w:val="nothing"/>
      <w:lvlText w:val="%1、"/>
      <w:lvlJc w:val="left"/>
    </w:lvl>
  </w:abstractNum>
  <w:abstractNum w:abstractNumId="1">
    <w:nsid w:val="3F99B941"/>
    <w:multiLevelType w:val="singleLevel"/>
    <w:tmpl w:val="3F99B941"/>
    <w:lvl w:ilvl="0" w:tentative="0">
      <w:start w:val="6"/>
      <w:numFmt w:val="decimal"/>
      <w:suff w:val="nothing"/>
      <w:lvlText w:val="%1、"/>
      <w:lvlJc w:val="left"/>
    </w:lvl>
  </w:abstractNum>
  <w:abstractNum w:abstractNumId="2">
    <w:nsid w:val="7DD608D3"/>
    <w:multiLevelType w:val="singleLevel"/>
    <w:tmpl w:val="7DD608D3"/>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ZDhkNGUyYjg4MDM2ODI0ZDE5ZTFlNzAxNzQ0NzkifQ=="/>
  </w:docVars>
  <w:rsids>
    <w:rsidRoot w:val="007B7DAC"/>
    <w:rsid w:val="0000191A"/>
    <w:rsid w:val="00006360"/>
    <w:rsid w:val="000119AD"/>
    <w:rsid w:val="00030289"/>
    <w:rsid w:val="00051023"/>
    <w:rsid w:val="00055EF2"/>
    <w:rsid w:val="00080EDC"/>
    <w:rsid w:val="000879D5"/>
    <w:rsid w:val="000911CF"/>
    <w:rsid w:val="000C03F4"/>
    <w:rsid w:val="000F5685"/>
    <w:rsid w:val="00160473"/>
    <w:rsid w:val="001849C5"/>
    <w:rsid w:val="001A4645"/>
    <w:rsid w:val="001A5774"/>
    <w:rsid w:val="001B034A"/>
    <w:rsid w:val="001B28E8"/>
    <w:rsid w:val="001F7598"/>
    <w:rsid w:val="00221492"/>
    <w:rsid w:val="00244D0B"/>
    <w:rsid w:val="00252F39"/>
    <w:rsid w:val="00284ECA"/>
    <w:rsid w:val="00285CCD"/>
    <w:rsid w:val="00290F0E"/>
    <w:rsid w:val="002B0946"/>
    <w:rsid w:val="002B1F73"/>
    <w:rsid w:val="002B6B48"/>
    <w:rsid w:val="002F55D6"/>
    <w:rsid w:val="00332169"/>
    <w:rsid w:val="00350E0F"/>
    <w:rsid w:val="003577D8"/>
    <w:rsid w:val="003B2928"/>
    <w:rsid w:val="003C6B4A"/>
    <w:rsid w:val="003D3FB8"/>
    <w:rsid w:val="003D484E"/>
    <w:rsid w:val="003F2444"/>
    <w:rsid w:val="00414C2F"/>
    <w:rsid w:val="00425CD9"/>
    <w:rsid w:val="00444A4A"/>
    <w:rsid w:val="004562B6"/>
    <w:rsid w:val="00467746"/>
    <w:rsid w:val="004957D0"/>
    <w:rsid w:val="00496EA3"/>
    <w:rsid w:val="004B6C07"/>
    <w:rsid w:val="004C4148"/>
    <w:rsid w:val="004D13B1"/>
    <w:rsid w:val="004F51FB"/>
    <w:rsid w:val="00503A87"/>
    <w:rsid w:val="00513F0E"/>
    <w:rsid w:val="00523EA0"/>
    <w:rsid w:val="00531563"/>
    <w:rsid w:val="00544195"/>
    <w:rsid w:val="00554F51"/>
    <w:rsid w:val="00563273"/>
    <w:rsid w:val="00564595"/>
    <w:rsid w:val="00566CC5"/>
    <w:rsid w:val="00584677"/>
    <w:rsid w:val="005E70F4"/>
    <w:rsid w:val="00627F27"/>
    <w:rsid w:val="00633FBF"/>
    <w:rsid w:val="006352CD"/>
    <w:rsid w:val="0065381E"/>
    <w:rsid w:val="0066086B"/>
    <w:rsid w:val="007672B7"/>
    <w:rsid w:val="00771707"/>
    <w:rsid w:val="007744D8"/>
    <w:rsid w:val="00790499"/>
    <w:rsid w:val="007A2D12"/>
    <w:rsid w:val="007B7DAC"/>
    <w:rsid w:val="007F12D2"/>
    <w:rsid w:val="008636D3"/>
    <w:rsid w:val="008B764C"/>
    <w:rsid w:val="008C07A7"/>
    <w:rsid w:val="008D5569"/>
    <w:rsid w:val="0091674D"/>
    <w:rsid w:val="00922DC9"/>
    <w:rsid w:val="0093416B"/>
    <w:rsid w:val="0094434B"/>
    <w:rsid w:val="00946ECD"/>
    <w:rsid w:val="00982214"/>
    <w:rsid w:val="00992BA3"/>
    <w:rsid w:val="00995073"/>
    <w:rsid w:val="009B3C05"/>
    <w:rsid w:val="009E057E"/>
    <w:rsid w:val="009E3CA5"/>
    <w:rsid w:val="009F00B8"/>
    <w:rsid w:val="00A11BD7"/>
    <w:rsid w:val="00A464E7"/>
    <w:rsid w:val="00A569CB"/>
    <w:rsid w:val="00A61DC4"/>
    <w:rsid w:val="00A63C5C"/>
    <w:rsid w:val="00A8193F"/>
    <w:rsid w:val="00B127F4"/>
    <w:rsid w:val="00B21C20"/>
    <w:rsid w:val="00BA585B"/>
    <w:rsid w:val="00BE6D8A"/>
    <w:rsid w:val="00C1591C"/>
    <w:rsid w:val="00C3294D"/>
    <w:rsid w:val="00C37E14"/>
    <w:rsid w:val="00C5358F"/>
    <w:rsid w:val="00C571E7"/>
    <w:rsid w:val="00C60112"/>
    <w:rsid w:val="00C642A6"/>
    <w:rsid w:val="00C91573"/>
    <w:rsid w:val="00CB4BB6"/>
    <w:rsid w:val="00CE3069"/>
    <w:rsid w:val="00D16930"/>
    <w:rsid w:val="00D21DFD"/>
    <w:rsid w:val="00D33B2A"/>
    <w:rsid w:val="00D344FA"/>
    <w:rsid w:val="00D71ED1"/>
    <w:rsid w:val="00DC0C80"/>
    <w:rsid w:val="00DC5A62"/>
    <w:rsid w:val="00E4689F"/>
    <w:rsid w:val="00E766AD"/>
    <w:rsid w:val="00ED3BDF"/>
    <w:rsid w:val="00EF3F50"/>
    <w:rsid w:val="00EF7D0D"/>
    <w:rsid w:val="00F35A2D"/>
    <w:rsid w:val="00F56CCD"/>
    <w:rsid w:val="00F8192C"/>
    <w:rsid w:val="00F962E6"/>
    <w:rsid w:val="00FC307B"/>
    <w:rsid w:val="00FE3559"/>
    <w:rsid w:val="024C4CC7"/>
    <w:rsid w:val="031E5023"/>
    <w:rsid w:val="033A6154"/>
    <w:rsid w:val="034F401E"/>
    <w:rsid w:val="03685B9C"/>
    <w:rsid w:val="03D424E6"/>
    <w:rsid w:val="049D7FDE"/>
    <w:rsid w:val="04F63CC6"/>
    <w:rsid w:val="05DA705A"/>
    <w:rsid w:val="06400E71"/>
    <w:rsid w:val="069528D3"/>
    <w:rsid w:val="07A1465B"/>
    <w:rsid w:val="07CF5EEC"/>
    <w:rsid w:val="07EB0F1A"/>
    <w:rsid w:val="085327BB"/>
    <w:rsid w:val="085C5796"/>
    <w:rsid w:val="08A52DFF"/>
    <w:rsid w:val="08FC3767"/>
    <w:rsid w:val="090411D3"/>
    <w:rsid w:val="09A064A3"/>
    <w:rsid w:val="09AE68F1"/>
    <w:rsid w:val="0A597F3F"/>
    <w:rsid w:val="0C472F3C"/>
    <w:rsid w:val="0DDD0437"/>
    <w:rsid w:val="0E3804ED"/>
    <w:rsid w:val="0E3F4C6B"/>
    <w:rsid w:val="0E551E27"/>
    <w:rsid w:val="0FFE6D6C"/>
    <w:rsid w:val="123E55EC"/>
    <w:rsid w:val="12CB7C01"/>
    <w:rsid w:val="12EF4843"/>
    <w:rsid w:val="134C5AA1"/>
    <w:rsid w:val="139412EE"/>
    <w:rsid w:val="14BA13CD"/>
    <w:rsid w:val="155874A3"/>
    <w:rsid w:val="15FD116F"/>
    <w:rsid w:val="165D57B7"/>
    <w:rsid w:val="166F3C6D"/>
    <w:rsid w:val="1690383A"/>
    <w:rsid w:val="171659AA"/>
    <w:rsid w:val="17A53929"/>
    <w:rsid w:val="187668BA"/>
    <w:rsid w:val="18792896"/>
    <w:rsid w:val="1AB3725D"/>
    <w:rsid w:val="1ACD6FF8"/>
    <w:rsid w:val="1E1823CB"/>
    <w:rsid w:val="1E1D2B90"/>
    <w:rsid w:val="1E8E32A8"/>
    <w:rsid w:val="1EE95C5B"/>
    <w:rsid w:val="217F591B"/>
    <w:rsid w:val="21925097"/>
    <w:rsid w:val="229318FF"/>
    <w:rsid w:val="229A1643"/>
    <w:rsid w:val="23152068"/>
    <w:rsid w:val="234E1072"/>
    <w:rsid w:val="23CB4526"/>
    <w:rsid w:val="26D70594"/>
    <w:rsid w:val="26E919BE"/>
    <w:rsid w:val="27A47DDD"/>
    <w:rsid w:val="27AC7CC9"/>
    <w:rsid w:val="288464AA"/>
    <w:rsid w:val="28860294"/>
    <w:rsid w:val="28CF521A"/>
    <w:rsid w:val="29275089"/>
    <w:rsid w:val="2A965661"/>
    <w:rsid w:val="2AAE7BE1"/>
    <w:rsid w:val="2B524F68"/>
    <w:rsid w:val="2D1F6C70"/>
    <w:rsid w:val="2E0964AA"/>
    <w:rsid w:val="2F592C85"/>
    <w:rsid w:val="30AF3E6F"/>
    <w:rsid w:val="31A101D1"/>
    <w:rsid w:val="32670ECF"/>
    <w:rsid w:val="32805A67"/>
    <w:rsid w:val="32CA62CD"/>
    <w:rsid w:val="32D84F99"/>
    <w:rsid w:val="32E67722"/>
    <w:rsid w:val="32FB4A69"/>
    <w:rsid w:val="336F0F37"/>
    <w:rsid w:val="33AB0573"/>
    <w:rsid w:val="34422BCC"/>
    <w:rsid w:val="34AC4354"/>
    <w:rsid w:val="34C42820"/>
    <w:rsid w:val="34E55F43"/>
    <w:rsid w:val="34F27B45"/>
    <w:rsid w:val="35311E43"/>
    <w:rsid w:val="362D43E7"/>
    <w:rsid w:val="370C533A"/>
    <w:rsid w:val="374F5F3F"/>
    <w:rsid w:val="37D8510D"/>
    <w:rsid w:val="384C4EA0"/>
    <w:rsid w:val="385601F1"/>
    <w:rsid w:val="38F56B86"/>
    <w:rsid w:val="39B95739"/>
    <w:rsid w:val="39EE27C2"/>
    <w:rsid w:val="3A847683"/>
    <w:rsid w:val="3B2F2A32"/>
    <w:rsid w:val="3B4D1B31"/>
    <w:rsid w:val="3BE93DE9"/>
    <w:rsid w:val="3E8B7CBC"/>
    <w:rsid w:val="3E9739D8"/>
    <w:rsid w:val="3FC03E23"/>
    <w:rsid w:val="3FC267A5"/>
    <w:rsid w:val="3FD22FC7"/>
    <w:rsid w:val="3FDE6751"/>
    <w:rsid w:val="3FDE78A1"/>
    <w:rsid w:val="408D1B8F"/>
    <w:rsid w:val="40DF0E09"/>
    <w:rsid w:val="41543F25"/>
    <w:rsid w:val="417B67B7"/>
    <w:rsid w:val="41D157C2"/>
    <w:rsid w:val="41F97124"/>
    <w:rsid w:val="425603E3"/>
    <w:rsid w:val="42DA0485"/>
    <w:rsid w:val="437A53BF"/>
    <w:rsid w:val="43DC73BB"/>
    <w:rsid w:val="4458751E"/>
    <w:rsid w:val="45F62AB1"/>
    <w:rsid w:val="46BA6D19"/>
    <w:rsid w:val="46E82FB1"/>
    <w:rsid w:val="47031780"/>
    <w:rsid w:val="47281F9E"/>
    <w:rsid w:val="476651DD"/>
    <w:rsid w:val="48214178"/>
    <w:rsid w:val="483B1E05"/>
    <w:rsid w:val="4870538C"/>
    <w:rsid w:val="489566BD"/>
    <w:rsid w:val="492F1465"/>
    <w:rsid w:val="494F7FAB"/>
    <w:rsid w:val="498854B1"/>
    <w:rsid w:val="4BE115E5"/>
    <w:rsid w:val="4CEA2D7E"/>
    <w:rsid w:val="4D5B1197"/>
    <w:rsid w:val="4D624EAF"/>
    <w:rsid w:val="4D8A180B"/>
    <w:rsid w:val="4DB432F6"/>
    <w:rsid w:val="4E954280"/>
    <w:rsid w:val="4EF349C3"/>
    <w:rsid w:val="4F500EF7"/>
    <w:rsid w:val="4FCD588C"/>
    <w:rsid w:val="4FF3183B"/>
    <w:rsid w:val="4FF56E75"/>
    <w:rsid w:val="4FF7762A"/>
    <w:rsid w:val="503A0A23"/>
    <w:rsid w:val="509B122F"/>
    <w:rsid w:val="50C61561"/>
    <w:rsid w:val="515F5C27"/>
    <w:rsid w:val="51687056"/>
    <w:rsid w:val="51C33170"/>
    <w:rsid w:val="522E159E"/>
    <w:rsid w:val="5329786E"/>
    <w:rsid w:val="54525A49"/>
    <w:rsid w:val="54C120D0"/>
    <w:rsid w:val="54DC46EC"/>
    <w:rsid w:val="555A379D"/>
    <w:rsid w:val="55EA2A2C"/>
    <w:rsid w:val="5605007D"/>
    <w:rsid w:val="588E0985"/>
    <w:rsid w:val="58E13A06"/>
    <w:rsid w:val="594E241C"/>
    <w:rsid w:val="5C6357D3"/>
    <w:rsid w:val="5C76110E"/>
    <w:rsid w:val="5D3C3B24"/>
    <w:rsid w:val="5D496449"/>
    <w:rsid w:val="5D6967E0"/>
    <w:rsid w:val="5F5175FF"/>
    <w:rsid w:val="61E47B98"/>
    <w:rsid w:val="620E3E48"/>
    <w:rsid w:val="62272621"/>
    <w:rsid w:val="6248439C"/>
    <w:rsid w:val="638B4489"/>
    <w:rsid w:val="646F2F1F"/>
    <w:rsid w:val="64A2308F"/>
    <w:rsid w:val="64A926C7"/>
    <w:rsid w:val="64B4044D"/>
    <w:rsid w:val="650C7C0D"/>
    <w:rsid w:val="6559312D"/>
    <w:rsid w:val="663514F4"/>
    <w:rsid w:val="67B3569C"/>
    <w:rsid w:val="6A1D02D2"/>
    <w:rsid w:val="6A6909B1"/>
    <w:rsid w:val="6A724DC3"/>
    <w:rsid w:val="6C324745"/>
    <w:rsid w:val="6C603669"/>
    <w:rsid w:val="6C6F771A"/>
    <w:rsid w:val="6CBB3C39"/>
    <w:rsid w:val="6D550BB3"/>
    <w:rsid w:val="6F0C4ACF"/>
    <w:rsid w:val="6F40683E"/>
    <w:rsid w:val="71136F71"/>
    <w:rsid w:val="712D27DB"/>
    <w:rsid w:val="71363F0E"/>
    <w:rsid w:val="71A6516C"/>
    <w:rsid w:val="71AA15F1"/>
    <w:rsid w:val="7304063B"/>
    <w:rsid w:val="736A0139"/>
    <w:rsid w:val="74961386"/>
    <w:rsid w:val="754A1737"/>
    <w:rsid w:val="75F27075"/>
    <w:rsid w:val="760A4BBB"/>
    <w:rsid w:val="760D1A5C"/>
    <w:rsid w:val="76384823"/>
    <w:rsid w:val="76D35717"/>
    <w:rsid w:val="76DD4C70"/>
    <w:rsid w:val="775D5293"/>
    <w:rsid w:val="77935322"/>
    <w:rsid w:val="780204DD"/>
    <w:rsid w:val="79161645"/>
    <w:rsid w:val="7AAF4FDA"/>
    <w:rsid w:val="7AE765B8"/>
    <w:rsid w:val="7B193B0B"/>
    <w:rsid w:val="7B3545DB"/>
    <w:rsid w:val="7B397DEA"/>
    <w:rsid w:val="7C427128"/>
    <w:rsid w:val="7C7C0F53"/>
    <w:rsid w:val="7CFE11C6"/>
    <w:rsid w:val="7D1D1970"/>
    <w:rsid w:val="7DCA1740"/>
    <w:rsid w:val="7DF6594F"/>
    <w:rsid w:val="7DFD4F4B"/>
    <w:rsid w:val="7ED0697C"/>
    <w:rsid w:val="7F2D597E"/>
    <w:rsid w:val="7FDA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unhideWhenUsed/>
    <w:qFormat/>
    <w:uiPriority w:val="39"/>
    <w:pPr>
      <w:ind w:left="1260" w:leftChars="600"/>
    </w:pPr>
  </w:style>
  <w:style w:type="paragraph" w:styleId="6">
    <w:name w:val="toc 2"/>
    <w:basedOn w:val="1"/>
    <w:next w:val="1"/>
    <w:autoRedefine/>
    <w:unhideWhenUsed/>
    <w:qFormat/>
    <w:uiPriority w:val="39"/>
    <w:pPr>
      <w:ind w:left="420" w:leftChars="200"/>
    </w:p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unhideWhenUsed/>
    <w:qFormat/>
    <w:uiPriority w:val="99"/>
  </w:style>
  <w:style w:type="character" w:styleId="12">
    <w:name w:val="Hyperlink"/>
    <w:basedOn w:val="10"/>
    <w:autoRedefine/>
    <w:unhideWhenUsed/>
    <w:qFormat/>
    <w:uiPriority w:val="99"/>
    <w:rPr>
      <w:color w:val="0000FF"/>
      <w:u w:val="single"/>
    </w:rPr>
  </w:style>
  <w:style w:type="character" w:customStyle="1" w:styleId="13">
    <w:name w:val="页脚 Char"/>
    <w:basedOn w:val="10"/>
    <w:link w:val="3"/>
    <w:autoRedefine/>
    <w:qFormat/>
    <w:uiPriority w:val="0"/>
    <w:rPr>
      <w:kern w:val="2"/>
      <w:sz w:val="18"/>
      <w:szCs w:val="18"/>
    </w:rPr>
  </w:style>
  <w:style w:type="character" w:customStyle="1" w:styleId="14">
    <w:name w:val="页眉 Char"/>
    <w:basedOn w:val="10"/>
    <w:link w:val="4"/>
    <w:autoRedefine/>
    <w:qFormat/>
    <w:uiPriority w:val="0"/>
    <w:rPr>
      <w:kern w:val="2"/>
      <w:sz w:val="18"/>
      <w:szCs w:val="18"/>
    </w:rPr>
  </w:style>
  <w:style w:type="paragraph" w:customStyle="1" w:styleId="15">
    <w:name w:val="插入文本样式-插入部门职责文件"/>
    <w:basedOn w:val="1"/>
    <w:qFormat/>
    <w:uiPriority w:val="0"/>
    <w:pPr>
      <w:spacing w:line="500" w:lineRule="exact"/>
      <w:ind w:firstLine="560"/>
      <w:jc w:val="left"/>
    </w:pPr>
    <w:rPr>
      <w:rFonts w:ascii="Times New Roman" w:hAnsi="Times New Roman" w:eastAsia="方正仿宋_GBK"/>
      <w:sz w:val="28"/>
    </w:rPr>
  </w:style>
  <w:style w:type="paragraph" w:customStyle="1" w:styleId="16">
    <w:name w:val="单元格样式5"/>
    <w:basedOn w:val="1"/>
    <w:qFormat/>
    <w:uiPriority w:val="0"/>
    <w:pPr>
      <w:jc w:val="left"/>
    </w:pPr>
    <w:rPr>
      <w:rFonts w:ascii="方正书宋_GBK" w:hAnsi="方正书宋_GBK" w:eastAsia="方正书宋_GBK" w:cs="方正书宋_GBK"/>
      <w:b/>
    </w:rPr>
  </w:style>
  <w:style w:type="paragraph" w:customStyle="1" w:styleId="17">
    <w:name w:val="单元格样式4"/>
    <w:basedOn w:val="1"/>
    <w:qFormat/>
    <w:uiPriority w:val="0"/>
    <w:pPr>
      <w:jc w:val="right"/>
    </w:pPr>
    <w:rPr>
      <w:rFonts w:ascii="方正书宋_GBK" w:hAnsi="方正书宋_GBK" w:eastAsia="方正书宋_GBK" w:cs="方正书宋_GBK"/>
    </w:rPr>
  </w:style>
  <w:style w:type="paragraph" w:customStyle="1" w:styleId="18">
    <w:name w:val="单元格样式1"/>
    <w:basedOn w:val="1"/>
    <w:qFormat/>
    <w:uiPriority w:val="0"/>
    <w:pPr>
      <w:jc w:val="center"/>
    </w:pPr>
    <w:rPr>
      <w:rFonts w:ascii="方正书宋_GBK" w:hAnsi="方正书宋_GBK" w:eastAsia="方正书宋_GBK" w:cs="方正书宋_GBK"/>
      <w:b/>
    </w:rPr>
  </w:style>
  <w:style w:type="paragraph" w:customStyle="1" w:styleId="19">
    <w:name w:val="单元格样式2"/>
    <w:basedOn w:val="1"/>
    <w:qFormat/>
    <w:uiPriority w:val="0"/>
    <w:pPr>
      <w:jc w:val="left"/>
    </w:pPr>
    <w:rPr>
      <w:rFonts w:ascii="方正书宋_GBK" w:hAnsi="方正书宋_GBK" w:eastAsia="方正书宋_GBK" w:cs="方正书宋_GBK"/>
    </w:rPr>
  </w:style>
  <w:style w:type="paragraph" w:customStyle="1" w:styleId="20">
    <w:name w:val="单元格样式3"/>
    <w:basedOn w:val="1"/>
    <w:qFormat/>
    <w:uiPriority w:val="0"/>
    <w:pPr>
      <w:jc w:val="center"/>
    </w:pPr>
    <w:rPr>
      <w:rFonts w:ascii="方正书宋_GBK" w:hAnsi="方正书宋_GBK" w:eastAsia="方正书宋_GBK" w:cs="方正书宋_GBK"/>
    </w:rPr>
  </w:style>
  <w:style w:type="paragraph" w:customStyle="1" w:styleId="21">
    <w:name w:val="p0"/>
    <w:basedOn w:val="1"/>
    <w:autoRedefine/>
    <w:qFormat/>
    <w:uiPriority w:val="0"/>
    <w:pPr>
      <w:widowControl/>
    </w:pPr>
    <w:rPr>
      <w:rFonts w:ascii="宋体" w:hAnsi="宋体" w:cs="宋体"/>
      <w:kern w:val="0"/>
      <w:sz w:val="32"/>
      <w:szCs w:val="32"/>
    </w:rPr>
  </w:style>
  <w:style w:type="paragraph" w:customStyle="1" w:styleId="22">
    <w:name w:val="插入文本样式-插入总体目标文件"/>
    <w:basedOn w:val="1"/>
    <w:qFormat/>
    <w:uiPriority w:val="0"/>
    <w:pPr>
      <w:spacing w:line="500" w:lineRule="exact"/>
      <w:ind w:firstLine="560"/>
      <w:jc w:val="left"/>
    </w:pPr>
    <w:rPr>
      <w:rFonts w:ascii="Times New Roman" w:hAnsi="Times New Roman"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sz w:val="28"/>
    </w:rPr>
  </w:style>
  <w:style w:type="paragraph" w:customStyle="1" w:styleId="24">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25">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26">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7">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8">
    <w:name w:val="TOC 2"/>
    <w:basedOn w:val="1"/>
    <w:autoRedefine/>
    <w:qFormat/>
    <w:uiPriority w:val="0"/>
    <w:pPr>
      <w:widowControl/>
      <w:ind w:left="240"/>
      <w:jc w:val="left"/>
    </w:pPr>
    <w:rPr>
      <w:rFonts w:ascii="Times New Roman" w:hAnsi="Times New Roman" w:eastAsia="Times New Roman"/>
      <w:kern w:val="0"/>
      <w:sz w:val="24"/>
      <w:szCs w:val="24"/>
      <w:lang w:eastAsia="uk-UA"/>
    </w:rPr>
  </w:style>
  <w:style w:type="paragraph" w:customStyle="1" w:styleId="29">
    <w:name w:val="TOC 4"/>
    <w:basedOn w:val="1"/>
    <w:qFormat/>
    <w:uiPriority w:val="0"/>
    <w:pPr>
      <w:widowControl/>
      <w:ind w:left="720"/>
      <w:jc w:val="left"/>
    </w:pPr>
    <w:rPr>
      <w:rFonts w:ascii="Times New Roman" w:hAnsi="Times New Roman" w:eastAsia="Times New Roman"/>
      <w:kern w:val="0"/>
      <w:sz w:val="24"/>
      <w:szCs w:val="24"/>
      <w:lang w:eastAsia="uk-UA"/>
    </w:rPr>
  </w:style>
  <w:style w:type="paragraph" w:customStyle="1" w:styleId="30">
    <w:name w:val="TOC 1"/>
    <w:basedOn w:val="1"/>
    <w:autoRedefine/>
    <w:qFormat/>
    <w:uiPriority w:val="0"/>
    <w:pPr>
      <w:widowControl/>
      <w:spacing w:before="120"/>
      <w:jc w:val="left"/>
    </w:pPr>
    <w:rPr>
      <w:rFonts w:ascii="Times New Roman" w:hAnsi="Times New Roman" w:eastAsia="方正仿宋_GBK"/>
      <w:color w:val="000000"/>
      <w:kern w:val="0"/>
      <w:sz w:val="28"/>
      <w:szCs w:val="24"/>
      <w:lang w:eastAsia="uk-UA"/>
    </w:rPr>
  </w:style>
  <w:style w:type="paragraph" w:customStyle="1" w:styleId="31">
    <w:name w:val="正文1"/>
    <w:basedOn w:val="1"/>
    <w:next w:val="1"/>
    <w:autoRedefine/>
    <w:qFormat/>
    <w:uiPriority w:val="0"/>
    <w:pPr>
      <w:snapToGrid w:val="0"/>
      <w:spacing w:line="324" w:lineRule="auto"/>
      <w:ind w:firstLine="200" w:firstLineChars="200"/>
      <w:jc w:val="left"/>
    </w:pPr>
    <w:rPr>
      <w:rFonts w:ascii="Times New Roman" w:hAnsi="Times New Roman" w:cs="宋体"/>
      <w:snapToGrid w:val="0"/>
      <w:kern w:val="0"/>
      <w:szCs w:val="24"/>
    </w:rPr>
  </w:style>
  <w:style w:type="character" w:customStyle="1" w:styleId="32">
    <w:name w:val="font111"/>
    <w:basedOn w:val="10"/>
    <w:autoRedefine/>
    <w:qFormat/>
    <w:uiPriority w:val="0"/>
    <w:rPr>
      <w:rFonts w:ascii="黑体" w:hAnsi="宋体" w:eastAsia="黑体" w:cs="黑体"/>
      <w:color w:val="000000"/>
      <w:sz w:val="22"/>
      <w:szCs w:val="22"/>
      <w:u w:val="none"/>
    </w:rPr>
  </w:style>
  <w:style w:type="character" w:customStyle="1" w:styleId="33">
    <w:name w:val="font21"/>
    <w:basedOn w:val="10"/>
    <w:autoRedefine/>
    <w:qFormat/>
    <w:uiPriority w:val="0"/>
    <w:rPr>
      <w:rFonts w:hint="default" w:ascii="Times New Roman" w:hAnsi="Times New Roman" w:cs="Times New Roman"/>
      <w:color w:val="000000"/>
      <w:sz w:val="22"/>
      <w:szCs w:val="22"/>
      <w:u w:val="none"/>
    </w:rPr>
  </w:style>
  <w:style w:type="character" w:customStyle="1" w:styleId="34">
    <w:name w:val="font81"/>
    <w:basedOn w:val="10"/>
    <w:autoRedefine/>
    <w:qFormat/>
    <w:uiPriority w:val="0"/>
    <w:rPr>
      <w:rFonts w:hint="default" w:ascii="方正仿宋_GBK" w:hAnsi="方正仿宋_GBK" w:eastAsia="方正仿宋_GBK" w:cs="方正仿宋_GBK"/>
      <w:color w:val="000000"/>
      <w:sz w:val="22"/>
      <w:szCs w:val="22"/>
      <w:u w:val="none"/>
    </w:rPr>
  </w:style>
  <w:style w:type="character" w:customStyle="1" w:styleId="35">
    <w:name w:val="font91"/>
    <w:basedOn w:val="10"/>
    <w:autoRedefine/>
    <w:qFormat/>
    <w:uiPriority w:val="0"/>
    <w:rPr>
      <w:rFonts w:hint="default" w:ascii="Times New Roman" w:hAnsi="Times New Roman" w:cs="Times New Roman"/>
      <w:color w:val="000000"/>
      <w:sz w:val="22"/>
      <w:szCs w:val="22"/>
      <w:u w:val="none"/>
    </w:rPr>
  </w:style>
  <w:style w:type="character" w:customStyle="1" w:styleId="36">
    <w:name w:val="font141"/>
    <w:basedOn w:val="10"/>
    <w:qFormat/>
    <w:uiPriority w:val="0"/>
    <w:rPr>
      <w:rFonts w:ascii="方正书宋_GBK" w:hAnsi="方正书宋_GBK" w:eastAsia="方正书宋_GBK" w:cs="方正书宋_GBK"/>
      <w:b/>
      <w:bCs/>
      <w:color w:val="000000"/>
      <w:sz w:val="22"/>
      <w:szCs w:val="22"/>
      <w:u w:val="none"/>
    </w:rPr>
  </w:style>
  <w:style w:type="character" w:customStyle="1" w:styleId="37">
    <w:name w:val="font41"/>
    <w:basedOn w:val="10"/>
    <w:qFormat/>
    <w:uiPriority w:val="0"/>
    <w:rPr>
      <w:rFonts w:hint="default" w:ascii="Times New Roman" w:hAnsi="Times New Roman" w:cs="Times New Roman"/>
      <w:b/>
      <w:bCs/>
      <w:color w:val="000000"/>
      <w:sz w:val="22"/>
      <w:szCs w:val="22"/>
      <w:u w:val="none"/>
    </w:rPr>
  </w:style>
  <w:style w:type="character" w:customStyle="1" w:styleId="38">
    <w:name w:val="font121"/>
    <w:basedOn w:val="10"/>
    <w:qFormat/>
    <w:uiPriority w:val="0"/>
    <w:rPr>
      <w:rFonts w:hint="default" w:ascii="方正仿宋_GBK" w:hAnsi="方正仿宋_GBK" w:eastAsia="方正仿宋_GBK" w:cs="方正仿宋_GBK"/>
      <w:color w:val="000000"/>
      <w:sz w:val="22"/>
      <w:szCs w:val="22"/>
      <w:u w:val="none"/>
    </w:rPr>
  </w:style>
  <w:style w:type="character" w:customStyle="1" w:styleId="39">
    <w:name w:val="font151"/>
    <w:basedOn w:val="10"/>
    <w:qFormat/>
    <w:uiPriority w:val="0"/>
    <w:rPr>
      <w:rFonts w:hint="default" w:ascii="方正仿宋_GBK" w:hAnsi="方正仿宋_GBK" w:eastAsia="方正仿宋_GBK" w:cs="方正仿宋_GBK"/>
      <w:b/>
      <w:bCs/>
      <w:color w:val="000000"/>
      <w:sz w:val="22"/>
      <w:szCs w:val="22"/>
      <w:u w:val="none"/>
    </w:rPr>
  </w:style>
  <w:style w:type="character" w:customStyle="1" w:styleId="40">
    <w:name w:val="font112"/>
    <w:basedOn w:val="10"/>
    <w:qFormat/>
    <w:uiPriority w:val="0"/>
    <w:rPr>
      <w:rFonts w:ascii="黑体" w:hAnsi="宋体" w:eastAsia="黑体" w:cs="黑体"/>
      <w:color w:val="000000"/>
      <w:sz w:val="22"/>
      <w:szCs w:val="22"/>
      <w:u w:val="none"/>
    </w:rPr>
  </w:style>
  <w:style w:type="character" w:customStyle="1" w:styleId="41">
    <w:name w:val="font11"/>
    <w:basedOn w:val="10"/>
    <w:qFormat/>
    <w:uiPriority w:val="0"/>
    <w:rPr>
      <w:rFonts w:hint="default" w:ascii="Times New Roman" w:hAnsi="Times New Roman" w:cs="Times New Roman"/>
      <w:color w:val="000000"/>
      <w:sz w:val="36"/>
      <w:szCs w:val="36"/>
      <w:u w:val="none"/>
    </w:rPr>
  </w:style>
  <w:style w:type="character" w:customStyle="1" w:styleId="42">
    <w:name w:val="font61"/>
    <w:basedOn w:val="10"/>
    <w:autoRedefine/>
    <w:qFormat/>
    <w:uiPriority w:val="0"/>
    <w:rPr>
      <w:rFonts w:hint="default" w:ascii="方正仿宋_GBK" w:hAnsi="方正仿宋_GBK" w:eastAsia="方正仿宋_GBK" w:cs="方正仿宋_GBK"/>
      <w:color w:val="000000"/>
      <w:sz w:val="22"/>
      <w:szCs w:val="22"/>
      <w:u w:val="none"/>
    </w:rPr>
  </w:style>
  <w:style w:type="character" w:customStyle="1" w:styleId="43">
    <w:name w:val="font71"/>
    <w:basedOn w:val="10"/>
    <w:qFormat/>
    <w:uiPriority w:val="0"/>
    <w:rPr>
      <w:rFonts w:hint="default" w:ascii="Times New Roman" w:hAnsi="Times New Roman" w:cs="Times New Roman"/>
      <w:color w:val="000000"/>
      <w:sz w:val="22"/>
      <w:szCs w:val="22"/>
      <w:u w:val="none"/>
    </w:rPr>
  </w:style>
  <w:style w:type="character" w:customStyle="1" w:styleId="44">
    <w:name w:val="font131"/>
    <w:basedOn w:val="10"/>
    <w:qFormat/>
    <w:uiPriority w:val="0"/>
    <w:rPr>
      <w:rFonts w:ascii="方正书宋_GBK" w:hAnsi="方正书宋_GBK" w:eastAsia="方正书宋_GBK" w:cs="方正书宋_GBK"/>
      <w:b/>
      <w:bCs/>
      <w:color w:val="000000"/>
      <w:sz w:val="22"/>
      <w:szCs w:val="22"/>
      <w:u w:val="none"/>
    </w:rPr>
  </w:style>
  <w:style w:type="paragraph" w:customStyle="1" w:styleId="45">
    <w:name w:val="样式 样式 正文缩进正文（首行缩进两字）正文2 + 首行缩进:  2 字符 + 首行缩进:  2 字符"/>
    <w:basedOn w:val="1"/>
    <w:qFormat/>
    <w:uiPriority w:val="0"/>
    <w:pPr>
      <w:snapToGrid w:val="0"/>
      <w:spacing w:line="324" w:lineRule="auto"/>
      <w:ind w:firstLine="600"/>
    </w:pPr>
    <w:rPr>
      <w:rFonts w:ascii="Times New Roman" w:hAnsi="Times New Roman" w:cs="宋体"/>
      <w:sz w:val="28"/>
      <w:szCs w:val="20"/>
    </w:rPr>
  </w:style>
  <w:style w:type="paragraph" w:customStyle="1" w:styleId="46">
    <w:name w:val="标4"/>
    <w:basedOn w:val="1"/>
    <w:next w:val="1"/>
    <w:qFormat/>
    <w:uiPriority w:val="0"/>
    <w:pPr>
      <w:adjustRightInd w:val="0"/>
      <w:spacing w:before="240" w:after="360" w:line="240" w:lineRule="exact"/>
      <w:jc w:val="lef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10887</Words>
  <Characters>12452</Characters>
  <Lines>112</Lines>
  <Paragraphs>31</Paragraphs>
  <TotalTime>4</TotalTime>
  <ScaleCrop>false</ScaleCrop>
  <LinksUpToDate>false</LinksUpToDate>
  <CharactersWithSpaces>13456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2021-04-08T09:25:00Z</dcterms:created>
  <dc:creator>微软用户</dc:creator>
  <cp:lastModifiedBy>我心依旧</cp:lastModifiedBy>
  <cp:lastPrinted>2022-04-06T09:47:00Z</cp:lastPrinted>
  <dcterms:modified xsi:type="dcterms:W3CDTF">2024-03-21T07:30:24Z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A9931B1C52B94D8891564A89C02DE4EF</vt:lpwstr>
  </property>
</Properties>
</file>