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年部门预算信息公开目录</w:t>
      </w:r>
    </w:p>
    <w:p>
      <w:pPr>
        <w:jc w:val="center"/>
        <w:rPr>
          <w:rFonts w:ascii="Times New Roman" w:hAnsi="宋体" w:eastAsia="宋体" w:cs="Times New Roman"/>
          <w:b/>
          <w:sz w:val="30"/>
        </w:rPr>
      </w:pPr>
      <w:r>
        <w:rPr>
          <w:rFonts w:ascii="黑体" w:hAnsi="黑体" w:eastAsia="黑体" w:cs="Times New Roman"/>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部门预算收入总表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4</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部门预算支出总表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5</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部门预算财政拨款收支总表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6</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方正仿宋_GBK"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部门预算一般公共预算财政拨款支出表</w:t>
      </w:r>
      <w:r>
        <w:rPr>
          <w:rFonts w:ascii="Times New Roman" w:hAnsi="Calibri" w:eastAsia="方正仿宋_GBK" w:cs="Times New Roman"/>
          <w:sz w:val="28"/>
        </w:rPr>
        <w:tab/>
      </w:r>
      <w:r>
        <w:rPr>
          <w:rFonts w:hint="eastAsia" w:ascii="Times New Roman" w:hAnsi="Calibri" w:eastAsia="方正仿宋_GBK" w:cs="Times New Roman"/>
          <w:sz w:val="28"/>
          <w:lang w:val="en-US" w:eastAsia="zh-CN"/>
        </w:rPr>
        <w:t>..</w:t>
      </w:r>
      <w:r>
        <w:rPr>
          <w:rStyle w:val="9"/>
          <w:rFonts w:ascii="Times New Roman" w:hAnsi="Calibri" w:eastAsia="方正仿宋_GBK" w:cs="Times New Roman"/>
          <w:sz w:val="28"/>
          <w:u w:val="none"/>
        </w:rPr>
        <w:fldChar w:fldCharType="end"/>
      </w:r>
      <w:r>
        <w:rPr>
          <w:rStyle w:val="9"/>
          <w:rFonts w:hint="eastAsia" w:ascii="Times New Roman" w:hAnsi="Calibri" w:eastAsia="方正仿宋_GBK" w:cs="Times New Roman"/>
          <w:sz w:val="28"/>
          <w:u w:val="none"/>
          <w:lang w:val="en-US" w:eastAsia="zh-CN"/>
        </w:rPr>
        <w:t>8</w:t>
      </w:r>
    </w:p>
    <w:p>
      <w:pPr>
        <w:pStyle w:val="6"/>
        <w:tabs>
          <w:tab w:val="right" w:leader="dot" w:pos="14789"/>
        </w:tabs>
        <w:jc w:val="center"/>
        <w:rPr>
          <w:rFonts w:hint="eastAsia" w:ascii="Times New Roman" w:hAnsi="Calibri" w:eastAsia="方正仿宋_GBK"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9</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1</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2</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部门预算财政拨款“三公”经费支出表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3</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一、部门职责及机构设置情况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4</w:t>
      </w:r>
    </w:p>
    <w:p>
      <w:pPr>
        <w:pStyle w:val="2"/>
        <w:tabs>
          <w:tab w:val="right" w:leader="dot" w:pos="14789"/>
        </w:tabs>
        <w:ind w:left="420" w:leftChars="200"/>
        <w:jc w:val="center"/>
        <w:rPr>
          <w:rStyle w:val="9"/>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pgNumType w:fmt="decimal"/>
          <w:cols w:space="720" w:num="1"/>
          <w:docGrid w:type="lines" w:linePitch="312" w:charSpace="0"/>
        </w:sectPr>
      </w:pPr>
    </w:p>
    <w:p>
      <w:pPr>
        <w:pStyle w:val="2"/>
        <w:tabs>
          <w:tab w:val="right" w:leader="dot" w:pos="14789"/>
        </w:tabs>
        <w:ind w:left="420" w:leftChars="200"/>
        <w:jc w:val="center"/>
        <w:rPr>
          <w:rFonts w:hint="eastAsia" w:ascii="Times New Roman" w:hAnsi="Calibri" w:eastAsia="方正仿宋_GBK"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二、部门预算安排的总体情况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方正仿宋_GBK" w:cs="Times New Roman"/>
          <w:sz w:val="28"/>
          <w:u w:val="none"/>
          <w:lang w:val="en-US" w:eastAsia="zh-CN"/>
        </w:rPr>
        <w:t>6</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四、财政拨款</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三公</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7</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3</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4</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24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outlineLvl w:val="9"/>
        <w:rPr>
          <w:rFonts w:hint="eastAsia" w:ascii="方正仿宋简体" w:hAnsi="方正仿宋简体" w:eastAsia="方正仿宋简体" w:cs="方正仿宋简体"/>
          <w:i w:val="0"/>
          <w:iCs w:val="0"/>
          <w:color w:val="000000"/>
          <w:kern w:val="0"/>
          <w:sz w:val="28"/>
          <w:szCs w:val="28"/>
          <w:u w:val="none"/>
          <w:lang w:val="en-US" w:eastAsia="zh-CN" w:bidi="ar"/>
        </w:rPr>
        <w:sectPr>
          <w:footerReference r:id="rId4" w:type="default"/>
          <w:pgSz w:w="16838" w:h="11906" w:orient="landscape"/>
          <w:pgMar w:top="680" w:right="1020" w:bottom="680" w:left="1020" w:header="851" w:footer="992" w:gutter="0"/>
          <w:pgNumType w:fmt="decimal" w:start="1"/>
          <w:cols w:space="425" w:num="1"/>
          <w:docGrid w:type="lines" w:linePitch="312" w:charSpace="0"/>
        </w:sectPr>
      </w:pPr>
      <w:r>
        <w:rPr>
          <w:rFonts w:ascii="Times New Roman" w:hAnsi="Calibri" w:eastAsia="方正仿宋_GBK" w:cs="Times New Roman"/>
          <w:sz w:val="28"/>
        </w:rPr>
        <w:fldChar w:fldCharType="end"/>
      </w:r>
      <w:sdt>
        <w:sdtPr>
          <w:rPr>
            <w:rFonts w:ascii="宋体" w:hAnsi="宋体" w:eastAsia="宋体" w:cstheme="minorBidi"/>
            <w:kern w:val="2"/>
            <w:sz w:val="21"/>
            <w:szCs w:val="24"/>
            <w:lang w:val="en-US" w:eastAsia="zh-CN" w:bidi="ar-SA"/>
          </w:rPr>
          <w:id w:val="147459500"/>
          <w:showingPlcHdr/>
          <w15:color w:val="DBDBDB"/>
          <w:docPartObj>
            <w:docPartGallery w:val="Table of Contents"/>
            <w:docPartUnique/>
          </w:docPartObj>
        </w:sdtPr>
        <w:sdtEndPr>
          <w:rPr>
            <w:rFonts w:hint="eastAsia" w:ascii="方正仿宋简体" w:hAnsi="方正仿宋简体" w:eastAsia="方正仿宋简体" w:cs="方正仿宋简体"/>
            <w:i w:val="0"/>
            <w:iCs w:val="0"/>
            <w:color w:val="000000"/>
            <w:kern w:val="0"/>
            <w:sz w:val="21"/>
            <w:szCs w:val="28"/>
            <w:u w:val="none"/>
            <w:lang w:val="en-US" w:eastAsia="zh-CN" w:bidi="ar"/>
          </w:rPr>
        </w:sdtEndPr>
        <w:sdtContent/>
      </w:sdt>
    </w:p>
    <w:p>
      <w:pPr>
        <w:keepNext w:val="0"/>
        <w:keepLines w:val="0"/>
        <w:widowControl/>
        <w:suppressLineNumbers w:val="0"/>
        <w:jc w:val="left"/>
        <w:textAlignment w:val="center"/>
        <w:outlineLvl w:val="0"/>
        <w:rPr>
          <w:rFonts w:hint="eastAsia" w:ascii="方正仿宋简体" w:hAnsi="方正仿宋简体" w:eastAsia="方正仿宋简体" w:cs="方正仿宋简体"/>
          <w:i w:val="0"/>
          <w:iCs w:val="0"/>
          <w:color w:val="000000"/>
          <w:kern w:val="0"/>
          <w:sz w:val="28"/>
          <w:szCs w:val="28"/>
          <w:u w:val="none"/>
          <w:lang w:val="en-US" w:eastAsia="zh-CN" w:bidi="ar"/>
        </w:rPr>
      </w:pPr>
      <w:bookmarkStart w:id="0" w:name="_Toc14704"/>
      <w:r>
        <w:rPr>
          <w:rFonts w:hint="eastAsia" w:ascii="方正仿宋简体" w:hAnsi="方正仿宋简体" w:eastAsia="方正仿宋简体" w:cs="方正仿宋简体"/>
          <w:i w:val="0"/>
          <w:iCs w:val="0"/>
          <w:color w:val="000000"/>
          <w:kern w:val="0"/>
          <w:sz w:val="28"/>
          <w:szCs w:val="28"/>
          <w:u w:val="none"/>
          <w:lang w:val="en-US" w:eastAsia="zh-CN" w:bidi="ar"/>
        </w:rPr>
        <w:t>附表1-1</w:t>
      </w:r>
      <w:bookmarkEnd w:id="0"/>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1"/>
        <w:gridCol w:w="2303"/>
        <w:gridCol w:w="5000"/>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0"/>
                <w:rFonts w:hint="eastAsia" w:ascii="方正小标宋简体" w:hAnsi="方正小标宋简体" w:eastAsia="方正小标宋简体" w:cs="方正小标宋简体"/>
                <w:sz w:val="44"/>
                <w:szCs w:val="44"/>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w:t>
            </w:r>
          </w:p>
        </w:tc>
        <w:tc>
          <w:tcPr>
            <w:tcW w:w="766"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Style w:val="11"/>
                <w:rFonts w:hint="eastAsia" w:ascii="方正仿宋简体" w:hAnsi="方正仿宋简体" w:eastAsia="方正仿宋简体" w:cs="方正仿宋简体"/>
                <w:sz w:val="28"/>
                <w:szCs w:val="28"/>
                <w:lang w:val="en-US" w:eastAsia="zh-CN" w:bidi="ar"/>
              </w:rPr>
              <w:t>预算年度：</w:t>
            </w:r>
            <w:r>
              <w:rPr>
                <w:rStyle w:val="12"/>
                <w:rFonts w:hint="eastAsia" w:ascii="方正仿宋简体" w:hAnsi="方正仿宋简体" w:eastAsia="方正仿宋简体" w:cs="方正仿宋简体"/>
                <w:sz w:val="28"/>
                <w:szCs w:val="28"/>
                <w:lang w:val="en-US" w:eastAsia="zh-CN" w:bidi="ar"/>
              </w:rPr>
              <w:t>2022</w:t>
            </w:r>
          </w:p>
        </w:tc>
        <w:tc>
          <w:tcPr>
            <w:tcW w:w="1665"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575"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Style w:val="11"/>
                <w:rFonts w:hint="eastAsia" w:ascii="方正仿宋简体" w:hAnsi="方正仿宋简体" w:eastAsia="方正仿宋简体" w:cs="方正仿宋简体"/>
                <w:sz w:val="28"/>
                <w:szCs w:val="28"/>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5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收入</w:t>
            </w:r>
          </w:p>
        </w:tc>
        <w:tc>
          <w:tcPr>
            <w:tcW w:w="224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项</w:t>
            </w:r>
            <w:r>
              <w:rPr>
                <w:rStyle w:val="14"/>
                <w:rFonts w:hint="eastAsia" w:ascii="方正仿宋简体" w:hAnsi="方正仿宋简体" w:eastAsia="方正仿宋简体" w:cs="方正仿宋简体"/>
                <w:sz w:val="28"/>
                <w:szCs w:val="28"/>
                <w:lang w:val="en-US" w:eastAsia="zh-CN" w:bidi="ar"/>
              </w:rPr>
              <w:t xml:space="preserve">    </w:t>
            </w:r>
            <w:r>
              <w:rPr>
                <w:rStyle w:val="13"/>
                <w:rFonts w:hint="eastAsia" w:ascii="方正仿宋简体" w:hAnsi="方正仿宋简体" w:eastAsia="方正仿宋简体" w:cs="方正仿宋简体"/>
                <w:sz w:val="28"/>
                <w:szCs w:val="28"/>
                <w:lang w:val="en-US" w:eastAsia="zh-CN" w:bidi="ar"/>
              </w:rPr>
              <w:t>目</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预算数</w:t>
            </w: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项</w:t>
            </w:r>
            <w:r>
              <w:rPr>
                <w:rStyle w:val="14"/>
                <w:rFonts w:hint="eastAsia" w:ascii="方正仿宋简体" w:hAnsi="方正仿宋简体" w:eastAsia="方正仿宋简体" w:cs="方正仿宋简体"/>
                <w:sz w:val="28"/>
                <w:szCs w:val="28"/>
                <w:lang w:val="en-US" w:eastAsia="zh-CN" w:bidi="ar"/>
              </w:rPr>
              <w:t xml:space="preserve">    </w:t>
            </w:r>
            <w:r>
              <w:rPr>
                <w:rStyle w:val="13"/>
                <w:rFonts w:hint="eastAsia" w:ascii="方正仿宋简体" w:hAnsi="方正仿宋简体" w:eastAsia="方正仿宋简体" w:cs="方正仿宋简体"/>
                <w:sz w:val="28"/>
                <w:szCs w:val="28"/>
                <w:lang w:val="en-US" w:eastAsia="zh-CN" w:bidi="ar"/>
              </w:rPr>
              <w:t>目</w:t>
            </w:r>
          </w:p>
        </w:tc>
        <w:tc>
          <w:tcPr>
            <w:tcW w:w="5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3"/>
                <w:rFonts w:hint="eastAsia" w:ascii="方正仿宋简体" w:hAnsi="方正仿宋简体" w:eastAsia="方正仿宋简体" w:cs="方正仿宋简体"/>
                <w:sz w:val="28"/>
                <w:szCs w:val="28"/>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一、一般公共预算拨款收入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一、一般公共服务支出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二、政府性基金预算拨款收入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二、外交支出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三、国有资本经营预算拨款收入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三、国防支出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四、财政专户管理资金收入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四、公共安全支出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五、事业收入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五、教育支出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六、事业单位经营收入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六、科学技术支出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七、上级补助收入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七、文化体育与传媒支出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八、附属单位上缴收入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八、社会保障和就业支出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九、其他收入</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九、卫生健康支出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十、节能环保支出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十一、城乡社区支出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十二、农林水支出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十三、交通运输支出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十四、资源勘探工业信息等支出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十五、商业服务业等支出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十六、金融支出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十七、援助其他地区支出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十八、自然资源海洋气象等支出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十九、住房保障支出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二十、粮油物资储备支出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二十一、国有资本经营预算支出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二十二、灾害防治及应急管理支出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二十三、债务还本支出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二十四、债务付息支出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二十五、债务发行费用支出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i w:val="0"/>
                <w:iCs w:val="0"/>
                <w:color w:val="000000"/>
                <w:sz w:val="28"/>
                <w:szCs w:val="28"/>
                <w:u w:val="none"/>
              </w:rPr>
            </w:pP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Style w:val="15"/>
                <w:rFonts w:hint="eastAsia" w:ascii="方正仿宋简体" w:hAnsi="方正仿宋简体" w:eastAsia="方正仿宋简体" w:cs="方正仿宋简体"/>
                <w:sz w:val="28"/>
                <w:szCs w:val="28"/>
                <w:lang w:val="en-US" w:eastAsia="zh-CN" w:bidi="ar"/>
              </w:rPr>
              <w:t>二十六、其他支出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本年收入合计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本年支出合计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上年结转结余</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p>
        </w:tc>
        <w:tc>
          <w:tcPr>
            <w:tcW w:w="1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年终结转结余</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9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总计</w:t>
            </w:r>
          </w:p>
        </w:tc>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c>
          <w:tcPr>
            <w:tcW w:w="1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总计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5"/>
                <w:rFonts w:hint="eastAsia" w:ascii="方正仿宋简体" w:hAnsi="方正仿宋简体" w:eastAsia="方正仿宋简体" w:cs="方正仿宋简体"/>
                <w:i w:val="0"/>
                <w:iCs w:val="0"/>
                <w:color w:val="000000"/>
                <w:sz w:val="28"/>
                <w:szCs w:val="28"/>
                <w:lang w:val="en-US" w:eastAsia="zh-CN" w:bidi="ar"/>
              </w:rPr>
            </w:pPr>
            <w:r>
              <w:rPr>
                <w:rStyle w:val="15"/>
                <w:rFonts w:hint="eastAsia" w:ascii="方正仿宋简体" w:hAnsi="方正仿宋简体" w:eastAsia="方正仿宋简体" w:cs="方正仿宋简体"/>
                <w:i w:val="0"/>
                <w:iCs w:val="0"/>
                <w:color w:val="000000"/>
                <w:sz w:val="28"/>
                <w:szCs w:val="28"/>
                <w:lang w:val="en-US" w:eastAsia="zh-CN" w:bidi="ar"/>
              </w:rPr>
              <w:t>154.43</w:t>
            </w:r>
          </w:p>
        </w:tc>
      </w:tr>
    </w:tbl>
    <w:p/>
    <w:p/>
    <w:p/>
    <w:p/>
    <w:p/>
    <w:p>
      <w:pPr>
        <w:jc w:val="left"/>
        <w:outlineLvl w:val="0"/>
        <w:rPr>
          <w:sz w:val="28"/>
          <w:szCs w:val="28"/>
        </w:rPr>
      </w:pPr>
      <w:bookmarkStart w:id="1" w:name="_Toc18139"/>
      <w:r>
        <w:rPr>
          <w:rFonts w:hint="eastAsia" w:ascii="方正仿宋简体" w:hAnsi="方正仿宋简体" w:eastAsia="方正仿宋简体" w:cs="方正仿宋简体"/>
          <w:i w:val="0"/>
          <w:iCs w:val="0"/>
          <w:color w:val="000000"/>
          <w:kern w:val="0"/>
          <w:sz w:val="28"/>
          <w:szCs w:val="28"/>
          <w:u w:val="none"/>
          <w:lang w:val="en-US" w:eastAsia="zh-CN" w:bidi="ar"/>
        </w:rPr>
        <w:t>附表1-2</w:t>
      </w:r>
      <w:bookmarkEnd w:id="1"/>
    </w:p>
    <w:p/>
    <w:tbl>
      <w:tblPr>
        <w:tblStyle w:val="7"/>
        <w:tblW w:w="155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7"/>
        <w:gridCol w:w="3191"/>
        <w:gridCol w:w="1200"/>
        <w:gridCol w:w="1206"/>
        <w:gridCol w:w="1235"/>
        <w:gridCol w:w="982"/>
        <w:gridCol w:w="1077"/>
        <w:gridCol w:w="968"/>
        <w:gridCol w:w="982"/>
        <w:gridCol w:w="1186"/>
        <w:gridCol w:w="832"/>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58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0"/>
                <w:rFonts w:hint="eastAsia" w:ascii="方正小标宋简体" w:hAnsi="方正小标宋简体" w:eastAsia="方正小标宋简体" w:cs="方正小标宋简体"/>
                <w:i w:val="0"/>
                <w:iCs w:val="0"/>
                <w:color w:val="000000"/>
                <w:sz w:val="44"/>
                <w:szCs w:val="44"/>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78" w:type="dxa"/>
            <w:gridSpan w:val="3"/>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w:t>
            </w:r>
          </w:p>
        </w:tc>
        <w:tc>
          <w:tcPr>
            <w:tcW w:w="120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235"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2059"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预算年度：2022</w:t>
            </w:r>
          </w:p>
        </w:tc>
        <w:tc>
          <w:tcPr>
            <w:tcW w:w="96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98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18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66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0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84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本年收入</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bCs/>
                <w:i w:val="0"/>
                <w:iCs w:val="0"/>
                <w:color w:val="000000"/>
                <w:sz w:val="28"/>
                <w:szCs w:val="28"/>
                <w:u w:val="none"/>
              </w:rPr>
            </w:pPr>
            <w:r>
              <w:rPr>
                <w:rStyle w:val="19"/>
                <w:rFonts w:hint="eastAsia" w:ascii="方正仿宋简体" w:hAnsi="方正仿宋简体" w:eastAsia="方正仿宋简体" w:cs="方正仿宋简体"/>
                <w:b w:val="0"/>
                <w:bCs w:val="0"/>
                <w:sz w:val="28"/>
                <w:szCs w:val="28"/>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功能分类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科目编码</w:t>
            </w:r>
          </w:p>
        </w:tc>
        <w:tc>
          <w:tcPr>
            <w:tcW w:w="31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财政拨款收入</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财政专户收入</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事业收入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经营收入</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上级补助收入</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附属单位上缴收入</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其他收入</w:t>
            </w: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0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154.43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一般公共服务支出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20103</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政府办公厅（室）及相</w:t>
            </w:r>
            <w:r>
              <w:rPr>
                <w:rFonts w:hint="eastAsia" w:ascii="方正仿宋简体" w:hAnsi="方正仿宋简体" w:eastAsia="方正仿宋简体" w:cs="方正仿宋简体"/>
                <w:i w:val="0"/>
                <w:iCs w:val="0"/>
                <w:color w:val="000000"/>
                <w:kern w:val="0"/>
                <w:sz w:val="24"/>
                <w:szCs w:val="24"/>
                <w:u w:val="none"/>
                <w:lang w:val="en-US" w:eastAsia="zh-CN" w:bidi="ar"/>
              </w:rPr>
              <w:t>关机构</w:t>
            </w:r>
            <w:r>
              <w:rPr>
                <w:rFonts w:hint="eastAsia" w:ascii="方正仿宋简体" w:hAnsi="方正仿宋简体" w:eastAsia="方正仿宋简体" w:cs="方正仿宋简体"/>
                <w:i w:val="0"/>
                <w:iCs w:val="0"/>
                <w:color w:val="000000"/>
                <w:kern w:val="0"/>
                <w:sz w:val="28"/>
                <w:szCs w:val="28"/>
                <w:u w:val="none"/>
                <w:lang w:val="en-US" w:eastAsia="zh-CN" w:bidi="ar"/>
              </w:rPr>
              <w:t>事务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2010301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2010302</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208</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20805</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2080505</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210</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21011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2101102</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221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22102</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8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2210201</w:t>
            </w:r>
          </w:p>
        </w:tc>
        <w:tc>
          <w:tcPr>
            <w:tcW w:w="3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i w:val="0"/>
                <w:iCs w:val="0"/>
                <w:color w:val="000000"/>
                <w:sz w:val="28"/>
                <w:szCs w:val="2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i w:val="0"/>
                <w:iCs w:val="0"/>
                <w:color w:val="000000"/>
                <w:sz w:val="28"/>
                <w:szCs w:val="28"/>
                <w:u w:val="none"/>
              </w:rPr>
            </w:pPr>
          </w:p>
        </w:tc>
      </w:tr>
    </w:tbl>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outlineLvl w:val="0"/>
        <w:rPr>
          <w:rFonts w:hint="eastAsia" w:ascii="方正仿宋简体" w:hAnsi="方正仿宋简体" w:eastAsia="方正仿宋简体" w:cs="方正仿宋简体"/>
          <w:sz w:val="28"/>
          <w:szCs w:val="28"/>
          <w:lang w:val="en-US" w:eastAsia="zh-CN"/>
        </w:rPr>
      </w:pPr>
      <w:bookmarkStart w:id="2" w:name="_Toc21014"/>
      <w:r>
        <w:rPr>
          <w:rFonts w:hint="eastAsia" w:ascii="方正仿宋简体" w:hAnsi="方正仿宋简体" w:eastAsia="方正仿宋简体" w:cs="方正仿宋简体"/>
          <w:sz w:val="28"/>
          <w:szCs w:val="28"/>
          <w:lang w:val="en-US" w:eastAsia="zh-CN"/>
        </w:rPr>
        <w:t>附表1-3</w:t>
      </w:r>
      <w:bookmarkEnd w:id="2"/>
    </w:p>
    <w:tbl>
      <w:tblPr>
        <w:tblStyle w:val="7"/>
        <w:tblW w:w="144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8"/>
        <w:gridCol w:w="4350"/>
        <w:gridCol w:w="1415"/>
        <w:gridCol w:w="1093"/>
        <w:gridCol w:w="969"/>
        <w:gridCol w:w="791"/>
        <w:gridCol w:w="1374"/>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44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Style w:val="10"/>
                <w:rFonts w:hint="eastAsia" w:ascii="方正小标宋简体" w:hAnsi="方正小标宋简体" w:eastAsia="方正小标宋简体" w:cs="方正小标宋简体"/>
                <w:i w:val="0"/>
                <w:iCs w:val="0"/>
                <w:color w:val="000000"/>
                <w:sz w:val="44"/>
                <w:szCs w:val="44"/>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78" w:type="dxa"/>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w:t>
            </w:r>
          </w:p>
        </w:tc>
        <w:tc>
          <w:tcPr>
            <w:tcW w:w="1415"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2062"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预算年度：2022</w:t>
            </w:r>
          </w:p>
        </w:tc>
        <w:tc>
          <w:tcPr>
            <w:tcW w:w="791"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374" w:type="dxa"/>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164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0"/>
                <w:rFonts w:hint="eastAsia" w:ascii="方正仿宋简体" w:hAnsi="方正仿宋简体" w:eastAsia="方正仿宋简体" w:cs="方正仿宋简体"/>
                <w:b w:val="0"/>
                <w:bCs w:val="0"/>
                <w:sz w:val="28"/>
                <w:szCs w:val="28"/>
                <w:lang w:val="en-US" w:eastAsia="zh-CN" w:bidi="ar"/>
              </w:rPr>
              <w:t>科目</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本年支出合计</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基本支出</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项目支出</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经营支出</w:t>
            </w:r>
          </w:p>
        </w:tc>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上缴上级支出</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0"/>
                <w:rFonts w:hint="eastAsia" w:ascii="方正仿宋简体" w:hAnsi="方正仿宋简体" w:eastAsia="方正仿宋简体" w:cs="方正仿宋简体"/>
                <w:b w:val="0"/>
                <w:bCs w:val="0"/>
                <w:sz w:val="28"/>
                <w:szCs w:val="28"/>
                <w:lang w:val="en-US" w:eastAsia="zh-CN" w:bidi="ar"/>
              </w:rPr>
              <w:t>功能分类科目编码</w:t>
            </w:r>
          </w:p>
        </w:tc>
        <w:tc>
          <w:tcPr>
            <w:tcW w:w="4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0"/>
                <w:rFonts w:hint="eastAsia" w:ascii="方正仿宋简体" w:hAnsi="方正仿宋简体" w:eastAsia="方正仿宋简体" w:cs="方正仿宋简体"/>
                <w:b w:val="0"/>
                <w:bCs w:val="0"/>
                <w:sz w:val="28"/>
                <w:szCs w:val="28"/>
                <w:lang w:val="en-US" w:eastAsia="zh-CN" w:bidi="ar"/>
              </w:rPr>
              <w:t>科目名称</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17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154.43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124.43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简体" w:hAnsi="方正仿宋简体" w:eastAsia="方正仿宋简体" w:cs="方正仿宋简体"/>
                <w:b w:val="0"/>
                <w:bCs w:val="0"/>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一般公共服务支出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20103</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政府办公厅（室）及相关机构事务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121.51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2010301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行政运行</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91.51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2010302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一般行政管理事务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30.00 </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208</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社会保障和就业支出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20805</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行政事业单位养老支出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2080505</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机关事业单位基本养老</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11.92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210</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卫生健康支出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21011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行政事业单位医疗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2101102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事业单位医疗</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12.00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221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住房保障支出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22102</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住房改革支出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2210201</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住房公积金</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 xml:space="preserve">9.00 </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p>
        </w:tc>
      </w:tr>
    </w:tbl>
    <w:p>
      <w:pPr>
        <w:outlineLvl w:val="0"/>
        <w:rPr>
          <w:rFonts w:hint="eastAsia" w:ascii="方正仿宋简体" w:hAnsi="方正仿宋简体" w:eastAsia="方正仿宋简体" w:cs="方正仿宋简体"/>
          <w:sz w:val="28"/>
          <w:szCs w:val="28"/>
          <w:lang w:val="en-US" w:eastAsia="zh-CN"/>
        </w:rPr>
      </w:pPr>
      <w:bookmarkStart w:id="3" w:name="_Toc31644"/>
      <w:r>
        <w:rPr>
          <w:rFonts w:hint="eastAsia" w:ascii="方正仿宋简体" w:hAnsi="方正仿宋简体" w:eastAsia="方正仿宋简体" w:cs="方正仿宋简体"/>
          <w:sz w:val="28"/>
          <w:szCs w:val="28"/>
          <w:lang w:val="en-US" w:eastAsia="zh-CN"/>
        </w:rPr>
        <w:t>附表1-4</w:t>
      </w:r>
      <w:bookmarkEnd w:id="3"/>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3"/>
        <w:gridCol w:w="1377"/>
        <w:gridCol w:w="3736"/>
        <w:gridCol w:w="1473"/>
        <w:gridCol w:w="1619"/>
        <w:gridCol w:w="1150"/>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Style w:val="10"/>
                <w:rFonts w:hint="eastAsia" w:ascii="方正小标宋简体" w:hAnsi="方正小标宋简体" w:eastAsia="方正小标宋简体" w:cs="方正小标宋简体"/>
                <w:i w:val="0"/>
                <w:iCs w:val="0"/>
                <w:color w:val="000000"/>
                <w:sz w:val="44"/>
                <w:szCs w:val="44"/>
                <w:lang w:val="en-US" w:eastAsia="zh-CN" w:bidi="ar"/>
              </w:rPr>
              <w:t>部门</w:t>
            </w:r>
            <w:r>
              <w:rPr>
                <w:rStyle w:val="10"/>
                <w:rFonts w:hint="default" w:ascii="方正小标宋简体" w:hAnsi="方正小标宋简体" w:eastAsia="方正小标宋简体" w:cs="方正小标宋简体"/>
                <w:i w:val="0"/>
                <w:iCs w:val="0"/>
                <w:color w:val="000000"/>
                <w:sz w:val="44"/>
                <w:szCs w:val="44"/>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9" w:type="pct"/>
            <w:gridSpan w:val="3"/>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单位名称：658001遵化市财税金融服务中心           预算年度：</w:t>
            </w:r>
            <w:r>
              <w:rPr>
                <w:rStyle w:val="22"/>
                <w:rFonts w:hint="eastAsia" w:ascii="方正仿宋简体" w:hAnsi="方正仿宋简体" w:eastAsia="方正仿宋简体" w:cs="方正仿宋简体"/>
                <w:sz w:val="28"/>
                <w:szCs w:val="28"/>
                <w:lang w:val="en-US" w:eastAsia="zh-CN" w:bidi="ar"/>
              </w:rPr>
              <w:t>2022</w:t>
            </w:r>
          </w:p>
        </w:tc>
        <w:tc>
          <w:tcPr>
            <w:tcW w:w="490"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539"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382"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i w:val="0"/>
                <w:iCs w:val="0"/>
                <w:color w:val="000000"/>
                <w:sz w:val="28"/>
                <w:szCs w:val="28"/>
                <w:u w:val="none"/>
              </w:rPr>
            </w:pPr>
          </w:p>
        </w:tc>
        <w:tc>
          <w:tcPr>
            <w:tcW w:w="60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i w:val="0"/>
                <w:iCs w:val="0"/>
                <w:color w:val="000000"/>
                <w:sz w:val="28"/>
                <w:szCs w:val="28"/>
                <w:u w:val="none"/>
              </w:rPr>
            </w:pPr>
            <w:r>
              <w:rPr>
                <w:rFonts w:hint="eastAsia" w:ascii="方正仿宋简体" w:hAnsi="方正仿宋简体" w:eastAsia="方正仿宋简体" w:cs="方正仿宋简体"/>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73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收入</w:t>
            </w:r>
          </w:p>
        </w:tc>
        <w:tc>
          <w:tcPr>
            <w:tcW w:w="3264"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项</w:t>
            </w:r>
            <w:r>
              <w:rPr>
                <w:rFonts w:hint="default" w:ascii="方正仿宋简体" w:hAnsi="方正仿宋简体" w:eastAsia="方正仿宋简体" w:cs="方正仿宋简体"/>
                <w:i w:val="0"/>
                <w:iCs w:val="0"/>
                <w:color w:val="000000"/>
                <w:kern w:val="0"/>
                <w:sz w:val="28"/>
                <w:szCs w:val="28"/>
                <w:u w:val="none"/>
                <w:lang w:val="en-US" w:eastAsia="zh-CN" w:bidi="ar"/>
              </w:rPr>
              <w:t xml:space="preserve">    </w:t>
            </w:r>
            <w:r>
              <w:rPr>
                <w:rFonts w:hint="eastAsia" w:ascii="方正仿宋简体" w:hAnsi="方正仿宋简体" w:eastAsia="方正仿宋简体" w:cs="方正仿宋简体"/>
                <w:i w:val="0"/>
                <w:iCs w:val="0"/>
                <w:color w:val="000000"/>
                <w:kern w:val="0"/>
                <w:sz w:val="28"/>
                <w:szCs w:val="28"/>
                <w:u w:val="none"/>
                <w:lang w:val="en-US" w:eastAsia="zh-CN" w:bidi="ar"/>
              </w:rPr>
              <w:t>目</w:t>
            </w:r>
          </w:p>
        </w:tc>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金额</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项</w:t>
            </w:r>
            <w:r>
              <w:rPr>
                <w:rFonts w:hint="default" w:ascii="方正仿宋简体" w:hAnsi="方正仿宋简体" w:eastAsia="方正仿宋简体" w:cs="方正仿宋简体"/>
                <w:i w:val="0"/>
                <w:iCs w:val="0"/>
                <w:color w:val="000000"/>
                <w:kern w:val="0"/>
                <w:sz w:val="28"/>
                <w:szCs w:val="28"/>
                <w:u w:val="none"/>
                <w:lang w:val="en-US" w:eastAsia="zh-CN" w:bidi="ar"/>
              </w:rPr>
              <w:t xml:space="preserve">    </w:t>
            </w:r>
            <w:r>
              <w:rPr>
                <w:rFonts w:hint="eastAsia" w:ascii="方正仿宋简体" w:hAnsi="方正仿宋简体" w:eastAsia="方正仿宋简体" w:cs="方正仿宋简体"/>
                <w:i w:val="0"/>
                <w:iCs w:val="0"/>
                <w:color w:val="000000"/>
                <w:kern w:val="0"/>
                <w:sz w:val="28"/>
                <w:szCs w:val="28"/>
                <w:u w:val="none"/>
                <w:lang w:val="en-US" w:eastAsia="zh-CN" w:bidi="ar"/>
              </w:rPr>
              <w:t>目</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一般公共预算财政拨款</w:t>
            </w:r>
          </w:p>
        </w:tc>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政府性基金预算财政拨款</w:t>
            </w:r>
          </w:p>
        </w:tc>
        <w:tc>
          <w:tcPr>
            <w:tcW w:w="6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一、一般公共预算财政拨款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一、一般公共服务支出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121.51</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121.51</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二、政府性基金预算财政拨款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二、外交支出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三、国有资本经营预算财政拨款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三、国防支出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四、公共安全支出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五、教育支出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六、科学技术支出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七、文化体育与传媒支出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八、社会保障和就业支出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11.92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11.92</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九、卫生健康支出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12</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十、节能环保支出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十一、城乡社区支出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十二、农林水支出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十三、交通运输支出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十四、资源勘探工业信息等支出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十五、商业服务业等支出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十六、金融支出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十七、援助其他地区支出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十八、自然资源海洋气象等支出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十九、住房保障支出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9</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二十、粮油物资储备支出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二十一、国有资本经营预算支出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二十二、灾害防治及应急管理支出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二十三、债务还本支出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二十四、债务付息支出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二十五、债务发行费用支出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二十六、其他支出</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本年收入合计</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本年支出合计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年初财政拨款结转和结余</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年末财政拨款结转和结余</w:t>
            </w: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一、一般公共预算拨款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二、政府性基金预算拨款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三、国有资本经营预算拨款</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4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总计</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总计</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154.43</w:t>
            </w:r>
          </w:p>
        </w:tc>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i w:val="0"/>
                <w:iCs w:val="0"/>
                <w:color w:val="000000"/>
                <w:kern w:val="0"/>
                <w:sz w:val="28"/>
                <w:szCs w:val="28"/>
                <w:u w:val="none"/>
                <w:lang w:val="en-US" w:eastAsia="zh-CN" w:bidi="ar"/>
              </w:rPr>
            </w:pPr>
          </w:p>
        </w:tc>
      </w:tr>
    </w:tbl>
    <w:p>
      <w:pPr>
        <w:outlineLvl w:val="0"/>
        <w:rPr>
          <w:rFonts w:hint="eastAsia" w:ascii="方正仿宋简体" w:hAnsi="方正仿宋简体" w:eastAsia="方正仿宋简体" w:cs="方正仿宋简体"/>
          <w:sz w:val="28"/>
          <w:szCs w:val="28"/>
          <w:lang w:val="en-US" w:eastAsia="zh-CN"/>
        </w:rPr>
      </w:pPr>
      <w:bookmarkStart w:id="4" w:name="_Toc11350"/>
      <w:r>
        <w:rPr>
          <w:rFonts w:hint="eastAsia" w:ascii="方正仿宋简体" w:hAnsi="方正仿宋简体" w:eastAsia="方正仿宋简体" w:cs="方正仿宋简体"/>
          <w:sz w:val="28"/>
          <w:szCs w:val="28"/>
          <w:lang w:val="en-US" w:eastAsia="zh-CN"/>
        </w:rPr>
        <w:t>附表1-5</w:t>
      </w:r>
      <w:bookmarkEnd w:id="4"/>
    </w:p>
    <w:tbl>
      <w:tblPr>
        <w:tblStyle w:val="7"/>
        <w:tblW w:w="1492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4"/>
        <w:gridCol w:w="4343"/>
        <w:gridCol w:w="1404"/>
        <w:gridCol w:w="1228"/>
        <w:gridCol w:w="1513"/>
        <w:gridCol w:w="1432"/>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921"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667" w:type="dxa"/>
            <w:gridSpan w:val="2"/>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单位名称：658001遵化市财税金融服务中心</w:t>
            </w:r>
          </w:p>
        </w:tc>
        <w:tc>
          <w:tcPr>
            <w:tcW w:w="1404" w:type="dxa"/>
            <w:tcBorders>
              <w:top w:val="nil"/>
              <w:left w:val="nil"/>
              <w:bottom w:val="nil"/>
              <w:right w:val="nil"/>
            </w:tcBorders>
            <w:shd w:val="clear" w:color="auto" w:fill="FFFFFF"/>
            <w:vAlign w:val="center"/>
          </w:tcPr>
          <w:p>
            <w:pPr>
              <w:rPr>
                <w:rFonts w:hint="default" w:ascii="方正仿宋简体" w:hAnsi="方正仿宋简体" w:eastAsia="方正仿宋简体" w:cs="方正仿宋简体"/>
                <w:sz w:val="28"/>
                <w:szCs w:val="28"/>
                <w:lang w:val="en-US" w:eastAsia="zh-CN"/>
              </w:rPr>
            </w:pPr>
          </w:p>
        </w:tc>
        <w:tc>
          <w:tcPr>
            <w:tcW w:w="2741" w:type="dxa"/>
            <w:gridSpan w:val="2"/>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预算年度：2022</w:t>
            </w:r>
          </w:p>
        </w:tc>
        <w:tc>
          <w:tcPr>
            <w:tcW w:w="1432" w:type="dxa"/>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p>
        </w:tc>
        <w:tc>
          <w:tcPr>
            <w:tcW w:w="1677" w:type="dxa"/>
            <w:tcBorders>
              <w:top w:val="nil"/>
              <w:left w:val="nil"/>
              <w:bottom w:val="nil"/>
              <w:right w:val="nil"/>
            </w:tcBorders>
            <w:shd w:val="clear" w:color="auto" w:fill="FFFFFF"/>
            <w:noWrap/>
            <w:vAlign w:val="center"/>
          </w:tcPr>
          <w:p>
            <w:pP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科目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合计</w:t>
            </w:r>
          </w:p>
        </w:tc>
        <w:tc>
          <w:tcPr>
            <w:tcW w:w="41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基本支出</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功能分类科目编码</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科目名称</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小计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人员经费</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公用经费</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154.43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lang w:val="en-US" w:eastAsia="zh-CN"/>
              </w:rPr>
              <w:t>2</w:t>
            </w:r>
            <w:r>
              <w:rPr>
                <w:rFonts w:hint="default" w:ascii="方正仿宋简体" w:hAnsi="方正仿宋简体" w:eastAsia="方正仿宋简体" w:cs="方正仿宋简体"/>
                <w:sz w:val="28"/>
                <w:szCs w:val="28"/>
                <w:lang w:val="en-US" w:eastAsia="zh-CN"/>
              </w:rPr>
              <w:t>4.43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117.19</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一般公共服务支出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84.27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20103</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政府办公厅（室）及相关机构事务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84.27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2010301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行政运行</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w:t>
            </w:r>
            <w:r>
              <w:rPr>
                <w:rFonts w:hint="default" w:ascii="方正仿宋简体" w:hAnsi="方正仿宋简体" w:eastAsia="方正仿宋简体" w:cs="方正仿宋简体"/>
                <w:sz w:val="28"/>
                <w:szCs w:val="28"/>
                <w:lang w:val="en-US" w:eastAsia="zh-CN"/>
              </w:rPr>
              <w:t>1.51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84.27</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7.24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2010302</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一般行政管理事务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208</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社会保障和就业支出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20805</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行政事业单位养老支出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2080505</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机关事业单位基本养老</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11.92</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210</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卫生健康支出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21011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行政事业单位医疗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2101102</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事业单位医疗</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12.00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221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住房保障支出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22102</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住房改革支出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2210201</w:t>
            </w:r>
          </w:p>
        </w:tc>
        <w:tc>
          <w:tcPr>
            <w:tcW w:w="43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住房公积金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仿宋简体" w:hAnsi="方正仿宋简体" w:eastAsia="方正仿宋简体" w:cs="方正仿宋简体"/>
                <w:sz w:val="28"/>
                <w:szCs w:val="28"/>
                <w:lang w:val="en-US" w:eastAsia="zh-CN"/>
              </w:rPr>
            </w:pPr>
            <w:r>
              <w:rPr>
                <w:rFonts w:hint="default" w:ascii="方正仿宋简体" w:hAnsi="方正仿宋简体" w:eastAsia="方正仿宋简体" w:cs="方正仿宋简体"/>
                <w:sz w:val="28"/>
                <w:szCs w:val="28"/>
                <w:lang w:val="en-US" w:eastAsia="zh-CN"/>
              </w:rPr>
              <w:t>9.00</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sz w:val="28"/>
                <w:szCs w:val="28"/>
                <w:lang w:val="en-US" w:eastAsia="zh-CN"/>
              </w:rPr>
            </w:pPr>
          </w:p>
        </w:tc>
      </w:tr>
    </w:tbl>
    <w:p>
      <w:pPr>
        <w:outlineLvl w:val="0"/>
        <w:rPr>
          <w:rFonts w:hint="eastAsia" w:ascii="方正仿宋简体" w:hAnsi="方正仿宋简体" w:eastAsia="方正仿宋简体" w:cs="方正仿宋简体"/>
          <w:sz w:val="28"/>
          <w:szCs w:val="28"/>
          <w:lang w:val="en-US" w:eastAsia="zh-CN"/>
        </w:rPr>
      </w:pPr>
      <w:bookmarkStart w:id="5" w:name="_Toc9592"/>
      <w:r>
        <w:rPr>
          <w:rFonts w:hint="eastAsia" w:ascii="方正仿宋简体" w:hAnsi="方正仿宋简体" w:eastAsia="方正仿宋简体" w:cs="方正仿宋简体"/>
          <w:sz w:val="28"/>
          <w:szCs w:val="28"/>
          <w:lang w:val="en-US" w:eastAsia="zh-CN"/>
        </w:rPr>
        <w:t>附表1-6</w:t>
      </w:r>
      <w:bookmarkEnd w:id="5"/>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92"/>
        <w:gridCol w:w="4697"/>
        <w:gridCol w:w="1988"/>
        <w:gridCol w:w="2540"/>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27" w:type="pct"/>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662"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p>
        </w:tc>
        <w:tc>
          <w:tcPr>
            <w:tcW w:w="84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764"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w:t>
            </w:r>
          </w:p>
        </w:tc>
        <w:tc>
          <w:tcPr>
            <w:tcW w:w="2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经济分类科目编码</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科目名称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人员经费</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7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124.43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117.19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工资福利支出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117.11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117.11</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基本工资</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36.46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36.46</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30102</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津贴补贴</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37.37</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37.37</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奖金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2.54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2.54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30107</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绩效工资</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6.29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6.29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30108</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机关事业单位基本养老保险缴费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11.92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11.92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30110</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职工基本医疗保险缴费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5.6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5.6</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公务员医疗补助缴费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6.4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30112</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其他社会保障缴费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1.53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1.53</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30113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住房公积金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商品和服务支出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7.24</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30201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办公费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0.33</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30206</w:t>
            </w:r>
          </w:p>
        </w:tc>
        <w:tc>
          <w:tcPr>
            <w:tcW w:w="156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电费</w:t>
            </w:r>
          </w:p>
        </w:tc>
        <w:tc>
          <w:tcPr>
            <w:tcW w:w="66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30207</w:t>
            </w:r>
          </w:p>
        </w:tc>
        <w:tc>
          <w:tcPr>
            <w:tcW w:w="1564" w:type="pct"/>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邮电费</w:t>
            </w:r>
          </w:p>
        </w:tc>
        <w:tc>
          <w:tcPr>
            <w:tcW w:w="662"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0.11</w:t>
            </w:r>
          </w:p>
        </w:tc>
        <w:tc>
          <w:tcPr>
            <w:tcW w:w="845"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30211</w:t>
            </w:r>
          </w:p>
        </w:tc>
        <w:tc>
          <w:tcPr>
            <w:tcW w:w="156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差旅费</w:t>
            </w:r>
          </w:p>
        </w:tc>
        <w:tc>
          <w:tcPr>
            <w:tcW w:w="66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30215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会议费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30216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培训费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30228</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工会经费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0.90</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30229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福利费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30231</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公务用车运行维护费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30239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其他交通费用</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4.32</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30299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其他商品和服务支出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对个人和家庭的补助</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30309</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奖励金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0.08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bl>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outlineLvl w:val="0"/>
        <w:rPr>
          <w:rFonts w:hint="eastAsia" w:ascii="方正仿宋简体" w:hAnsi="方正仿宋简体" w:eastAsia="方正仿宋简体" w:cs="方正仿宋简体"/>
          <w:sz w:val="28"/>
          <w:szCs w:val="28"/>
          <w:lang w:val="en-US" w:eastAsia="zh-CN"/>
        </w:rPr>
      </w:pPr>
      <w:bookmarkStart w:id="6" w:name="_Toc7828"/>
      <w:r>
        <w:rPr>
          <w:rFonts w:hint="eastAsia" w:ascii="方正仿宋简体" w:hAnsi="方正仿宋简体" w:eastAsia="方正仿宋简体" w:cs="方正仿宋简体"/>
          <w:sz w:val="28"/>
          <w:szCs w:val="28"/>
          <w:lang w:val="en-US" w:eastAsia="zh-CN"/>
        </w:rPr>
        <w:t>附表1-7</w:t>
      </w:r>
      <w:bookmarkEnd w:id="6"/>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8"/>
        <w:gridCol w:w="2182"/>
        <w:gridCol w:w="2289"/>
        <w:gridCol w:w="1510"/>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57"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726" w:type="pct"/>
            <w:tcBorders>
              <w:top w:val="nil"/>
              <w:left w:val="nil"/>
              <w:bottom w:val="nil"/>
              <w:right w:val="nil"/>
            </w:tcBorders>
            <w:shd w:val="clear" w:color="auto" w:fill="FFFFFF"/>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502"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科目</w:t>
            </w:r>
          </w:p>
        </w:tc>
        <w:tc>
          <w:tcPr>
            <w:tcW w:w="7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合计</w:t>
            </w:r>
          </w:p>
        </w:tc>
        <w:tc>
          <w:tcPr>
            <w:tcW w:w="5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基本支出</w:t>
            </w: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  </w:t>
            </w:r>
          </w:p>
        </w:tc>
        <w:tc>
          <w:tcPr>
            <w:tcW w:w="6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功能分类科目编码</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4"/>
                <w:rFonts w:hint="eastAsia" w:ascii="方正仿宋简体" w:hAnsi="方正仿宋简体" w:eastAsia="方正仿宋简体" w:cs="方正仿宋简体"/>
                <w:b w:val="0"/>
                <w:bCs w:val="0"/>
                <w:sz w:val="28"/>
                <w:szCs w:val="28"/>
                <w:lang w:val="en-US" w:eastAsia="zh-CN" w:bidi="ar"/>
              </w:rPr>
              <w:t>科目名称</w:t>
            </w: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5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0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Style w:val="25"/>
                <w:rFonts w:hint="eastAsia" w:ascii="方正仿宋简体" w:hAnsi="方正仿宋简体" w:eastAsia="方正仿宋简体" w:cs="方正仿宋简体"/>
                <w:b w:val="0"/>
                <w:bCs w:val="0"/>
                <w:sz w:val="28"/>
                <w:szCs w:val="28"/>
                <w:lang w:val="en-US" w:eastAsia="zh-CN" w:bidi="ar"/>
              </w:rPr>
              <w:t>合计</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bl>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注：无政府基金预算财政拨款预算，空表列示。</w:t>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outlineLvl w:val="0"/>
        <w:rPr>
          <w:rFonts w:hint="eastAsia" w:ascii="方正仿宋简体" w:hAnsi="方正仿宋简体" w:eastAsia="方正仿宋简体" w:cs="方正仿宋简体"/>
          <w:sz w:val="28"/>
          <w:szCs w:val="28"/>
          <w:lang w:val="en-US" w:eastAsia="zh-CN"/>
        </w:rPr>
      </w:pPr>
      <w:bookmarkStart w:id="7" w:name="_Toc12902"/>
      <w:r>
        <w:rPr>
          <w:rFonts w:hint="eastAsia" w:ascii="方正仿宋简体" w:hAnsi="方正仿宋简体" w:eastAsia="方正仿宋简体" w:cs="方正仿宋简体"/>
          <w:sz w:val="28"/>
          <w:szCs w:val="28"/>
          <w:lang w:val="en-US" w:eastAsia="zh-CN"/>
        </w:rPr>
        <w:t>附表1-8</w:t>
      </w:r>
      <w:bookmarkEnd w:id="7"/>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5"/>
        <w:gridCol w:w="2429"/>
        <w:gridCol w:w="1456"/>
        <w:gridCol w:w="1898"/>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w:t>
            </w:r>
            <w:r>
              <w:rPr>
                <w:rFonts w:hint="default" w:ascii="方正小标宋简体" w:hAnsi="方正小标宋简体" w:eastAsia="方正小标宋简体" w:cs="方正小标宋简体"/>
                <w:i w:val="0"/>
                <w:iCs w:val="0"/>
                <w:color w:val="000000"/>
                <w:kern w:val="0"/>
                <w:sz w:val="44"/>
                <w:szCs w:val="44"/>
                <w:u w:val="none"/>
                <w:lang w:val="en-US" w:eastAsia="zh-CN" w:bidi="ar"/>
              </w:rPr>
              <w:t>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56"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808" w:type="pct"/>
            <w:tcBorders>
              <w:top w:val="nil"/>
              <w:left w:val="nil"/>
              <w:bottom w:val="nil"/>
              <w:right w:val="nil"/>
            </w:tcBorders>
            <w:shd w:val="clear" w:color="auto" w:fill="FFFFFF"/>
            <w:vAlign w:val="center"/>
          </w:tcPr>
          <w:p>
            <w:pPr>
              <w:jc w:val="left"/>
              <w:rPr>
                <w:rFonts w:hint="eastAsia" w:ascii="方正仿宋简体" w:hAnsi="方正仿宋简体" w:eastAsia="方正仿宋简体" w:cs="方正仿宋简体"/>
                <w:b w:val="0"/>
                <w:bCs w:val="0"/>
                <w:i w:val="0"/>
                <w:iCs w:val="0"/>
                <w:color w:val="000000"/>
                <w:sz w:val="28"/>
                <w:szCs w:val="28"/>
                <w:u w:val="none"/>
              </w:rPr>
            </w:pPr>
          </w:p>
        </w:tc>
        <w:tc>
          <w:tcPr>
            <w:tcW w:w="1116" w:type="pct"/>
            <w:gridSpan w:val="2"/>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61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基本支出  </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科目名称</w:t>
            </w: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4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28"/>
                <w:szCs w:val="28"/>
                <w:u w:val="none"/>
              </w:rPr>
            </w:pPr>
          </w:p>
        </w:tc>
      </w:tr>
    </w:tbl>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注：无国有资本经营预算财政拨款预算，空表列示。</w:t>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r>
        <w:rPr>
          <w:rFonts w:hint="eastAsia" w:ascii="方正仿宋简体" w:hAnsi="方正仿宋简体" w:eastAsia="方正仿宋简体" w:cs="方正仿宋简体"/>
          <w:sz w:val="28"/>
          <w:szCs w:val="28"/>
          <w:lang w:val="en-US" w:eastAsia="zh-CN"/>
        </w:rPr>
        <w:tab/>
      </w: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rPr>
          <w:rFonts w:hint="default" w:ascii="方正仿宋简体" w:hAnsi="方正仿宋简体" w:eastAsia="方正仿宋简体" w:cs="方正仿宋简体"/>
          <w:lang w:val="en-US" w:eastAsia="zh-CN"/>
        </w:rPr>
      </w:pPr>
    </w:p>
    <w:p>
      <w:pPr>
        <w:outlineLvl w:val="0"/>
        <w:rPr>
          <w:rFonts w:hint="eastAsia" w:ascii="方正仿宋简体" w:hAnsi="方正仿宋简体" w:eastAsia="方正仿宋简体" w:cs="方正仿宋简体"/>
          <w:sz w:val="28"/>
          <w:szCs w:val="28"/>
          <w:lang w:val="en-US" w:eastAsia="zh-CN"/>
        </w:rPr>
      </w:pPr>
      <w:bookmarkStart w:id="8" w:name="_Toc13165"/>
      <w:r>
        <w:rPr>
          <w:rFonts w:hint="eastAsia" w:ascii="方正仿宋简体" w:hAnsi="方正仿宋简体" w:eastAsia="方正仿宋简体" w:cs="方正仿宋简体"/>
          <w:sz w:val="28"/>
          <w:szCs w:val="28"/>
          <w:lang w:val="en-US" w:eastAsia="zh-CN"/>
        </w:rPr>
        <w:t>附表1-9</w:t>
      </w:r>
      <w:bookmarkEnd w:id="8"/>
    </w:p>
    <w:tbl>
      <w:tblPr>
        <w:tblStyle w:val="7"/>
        <w:tblW w:w="144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6"/>
        <w:gridCol w:w="1928"/>
        <w:gridCol w:w="3031"/>
        <w:gridCol w:w="2358"/>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14400"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w:t>
            </w:r>
            <w:r>
              <w:rPr>
                <w:rFonts w:hint="default" w:ascii="方正小标宋简体" w:hAnsi="方正小标宋简体" w:eastAsia="方正小标宋简体" w:cs="方正小标宋简体"/>
                <w:i w:val="0"/>
                <w:iCs w:val="0"/>
                <w:color w:val="000000"/>
                <w:kern w:val="0"/>
                <w:sz w:val="44"/>
                <w:szCs w:val="44"/>
                <w:u w:val="none"/>
                <w:lang w:val="en-US" w:eastAsia="zh-CN" w:bidi="ar"/>
              </w:rPr>
              <w:t>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494" w:type="dxa"/>
            <w:gridSpan w:val="2"/>
            <w:tcBorders>
              <w:top w:val="nil"/>
              <w:left w:val="nil"/>
              <w:bottom w:val="nil"/>
              <w:right w:val="nil"/>
            </w:tcBorders>
            <w:shd w:val="clear" w:color="auto" w:fill="FFFFFF"/>
            <w:noWrap/>
            <w:vAlign w:val="center"/>
          </w:tcPr>
          <w:p>
            <w:pP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单位名称：658001遵化市财税金融服务中心</w:t>
            </w:r>
          </w:p>
        </w:tc>
        <w:tc>
          <w:tcPr>
            <w:tcW w:w="303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预算年度：2022</w:t>
            </w:r>
          </w:p>
        </w:tc>
        <w:tc>
          <w:tcPr>
            <w:tcW w:w="2358"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项目</w:t>
            </w:r>
          </w:p>
        </w:tc>
        <w:tc>
          <w:tcPr>
            <w:tcW w:w="98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一般公共预算</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政府性基金</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合计</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b w:val="0"/>
                <w:bCs w:val="0"/>
                <w:i w:val="0"/>
                <w:iCs w:val="0"/>
                <w:color w:val="000000"/>
                <w:sz w:val="28"/>
                <w:szCs w:val="28"/>
                <w:u w:val="none"/>
                <w:lang w:val="en-US" w:eastAsia="zh-CN"/>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一、因公出国（境）费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二、公务用车购置及运行费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其中：公务用车购置费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 xml:space="preserve">      公务用车运行费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8"/>
                <w:szCs w:val="28"/>
                <w:u w:val="none"/>
              </w:rPr>
            </w:pPr>
            <w:r>
              <w:rPr>
                <w:rFonts w:hint="eastAsia" w:ascii="方正仿宋简体" w:hAnsi="方正仿宋简体" w:eastAsia="方正仿宋简体" w:cs="方正仿宋简体"/>
                <w:b w:val="0"/>
                <w:bCs w:val="0"/>
                <w:i w:val="0"/>
                <w:iCs w:val="0"/>
                <w:color w:val="000000"/>
                <w:kern w:val="0"/>
                <w:sz w:val="28"/>
                <w:szCs w:val="28"/>
                <w:u w:val="none"/>
                <w:lang w:val="en-US" w:eastAsia="zh-CN" w:bidi="ar"/>
              </w:rPr>
              <w:t>三、公务接待费</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kern w:val="2"/>
                <w:sz w:val="28"/>
                <w:szCs w:val="28"/>
                <w:u w:val="none"/>
                <w:lang w:val="en-US" w:eastAsia="zh-CN" w:bidi="ar-SA"/>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8"/>
                <w:szCs w:val="28"/>
                <w:u w:val="none"/>
              </w:rPr>
            </w:pPr>
          </w:p>
        </w:tc>
      </w:tr>
    </w:tbl>
    <w:p>
      <w:pPr>
        <w:rPr>
          <w:rFonts w:hint="default" w:ascii="方正仿宋简体" w:hAnsi="方正仿宋简体" w:eastAsia="方正仿宋简体" w:cs="方正仿宋简体"/>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0"/>
        <w:rPr>
          <w:rFonts w:hint="eastAsia" w:ascii="方正小标宋简体" w:hAnsi="方正小标宋简体" w:eastAsia="方正小标宋简体" w:cs="方正小标宋简体"/>
          <w:b w:val="0"/>
          <w:bCs/>
          <w:sz w:val="44"/>
          <w:szCs w:val="44"/>
          <w:highlight w:val="none"/>
        </w:rPr>
      </w:pPr>
      <w:bookmarkStart w:id="9" w:name="_Toc3340"/>
      <w:r>
        <w:rPr>
          <w:rFonts w:hint="eastAsia" w:ascii="方正仿宋简体" w:hAnsi="方正仿宋简体" w:eastAsia="方正仿宋简体" w:cs="方正仿宋简体"/>
          <w:sz w:val="28"/>
          <w:szCs w:val="28"/>
          <w:highlight w:val="none"/>
          <w:lang w:val="en-US" w:eastAsia="zh-CN"/>
        </w:rPr>
        <w:t>注：无“三公”经费预算财政拨款预算，空表列示。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遵化市金融服务中心</w:t>
      </w:r>
      <w:bookmarkEnd w:id="9"/>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简体" w:hAnsi="方正小标宋简体" w:eastAsia="方正小标宋简体" w:cs="方正小标宋简体"/>
          <w:b w:val="0"/>
          <w:bCs/>
          <w:sz w:val="44"/>
          <w:szCs w:val="44"/>
        </w:rPr>
      </w:pPr>
      <w:bookmarkStart w:id="10" w:name="_Toc29573"/>
      <w:r>
        <w:rPr>
          <w:rFonts w:hint="eastAsia" w:ascii="方正小标宋简体" w:hAnsi="方正小标宋简体" w:eastAsia="方正小标宋简体" w:cs="方正小标宋简体"/>
          <w:b w:val="0"/>
          <w:bCs/>
          <w:sz w:val="44"/>
          <w:szCs w:val="44"/>
        </w:rPr>
        <w:t>部门202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年预算公开说明</w:t>
      </w:r>
      <w:bookmarkEnd w:id="1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按照《</w:t>
      </w:r>
      <w:r>
        <w:rPr>
          <w:rFonts w:hint="eastAsia" w:ascii="方正仿宋简体" w:hAnsi="方正仿宋简体" w:eastAsia="方正仿宋简体" w:cs="方正仿宋简体"/>
          <w:sz w:val="32"/>
          <w:szCs w:val="32"/>
          <w:lang w:eastAsia="zh-CN"/>
        </w:rPr>
        <w:t>中华人民共和国</w:t>
      </w:r>
      <w:bookmarkStart w:id="21" w:name="_GoBack"/>
      <w:bookmarkEnd w:id="21"/>
      <w:r>
        <w:rPr>
          <w:rFonts w:hint="eastAsia" w:ascii="方正仿宋简体" w:hAnsi="方正仿宋简体" w:eastAsia="方正仿宋简体" w:cs="方正仿宋简体"/>
          <w:sz w:val="32"/>
          <w:szCs w:val="32"/>
        </w:rPr>
        <w:t>预算法》、《地方预决算公开操作规程》和《河北省省级预算公开办法》规定，现将遵化市金融服务中心202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年部门预算公开如下：</w:t>
      </w:r>
    </w:p>
    <w:p>
      <w:pPr>
        <w:keepNext w:val="0"/>
        <w:keepLines w:val="0"/>
        <w:pageBreakBefore w:val="0"/>
        <w:kinsoku/>
        <w:wordWrap/>
        <w:overflowPunct/>
        <w:topLinePunct w:val="0"/>
        <w:autoSpaceDE/>
        <w:autoSpaceDN/>
        <w:bidi w:val="0"/>
        <w:adjustRightInd/>
        <w:snapToGrid/>
        <w:spacing w:line="570" w:lineRule="exact"/>
        <w:textAlignment w:val="auto"/>
        <w:outlineLvl w:val="0"/>
        <w:rPr>
          <w:rFonts w:hint="eastAsia" w:ascii="方正黑体简体" w:hAnsi="方正黑体简体" w:eastAsia="方正黑体简体" w:cs="方正黑体简体"/>
          <w:sz w:val="32"/>
          <w:szCs w:val="32"/>
        </w:rPr>
      </w:pPr>
      <w:r>
        <w:rPr>
          <w:rFonts w:hint="eastAsia" w:ascii="黑体" w:hAnsi="黑体" w:eastAsia="黑体" w:cs="Times New Roman"/>
          <w:sz w:val="32"/>
          <w:szCs w:val="32"/>
        </w:rPr>
        <w:t xml:space="preserve">   </w:t>
      </w:r>
      <w:r>
        <w:rPr>
          <w:rFonts w:hint="eastAsia" w:ascii="方正黑体简体" w:hAnsi="方正黑体简体" w:eastAsia="方正黑体简体" w:cs="方正黑体简体"/>
          <w:sz w:val="32"/>
          <w:szCs w:val="32"/>
        </w:rPr>
        <w:t xml:space="preserve"> </w:t>
      </w:r>
      <w:bookmarkStart w:id="11" w:name="_Toc2506"/>
      <w:r>
        <w:rPr>
          <w:rFonts w:hint="eastAsia" w:ascii="方正黑体简体" w:hAnsi="方正黑体简体" w:eastAsia="方正黑体简体" w:cs="方正黑体简体"/>
          <w:sz w:val="32"/>
          <w:szCs w:val="32"/>
        </w:rPr>
        <w:t>一、部门职责及机构设置情况</w:t>
      </w:r>
      <w:bookmarkEnd w:id="11"/>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部门职责：</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根据《中共遵化市委机构编制委员会关于明确市政府办公室所属事业单位机构设置的通知》（遵机编字〔2019〕46号）文件，</w:t>
      </w:r>
      <w:r>
        <w:rPr>
          <w:rFonts w:hint="eastAsia" w:ascii="方正楷体简体" w:hAnsi="方正楷体简体" w:eastAsia="方正楷体简体" w:cs="方正楷体简体"/>
          <w:sz w:val="32"/>
          <w:szCs w:val="32"/>
          <w:lang w:eastAsia="zh-CN"/>
        </w:rPr>
        <w:t>我部门</w:t>
      </w:r>
      <w:r>
        <w:rPr>
          <w:rFonts w:hint="eastAsia" w:ascii="方正楷体简体" w:hAnsi="方正楷体简体" w:eastAsia="方正楷体简体" w:cs="方正楷体简体"/>
          <w:sz w:val="32"/>
          <w:szCs w:val="32"/>
        </w:rPr>
        <w:t>主要职责是：</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1、推进银行、保险、证券、担保等金融机构建设，发挥协同效应，为企业、个体工商户、农户等实体经济提供金融服务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2、完善市乡村三级金融服务网络；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3、提供融资咨询以及有关国家产业政策方面的咨询；</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4、辅导企业完善财务制度、现代管理制度；</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5、协助企业制定融资方案，帮助企业达到贷款所需条件；</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为企业提供上市政策咨询，组织上市培训、培育上市后备资源，推荐辅导、保荐券商，提供资产重组及兼并收购、股份制改造指导，指导增资募股、股权交易、发行企业债券，推进企业资本市场直接融资进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7、负责主管部门交办的其他工作；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机构设置：</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ascii="方正仿宋简体" w:hAnsi="Times New Roman" w:eastAsia="方正仿宋简体" w:cs="Times New Roman"/>
          <w:sz w:val="32"/>
          <w:szCs w:val="32"/>
        </w:rPr>
      </w:pPr>
      <w:bookmarkStart w:id="12" w:name="_Toc1749"/>
      <w:bookmarkStart w:id="13" w:name="_Toc16091"/>
      <w:r>
        <w:rPr>
          <w:rFonts w:hint="eastAsia" w:ascii="方正仿宋简体" w:hAnsi="Times New Roman" w:eastAsia="方正仿宋简体" w:cs="方正小标宋_GBK"/>
          <w:sz w:val="32"/>
          <w:szCs w:val="32"/>
        </w:rPr>
        <w:t>部门机构设置情况</w:t>
      </w:r>
      <w:bookmarkEnd w:id="12"/>
      <w:bookmarkEnd w:id="13"/>
    </w:p>
    <w:tbl>
      <w:tblPr>
        <w:tblStyle w:val="7"/>
        <w:tblW w:w="0" w:type="auto"/>
        <w:tblInd w:w="7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2363"/>
        <w:gridCol w:w="2954"/>
        <w:gridCol w:w="3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trPr>
        <w:tc>
          <w:tcPr>
            <w:tcW w:w="5134"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2363"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954"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3309"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exact"/>
          <w:tblHeader/>
        </w:trPr>
        <w:tc>
          <w:tcPr>
            <w:tcW w:w="5134"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c>
          <w:tcPr>
            <w:tcW w:w="2363"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c>
          <w:tcPr>
            <w:tcW w:w="2954"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c>
          <w:tcPr>
            <w:tcW w:w="3309"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hint="eastAsia" w:ascii="方正仿宋简体" w:hAnsi="方正仿宋简体" w:eastAsia="方正仿宋简体" w:cs="方正仿宋简体"/>
                <w:b w:val="0"/>
                <w:bCs/>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exact"/>
        </w:trPr>
        <w:tc>
          <w:tcPr>
            <w:tcW w:w="513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遵化市金融服务中心</w:t>
            </w:r>
          </w:p>
        </w:tc>
        <w:tc>
          <w:tcPr>
            <w:tcW w:w="236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事业</w:t>
            </w:r>
          </w:p>
        </w:tc>
        <w:tc>
          <w:tcPr>
            <w:tcW w:w="29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副科级</w:t>
            </w:r>
          </w:p>
        </w:tc>
        <w:tc>
          <w:tcPr>
            <w:tcW w:w="330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财政拨款</w:t>
            </w:r>
          </w:p>
        </w:tc>
      </w:tr>
    </w:tbl>
    <w:p>
      <w:pPr>
        <w:keepNext w:val="0"/>
        <w:keepLines w:val="0"/>
        <w:pageBreakBefore w:val="0"/>
        <w:kinsoku/>
        <w:wordWrap/>
        <w:overflowPunct/>
        <w:topLinePunct w:val="0"/>
        <w:autoSpaceDE/>
        <w:autoSpaceDN/>
        <w:bidi w:val="0"/>
        <w:adjustRightInd/>
        <w:snapToGrid/>
        <w:spacing w:line="570" w:lineRule="exact"/>
        <w:ind w:firstLine="562" w:firstLineChars="200"/>
        <w:textAlignment w:val="auto"/>
        <w:rPr>
          <w:rFonts w:hint="eastAsia" w:ascii="仿宋" w:hAnsi="仿宋" w:eastAsia="仿宋" w:cs="Times New Roman"/>
          <w:b/>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遵化市金融金融服务中心内设三个股级科室：</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复核科</w:t>
      </w:r>
      <w:r>
        <w:rPr>
          <w:rFonts w:hint="eastAsia" w:ascii="方正仿宋简体" w:hAnsi="方正仿宋简体" w:eastAsia="方正仿宋简体" w:cs="方正仿宋简体"/>
          <w:sz w:val="32"/>
          <w:szCs w:val="32"/>
          <w:lang w:val="en-US" w:eastAsia="zh-CN"/>
        </w:rPr>
        <w:t>：核算政府征地成本、资金审核、招商引资优惠政策兑现核实；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综合科</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负责局机关公文处理、会务、机要、综合协调、政务值班等日常工作的运转；承担督查督办、制度建设、档案、保密、对外联络、接待等工作；负责机关事业单位养老、医保、住房公积金等工作。承担机关、直属单位的机构编制和人事管理工作；按干部管理权限，负责对口市委组织部的干部人才工作，服务领导班子建设;负责机构改革相关政策的执行和组织落实工作;负责机关和直属单位干部人事档案管理、调配、任免、培训、考核奖惩、退休审批等工作；负责机关和直属事业单位工资、社会保险报批工作;负责临时出国境人员政治审查工作；负责直属事业单位的岗位设置、职称申报及评聘落实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金融科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推进银行、保险、证券、担保等金融机构建设，发挥协同效应，为企业、个体工商户、农户等实体经济提供金融服务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市乡村三级金融服务网络；提供融资咨询以及有关国家产业政策方面的咨询；协助企业制定融资方案，帮助企业达到贷款所需条件；为企业提供上市政策咨询，组织上市培训、培育上市后备资源，推荐辅导、保荐券商，提供资产重组及兼并收购、股份制改造指导，指导增资募股、股权交易、发行企业债券，推进企业资本市场直接融资进程</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sz w:val="32"/>
          <w:szCs w:val="32"/>
        </w:rPr>
      </w:pPr>
      <w:bookmarkStart w:id="14" w:name="_Toc31036"/>
      <w:r>
        <w:rPr>
          <w:rFonts w:hint="eastAsia" w:ascii="方正黑体简体" w:hAnsi="方正黑体简体" w:eastAsia="方正黑体简体" w:cs="方正黑体简体"/>
          <w:sz w:val="32"/>
          <w:szCs w:val="32"/>
        </w:rPr>
        <w:t>二、部门预算安排总体情况</w:t>
      </w:r>
      <w:bookmarkEnd w:id="1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部门预算的编制实行综合预算管理，即全部收入和支出都反映在预算中。遵化市</w:t>
      </w:r>
      <w:r>
        <w:rPr>
          <w:rFonts w:hint="eastAsia" w:ascii="方正仿宋简体" w:hAnsi="方正仿宋简体" w:eastAsia="方正仿宋简体" w:cs="方正仿宋简体"/>
          <w:sz w:val="32"/>
          <w:szCs w:val="32"/>
          <w:lang w:val="en-US" w:eastAsia="zh-CN"/>
        </w:rPr>
        <w:t>金融服务中心</w:t>
      </w:r>
      <w:r>
        <w:rPr>
          <w:rFonts w:hint="eastAsia" w:ascii="方正仿宋简体" w:hAnsi="方正仿宋简体" w:eastAsia="方正仿宋简体" w:cs="方正仿宋简体"/>
          <w:sz w:val="32"/>
          <w:szCs w:val="32"/>
        </w:rPr>
        <w:t>的收支包含在部门预算中。</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1、收入</w:t>
      </w:r>
      <w:r>
        <w:rPr>
          <w:rFonts w:hint="eastAsia" w:ascii="方正仿宋简体" w:hAnsi="方正仿宋简体" w:eastAsia="方正仿宋简体" w:cs="方正仿宋简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万元，其中：一般公共预算收入</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万元，政府性基金预算收入0万元，国有资本经营预算收入0万元，财政专户管理资金收入0万元，上级补助收入0万元，事业收入0万元，经营收入0万元，附属单位上缴收入0万元，其他收入0万元，上年结转0万元。</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2、支出</w:t>
      </w:r>
      <w:r>
        <w:rPr>
          <w:rFonts w:hint="eastAsia" w:ascii="方正仿宋简体" w:hAnsi="方正仿宋简体" w:eastAsia="方正仿宋简体" w:cs="方正仿宋简体"/>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w:t>
      </w:r>
      <w:r>
        <w:rPr>
          <w:rFonts w:hint="eastAsia" w:ascii="方正仿宋简体" w:hAnsi="方正仿宋简体" w:eastAsia="方正仿宋简体" w:cs="方正仿宋简体"/>
          <w:sz w:val="32"/>
          <w:szCs w:val="32"/>
          <w:lang w:val="en-US" w:eastAsia="zh-CN"/>
        </w:rPr>
        <w:t>金融服务中心</w:t>
      </w:r>
      <w:r>
        <w:rPr>
          <w:rFonts w:hint="eastAsia" w:ascii="方正仿宋简体" w:hAnsi="方正仿宋简体" w:eastAsia="方正仿宋简体" w:cs="方正仿宋简体"/>
          <w:sz w:val="32"/>
          <w:szCs w:val="32"/>
        </w:rPr>
        <w:t>2022年度部门预算中支出预算的总体情况。2022年支出预算</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43</w:t>
      </w:r>
      <w:r>
        <w:rPr>
          <w:rFonts w:hint="eastAsia" w:ascii="方正仿宋简体" w:hAnsi="方正仿宋简体" w:eastAsia="方正仿宋简体" w:cs="方正仿宋简体"/>
          <w:sz w:val="32"/>
          <w:szCs w:val="32"/>
        </w:rPr>
        <w:t>元，包括：人员经费</w:t>
      </w:r>
      <w:r>
        <w:rPr>
          <w:rFonts w:hint="eastAsia" w:ascii="方正仿宋简体" w:hAnsi="方正仿宋简体" w:eastAsia="方正仿宋简体" w:cs="方正仿宋简体"/>
          <w:sz w:val="32"/>
          <w:szCs w:val="32"/>
          <w:lang w:val="en-US" w:eastAsia="zh-CN"/>
        </w:rPr>
        <w:t>117.19</w:t>
      </w:r>
      <w:r>
        <w:rPr>
          <w:rFonts w:hint="eastAsia" w:ascii="方正仿宋简体" w:hAnsi="方正仿宋简体" w:eastAsia="方正仿宋简体" w:cs="方正仿宋简体"/>
          <w:sz w:val="32"/>
          <w:szCs w:val="32"/>
        </w:rPr>
        <w:t>万元和日常公用经费</w:t>
      </w:r>
      <w:r>
        <w:rPr>
          <w:rFonts w:hint="eastAsia" w:ascii="方正仿宋简体" w:hAnsi="方正仿宋简体" w:eastAsia="方正仿宋简体" w:cs="方正仿宋简体"/>
          <w:sz w:val="32"/>
          <w:szCs w:val="32"/>
          <w:lang w:val="en-US" w:eastAsia="zh-CN"/>
        </w:rPr>
        <w:t>7.24</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30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 xml:space="preserve"> </w:t>
      </w:r>
      <w:bookmarkStart w:id="15" w:name="_Toc14797"/>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上年</w:t>
      </w:r>
      <w:r>
        <w:rPr>
          <w:rFonts w:hint="eastAsia" w:ascii="方正仿宋简体" w:hAnsi="方正仿宋简体" w:eastAsia="方正仿宋简体" w:cs="方正仿宋简体"/>
          <w:sz w:val="32"/>
          <w:szCs w:val="32"/>
          <w:lang w:eastAsia="zh-CN"/>
        </w:rPr>
        <w:t>相比</w:t>
      </w:r>
      <w:r>
        <w:rPr>
          <w:rFonts w:hint="eastAsia" w:ascii="方正仿宋简体" w:hAnsi="方正仿宋简体" w:eastAsia="方正仿宋简体" w:cs="方正仿宋简体"/>
          <w:sz w:val="32"/>
          <w:szCs w:val="32"/>
        </w:rPr>
        <w:t>增减</w:t>
      </w:r>
      <w:r>
        <w:rPr>
          <w:rFonts w:hint="eastAsia" w:ascii="方正仿宋简体" w:hAnsi="方正仿宋简体" w:eastAsia="方正仿宋简体" w:cs="方正仿宋简体"/>
          <w:sz w:val="32"/>
          <w:szCs w:val="32"/>
          <w:lang w:eastAsia="zh-CN"/>
        </w:rPr>
        <w:t>变化</w:t>
      </w:r>
      <w:r>
        <w:rPr>
          <w:rFonts w:hint="eastAsia" w:ascii="方正仿宋简体" w:hAnsi="方正仿宋简体" w:eastAsia="方正仿宋简体" w:cs="方正仿宋简体"/>
          <w:sz w:val="32"/>
          <w:szCs w:val="32"/>
        </w:rPr>
        <w:t>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rPr>
        <w:t>2022年预算收支安排</w:t>
      </w:r>
      <w:r>
        <w:rPr>
          <w:rFonts w:hint="eastAsia" w:ascii="方正仿宋简体" w:hAnsi="方正仿宋简体" w:eastAsia="方正仿宋简体" w:cs="方正仿宋简体"/>
          <w:sz w:val="32"/>
          <w:szCs w:val="32"/>
          <w:lang w:val="en-US" w:eastAsia="zh-CN"/>
        </w:rPr>
        <w:t>154.43</w:t>
      </w:r>
      <w:r>
        <w:rPr>
          <w:rFonts w:hint="eastAsia" w:ascii="方正仿宋简体" w:hAnsi="方正仿宋简体" w:eastAsia="方正仿宋简体" w:cs="方正仿宋简体"/>
          <w:sz w:val="32"/>
          <w:szCs w:val="32"/>
        </w:rPr>
        <w:t>万元，较2021预算</w:t>
      </w:r>
      <w:r>
        <w:rPr>
          <w:rFonts w:hint="eastAsia" w:ascii="方正仿宋简体" w:hAnsi="方正仿宋简体" w:eastAsia="方正仿宋简体" w:cs="方正仿宋简体"/>
          <w:sz w:val="32"/>
          <w:szCs w:val="32"/>
          <w:lang w:val="en-US" w:eastAsia="zh-CN"/>
        </w:rPr>
        <w:t>增加16.15</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增加16.15</w:t>
      </w:r>
      <w:r>
        <w:rPr>
          <w:rFonts w:hint="eastAsia" w:ascii="方正仿宋简体" w:hAnsi="方正仿宋简体" w:eastAsia="方正仿宋简体" w:cs="方正仿宋简体"/>
          <w:sz w:val="32"/>
          <w:szCs w:val="32"/>
        </w:rPr>
        <w:t>万元，主要为</w:t>
      </w:r>
      <w:r>
        <w:rPr>
          <w:rFonts w:hint="eastAsia" w:ascii="方正仿宋简体" w:hAnsi="方正仿宋简体" w:eastAsia="方正仿宋简体" w:cs="方正仿宋简体"/>
          <w:sz w:val="32"/>
          <w:szCs w:val="32"/>
          <w:lang w:val="en-US" w:eastAsia="zh-CN"/>
        </w:rPr>
        <w:t>2022年我部门增加两名人员，增加人员</w:t>
      </w:r>
      <w:r>
        <w:rPr>
          <w:rFonts w:hint="eastAsia" w:ascii="方正仿宋简体" w:hAnsi="方正仿宋简体" w:eastAsia="方正仿宋简体" w:cs="方正仿宋简体"/>
          <w:sz w:val="32"/>
          <w:szCs w:val="32"/>
        </w:rPr>
        <w:t>经费支出；项目支出减少</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bookmarkEnd w:id="15"/>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根据财政部《地方预算公开操作规程》规定，部门公开的机关运行经费是指各部门的公用经费，我办公用经费总计</w:t>
      </w:r>
      <w:r>
        <w:rPr>
          <w:rFonts w:hint="eastAsia" w:ascii="方正仿宋简体" w:hAnsi="方正仿宋简体" w:eastAsia="方正仿宋简体" w:cs="方正仿宋简体"/>
          <w:sz w:val="32"/>
          <w:szCs w:val="32"/>
          <w:lang w:val="en-US" w:eastAsia="zh-CN"/>
        </w:rPr>
        <w:t>7.24万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主要为</w:t>
      </w:r>
      <w:r>
        <w:rPr>
          <w:rFonts w:hint="eastAsia" w:ascii="方正仿宋简体" w:hAnsi="方正仿宋简体" w:eastAsia="方正仿宋简体" w:cs="方正仿宋简体"/>
          <w:sz w:val="32"/>
          <w:szCs w:val="32"/>
        </w:rPr>
        <w:t>办公费、</w:t>
      </w:r>
      <w:r>
        <w:rPr>
          <w:rFonts w:hint="eastAsia" w:ascii="方正仿宋简体" w:hAnsi="方正仿宋简体" w:eastAsia="方正仿宋简体" w:cs="方正仿宋简体"/>
          <w:sz w:val="32"/>
          <w:szCs w:val="32"/>
          <w:lang w:val="en-US" w:eastAsia="zh-CN"/>
        </w:rPr>
        <w:t>电</w:t>
      </w:r>
      <w:r>
        <w:rPr>
          <w:rFonts w:hint="eastAsia" w:ascii="方正仿宋简体" w:hAnsi="方正仿宋简体" w:eastAsia="方正仿宋简体" w:cs="方正仿宋简体"/>
          <w:sz w:val="32"/>
          <w:szCs w:val="32"/>
        </w:rPr>
        <w:t xml:space="preserve">费、 </w:t>
      </w:r>
      <w:r>
        <w:rPr>
          <w:rFonts w:hint="eastAsia" w:ascii="方正仿宋简体" w:hAnsi="方正仿宋简体" w:eastAsia="方正仿宋简体" w:cs="方正仿宋简体"/>
          <w:sz w:val="32"/>
          <w:szCs w:val="32"/>
          <w:lang w:val="en-US" w:eastAsia="zh-CN"/>
        </w:rPr>
        <w:t>邮电</w:t>
      </w:r>
      <w:r>
        <w:rPr>
          <w:rFonts w:hint="eastAsia" w:ascii="方正仿宋简体" w:hAnsi="方正仿宋简体" w:eastAsia="方正仿宋简体" w:cs="方正仿宋简体"/>
          <w:sz w:val="32"/>
          <w:szCs w:val="32"/>
        </w:rPr>
        <w:t>费、差旅费、</w:t>
      </w:r>
      <w:r>
        <w:rPr>
          <w:rFonts w:hint="eastAsia" w:ascii="方正仿宋简体" w:hAnsi="方正仿宋简体" w:eastAsia="方正仿宋简体" w:cs="方正仿宋简体"/>
          <w:sz w:val="32"/>
          <w:szCs w:val="32"/>
          <w:lang w:val="en-US" w:eastAsia="zh-CN"/>
        </w:rPr>
        <w:t>会议费、培训费、</w:t>
      </w:r>
      <w:r>
        <w:rPr>
          <w:rFonts w:hint="eastAsia" w:ascii="方正仿宋简体" w:hAnsi="方正仿宋简体" w:eastAsia="方正仿宋简体" w:cs="方正仿宋简体"/>
          <w:sz w:val="32"/>
          <w:szCs w:val="32"/>
        </w:rPr>
        <w:t>公务交通补贴、工会经费、福利费</w:t>
      </w:r>
      <w:r>
        <w:rPr>
          <w:rFonts w:hint="eastAsia" w:ascii="方正仿宋简体" w:hAnsi="方正仿宋简体" w:eastAsia="方正仿宋简体" w:cs="方正仿宋简体"/>
          <w:sz w:val="32"/>
          <w:szCs w:val="32"/>
          <w:lang w:val="en-US" w:eastAsia="zh-CN"/>
        </w:rPr>
        <w:t>等支出。</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150"/>
        <w:textAlignment w:val="auto"/>
        <w:outlineLvl w:val="0"/>
        <w:rPr>
          <w:rFonts w:hint="eastAsia" w:ascii="方正黑体简体" w:hAnsi="方正黑体简体" w:eastAsia="方正黑体简体" w:cs="方正黑体简体"/>
          <w:sz w:val="32"/>
          <w:szCs w:val="32"/>
        </w:rPr>
      </w:pPr>
      <w:bookmarkStart w:id="16" w:name="_Toc29617"/>
      <w:r>
        <w:rPr>
          <w:rFonts w:hint="eastAsia" w:ascii="方正黑体简体" w:hAnsi="方正黑体简体" w:eastAsia="方正黑体简体" w:cs="方正黑体简体"/>
          <w:sz w:val="32"/>
          <w:szCs w:val="32"/>
        </w:rPr>
        <w:t>四、财政拨款“三公”经费预算情况及增减变化原因</w:t>
      </w:r>
      <w:bookmarkEnd w:id="16"/>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部门财政拨款“三公”经费预算安排</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具体安排情况为：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因公出国（境）安排0人，安排费用0万元，同比上年无增减变化。原因是没有因公出国（境）工作安排，所以未安排因公出国（境）费。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公务用车购置及运维费</w:t>
      </w:r>
      <w:r>
        <w:rPr>
          <w:rFonts w:hint="eastAsia" w:ascii="方正仿宋简体" w:hAnsi="方正仿宋简体" w:eastAsia="方正仿宋简体" w:cs="方正仿宋简体"/>
          <w:sz w:val="32"/>
          <w:szCs w:val="32"/>
          <w:lang w:val="en-US" w:eastAsia="zh-CN"/>
        </w:rPr>
        <w:t>0元，与2021年相比减少2.05万元，</w:t>
      </w:r>
      <w:r>
        <w:rPr>
          <w:rFonts w:hint="eastAsia" w:ascii="方正仿宋简体" w:hAnsi="方正仿宋简体" w:eastAsia="方正仿宋简体" w:cs="方正仿宋简体"/>
          <w:sz w:val="32"/>
          <w:szCs w:val="32"/>
          <w:lang w:eastAsia="zh-CN"/>
        </w:rPr>
        <w:t>其中：①公务用车购置费安排0万元，与202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年相比持平，无增减变化。②公车运行维护费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lang w:eastAsia="zh-CN"/>
        </w:rPr>
        <w:t>万元，与202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年相比减少</w:t>
      </w:r>
      <w:r>
        <w:rPr>
          <w:rFonts w:hint="eastAsia" w:ascii="方正仿宋简体" w:hAnsi="方正仿宋简体" w:eastAsia="方正仿宋简体" w:cs="方正仿宋简体"/>
          <w:sz w:val="32"/>
          <w:szCs w:val="32"/>
          <w:lang w:val="en-US" w:eastAsia="zh-CN"/>
        </w:rPr>
        <w:t>2.05万元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sz w:val="32"/>
          <w:szCs w:val="32"/>
        </w:rPr>
        <w:t>因</w:t>
      </w:r>
      <w:r>
        <w:rPr>
          <w:rFonts w:hint="eastAsia" w:ascii="方正仿宋简体" w:hAnsi="方正仿宋简体" w:eastAsia="方正仿宋简体" w:cs="方正仿宋简体"/>
          <w:sz w:val="32"/>
          <w:szCs w:val="32"/>
          <w:lang w:eastAsia="zh-CN"/>
        </w:rPr>
        <w:t>公车上缴，公车数量减少</w:t>
      </w:r>
      <w:r>
        <w:rPr>
          <w:rFonts w:hint="eastAsia" w:ascii="方正仿宋简体" w:hAnsi="方正仿宋简体" w:eastAsia="方正仿宋简体" w:cs="方正仿宋简体"/>
          <w:sz w:val="32"/>
          <w:szCs w:val="32"/>
          <w:lang w:val="en-US" w:eastAsia="zh-CN"/>
        </w:rPr>
        <w:t>1辆，现无公务用车，所以未安排公务车辆运行维护费。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sz w:val="32"/>
          <w:szCs w:val="32"/>
        </w:rPr>
      </w:pP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公务接待费0万元</w:t>
      </w:r>
      <w:r>
        <w:rPr>
          <w:rFonts w:hint="eastAsia" w:ascii="方正仿宋简体" w:hAnsi="方正仿宋简体" w:eastAsia="方正仿宋简体" w:cs="方正仿宋简体"/>
          <w:sz w:val="32"/>
          <w:szCs w:val="32"/>
          <w:lang w:eastAsia="zh-CN"/>
        </w:rPr>
        <w:t>，与上年持平，无增减变化。</w:t>
      </w:r>
      <w:r>
        <w:rPr>
          <w:rFonts w:hint="eastAsia" w:ascii="方正仿宋简体" w:hAnsi="方正仿宋简体" w:eastAsia="方正仿宋简体" w:cs="方正仿宋简体"/>
          <w:sz w:val="32"/>
          <w:szCs w:val="32"/>
          <w:lang w:val="en-US" w:eastAsia="zh-CN"/>
        </w:rPr>
        <w:t>原因是无公务接待工作安排，所以未安排公务接待费</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简体" w:hAnsi="方正黑体简体" w:eastAsia="方正黑体简体" w:cs="方正黑体简体"/>
          <w:sz w:val="32"/>
          <w:szCs w:val="32"/>
        </w:rPr>
      </w:pPr>
      <w:bookmarkStart w:id="17" w:name="_Toc13104"/>
      <w:r>
        <w:rPr>
          <w:rFonts w:hint="eastAsia" w:ascii="方正黑体简体" w:hAnsi="方正黑体简体" w:eastAsia="方正黑体简体" w:cs="方正黑体简体"/>
          <w:sz w:val="32"/>
          <w:szCs w:val="32"/>
        </w:rPr>
        <w:t>五、绩效预算信息</w:t>
      </w:r>
      <w:bookmarkEnd w:id="17"/>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b/>
          <w:bCs/>
          <w:sz w:val="32"/>
          <w:szCs w:val="32"/>
        </w:rPr>
      </w:pPr>
      <w:bookmarkStart w:id="18" w:name="_Toc506407374"/>
      <w:r>
        <w:rPr>
          <w:rFonts w:hint="eastAsia" w:ascii="方正仿宋简体" w:hAnsi="方正仿宋简体" w:eastAsia="方正仿宋简体" w:cs="方正仿宋简体"/>
          <w:b/>
          <w:bCs/>
          <w:sz w:val="32"/>
          <w:szCs w:val="32"/>
        </w:rPr>
        <w:t>第一部分202</w:t>
      </w: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年部门整体绩效目标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总体绩效目标</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lang w:eastAsia="zh-CN"/>
        </w:rPr>
      </w:pPr>
      <w:r>
        <w:rPr>
          <w:rFonts w:hint="eastAsia" w:ascii="方正仿宋简体" w:hAnsi="方正仿宋简体" w:eastAsia="方正仿宋简体" w:cs="方正仿宋简体"/>
          <w:bCs/>
          <w:sz w:val="32"/>
          <w:szCs w:val="32"/>
        </w:rPr>
        <w:t>贯彻执行国家有关财税金融工作的方针、政策、法规。负责组织协调财政、国税、地税等方面工作；负责组织协调金融机构等工作，会同有关部门推进全市金融市场体系建设，指导地方金融机构的改革、发展和重组；组织协调实施金融突发事件应急工作，防范、化解、处置各类金融风险，组织协调有关部门查处非法金融机构和非法金融业务活动；组织开展政府与金融机构合作、金融机构与企业对接。组织全市全方位多层次资本市场建设与发展，指导和推进企业改制上市等直接融资工作。负责对征拆迁资金复核工作。负责政府性贷款的协调工作。负责对书记、市长有关财税、金融工作批示的督办工作。负责市政府交办的其他工作;勇于担当，主动作为，为推进治理体系和治理能力现代化，保障新时代唐山高质量发展做出新的更大贡献。</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）分项绩效目标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1、</w:t>
      </w:r>
      <w:r>
        <w:rPr>
          <w:rFonts w:hint="eastAsia" w:ascii="方正仿宋简体" w:hAnsi="方正仿宋简体" w:eastAsia="方正仿宋简体" w:cs="方正仿宋简体"/>
          <w:b/>
          <w:bCs w:val="0"/>
          <w:sz w:val="32"/>
          <w:szCs w:val="32"/>
        </w:rPr>
        <w:t>加大扶持力度，促进银企对接。</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绩效目标：结合银行在扶持新增、稳贷续贷、延期产期、协调解决、优化调长、降率减费等“六个一批”上下功夫，在保证存量贷款不减的基础上，实现新增贷款大幅度上升。</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绩效指标：银行贷款增加10%以上，存贷比提升1%</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2、防范打击非法集资，稳定金融市场</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绩效目标：结合打击非法集资领导小组各相关成员单位，加强监管，全面摸排，广泛宣传，进一步提升明确各金融业态的监管职责，妥善解决四起非吸案化解处置工作。</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绩效指标：不发生系统性金融风险；非法集资案件整体兑付90%以上。</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3、推动企业挂牌上市，拓展融资新渠道</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绩效目标：通过内部培育、外部招引等手段，通过相关优惠政策吸引，进一步筛选一批符合国家产业政策、主营业务突出的企业，推动企业挂牌上市进程。</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绩效指标：实现新增1家挂牌（或上市）企业。</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sz w:val="32"/>
          <w:szCs w:val="32"/>
          <w:lang w:val="en-US" w:eastAsia="zh-CN"/>
        </w:rPr>
        <w:t>4、打造招商引资平台，增加政府财力</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绩效目标：以京遵虚拟产业园、津遵虚拟产业园、遵化市宜飞德韵科技有限公司为招商引资平台，通过相关优惠政策，增加财政税收</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绩效指标：新增虚拟入驻企业1</w:t>
      </w:r>
      <w:r>
        <w:rPr>
          <w:rFonts w:hint="eastAsia" w:ascii="方正仿宋简体" w:hAnsi="方正仿宋简体" w:eastAsia="方正仿宋简体" w:cs="方正仿宋简体"/>
          <w:bCs/>
          <w:sz w:val="32"/>
          <w:szCs w:val="32"/>
          <w:lang w:val="en-US" w:eastAsia="zh-CN"/>
        </w:rPr>
        <w:t>5</w:t>
      </w:r>
      <w:r>
        <w:rPr>
          <w:rFonts w:hint="eastAsia" w:ascii="方正仿宋简体" w:hAnsi="方正仿宋简体" w:eastAsia="方正仿宋简体" w:cs="方正仿宋简体"/>
          <w:bCs/>
          <w:sz w:val="32"/>
          <w:szCs w:val="32"/>
        </w:rPr>
        <w:t>0家以上，实现税收净收益</w:t>
      </w:r>
      <w:r>
        <w:rPr>
          <w:rFonts w:hint="eastAsia" w:ascii="方正仿宋简体" w:hAnsi="方正仿宋简体" w:eastAsia="方正仿宋简体" w:cs="方正仿宋简体"/>
          <w:bCs/>
          <w:sz w:val="32"/>
          <w:szCs w:val="32"/>
          <w:lang w:val="en-US" w:eastAsia="zh-CN"/>
        </w:rPr>
        <w:t>1</w:t>
      </w:r>
      <w:r>
        <w:rPr>
          <w:rFonts w:hint="eastAsia" w:ascii="方正仿宋简体" w:hAnsi="方正仿宋简体" w:eastAsia="方正仿宋简体" w:cs="方正仿宋简体"/>
          <w:bCs/>
          <w:sz w:val="32"/>
          <w:szCs w:val="32"/>
        </w:rPr>
        <w:t>000万元。</w:t>
      </w:r>
    </w:p>
    <w:p>
      <w:pPr>
        <w:keepNext w:val="0"/>
        <w:keepLines w:val="0"/>
        <w:pageBreakBefore w:val="0"/>
        <w:widowControl w:val="0"/>
        <w:kinsoku/>
        <w:wordWrap/>
        <w:overflowPunct/>
        <w:topLinePunct w:val="0"/>
        <w:autoSpaceDE/>
        <w:autoSpaceDN/>
        <w:bidi w:val="0"/>
        <w:adjustRightInd/>
        <w:snapToGrid/>
        <w:spacing w:line="570" w:lineRule="exact"/>
        <w:ind w:firstLine="629"/>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）工作保障措施</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1、</w:t>
      </w:r>
      <w:r>
        <w:rPr>
          <w:rFonts w:hint="eastAsia" w:ascii="方正仿宋简体" w:hAnsi="方正仿宋简体" w:eastAsia="方正仿宋简体" w:cs="方正仿宋简体"/>
          <w:bCs/>
          <w:sz w:val="32"/>
          <w:szCs w:val="32"/>
        </w:rPr>
        <w:t>深入摸排企业融资需求，打破供需信息壁垒，引导域内18家银行发挥各自优势，支持实体经济发展，增加民营企业、小微企业贷款支持力度；结合上级相关政策，协调金融机构创新业务，深入推进还款方式创新，有效降低企业融资成本；另外加大力度引导企业入驻唐山金服平台，快速便捷解决企业融资需求，力争入驻企业达到</w:t>
      </w:r>
      <w:r>
        <w:rPr>
          <w:rFonts w:hint="eastAsia" w:ascii="方正仿宋简体" w:hAnsi="方正仿宋简体" w:eastAsia="方正仿宋简体" w:cs="方正仿宋简体"/>
          <w:bCs/>
          <w:sz w:val="32"/>
          <w:szCs w:val="32"/>
          <w:lang w:val="en-US" w:eastAsia="zh-CN"/>
        </w:rPr>
        <w:t>7</w:t>
      </w:r>
      <w:r>
        <w:rPr>
          <w:rFonts w:hint="eastAsia" w:ascii="方正仿宋简体" w:hAnsi="方正仿宋简体" w:eastAsia="方正仿宋简体" w:cs="方正仿宋简体"/>
          <w:bCs/>
          <w:sz w:val="32"/>
          <w:szCs w:val="32"/>
        </w:rPr>
        <w:t>00家以上，实现融资</w:t>
      </w: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0亿元。</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2、</w:t>
      </w:r>
      <w:r>
        <w:rPr>
          <w:rFonts w:hint="eastAsia" w:ascii="方正仿宋简体" w:hAnsi="方正仿宋简体" w:eastAsia="方正仿宋简体" w:cs="方正仿宋简体"/>
          <w:bCs/>
          <w:sz w:val="32"/>
          <w:szCs w:val="32"/>
        </w:rPr>
        <w:t>深入分析研判各项政策，灵通周边区域信息，以京遵虚拟产业园、金卓、宝兑通平台为基础，以自由职业者网上纳税平台为抓手，构建“2+1”招商引资平台，通过相关政策吸引，实现“招商引资”与“招财引智”并举，计划年度引进企业</w:t>
      </w:r>
      <w:r>
        <w:rPr>
          <w:rFonts w:hint="eastAsia" w:ascii="方正仿宋简体" w:hAnsi="方正仿宋简体" w:eastAsia="方正仿宋简体" w:cs="方正仿宋简体"/>
          <w:bCs/>
          <w:sz w:val="32"/>
          <w:szCs w:val="32"/>
          <w:lang w:val="en-US" w:eastAsia="zh-CN"/>
        </w:rPr>
        <w:t>150</w:t>
      </w:r>
      <w:r>
        <w:rPr>
          <w:rFonts w:hint="eastAsia" w:ascii="方正仿宋简体" w:hAnsi="方正仿宋简体" w:eastAsia="方正仿宋简体" w:cs="方正仿宋简体"/>
          <w:bCs/>
          <w:sz w:val="32"/>
          <w:szCs w:val="32"/>
        </w:rPr>
        <w:t>家以上，实现税收</w:t>
      </w:r>
      <w:r>
        <w:rPr>
          <w:rFonts w:hint="eastAsia" w:ascii="方正仿宋简体" w:hAnsi="方正仿宋简体" w:eastAsia="方正仿宋简体" w:cs="方正仿宋简体"/>
          <w:bCs/>
          <w:sz w:val="32"/>
          <w:szCs w:val="32"/>
          <w:lang w:val="en-US" w:eastAsia="zh-CN"/>
        </w:rPr>
        <w:t>1000万</w:t>
      </w:r>
      <w:r>
        <w:rPr>
          <w:rFonts w:hint="eastAsia" w:ascii="方正仿宋简体" w:hAnsi="方正仿宋简体" w:eastAsia="方正仿宋简体" w:cs="方正仿宋简体"/>
          <w:bCs/>
          <w:sz w:val="32"/>
          <w:szCs w:val="32"/>
        </w:rPr>
        <w:t>元。</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3、</w:t>
      </w:r>
      <w:r>
        <w:rPr>
          <w:rFonts w:hint="eastAsia" w:ascii="方正仿宋简体" w:hAnsi="方正仿宋简体" w:eastAsia="方正仿宋简体" w:cs="方正仿宋简体"/>
          <w:bCs/>
          <w:sz w:val="32"/>
          <w:szCs w:val="32"/>
        </w:rPr>
        <w:t>健全精准培育企业上市机制，结合区域重点产业发展目标和行业优质企业资源，集中筛选符合构建我市战略性新兴产业体系的重点企业，纳入上市挂牌后各企业资源库，实行动态管理。加大对中小企业的股权改造和上市扶持力度，构建政府、券商、企业相互沟通的良性互动机制。组织举办4场专家培训会，聘请金融专家、券商高管对企业进行辅导培训。对符合条件的上市挂牌企业给予奖励，引导企业到境内外主要资本市场上市融资。支持初创型科技型中小企业在“新三板”挂牌。力争实现</w:t>
      </w:r>
      <w:r>
        <w:rPr>
          <w:rFonts w:hint="eastAsia" w:ascii="方正仿宋简体" w:hAnsi="方正仿宋简体" w:eastAsia="方正仿宋简体" w:cs="方正仿宋简体"/>
          <w:bCs/>
          <w:sz w:val="32"/>
          <w:szCs w:val="32"/>
          <w:lang w:val="en-US" w:eastAsia="zh-CN"/>
        </w:rPr>
        <w:t>1</w:t>
      </w:r>
      <w:r>
        <w:rPr>
          <w:rFonts w:hint="eastAsia" w:ascii="方正仿宋简体" w:hAnsi="方正仿宋简体" w:eastAsia="方正仿宋简体" w:cs="方正仿宋简体"/>
          <w:bCs/>
          <w:sz w:val="32"/>
          <w:szCs w:val="32"/>
        </w:rPr>
        <w:t>家企业上市</w:t>
      </w:r>
      <w:r>
        <w:rPr>
          <w:rFonts w:hint="eastAsia" w:ascii="方正仿宋简体" w:hAnsi="方正仿宋简体" w:eastAsia="方正仿宋简体" w:cs="方正仿宋简体"/>
          <w:bCs/>
          <w:sz w:val="32"/>
          <w:szCs w:val="32"/>
          <w:lang w:eastAsia="zh-CN"/>
        </w:rPr>
        <w:t>（挂牌）</w:t>
      </w:r>
      <w:r>
        <w:rPr>
          <w:rFonts w:hint="eastAsia" w:ascii="方正仿宋简体" w:hAnsi="方正仿宋简体" w:eastAsia="方正仿宋简体" w:cs="方正仿宋简体"/>
          <w:bCs/>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一方面，每月持续推进打击和防范风险集资宣传工作，提高群众的识别力，引导公众理性投资、合法理财，从源头上有效遏制非法集资案件的发生，维护金融秩序的稳定。另一方面，依法依规，有效化解4起非吸案件处置工作，一手抓执行力度，一手抓信访维稳，高质量推进风险化解工作</w:t>
      </w:r>
      <w:r>
        <w:rPr>
          <w:rFonts w:hint="eastAsia" w:ascii="方正仿宋简体" w:hAnsi="方正仿宋简体" w:eastAsia="方正仿宋简体" w:cs="方正仿宋简体"/>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第</w:t>
      </w:r>
      <w:r>
        <w:rPr>
          <w:rFonts w:hint="eastAsia" w:ascii="方正仿宋简体" w:hAnsi="方正仿宋简体" w:eastAsia="方正仿宋简体" w:cs="方正仿宋简体"/>
          <w:b/>
          <w:bCs w:val="0"/>
          <w:sz w:val="32"/>
          <w:szCs w:val="32"/>
          <w:lang w:eastAsia="zh-CN"/>
        </w:rPr>
        <w:t>二</w:t>
      </w:r>
      <w:r>
        <w:rPr>
          <w:rFonts w:hint="eastAsia" w:ascii="方正仿宋简体" w:hAnsi="方正仿宋简体" w:eastAsia="方正仿宋简体" w:cs="方正仿宋简体"/>
          <w:b/>
          <w:bCs w:val="0"/>
          <w:sz w:val="32"/>
          <w:szCs w:val="32"/>
        </w:rPr>
        <w:t>部分</w:t>
      </w:r>
      <w:r>
        <w:rPr>
          <w:rFonts w:hint="eastAsia" w:ascii="方正仿宋简体" w:hAnsi="方正仿宋简体" w:eastAsia="方正仿宋简体" w:cs="方正仿宋简体"/>
          <w:b/>
          <w:bCs w:val="0"/>
          <w:sz w:val="32"/>
          <w:szCs w:val="32"/>
          <w:lang w:val="en-US" w:eastAsia="zh-CN"/>
        </w:rPr>
        <w:t xml:space="preserve"> </w:t>
      </w:r>
      <w:r>
        <w:rPr>
          <w:rFonts w:hint="eastAsia" w:ascii="方正仿宋简体" w:hAnsi="方正仿宋简体" w:eastAsia="方正仿宋简体" w:cs="方正仿宋简体"/>
          <w:b/>
          <w:bCs w:val="0"/>
          <w:sz w:val="32"/>
          <w:szCs w:val="32"/>
        </w:rPr>
        <w:t>预算项目绩效目标</w:t>
      </w:r>
    </w:p>
    <w:tbl>
      <w:tblPr>
        <w:tblStyle w:val="7"/>
        <w:tblW w:w="14520" w:type="dxa"/>
        <w:tblInd w:w="0" w:type="dxa"/>
        <w:tblLayout w:type="fixed"/>
        <w:tblCellMar>
          <w:top w:w="0" w:type="dxa"/>
          <w:left w:w="0" w:type="dxa"/>
          <w:bottom w:w="0" w:type="dxa"/>
          <w:right w:w="0" w:type="dxa"/>
        </w:tblCellMar>
      </w:tblPr>
      <w:tblGrid>
        <w:gridCol w:w="755"/>
        <w:gridCol w:w="1470"/>
        <w:gridCol w:w="1084"/>
        <w:gridCol w:w="1888"/>
        <w:gridCol w:w="2639"/>
        <w:gridCol w:w="854"/>
        <w:gridCol w:w="891"/>
        <w:gridCol w:w="1685"/>
        <w:gridCol w:w="2234"/>
        <w:gridCol w:w="1020"/>
      </w:tblGrid>
      <w:tr>
        <w:tblPrEx>
          <w:tblCellMar>
            <w:top w:w="0" w:type="dxa"/>
            <w:left w:w="0" w:type="dxa"/>
            <w:bottom w:w="0" w:type="dxa"/>
            <w:right w:w="0" w:type="dxa"/>
          </w:tblCellMar>
        </w:tblPrEx>
        <w:trPr>
          <w:trHeight w:val="634" w:hRule="atLeast"/>
        </w:trPr>
        <w:tc>
          <w:tcPr>
            <w:tcW w:w="14520" w:type="dxa"/>
            <w:gridSpan w:val="10"/>
            <w:tcBorders>
              <w:top w:val="nil"/>
              <w:left w:val="nil"/>
              <w:bottom w:val="nil"/>
              <w:right w:val="nil"/>
            </w:tcBorders>
            <w:noWrap/>
            <w:tcMar>
              <w:top w:w="15" w:type="dxa"/>
              <w:left w:w="15" w:type="dxa"/>
              <w:right w:w="15" w:type="dxa"/>
            </w:tcMar>
            <w:vAlign w:val="top"/>
          </w:tcPr>
          <w:p>
            <w:pPr>
              <w:keepNext w:val="0"/>
              <w:keepLines w:val="0"/>
              <w:widowControl/>
              <w:suppressLineNumbers w:val="0"/>
              <w:jc w:val="center"/>
              <w:textAlignment w:val="top"/>
              <w:rPr>
                <w:rFonts w:ascii="方正黑体简体" w:hAnsi="方正黑体简体" w:eastAsia="方正黑体简体" w:cs="方正黑体简体"/>
                <w:i w:val="0"/>
                <w:color w:val="000000"/>
                <w:sz w:val="32"/>
                <w:szCs w:val="32"/>
                <w:u w:val="none"/>
              </w:rPr>
            </w:pPr>
            <w:r>
              <w:rPr>
                <w:rFonts w:hint="eastAsia" w:ascii="方正黑体简体" w:hAnsi="方正黑体简体" w:eastAsia="方正黑体简体" w:cs="方正黑体简体"/>
                <w:i w:val="0"/>
                <w:color w:val="000000"/>
                <w:kern w:val="0"/>
                <w:sz w:val="32"/>
                <w:szCs w:val="32"/>
                <w:u w:val="none"/>
                <w:lang w:val="en-US" w:eastAsia="zh-CN" w:bidi="ar"/>
              </w:rPr>
              <w:t>预算项目绩效表</w:t>
            </w: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554"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主管部门及代码</w:t>
            </w:r>
          </w:p>
        </w:tc>
        <w:tc>
          <w:tcPr>
            <w:tcW w:w="4527"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【658】遵化市金融服务中心部门</w:t>
            </w:r>
          </w:p>
        </w:tc>
        <w:tc>
          <w:tcPr>
            <w:tcW w:w="85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实施</w:t>
            </w:r>
          </w:p>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83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【658001】遵化市财税金融服务中心</w:t>
            </w:r>
          </w:p>
        </w:tc>
      </w:tr>
      <w:tr>
        <w:tblPrEx>
          <w:tblCellMar>
            <w:top w:w="0" w:type="dxa"/>
            <w:left w:w="0" w:type="dxa"/>
            <w:bottom w:w="0" w:type="dxa"/>
            <w:right w:w="0" w:type="dxa"/>
          </w:tblCellMar>
        </w:tblPrEx>
        <w:trPr>
          <w:trHeight w:val="602"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7081" w:type="dxa"/>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项目绩效模板</w:t>
            </w:r>
          </w:p>
        </w:tc>
        <w:tc>
          <w:tcPr>
            <w:tcW w:w="6684" w:type="dxa"/>
            <w:gridSpan w:val="5"/>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88"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绩效目标</w:t>
            </w:r>
          </w:p>
        </w:tc>
        <w:tc>
          <w:tcPr>
            <w:tcW w:w="12295"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中长期目标（2022年-2023年）</w:t>
            </w: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w:t>
            </w:r>
          </w:p>
        </w:tc>
        <w:tc>
          <w:tcPr>
            <w:tcW w:w="11211"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完成我办各项本职工作及市委市政府交办的其他工作。完成好我办本职工作及市委市政府交办的其他各项工作，稳定金融市场，促进银企对接。</w:t>
            </w:r>
          </w:p>
        </w:tc>
      </w:tr>
      <w:tr>
        <w:tblPrEx>
          <w:tblCellMar>
            <w:top w:w="0" w:type="dxa"/>
            <w:left w:w="0" w:type="dxa"/>
            <w:bottom w:w="0" w:type="dxa"/>
            <w:right w:w="0" w:type="dxa"/>
          </w:tblCellMar>
        </w:tblPrEx>
        <w:trPr>
          <w:trHeight w:val="388"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084"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888"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639"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指标说明</w:t>
            </w:r>
          </w:p>
        </w:tc>
        <w:tc>
          <w:tcPr>
            <w:tcW w:w="343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2234"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指标确定依据</w:t>
            </w:r>
          </w:p>
        </w:tc>
        <w:tc>
          <w:tcPr>
            <w:tcW w:w="1020"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r>
      <w:tr>
        <w:tblPrEx>
          <w:tblCellMar>
            <w:top w:w="0" w:type="dxa"/>
            <w:left w:w="0" w:type="dxa"/>
            <w:bottom w:w="0" w:type="dxa"/>
            <w:right w:w="0" w:type="dxa"/>
          </w:tblCellMar>
        </w:tblPrEx>
        <w:trPr>
          <w:trHeight w:val="388"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88"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39"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89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2234"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94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非法集资综合治理工作完成率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反映完成非法集资综合治理考核评价工作量占计划工作量的比例。</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具有贷款余额的小微企业户数</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反映具有贷款余额的小微企业户数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推动民营银行工作情况</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反映推动民营银行工作规范运行情况</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融资担保机构风险补偿资金情况</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反映融资担保机构风险补偿资金规模是否充足</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石家庄股权交易所新增挂牌企业数量目标完成率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反映新增挂牌企业数量占目标数量的比率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系统性、区域性金融风险发生次数（反向指标）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反映发生系统性、区域性金融风险的次数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促进招商引资</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反映企业入驻园区户数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增加政府收益</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反映政府财力增加</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兑现奖励</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反映兑现奖励时间</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非法集资宣传</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反映非法集资组织频率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非法集资宣传</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反映宣传资料、宣传片制作实际花费</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企业上市培训</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反映上市过程中培训机构引进实际花费</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增加政府收益</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反映税收实际增长数额</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增加招商引资企业入驻</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反映企业入驻园区户数</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52"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企业挂牌后治理规范，财务、纳税等指标增长企业占比</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反映被抽查企业挂牌一年后与挂牌前相比较，治理规范，财务、纳税等指标增长的企业占比</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担保费率控制</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全省融资担保机构平均担保费率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累计培育上市及新三板挂牌企业数</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反映累计培育上市及新三板挂牌企业的数量</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净化金融生态环境</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反映金融生态安全相关指标</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w:t>
            </w:r>
          </w:p>
        </w:tc>
        <w:tc>
          <w:tcPr>
            <w:tcW w:w="2234"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社会和谐稳定</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反映服务对象稳定性</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单位各项工作有序开展</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反映上级下达各项任务完成情况</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中长期贷款增长率</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各金融机构贷款余额增速</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4"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29.00</w:t>
            </w:r>
          </w:p>
        </w:tc>
        <w:tc>
          <w:tcPr>
            <w:tcW w:w="1470" w:type="dxa"/>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服务满意度</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协调服务部门满意数量占协调服务部门数量比</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服务对象满意度</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企业金融机构满意度增加</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3" w:hRule="atLeast"/>
        </w:trPr>
        <w:tc>
          <w:tcPr>
            <w:tcW w:w="75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1470" w:type="dxa"/>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8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使用对象满意度</w:t>
            </w:r>
          </w:p>
        </w:tc>
        <w:tc>
          <w:tcPr>
            <w:tcW w:w="26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监管处室满意数量占监管处室数量比</w:t>
            </w:r>
          </w:p>
        </w:tc>
        <w:tc>
          <w:tcPr>
            <w:tcW w:w="85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&gt;=</w:t>
            </w:r>
          </w:p>
        </w:tc>
        <w:tc>
          <w:tcPr>
            <w:tcW w:w="891"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685"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34"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遵化市机构编制委员遵机编字【2013】6号</w:t>
            </w:r>
          </w:p>
        </w:tc>
        <w:tc>
          <w:tcPr>
            <w:tcW w:w="102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bookmarkEnd w:id="18"/>
    </w:tbl>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p>
    <w:p>
      <w:pPr>
        <w:spacing w:before="0" w:after="0" w:line="240" w:lineRule="auto"/>
        <w:ind w:firstLine="640" w:firstLineChars="200"/>
        <w:jc w:val="both"/>
        <w:outlineLvl w:val="9"/>
        <w:rPr>
          <w:rFonts w:hint="eastAsia" w:ascii="方正黑体简体" w:hAnsi="方正黑体简体" w:eastAsia="方正黑体简体" w:cs="方正黑体简体"/>
          <w:b w:val="0"/>
          <w:bCs/>
          <w:color w:val="000000"/>
          <w:sz w:val="32"/>
          <w:szCs w:val="32"/>
        </w:rPr>
      </w:pPr>
      <w:r>
        <w:rPr>
          <w:rFonts w:hint="eastAsia" w:ascii="方正黑体简体" w:hAnsi="方正黑体简体" w:eastAsia="方正黑体简体" w:cs="方正黑体简体"/>
          <w:b w:val="0"/>
          <w:bCs/>
          <w:color w:val="000000"/>
          <w:sz w:val="32"/>
          <w:szCs w:val="32"/>
        </w:rPr>
        <w:t>六、政府采购预算情况</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金融服务中心</w:t>
      </w:r>
      <w:r>
        <w:rPr>
          <w:rFonts w:hint="eastAsia" w:ascii="方正仿宋简体" w:hAnsi="方正仿宋简体" w:eastAsia="方正仿宋简体" w:cs="方正仿宋简体"/>
          <w:sz w:val="32"/>
          <w:szCs w:val="32"/>
        </w:rPr>
        <w:t>部门安排政府采购预算0.00万元。</w:t>
      </w: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部门政府采购预算</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035"/>
        <w:gridCol w:w="1245"/>
        <w:gridCol w:w="1410"/>
        <w:gridCol w:w="1065"/>
        <w:gridCol w:w="1020"/>
        <w:gridCol w:w="953"/>
        <w:gridCol w:w="827"/>
        <w:gridCol w:w="1398"/>
        <w:gridCol w:w="1149"/>
        <w:gridCol w:w="1487"/>
        <w:gridCol w:w="1058"/>
        <w:gridCol w:w="1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9" w:hRule="atLeast"/>
          <w:tblHeader/>
          <w:jc w:val="center"/>
        </w:trPr>
        <w:tc>
          <w:tcPr>
            <w:tcW w:w="7755" w:type="dxa"/>
            <w:gridSpan w:val="7"/>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658财税金融服务中心</w:t>
            </w:r>
            <w:r>
              <w:rPr>
                <w:rFonts w:hint="eastAsia" w:ascii="方正仿宋简体" w:hAnsi="方正仿宋简体" w:eastAsia="方正仿宋简体" w:cs="方正仿宋简体"/>
                <w:sz w:val="32"/>
                <w:szCs w:val="32"/>
              </w:rPr>
              <w:t>部门</w:t>
            </w:r>
          </w:p>
        </w:tc>
        <w:tc>
          <w:tcPr>
            <w:tcW w:w="6985" w:type="dxa"/>
            <w:gridSpan w:val="6"/>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tblHeader/>
          <w:jc w:val="center"/>
        </w:trPr>
        <w:tc>
          <w:tcPr>
            <w:tcW w:w="20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政府采购项目来源</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采购物品名称</w:t>
            </w:r>
          </w:p>
        </w:tc>
        <w:tc>
          <w:tcPr>
            <w:tcW w:w="14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政府采购目录序号</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eastAsia="zh-CN"/>
              </w:rPr>
              <w:t>计量单位</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数量</w:t>
            </w:r>
          </w:p>
        </w:tc>
        <w:tc>
          <w:tcPr>
            <w:tcW w:w="95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单价</w:t>
            </w:r>
          </w:p>
        </w:tc>
        <w:tc>
          <w:tcPr>
            <w:tcW w:w="698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2" w:hRule="atLeast"/>
          <w:tblHeader/>
          <w:jc w:val="center"/>
        </w:trPr>
        <w:tc>
          <w:tcPr>
            <w:tcW w:w="10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项目名称</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预算资金</w:t>
            </w: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4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95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sz w:val="32"/>
                <w:szCs w:val="32"/>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合计</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一般公共预算拨款</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基金预算拨款</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国有资本经营预算拨款</w:t>
            </w:r>
          </w:p>
        </w:tc>
        <w:tc>
          <w:tcPr>
            <w:tcW w:w="10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财政专户核拨</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4" w:hRule="atLeast"/>
          <w:jc w:val="center"/>
        </w:trPr>
        <w:tc>
          <w:tcPr>
            <w:tcW w:w="1027"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p>
        </w:tc>
        <w:tc>
          <w:tcPr>
            <w:tcW w:w="1035"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245" w:type="dxa"/>
            <w:noWrap w:val="0"/>
            <w:vAlign w:val="center"/>
          </w:tcPr>
          <w:p>
            <w:pPr>
              <w:spacing w:line="560" w:lineRule="exact"/>
              <w:jc w:val="left"/>
              <w:rPr>
                <w:rFonts w:hint="eastAsia" w:ascii="方正仿宋简体" w:hAnsi="方正仿宋简体" w:eastAsia="方正仿宋简体" w:cs="方正仿宋简体"/>
                <w:b w:val="0"/>
                <w:bCs/>
                <w:sz w:val="32"/>
                <w:szCs w:val="32"/>
              </w:rPr>
            </w:pPr>
          </w:p>
        </w:tc>
        <w:tc>
          <w:tcPr>
            <w:tcW w:w="1410" w:type="dxa"/>
            <w:noWrap w:val="0"/>
            <w:vAlign w:val="center"/>
          </w:tcPr>
          <w:p>
            <w:pPr>
              <w:spacing w:line="560" w:lineRule="exact"/>
              <w:jc w:val="left"/>
              <w:rPr>
                <w:rFonts w:hint="eastAsia" w:ascii="方正仿宋简体" w:hAnsi="方正仿宋简体" w:eastAsia="方正仿宋简体" w:cs="方正仿宋简体"/>
                <w:b w:val="0"/>
                <w:bCs/>
                <w:sz w:val="32"/>
                <w:szCs w:val="32"/>
              </w:rPr>
            </w:pPr>
          </w:p>
        </w:tc>
        <w:tc>
          <w:tcPr>
            <w:tcW w:w="1065"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p>
        </w:tc>
        <w:tc>
          <w:tcPr>
            <w:tcW w:w="1020"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953"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827"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398"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149"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487"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058"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c>
          <w:tcPr>
            <w:tcW w:w="1066" w:type="dxa"/>
            <w:noWrap w:val="0"/>
            <w:vAlign w:val="center"/>
          </w:tcPr>
          <w:p>
            <w:pPr>
              <w:spacing w:line="560" w:lineRule="exact"/>
              <w:jc w:val="right"/>
              <w:rPr>
                <w:rFonts w:hint="eastAsia" w:ascii="方正仿宋简体" w:hAnsi="方正仿宋简体" w:eastAsia="方正仿宋简体" w:cs="方正仿宋简体"/>
                <w:b w:val="0"/>
                <w:bCs/>
                <w:sz w:val="32"/>
                <w:szCs w:val="32"/>
              </w:rPr>
            </w:pPr>
          </w:p>
        </w:tc>
      </w:tr>
    </w:tbl>
    <w:p>
      <w:pPr>
        <w:spacing w:line="560" w:lineRule="exact"/>
        <w:jc w:val="left"/>
        <w:rPr>
          <w:rFonts w:hint="eastAsia" w:ascii="方正黑体简体" w:hAnsi="方正黑体简体" w:eastAsia="方正黑体简体" w:cs="方正黑体简体"/>
          <w:sz w:val="32"/>
          <w:szCs w:val="32"/>
        </w:rPr>
      </w:pPr>
      <w:r>
        <w:rPr>
          <w:rFonts w:hint="eastAsia" w:ascii="方正仿宋简体" w:hAnsi="方正仿宋简体" w:eastAsia="方正仿宋简体" w:cs="方正仿宋简体"/>
          <w:sz w:val="32"/>
          <w:szCs w:val="32"/>
        </w:rPr>
        <w:t>注：无政府采购预算</w:t>
      </w:r>
      <w:r>
        <w:rPr>
          <w:rFonts w:hint="eastAsia" w:ascii="方正仿宋简体" w:hAnsi="方正仿宋简体" w:eastAsia="方正仿宋简体" w:cs="方正仿宋简体"/>
          <w:sz w:val="32"/>
          <w:szCs w:val="32"/>
          <w:lang w:eastAsia="zh-CN"/>
        </w:rPr>
        <w:t>财政拨款预算，</w:t>
      </w:r>
      <w:r>
        <w:rPr>
          <w:rFonts w:hint="eastAsia" w:ascii="方正仿宋简体" w:hAnsi="方正仿宋简体" w:eastAsia="方正仿宋简体" w:cs="方正仿宋简体"/>
          <w:sz w:val="32"/>
          <w:szCs w:val="32"/>
        </w:rPr>
        <w:t>空表列示。</w:t>
      </w:r>
    </w:p>
    <w:p>
      <w:pPr>
        <w:spacing w:before="156" w:beforeLines="50" w:after="156" w:afterLines="50" w:line="560" w:lineRule="exact"/>
        <w:ind w:firstLine="640" w:firstLineChars="200"/>
        <w:jc w:val="left"/>
        <w:outlineLvl w:val="2"/>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财税金融服务中心</w:t>
      </w:r>
      <w:r>
        <w:rPr>
          <w:rFonts w:hint="eastAsia" w:ascii="方正仿宋简体" w:hAnsi="方正仿宋简体" w:eastAsia="方正仿宋简体" w:cs="方正仿宋简体"/>
          <w:sz w:val="32"/>
          <w:szCs w:val="32"/>
        </w:rPr>
        <w:t>部门（含所属单位）上年末固定资产金额为</w:t>
      </w:r>
      <w:r>
        <w:rPr>
          <w:rFonts w:hint="eastAsia" w:ascii="方正仿宋简体" w:hAnsi="方正仿宋简体" w:eastAsia="方正仿宋简体" w:cs="方正仿宋简体"/>
          <w:sz w:val="32"/>
          <w:szCs w:val="32"/>
          <w:lang w:val="en-US" w:eastAsia="zh-CN"/>
        </w:rPr>
        <w:t>15.15</w:t>
      </w:r>
      <w:r>
        <w:rPr>
          <w:rFonts w:hint="eastAsia" w:ascii="方正仿宋简体" w:hAnsi="方正仿宋简体" w:eastAsia="方正仿宋简体" w:cs="方正仿宋简体"/>
          <w:sz w:val="32"/>
          <w:szCs w:val="32"/>
        </w:rPr>
        <w:t>万元（详见下表）。本年度拟购置固定资产总额为</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w:t>
      </w:r>
    </w:p>
    <w:p>
      <w:pPr>
        <w:spacing w:line="560" w:lineRule="exact"/>
        <w:jc w:val="center"/>
        <w:rPr>
          <w:rFonts w:hint="eastAsia" w:ascii="方正仿宋简体" w:hAnsi="方正仿宋简体" w:eastAsia="方正仿宋简体" w:cs="方正仿宋简体"/>
          <w:sz w:val="32"/>
          <w:szCs w:val="32"/>
        </w:rPr>
      </w:pPr>
    </w:p>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部门固定资产占用情况表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6"/>
        <w:gridCol w:w="2991"/>
        <w:gridCol w:w="3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tblHeader/>
          <w:jc w:val="center"/>
        </w:trPr>
        <w:tc>
          <w:tcPr>
            <w:tcW w:w="7776" w:type="dxa"/>
            <w:tcBorders>
              <w:top w:val="single" w:color="FFFFFF" w:sz="6" w:space="0"/>
              <w:left w:val="single" w:color="FFFFFF" w:sz="6" w:space="0"/>
              <w:right w:val="single" w:color="FFFFFF" w:sz="6" w:space="0"/>
            </w:tcBorders>
            <w:noWrap w:val="0"/>
            <w:vAlign w:val="center"/>
          </w:tcPr>
          <w:p>
            <w:pPr>
              <w:spacing w:line="56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658财税金融服务中心</w:t>
            </w:r>
            <w:r>
              <w:rPr>
                <w:rFonts w:hint="eastAsia" w:ascii="方正仿宋简体" w:hAnsi="方正仿宋简体" w:eastAsia="方正仿宋简体" w:cs="方正仿宋简体"/>
                <w:sz w:val="32"/>
                <w:szCs w:val="32"/>
              </w:rPr>
              <w:t>部门</w:t>
            </w:r>
          </w:p>
        </w:tc>
        <w:tc>
          <w:tcPr>
            <w:tcW w:w="6964" w:type="dxa"/>
            <w:gridSpan w:val="2"/>
            <w:tcBorders>
              <w:top w:val="single" w:color="FFFFFF" w:sz="6" w:space="0"/>
              <w:left w:val="single" w:color="FFFFFF" w:sz="6" w:space="0"/>
              <w:right w:val="single" w:color="FFFFFF" w:sz="6" w:space="0"/>
            </w:tcBorders>
            <w:noWrap w:val="0"/>
            <w:vAlign w:val="center"/>
          </w:tcPr>
          <w:p>
            <w:pPr>
              <w:spacing w:line="560" w:lineRule="exact"/>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7776"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项   目</w:t>
            </w:r>
          </w:p>
        </w:tc>
        <w:tc>
          <w:tcPr>
            <w:tcW w:w="2991"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数量</w:t>
            </w:r>
          </w:p>
        </w:tc>
        <w:tc>
          <w:tcPr>
            <w:tcW w:w="3973" w:type="dxa"/>
            <w:noWrap w:val="0"/>
            <w:vAlign w:val="center"/>
          </w:tcPr>
          <w:p>
            <w:pPr>
              <w:spacing w:line="560" w:lineRule="exact"/>
              <w:jc w:val="center"/>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资产总额</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w:t>
            </w:r>
          </w:p>
        </w:tc>
        <w:tc>
          <w:tcPr>
            <w:tcW w:w="3973" w:type="dxa"/>
            <w:noWrap w:val="0"/>
            <w:vAlign w:val="center"/>
          </w:tcPr>
          <w:p>
            <w:pPr>
              <w:spacing w:line="560" w:lineRule="exact"/>
              <w:ind w:firstLine="640" w:firstLineChars="200"/>
              <w:jc w:val="center"/>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1、房屋（平方米）</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 xml:space="preserve">   其中：办公用房（平方米）</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2、车辆（台、辆）</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3、单价在20万元以上的设备</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p>
        </w:tc>
        <w:tc>
          <w:tcPr>
            <w:tcW w:w="3973" w:type="dxa"/>
            <w:noWrap w:val="0"/>
            <w:vAlign w:val="center"/>
          </w:tcPr>
          <w:p>
            <w:pPr>
              <w:spacing w:line="560" w:lineRule="exact"/>
              <w:ind w:firstLine="640" w:firstLineChars="200"/>
              <w:jc w:val="center"/>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776"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4、其他固定资产</w:t>
            </w:r>
          </w:p>
        </w:tc>
        <w:tc>
          <w:tcPr>
            <w:tcW w:w="2991" w:type="dxa"/>
            <w:noWrap w:val="0"/>
            <w:vAlign w:val="center"/>
          </w:tcPr>
          <w:p>
            <w:pPr>
              <w:spacing w:line="560" w:lineRule="exact"/>
              <w:ind w:firstLine="640" w:firstLineChars="200"/>
              <w:jc w:val="left"/>
              <w:rPr>
                <w:rFonts w:hint="eastAsia" w:ascii="方正仿宋简体" w:hAnsi="方正仿宋简体" w:eastAsia="方正仿宋简体" w:cs="方正仿宋简体"/>
                <w:b w:val="0"/>
                <w:bCs/>
                <w:sz w:val="32"/>
                <w:szCs w:val="32"/>
                <w:lang w:val="en-US" w:eastAsia="zh-CN"/>
              </w:rPr>
            </w:pPr>
          </w:p>
        </w:tc>
        <w:tc>
          <w:tcPr>
            <w:tcW w:w="3973" w:type="dxa"/>
            <w:noWrap w:val="0"/>
            <w:vAlign w:val="center"/>
          </w:tcPr>
          <w:p>
            <w:pPr>
              <w:spacing w:line="560" w:lineRule="exact"/>
              <w:ind w:firstLine="640" w:firstLineChars="200"/>
              <w:jc w:val="center"/>
              <w:rPr>
                <w:rFonts w:hint="default"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15.15</w:t>
            </w:r>
          </w:p>
        </w:tc>
      </w:tr>
    </w:tbl>
    <w:p>
      <w:pPr>
        <w:spacing w:line="560" w:lineRule="exact"/>
        <w:ind w:firstLine="640" w:firstLineChars="200"/>
        <w:jc w:val="left"/>
        <w:rPr>
          <w:rFonts w:hint="eastAsia" w:ascii="方正黑体简体" w:hAnsi="方正黑体简体" w:eastAsia="方正黑体简体" w:cs="方正黑体简体"/>
          <w:sz w:val="32"/>
          <w:szCs w:val="32"/>
        </w:rPr>
      </w:pPr>
      <w:bookmarkStart w:id="19" w:name="_Toc68791552"/>
    </w:p>
    <w:p>
      <w:pPr>
        <w:spacing w:line="560" w:lineRule="exact"/>
        <w:ind w:firstLine="640" w:firstLineChars="20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八、名词解释</w:t>
      </w:r>
      <w:bookmarkEnd w:id="19"/>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hint="eastAsia" w:ascii="方正黑体简体" w:hAnsi="方正黑体简体" w:eastAsia="方正黑体简体" w:cs="方正黑体简体"/>
          <w:sz w:val="32"/>
          <w:szCs w:val="32"/>
        </w:rPr>
      </w:pPr>
      <w:bookmarkStart w:id="20" w:name="_Toc68791553"/>
      <w:r>
        <w:rPr>
          <w:rFonts w:hint="eastAsia" w:ascii="方正黑体简体" w:hAnsi="方正黑体简体" w:eastAsia="方正黑体简体" w:cs="方正黑体简体"/>
          <w:sz w:val="32"/>
          <w:szCs w:val="32"/>
        </w:rPr>
        <w:t>九、其他需要说明的事项</w:t>
      </w:r>
      <w:bookmarkEnd w:id="20"/>
    </w:p>
    <w:p>
      <w:pPr>
        <w:spacing w:line="560" w:lineRule="exact"/>
        <w:ind w:firstLine="640" w:firstLineChars="200"/>
        <w:jc w:val="left"/>
        <w:rPr>
          <w:rFonts w:hint="eastAsia" w:ascii="楷体" w:hAnsi="楷体" w:eastAsia="楷体" w:cs="楷体"/>
          <w:sz w:val="32"/>
          <w:szCs w:val="32"/>
        </w:rPr>
      </w:pPr>
      <w:r>
        <w:rPr>
          <w:rFonts w:hint="eastAsia" w:ascii="方正仿宋简体" w:hAnsi="方正仿宋简体" w:eastAsia="方正仿宋简体" w:cs="方正仿宋简体"/>
          <w:sz w:val="32"/>
          <w:szCs w:val="32"/>
          <w:lang w:eastAsia="zh-CN"/>
        </w:rPr>
        <w:t>本</w:t>
      </w:r>
      <w:r>
        <w:rPr>
          <w:rFonts w:hint="eastAsia" w:ascii="方正仿宋简体" w:hAnsi="方正仿宋简体" w:eastAsia="方正仿宋简体" w:cs="方正仿宋简体"/>
          <w:sz w:val="32"/>
          <w:szCs w:val="32"/>
        </w:rPr>
        <w:t>部门无其他需要说明的事项。</w:t>
      </w:r>
    </w:p>
    <w:p>
      <w:pPr>
        <w:rPr>
          <w:rFonts w:hint="default" w:ascii="方正仿宋简体" w:hAnsi="方正仿宋简体" w:eastAsia="方正仿宋简体" w:cs="方正仿宋简体"/>
          <w:lang w:val="en-US" w:eastAsia="zh-CN"/>
        </w:rPr>
      </w:pPr>
    </w:p>
    <w:sectPr>
      <w:footerReference r:id="rId5" w:type="default"/>
      <w:pgSz w:w="16838" w:h="11906" w:orient="landscape"/>
      <w:pgMar w:top="680" w:right="1020" w:bottom="680" w:left="10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A75D93-43FA-42F6-AFF0-0BA962A01FC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71E806C-77BD-42FF-852A-F5BBD853654E}"/>
  </w:font>
  <w:font w:name="方正小标宋_GBK">
    <w:altName w:val="微软雅黑"/>
    <w:panose1 w:val="00000000000000000000"/>
    <w:charset w:val="00"/>
    <w:family w:val="auto"/>
    <w:pitch w:val="default"/>
    <w:sig w:usb0="00000000" w:usb1="00000000" w:usb2="00000000" w:usb3="00000000" w:csb0="00000000" w:csb1="00000000"/>
    <w:embedRegular r:id="rId3" w:fontKey="{1691BB9D-9183-4A71-9187-3133313D1D99}"/>
  </w:font>
  <w:font w:name="方正仿宋_GBK">
    <w:panose1 w:val="02000000000000000000"/>
    <w:charset w:val="86"/>
    <w:family w:val="auto"/>
    <w:pitch w:val="default"/>
    <w:sig w:usb0="A00002BF" w:usb1="38CF7CFA" w:usb2="00082016" w:usb3="00000000" w:csb0="00040001" w:csb1="00000000"/>
    <w:embedRegular r:id="rId4" w:fontKey="{39F4EF25-373F-48FF-99EF-708530C1B835}"/>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embedRegular r:id="rId5" w:fontKey="{73BE230C-925B-4F2C-93F6-9C655F4A897C}"/>
  </w:font>
  <w:font w:name="方正仿宋简体">
    <w:altName w:val="微软雅黑"/>
    <w:panose1 w:val="03000509000000000000"/>
    <w:charset w:val="86"/>
    <w:family w:val="auto"/>
    <w:pitch w:val="default"/>
    <w:sig w:usb0="00000000" w:usb1="00000000" w:usb2="00000000" w:usb3="00000000" w:csb0="00040000" w:csb1="00000000"/>
    <w:embedRegular r:id="rId6" w:fontKey="{8429CEEE-CC24-4D5A-A668-D14D46C4924F}"/>
  </w:font>
  <w:font w:name="方正小标宋简体">
    <w:altName w:val="黑体"/>
    <w:panose1 w:val="03000509000000000000"/>
    <w:charset w:val="86"/>
    <w:family w:val="auto"/>
    <w:pitch w:val="default"/>
    <w:sig w:usb0="00000000" w:usb1="00000000" w:usb2="00000000" w:usb3="00000000" w:csb0="00040000" w:csb1="00000000"/>
    <w:embedRegular r:id="rId7" w:fontKey="{CC3CC55F-6916-438B-84CA-AAA067741940}"/>
  </w:font>
  <w:font w:name="方正黑体简体">
    <w:altName w:val="微软雅黑"/>
    <w:panose1 w:val="03000509000000000000"/>
    <w:charset w:val="86"/>
    <w:family w:val="auto"/>
    <w:pitch w:val="default"/>
    <w:sig w:usb0="00000000" w:usb1="00000000" w:usb2="00000000" w:usb3="00000000" w:csb0="00040000" w:csb1="00000000"/>
    <w:embedRegular r:id="rId8" w:fontKey="{8A3080C6-8851-4E8D-ACEB-B9B97F6E0088}"/>
  </w:font>
  <w:font w:name="方正楷体简体">
    <w:altName w:val="宋体"/>
    <w:panose1 w:val="03000509000000000000"/>
    <w:charset w:val="86"/>
    <w:family w:val="auto"/>
    <w:pitch w:val="default"/>
    <w:sig w:usb0="00000000" w:usb1="00000000" w:usb2="00000000" w:usb3="00000000" w:csb0="00040000" w:csb1="00000000"/>
    <w:embedRegular r:id="rId9" w:fontKey="{4B2C2E69-0503-451D-8CBC-D6838C5E75FB}"/>
  </w:font>
  <w:font w:name="仿宋">
    <w:panose1 w:val="02010609060101010101"/>
    <w:charset w:val="86"/>
    <w:family w:val="auto"/>
    <w:pitch w:val="default"/>
    <w:sig w:usb0="800002BF" w:usb1="38CF7CFA" w:usb2="00000016" w:usb3="00000000" w:csb0="00040001" w:csb1="00000000"/>
    <w:embedRegular r:id="rId10" w:fontKey="{902A9AD6-AC9A-4F7D-957E-09FD23BD9362}"/>
  </w:font>
  <w:font w:name="楷体">
    <w:panose1 w:val="02010609060101010101"/>
    <w:charset w:val="86"/>
    <w:family w:val="auto"/>
    <w:pitch w:val="default"/>
    <w:sig w:usb0="800002BF" w:usb1="38CF7CFA" w:usb2="00000016" w:usb3="00000000" w:csb0="00040001" w:csb1="00000000"/>
    <w:embedRegular r:id="rId11" w:fontKey="{9ABAF947-7FAD-4420-AF3A-CD74BC1EB52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A508C"/>
    <w:multiLevelType w:val="singleLevel"/>
    <w:tmpl w:val="C61A508C"/>
    <w:lvl w:ilvl="0" w:tentative="0">
      <w:start w:val="1"/>
      <w:numFmt w:val="decimal"/>
      <w:suff w:val="nothing"/>
      <w:lvlText w:val="%1、"/>
      <w:lvlJc w:val="left"/>
    </w:lvl>
  </w:abstractNum>
  <w:abstractNum w:abstractNumId="1">
    <w:nsid w:val="F6FAA498"/>
    <w:multiLevelType w:val="singleLevel"/>
    <w:tmpl w:val="F6FAA4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ZWU3NmI2ZWQxYmU1Y2MxNDU5NjRkNDBkNzU3NTMifQ=="/>
  </w:docVars>
  <w:rsids>
    <w:rsidRoot w:val="171537F4"/>
    <w:rsid w:val="028453DC"/>
    <w:rsid w:val="03077094"/>
    <w:rsid w:val="0410030A"/>
    <w:rsid w:val="04357231"/>
    <w:rsid w:val="04FC263C"/>
    <w:rsid w:val="05B350C1"/>
    <w:rsid w:val="05C516D0"/>
    <w:rsid w:val="05EC445F"/>
    <w:rsid w:val="070D0B30"/>
    <w:rsid w:val="07691ADF"/>
    <w:rsid w:val="0852773E"/>
    <w:rsid w:val="08C72F61"/>
    <w:rsid w:val="0A2D3298"/>
    <w:rsid w:val="0AFA09B4"/>
    <w:rsid w:val="0CC04897"/>
    <w:rsid w:val="0DC9777B"/>
    <w:rsid w:val="0FCE72CB"/>
    <w:rsid w:val="104C541E"/>
    <w:rsid w:val="10AD5132"/>
    <w:rsid w:val="12FF663A"/>
    <w:rsid w:val="163E4D00"/>
    <w:rsid w:val="16DA6E27"/>
    <w:rsid w:val="171537F4"/>
    <w:rsid w:val="174C573A"/>
    <w:rsid w:val="17B2302E"/>
    <w:rsid w:val="18516552"/>
    <w:rsid w:val="196B1792"/>
    <w:rsid w:val="1ADA4D76"/>
    <w:rsid w:val="1CFB69AD"/>
    <w:rsid w:val="1F7F7C9A"/>
    <w:rsid w:val="20A67E1B"/>
    <w:rsid w:val="222E1ACF"/>
    <w:rsid w:val="23211167"/>
    <w:rsid w:val="24286B52"/>
    <w:rsid w:val="26EF0AE9"/>
    <w:rsid w:val="28FF205B"/>
    <w:rsid w:val="2A3C3357"/>
    <w:rsid w:val="2F7D01EF"/>
    <w:rsid w:val="329462E9"/>
    <w:rsid w:val="33FE0F74"/>
    <w:rsid w:val="34777DD3"/>
    <w:rsid w:val="347831DE"/>
    <w:rsid w:val="36873BAC"/>
    <w:rsid w:val="38AD71CE"/>
    <w:rsid w:val="3EE005C1"/>
    <w:rsid w:val="3EEF6792"/>
    <w:rsid w:val="3F4A5F01"/>
    <w:rsid w:val="461D3F03"/>
    <w:rsid w:val="47245DF1"/>
    <w:rsid w:val="49BE41D9"/>
    <w:rsid w:val="4E200FE9"/>
    <w:rsid w:val="4E740A62"/>
    <w:rsid w:val="4FA26F09"/>
    <w:rsid w:val="4FDA66A3"/>
    <w:rsid w:val="501C6CBB"/>
    <w:rsid w:val="507408A5"/>
    <w:rsid w:val="50ED1FC8"/>
    <w:rsid w:val="51962A9D"/>
    <w:rsid w:val="51BA29C2"/>
    <w:rsid w:val="57CF6D09"/>
    <w:rsid w:val="5AEC6705"/>
    <w:rsid w:val="5C835395"/>
    <w:rsid w:val="604E42C9"/>
    <w:rsid w:val="60741826"/>
    <w:rsid w:val="63D77F71"/>
    <w:rsid w:val="6444203D"/>
    <w:rsid w:val="6545060B"/>
    <w:rsid w:val="65D61B75"/>
    <w:rsid w:val="669F4100"/>
    <w:rsid w:val="670C3070"/>
    <w:rsid w:val="69E44896"/>
    <w:rsid w:val="6DAE2450"/>
    <w:rsid w:val="6E094253"/>
    <w:rsid w:val="6E380A2F"/>
    <w:rsid w:val="6EA37C56"/>
    <w:rsid w:val="6F552ECC"/>
    <w:rsid w:val="6FF3138F"/>
    <w:rsid w:val="722E4900"/>
    <w:rsid w:val="747304B8"/>
    <w:rsid w:val="75243D99"/>
    <w:rsid w:val="752A09E7"/>
    <w:rsid w:val="76634D94"/>
    <w:rsid w:val="773A3D9A"/>
    <w:rsid w:val="79B0111C"/>
    <w:rsid w:val="7A1A39BC"/>
    <w:rsid w:val="7C6E366C"/>
    <w:rsid w:val="7E5540C4"/>
    <w:rsid w:val="7E9B1717"/>
    <w:rsid w:val="7EA12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toc 2"/>
    <w:basedOn w:val="1"/>
    <w:next w:val="1"/>
    <w:autoRedefine/>
    <w:unhideWhenUsed/>
    <w:qFormat/>
    <w:uiPriority w:val="39"/>
    <w:pPr>
      <w:ind w:left="420" w:leftChars="200"/>
    </w:pPr>
  </w:style>
  <w:style w:type="character" w:styleId="9">
    <w:name w:val="Hyperlink"/>
    <w:basedOn w:val="8"/>
    <w:autoRedefine/>
    <w:unhideWhenUsed/>
    <w:qFormat/>
    <w:uiPriority w:val="99"/>
    <w:rPr>
      <w:color w:val="0000FF"/>
      <w:u w:val="single"/>
    </w:rPr>
  </w:style>
  <w:style w:type="character" w:customStyle="1" w:styleId="10">
    <w:name w:val="font101"/>
    <w:basedOn w:val="8"/>
    <w:autoRedefine/>
    <w:qFormat/>
    <w:uiPriority w:val="0"/>
    <w:rPr>
      <w:rFonts w:ascii="方正小标宋_GBK" w:hAnsi="方正小标宋_GBK" w:eastAsia="方正小标宋_GBK" w:cs="方正小标宋_GBK"/>
      <w:color w:val="000000"/>
      <w:sz w:val="36"/>
      <w:szCs w:val="36"/>
      <w:u w:val="none"/>
    </w:rPr>
  </w:style>
  <w:style w:type="character" w:customStyle="1" w:styleId="11">
    <w:name w:val="font61"/>
    <w:basedOn w:val="8"/>
    <w:autoRedefine/>
    <w:qFormat/>
    <w:uiPriority w:val="0"/>
    <w:rPr>
      <w:rFonts w:hint="default" w:ascii="方正仿宋_GBK" w:hAnsi="方正仿宋_GBK" w:eastAsia="方正仿宋_GBK" w:cs="方正仿宋_GBK"/>
      <w:color w:val="000000"/>
      <w:sz w:val="22"/>
      <w:szCs w:val="22"/>
      <w:u w:val="none"/>
    </w:rPr>
  </w:style>
  <w:style w:type="character" w:customStyle="1" w:styleId="12">
    <w:name w:val="font71"/>
    <w:basedOn w:val="8"/>
    <w:autoRedefine/>
    <w:qFormat/>
    <w:uiPriority w:val="0"/>
    <w:rPr>
      <w:rFonts w:hint="default" w:ascii="Times New Roman" w:hAnsi="Times New Roman" w:cs="Times New Roman"/>
      <w:color w:val="000000"/>
      <w:sz w:val="22"/>
      <w:szCs w:val="22"/>
      <w:u w:val="none"/>
    </w:rPr>
  </w:style>
  <w:style w:type="character" w:customStyle="1" w:styleId="13">
    <w:name w:val="font121"/>
    <w:basedOn w:val="8"/>
    <w:autoRedefine/>
    <w:qFormat/>
    <w:uiPriority w:val="0"/>
    <w:rPr>
      <w:rFonts w:ascii="方正书宋_GBK" w:hAnsi="方正书宋_GBK" w:eastAsia="方正书宋_GBK" w:cs="方正书宋_GBK"/>
      <w:b/>
      <w:bCs/>
      <w:color w:val="000000"/>
      <w:sz w:val="22"/>
      <w:szCs w:val="22"/>
      <w:u w:val="none"/>
    </w:rPr>
  </w:style>
  <w:style w:type="character" w:customStyle="1" w:styleId="14">
    <w:name w:val="font51"/>
    <w:basedOn w:val="8"/>
    <w:autoRedefine/>
    <w:qFormat/>
    <w:uiPriority w:val="0"/>
    <w:rPr>
      <w:rFonts w:hint="default" w:ascii="Times New Roman" w:hAnsi="Times New Roman" w:cs="Times New Roman"/>
      <w:b/>
      <w:bCs/>
      <w:color w:val="000000"/>
      <w:sz w:val="22"/>
      <w:szCs w:val="22"/>
      <w:u w:val="none"/>
    </w:rPr>
  </w:style>
  <w:style w:type="character" w:customStyle="1" w:styleId="15">
    <w:name w:val="font132"/>
    <w:basedOn w:val="8"/>
    <w:autoRedefine/>
    <w:qFormat/>
    <w:uiPriority w:val="0"/>
    <w:rPr>
      <w:rFonts w:hint="default" w:ascii="方正仿宋_GBK" w:hAnsi="方正仿宋_GBK" w:eastAsia="方正仿宋_GBK" w:cs="方正仿宋_GBK"/>
      <w:color w:val="000000"/>
      <w:sz w:val="22"/>
      <w:szCs w:val="22"/>
      <w:u w:val="none"/>
    </w:rPr>
  </w:style>
  <w:style w:type="character" w:customStyle="1" w:styleId="16">
    <w:name w:val="font141"/>
    <w:basedOn w:val="8"/>
    <w:autoRedefine/>
    <w:qFormat/>
    <w:uiPriority w:val="0"/>
    <w:rPr>
      <w:rFonts w:hint="default" w:ascii="方正仿宋_GBK" w:hAnsi="方正仿宋_GBK" w:eastAsia="方正仿宋_GBK" w:cs="方正仿宋_GBK"/>
      <w:b/>
      <w:bCs/>
      <w:color w:val="000000"/>
      <w:sz w:val="22"/>
      <w:szCs w:val="22"/>
      <w:u w:val="none"/>
    </w:rPr>
  </w:style>
  <w:style w:type="character" w:customStyle="1" w:styleId="17">
    <w:name w:val="font112"/>
    <w:basedOn w:val="8"/>
    <w:autoRedefine/>
    <w:qFormat/>
    <w:uiPriority w:val="0"/>
    <w:rPr>
      <w:rFonts w:ascii="方正小标宋_GBK" w:hAnsi="方正小标宋_GBK" w:eastAsia="方正小标宋_GBK" w:cs="方正小标宋_GBK"/>
      <w:color w:val="000000"/>
      <w:sz w:val="36"/>
      <w:szCs w:val="36"/>
      <w:u w:val="none"/>
    </w:rPr>
  </w:style>
  <w:style w:type="character" w:customStyle="1" w:styleId="18">
    <w:name w:val="font81"/>
    <w:basedOn w:val="8"/>
    <w:autoRedefine/>
    <w:qFormat/>
    <w:uiPriority w:val="0"/>
    <w:rPr>
      <w:rFonts w:hint="default" w:ascii="方正仿宋_GBK" w:hAnsi="方正仿宋_GBK" w:eastAsia="方正仿宋_GBK" w:cs="方正仿宋_GBK"/>
      <w:color w:val="000000"/>
      <w:sz w:val="22"/>
      <w:szCs w:val="22"/>
      <w:u w:val="none"/>
    </w:rPr>
  </w:style>
  <w:style w:type="character" w:customStyle="1" w:styleId="19">
    <w:name w:val="font131"/>
    <w:basedOn w:val="8"/>
    <w:autoRedefine/>
    <w:qFormat/>
    <w:uiPriority w:val="0"/>
    <w:rPr>
      <w:rFonts w:ascii="方正书宋_GBK" w:hAnsi="方正书宋_GBK" w:eastAsia="方正书宋_GBK" w:cs="方正书宋_GBK"/>
      <w:b/>
      <w:bCs/>
      <w:color w:val="000000"/>
      <w:sz w:val="22"/>
      <w:szCs w:val="22"/>
      <w:u w:val="none"/>
    </w:rPr>
  </w:style>
  <w:style w:type="character" w:customStyle="1" w:styleId="20">
    <w:name w:val="font151"/>
    <w:basedOn w:val="8"/>
    <w:autoRedefine/>
    <w:qFormat/>
    <w:uiPriority w:val="0"/>
    <w:rPr>
      <w:rFonts w:ascii="方正书宋_GBK" w:hAnsi="方正书宋_GBK" w:eastAsia="方正书宋_GBK" w:cs="方正书宋_GBK"/>
      <w:b/>
      <w:bCs/>
      <w:color w:val="000000"/>
      <w:sz w:val="22"/>
      <w:szCs w:val="22"/>
      <w:u w:val="none"/>
    </w:rPr>
  </w:style>
  <w:style w:type="character" w:customStyle="1" w:styleId="21">
    <w:name w:val="font161"/>
    <w:basedOn w:val="8"/>
    <w:autoRedefine/>
    <w:qFormat/>
    <w:uiPriority w:val="0"/>
    <w:rPr>
      <w:rFonts w:hint="default" w:ascii="方正仿宋_GBK" w:hAnsi="方正仿宋_GBK" w:eastAsia="方正仿宋_GBK" w:cs="方正仿宋_GBK"/>
      <w:color w:val="000000"/>
      <w:sz w:val="22"/>
      <w:szCs w:val="22"/>
      <w:u w:val="none"/>
    </w:rPr>
  </w:style>
  <w:style w:type="character" w:customStyle="1" w:styleId="22">
    <w:name w:val="font91"/>
    <w:basedOn w:val="8"/>
    <w:autoRedefine/>
    <w:qFormat/>
    <w:uiPriority w:val="0"/>
    <w:rPr>
      <w:rFonts w:hint="default" w:ascii="Times New Roman" w:hAnsi="Times New Roman" w:cs="Times New Roman"/>
      <w:color w:val="000000"/>
      <w:sz w:val="22"/>
      <w:szCs w:val="22"/>
      <w:u w:val="none"/>
    </w:rPr>
  </w:style>
  <w:style w:type="character" w:customStyle="1" w:styleId="23">
    <w:name w:val="font171"/>
    <w:basedOn w:val="8"/>
    <w:autoRedefine/>
    <w:qFormat/>
    <w:uiPriority w:val="0"/>
    <w:rPr>
      <w:rFonts w:hint="default" w:ascii="方正仿宋_GBK" w:hAnsi="方正仿宋_GBK" w:eastAsia="方正仿宋_GBK" w:cs="方正仿宋_GBK"/>
      <w:color w:val="000000"/>
      <w:sz w:val="22"/>
      <w:szCs w:val="22"/>
      <w:u w:val="none"/>
    </w:rPr>
  </w:style>
  <w:style w:type="character" w:customStyle="1" w:styleId="24">
    <w:name w:val="font111"/>
    <w:basedOn w:val="8"/>
    <w:autoRedefine/>
    <w:qFormat/>
    <w:uiPriority w:val="0"/>
    <w:rPr>
      <w:rFonts w:ascii="方正书宋_GBK" w:hAnsi="方正书宋_GBK" w:eastAsia="方正书宋_GBK" w:cs="方正书宋_GBK"/>
      <w:b/>
      <w:bCs/>
      <w:color w:val="000000"/>
      <w:sz w:val="22"/>
      <w:szCs w:val="22"/>
      <w:u w:val="none"/>
    </w:rPr>
  </w:style>
  <w:style w:type="character" w:customStyle="1" w:styleId="25">
    <w:name w:val="font122"/>
    <w:basedOn w:val="8"/>
    <w:autoRedefine/>
    <w:qFormat/>
    <w:uiPriority w:val="0"/>
    <w:rPr>
      <w:rFonts w:hint="default" w:ascii="方正仿宋_GBK" w:hAnsi="方正仿宋_GBK" w:eastAsia="方正仿宋_GBK" w:cs="方正仿宋_GBK"/>
      <w:color w:val="000000"/>
      <w:sz w:val="22"/>
      <w:szCs w:val="22"/>
      <w:u w:val="none"/>
    </w:rPr>
  </w:style>
  <w:style w:type="character" w:customStyle="1" w:styleId="26">
    <w:name w:val="font21"/>
    <w:basedOn w:val="8"/>
    <w:autoRedefine/>
    <w:qFormat/>
    <w:uiPriority w:val="0"/>
    <w:rPr>
      <w:rFonts w:hint="default" w:ascii="Times New Roman" w:hAnsi="Times New Roman" w:cs="Times New Roman"/>
      <w:color w:val="000000"/>
      <w:sz w:val="36"/>
      <w:szCs w:val="36"/>
      <w:u w:val="none"/>
    </w:rPr>
  </w:style>
  <w:style w:type="paragraph" w:customStyle="1" w:styleId="27">
    <w:name w:val="p0"/>
    <w:basedOn w:val="1"/>
    <w:autoRedefine/>
    <w:qFormat/>
    <w:uiPriority w:val="0"/>
    <w:pPr>
      <w:widowControl/>
    </w:pPr>
    <w:rPr>
      <w:rFonts w:ascii="Times New Roman" w:hAnsi="Times New Roman" w:cs="Times New Roman"/>
      <w:kern w:val="0"/>
      <w:szCs w:val="21"/>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正文1"/>
    <w:basedOn w:val="1"/>
    <w:next w:val="30"/>
    <w:autoRedefine/>
    <w:qFormat/>
    <w:uiPriority w:val="0"/>
    <w:pPr>
      <w:snapToGrid w:val="0"/>
      <w:spacing w:line="324" w:lineRule="auto"/>
      <w:ind w:firstLine="200" w:firstLineChars="200"/>
      <w:jc w:val="left"/>
    </w:pPr>
    <w:rPr>
      <w:rFonts w:cs="宋体"/>
      <w:snapToGrid w:val="0"/>
      <w:kern w:val="0"/>
    </w:rPr>
  </w:style>
  <w:style w:type="paragraph" w:customStyle="1" w:styleId="30">
    <w:name w:val="样式 样式 正文缩进正文（首行缩进两字）正文2 + 首行缩进:  2 字符 + 首行缩进:  2 字符"/>
    <w:basedOn w:val="1"/>
    <w:autoRedefine/>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8252</Words>
  <Characters>9784</Characters>
  <Lines>0</Lines>
  <Paragraphs>0</Paragraphs>
  <TotalTime>4</TotalTime>
  <ScaleCrop>false</ScaleCrop>
  <LinksUpToDate>false</LinksUpToDate>
  <CharactersWithSpaces>9961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2022-05-20T00:02:00Z</dcterms:created>
  <dc:creator>lenovo</dc:creator>
  <cp:lastModifiedBy>转角</cp:lastModifiedBy>
  <cp:lastPrinted>2022-06-24T07:20:00Z</cp:lastPrinted>
  <dcterms:modified xsi:type="dcterms:W3CDTF">2024-03-21T07:12:35Z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D89B344FC0624ADEA575AA9B3024FBB1_13</vt:lpwstr>
  </property>
</Properties>
</file>