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rPr>
        <w:t>22</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drawing>
          <wp:anchor distT="0" distB="0" distL="114300" distR="114300" simplePos="0" relativeHeight="251659264" behindDoc="0" locked="0" layoutInCell="1" allowOverlap="1">
            <wp:simplePos x="0" y="0"/>
            <wp:positionH relativeFrom="page">
              <wp:posOffset>3238500</wp:posOffset>
            </wp:positionH>
            <wp:positionV relativeFrom="page">
              <wp:posOffset>3810000</wp:posOffset>
            </wp:positionV>
            <wp:extent cx="3152775" cy="15621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3152775" cy="1562100"/>
                    </a:xfrm>
                    <a:prstGeom prst="rect">
                      <a:avLst/>
                    </a:prstGeom>
                  </pic:spPr>
                </pic:pic>
              </a:graphicData>
            </a:graphic>
          </wp:anchor>
        </w:drawing>
      </w: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 遵化市人民代表大会常务委员会  </w:t>
      </w:r>
    </w:p>
    <w:p>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rPr>
        <w:t>0315-6838809</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5</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12</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遵化</w:t>
      </w:r>
      <w:r>
        <w:rPr>
          <w:rFonts w:ascii="仿宋" w:hAnsi="仿宋" w:eastAsia="仿宋" w:cs="Times New Roman"/>
          <w:sz w:val="32"/>
          <w:szCs w:val="32"/>
        </w:rPr>
        <w:t>市财政局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w:t>
      </w:r>
      <w:r>
        <w:rPr>
          <w:rFonts w:ascii="Times New Roman" w:hAnsi="Times New Roman" w:eastAsia="仿宋" w:cs="Times New Roman"/>
          <w:sz w:val="32"/>
          <w:szCs w:val="32"/>
        </w:rPr>
        <w:t>部门20</w:t>
      </w:r>
      <w:r>
        <w:rPr>
          <w:rFonts w:hint="eastAsia" w:ascii="Times New Roman" w:hAnsi="Times New Roman" w:eastAsia="仿宋" w:cs="Times New Roman"/>
          <w:sz w:val="32"/>
          <w:szCs w:val="32"/>
        </w:rPr>
        <w:t>22</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资金816.89万元，实际支出753.94万元，预算执行率92.3</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7</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rPr>
        <w:t>223</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支出94.75</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rPr>
        <w:t>42.49</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spacing w:line="540" w:lineRule="exact"/>
        <w:ind w:firstLine="643" w:firstLineChars="200"/>
        <w:rPr>
          <w:rFonts w:ascii="方正仿宋简体" w:hAnsi="黑体" w:eastAsia="方正仿宋简体" w:cs="方正黑体简体"/>
          <w:spacing w:val="-4"/>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r>
        <w:rPr>
          <w:rFonts w:hint="eastAsia" w:ascii="方正仿宋简体" w:hAnsi="仿宋" w:eastAsia="方正仿宋简体" w:cs="Times New Roman"/>
          <w:spacing w:val="-4"/>
          <w:sz w:val="32"/>
          <w:szCs w:val="32"/>
        </w:rPr>
        <w:t>深入贯彻落实党的十九大精神，市委全会明确提出了全市经济社会发展的任务目标和重大举措。</w:t>
      </w:r>
      <w:r>
        <w:rPr>
          <w:rFonts w:hint="eastAsia" w:ascii="方正仿宋简体" w:hAnsi="黑体" w:eastAsia="方正仿宋简体" w:cs="方正黑体简体"/>
          <w:spacing w:val="-4"/>
          <w:sz w:val="32"/>
          <w:szCs w:val="32"/>
        </w:rPr>
        <w:t>市人大常委会将坚持以党的十九大精神为指导，全面贯彻落实市委全会各项决策部署，积极顺应人民群众新期待，以服务高质量发展、促进公平正义、增进民生福祉为出发点和落脚点，依法行使职权，增强监督实效、发挥代表作用、提升履职能力，为加快建设环京津新型工业基地、旅游商贸名城、魅力中等城市做出应有的贡献。</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rPr>
        <w:t>7</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rPr>
        <w:t>94.75</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spacing w:line="540" w:lineRule="exact"/>
        <w:ind w:firstLine="624" w:firstLineChars="200"/>
        <w:jc w:val="left"/>
        <w:rPr>
          <w:rFonts w:ascii="方正仿宋简体" w:hAnsi="黑体" w:eastAsia="方正仿宋简体" w:cs="方正仿宋简体"/>
          <w:spacing w:val="-4"/>
          <w:sz w:val="32"/>
          <w:szCs w:val="32"/>
        </w:rPr>
      </w:pPr>
      <w:r>
        <w:rPr>
          <w:rFonts w:hint="eastAsia" w:ascii="方正仿宋简体" w:hAnsi="黑体" w:eastAsia="方正仿宋简体" w:cs="方正仿宋简体"/>
          <w:spacing w:val="-4"/>
          <w:sz w:val="32"/>
          <w:szCs w:val="32"/>
        </w:rPr>
        <w:t>本年度安排的专项项目资金，保障了各个项目的顺利实施，有效地推动了全市经济社会发展贡献了力量。</w:t>
      </w:r>
    </w:p>
    <w:p>
      <w:pPr>
        <w:spacing w:line="540" w:lineRule="exact"/>
        <w:ind w:firstLine="624" w:firstLineChars="200"/>
        <w:jc w:val="left"/>
        <w:rPr>
          <w:rFonts w:ascii="方正仿宋简体" w:hAnsi="仿宋" w:eastAsia="方正仿宋简体" w:cs="Times New Roman"/>
          <w:spacing w:val="-4"/>
          <w:sz w:val="32"/>
          <w:szCs w:val="32"/>
        </w:rPr>
      </w:pPr>
      <w:r>
        <w:rPr>
          <w:rFonts w:hint="eastAsia" w:ascii="方正仿宋简体" w:hAnsi="黑体" w:eastAsia="方正仿宋简体" w:cs="方正仿宋简体"/>
          <w:spacing w:val="-4"/>
          <w:sz w:val="32"/>
          <w:szCs w:val="32"/>
        </w:rPr>
        <w:t>1、人大监督。</w:t>
      </w:r>
      <w:r>
        <w:rPr>
          <w:rFonts w:hint="eastAsia" w:ascii="方正仿宋简体" w:hAnsi="仿宋" w:eastAsia="方正仿宋简体" w:cs="Times New Roman"/>
          <w:spacing w:val="-4"/>
          <w:sz w:val="32"/>
          <w:szCs w:val="32"/>
        </w:rPr>
        <w:t>行使好人大监督权、重大事项决定权，增强人大监督实施。</w:t>
      </w:r>
      <w:r>
        <w:rPr>
          <w:rFonts w:hint="eastAsia" w:ascii="方正仿宋简体" w:hAnsi="Calibri" w:eastAsia="方正仿宋简体" w:cs="Times New Roman"/>
          <w:sz w:val="32"/>
          <w:szCs w:val="32"/>
        </w:rPr>
        <w:t>根据《中华人民共和国地方各级人民代表大会和地方各级人民政府组织法》和《中华人民共和国监督法》的规定，市人大常委会具有监督宪法和法律实施的权利。根据市人大常委会的监督职责。监督宪法和法律在我市行政区域内正确实施；监督“一府一委两院”依法开展工作；监督市本级预算按照市代会通过的预算有效实施；监督经济和社会发展计划有效实施。</w:t>
      </w:r>
    </w:p>
    <w:p>
      <w:pPr>
        <w:spacing w:line="540" w:lineRule="exact"/>
        <w:ind w:firstLine="624" w:firstLineChars="200"/>
        <w:jc w:val="left"/>
        <w:rPr>
          <w:rFonts w:ascii="方正仿宋简体" w:hAnsi="楷体" w:eastAsia="方正仿宋简体" w:cs="Times New Roman"/>
          <w:b/>
          <w:spacing w:val="-4"/>
          <w:sz w:val="32"/>
          <w:szCs w:val="32"/>
        </w:rPr>
      </w:pPr>
      <w:r>
        <w:rPr>
          <w:rFonts w:hint="eastAsia" w:ascii="方正仿宋简体" w:hAnsi="黑体" w:eastAsia="方正仿宋简体" w:cs="Times New Roman"/>
          <w:spacing w:val="-4"/>
          <w:sz w:val="32"/>
          <w:szCs w:val="32"/>
        </w:rPr>
        <w:t>2、</w:t>
      </w:r>
      <w:r>
        <w:rPr>
          <w:rFonts w:hint="eastAsia" w:ascii="方正仿宋简体" w:hAnsi="Calibri" w:eastAsia="方正仿宋简体" w:cs="Times New Roman"/>
          <w:sz w:val="32"/>
          <w:szCs w:val="32"/>
        </w:rPr>
        <w:t>专门委员会、常委会委员及人大代表活动</w:t>
      </w:r>
      <w:r>
        <w:rPr>
          <w:rFonts w:hint="eastAsia" w:ascii="方正仿宋简体" w:hAnsi="黑体" w:eastAsia="方正仿宋简体" w:cs="Times New Roman"/>
          <w:spacing w:val="-4"/>
          <w:sz w:val="32"/>
          <w:szCs w:val="32"/>
        </w:rPr>
        <w:t>。</w:t>
      </w:r>
      <w:r>
        <w:rPr>
          <w:rFonts w:hint="eastAsia" w:ascii="方正仿宋简体" w:hAnsi="仿宋" w:eastAsia="方正仿宋简体" w:cs="Times New Roman"/>
          <w:spacing w:val="-4"/>
          <w:sz w:val="32"/>
          <w:szCs w:val="32"/>
        </w:rPr>
        <w:t>按照“各级代表全参与、服务人民全覆盖”的要求，探索创新“家”“ 站”运行务实管用新机制，加强对闭会期间组织代表活动、向选民述职等工作的精细化指导。坚持“双联系”制度，深入开展</w:t>
      </w:r>
      <w:r>
        <w:rPr>
          <w:rFonts w:hint="eastAsia" w:ascii="方正仿宋简体" w:hAnsi="仿宋" w:eastAsia="方正仿宋简体" w:cs="Times New Roman"/>
          <w:sz w:val="32"/>
          <w:szCs w:val="32"/>
        </w:rPr>
        <w:t>“访民情、汇民智、解民忧、促发展”主题活动，</w:t>
      </w:r>
      <w:r>
        <w:rPr>
          <w:rFonts w:hint="eastAsia" w:ascii="方正仿宋简体" w:hAnsi="仿宋" w:eastAsia="方正仿宋简体" w:cs="Times New Roman"/>
          <w:spacing w:val="-4"/>
          <w:sz w:val="32"/>
          <w:szCs w:val="32"/>
        </w:rPr>
        <w:t>使“家”“站”成为代表反映民意的“直通车”，服务群众的“连心桥”，改进工作的“助推器”。</w:t>
      </w:r>
      <w:r>
        <w:rPr>
          <w:rFonts w:hint="eastAsia" w:ascii="方正仿宋简体" w:hAnsi="Calibri" w:eastAsia="方正仿宋简体" w:cs="Times New Roman"/>
          <w:sz w:val="32"/>
          <w:szCs w:val="32"/>
        </w:rPr>
        <w:t xml:space="preserve"> 组织专门委员会委员、各工作委员会及特聘专家进行立法执法、立法调研、立法后评估工作及立法培训活动，对法律实施情况进行检查；组织人大常委</w:t>
      </w:r>
      <w:r>
        <w:rPr>
          <w:rFonts w:hint="eastAsia" w:ascii="方正仿宋简体" w:hAnsi="Calibri" w:eastAsia="方正仿宋简体" w:cs="Times New Roman"/>
          <w:sz w:val="32"/>
          <w:szCs w:val="32"/>
          <w:lang w:eastAsia="zh-CN"/>
        </w:rPr>
        <w:t>会委员</w:t>
      </w:r>
      <w:r>
        <w:rPr>
          <w:rFonts w:hint="eastAsia" w:ascii="方正仿宋简体" w:hAnsi="Calibri" w:eastAsia="方正仿宋简体" w:cs="Times New Roman"/>
          <w:sz w:val="32"/>
          <w:szCs w:val="32"/>
        </w:rPr>
        <w:t>及市人大代表进行执法检查和集中视察；开展代表建议督办；组织对常委及代表培训。</w:t>
      </w:r>
    </w:p>
    <w:p>
      <w:pPr>
        <w:spacing w:line="540" w:lineRule="exact"/>
        <w:ind w:firstLine="614" w:firstLineChars="196"/>
        <w:jc w:val="left"/>
        <w:rPr>
          <w:rFonts w:ascii="方正仿宋简体" w:hAnsi="Calibri" w:eastAsia="方正仿宋简体" w:cs="Times New Roman"/>
          <w:sz w:val="32"/>
          <w:szCs w:val="32"/>
        </w:rPr>
      </w:pPr>
      <w:r>
        <w:rPr>
          <w:rFonts w:hint="eastAsia" w:ascii="方正仿宋简体" w:hAnsi="楷体" w:eastAsia="方正仿宋简体" w:cs="Times New Roman"/>
          <w:b/>
          <w:spacing w:val="-4"/>
          <w:sz w:val="32"/>
          <w:szCs w:val="32"/>
        </w:rPr>
        <w:t>3、</w:t>
      </w:r>
      <w:r>
        <w:rPr>
          <w:rFonts w:hint="eastAsia" w:ascii="方正仿宋简体" w:hAnsi="楷体" w:eastAsia="方正仿宋简体" w:cs="Times New Roman"/>
          <w:spacing w:val="-4"/>
          <w:sz w:val="32"/>
          <w:szCs w:val="32"/>
        </w:rPr>
        <w:t>人大会议：</w:t>
      </w:r>
      <w:r>
        <w:rPr>
          <w:rFonts w:hint="eastAsia" w:ascii="方正仿宋简体" w:hAnsi="Calibri" w:eastAsia="方正仿宋简体" w:cs="Times New Roman"/>
          <w:sz w:val="32"/>
          <w:szCs w:val="32"/>
        </w:rPr>
        <w:t>市人民代表大会和常务委员会及各种会议的筹备、会务工作，常委会文件起草、审核把关，常委会会议、主任会议及常委会党组会议决定事项、工作部署、重要文件及领导批示的传达和督办。在人大代表和市人大常委</w:t>
      </w:r>
      <w:r>
        <w:rPr>
          <w:rFonts w:hint="eastAsia" w:ascii="方正仿宋简体" w:hAnsi="Calibri" w:eastAsia="方正仿宋简体" w:cs="Times New Roman"/>
          <w:sz w:val="32"/>
          <w:szCs w:val="32"/>
          <w:lang w:eastAsia="zh-CN"/>
        </w:rPr>
        <w:t>会委员</w:t>
      </w:r>
      <w:r>
        <w:rPr>
          <w:rFonts w:hint="eastAsia" w:ascii="方正仿宋简体" w:hAnsi="Calibri" w:eastAsia="方正仿宋简体" w:cs="Times New Roman"/>
          <w:sz w:val="32"/>
          <w:szCs w:val="32"/>
        </w:rPr>
        <w:t>充分发表审议意见的基础上，作出我市经济社会发展计划、市总预算和市本级预算等决议；通过听取和审议“一府一委两院”等工作报告，作出有关报告的决议；通过工作评议或专题询问的方式就“一府一委两院”的工作进行监督；为保证我市重大决策的科学性和法定性实施，作出有关我市重大问题的决定。</w:t>
      </w:r>
    </w:p>
    <w:p>
      <w:pPr>
        <w:spacing w:line="540" w:lineRule="exact"/>
        <w:ind w:firstLine="624" w:firstLineChars="200"/>
        <w:jc w:val="left"/>
        <w:rPr>
          <w:rFonts w:ascii="方正仿宋简体" w:hAnsi="楷体" w:eastAsia="方正仿宋简体" w:cs="Times New Roman"/>
          <w:b/>
          <w:spacing w:val="-4"/>
          <w:sz w:val="32"/>
          <w:szCs w:val="32"/>
        </w:rPr>
      </w:pPr>
      <w:r>
        <w:rPr>
          <w:rFonts w:hint="eastAsia" w:ascii="方正仿宋简体" w:hAnsi="仿宋" w:eastAsia="方正仿宋简体" w:cs="Times New Roman"/>
          <w:spacing w:val="-4"/>
          <w:sz w:val="32"/>
          <w:szCs w:val="32"/>
        </w:rPr>
        <w:t>4、</w:t>
      </w:r>
      <w:r>
        <w:rPr>
          <w:rFonts w:hint="eastAsia" w:ascii="方正仿宋简体" w:hAnsi="Calibri" w:eastAsia="方正仿宋简体" w:cs="Times New Roman"/>
          <w:sz w:val="32"/>
          <w:szCs w:val="32"/>
        </w:rPr>
        <w:t>换届选举及人事任免：根据市委的建议，在充分酝酿和审议的基础上，选举产生“一府一委两院”的领导成员，确保选出能力突出、责任心强、有开拓精神的同志担任“一府一委两院”的领导同志；对市政府组成人员、监察委员会成员和市人民法院、市人民检察院主要负责人进行任后监督，确保依法履行职责，完成目标任务确保换届选举工作顺利完成，实现市委人事安排部署；做好常委会人事任免服务工作；对市政府组成人员、监察委员会成员和市人民法院、市人民检察院人事的任命，指导乡人大换届选举和乡镇人大建设工作。</w:t>
      </w:r>
    </w:p>
    <w:p>
      <w:pPr>
        <w:spacing w:line="540" w:lineRule="exact"/>
        <w:ind w:firstLine="624" w:firstLineChars="200"/>
        <w:rPr>
          <w:rFonts w:ascii="方正仿宋简体" w:hAnsi="黑体" w:eastAsia="方正仿宋简体" w:cs="方正仿宋简体"/>
          <w:color w:val="000000"/>
          <w:spacing w:val="-4"/>
          <w:sz w:val="32"/>
          <w:szCs w:val="32"/>
        </w:rPr>
      </w:pPr>
      <w:r>
        <w:rPr>
          <w:rFonts w:hint="eastAsia" w:ascii="方正仿宋简体" w:hAnsi="黑体" w:eastAsia="方正仿宋简体" w:cs="方正仿宋简体"/>
          <w:color w:val="000000"/>
          <w:spacing w:val="-4"/>
          <w:sz w:val="32"/>
          <w:szCs w:val="32"/>
        </w:rPr>
        <w:t>5、</w:t>
      </w:r>
      <w:r>
        <w:rPr>
          <w:rFonts w:hint="eastAsia" w:ascii="方正仿宋简体" w:hAnsi="Calibri" w:eastAsia="方正仿宋简体" w:cs="Times New Roman"/>
          <w:sz w:val="32"/>
          <w:szCs w:val="32"/>
        </w:rPr>
        <w:t>人大事务管理：负责机关人事、离退休人员服务，负责财务、基建、后勤服务及警卫工作；负责对全市人大系统信息建设和办公自动化建设的指导、规划、组织、协调和人员培训工作。</w:t>
      </w:r>
      <w:r>
        <w:rPr>
          <w:rFonts w:hint="eastAsia" w:ascii="方正仿宋简体" w:hAnsi="宋体" w:eastAsia="方正仿宋简体" w:cs="方正仿宋简体"/>
          <w:sz w:val="32"/>
          <w:szCs w:val="32"/>
        </w:rPr>
        <w:t>加强机关财务、资产管理，按规定要求接待、为离退休老干部搞好服务工作。</w:t>
      </w:r>
      <w:r>
        <w:rPr>
          <w:rFonts w:hint="eastAsia" w:ascii="方正仿宋简体" w:hAnsi="Calibri" w:eastAsia="方正仿宋简体" w:cs="Times New Roman"/>
          <w:sz w:val="32"/>
          <w:szCs w:val="32"/>
        </w:rPr>
        <w:t>机关基础设施建设与维护，市人大</w:t>
      </w:r>
      <w:r>
        <w:rPr>
          <w:rFonts w:hint="eastAsia" w:ascii="方正仿宋简体" w:hAnsi="Calibri" w:eastAsia="方正仿宋简体" w:cs="Times New Roman"/>
          <w:sz w:val="32"/>
          <w:szCs w:val="32"/>
          <w:lang w:eastAsia="zh-CN"/>
        </w:rPr>
        <w:t>常委会</w:t>
      </w:r>
      <w:r>
        <w:rPr>
          <w:rFonts w:hint="eastAsia" w:ascii="方正仿宋简体" w:hAnsi="Calibri" w:eastAsia="方正仿宋简体" w:cs="Times New Roman"/>
          <w:sz w:val="32"/>
          <w:szCs w:val="32"/>
        </w:rPr>
        <w:t>机关日常管理事务和信访等工作。促进机关自身建设、服务保障能力进一步提升。</w:t>
      </w:r>
    </w:p>
    <w:p>
      <w:pPr>
        <w:spacing w:line="540" w:lineRule="exact"/>
        <w:ind w:firstLine="624" w:firstLineChars="200"/>
        <w:rPr>
          <w:rFonts w:ascii="方正仿宋简体" w:hAnsi="Calibri" w:eastAsia="方正仿宋简体" w:cs="Times New Roman"/>
          <w:sz w:val="32"/>
          <w:szCs w:val="32"/>
        </w:rPr>
      </w:pPr>
      <w:r>
        <w:rPr>
          <w:rFonts w:hint="eastAsia" w:ascii="方正仿宋简体" w:hAnsi="黑体" w:eastAsia="方正仿宋简体" w:cs="方正仿宋简体"/>
          <w:color w:val="000000"/>
          <w:spacing w:val="-4"/>
          <w:sz w:val="32"/>
          <w:szCs w:val="32"/>
        </w:rPr>
        <w:t>6、综合业务管理。</w:t>
      </w:r>
      <w:r>
        <w:rPr>
          <w:rFonts w:hint="eastAsia" w:ascii="方正仿宋简体" w:hAnsi="仿宋" w:eastAsia="方正仿宋简体" w:cs="Times New Roman"/>
          <w:spacing w:val="-4"/>
          <w:sz w:val="32"/>
          <w:szCs w:val="32"/>
        </w:rPr>
        <w:t>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和机关干部的学习培训，坚持会前学法、考勤通报等制度，不断提高审议质量。充分发挥人大各专门委员会作用。加强与上级人大</w:t>
      </w:r>
      <w:r>
        <w:rPr>
          <w:rFonts w:hint="eastAsia" w:ascii="方正仿宋简体" w:hAnsi="仿宋" w:eastAsia="方正仿宋简体" w:cs="Times New Roman"/>
          <w:spacing w:val="-4"/>
          <w:sz w:val="32"/>
          <w:szCs w:val="32"/>
          <w:lang w:eastAsia="zh-CN"/>
        </w:rPr>
        <w:t>常委会</w:t>
      </w:r>
      <w:bookmarkStart w:id="0" w:name="_GoBack"/>
      <w:bookmarkEnd w:id="0"/>
      <w:r>
        <w:rPr>
          <w:rFonts w:hint="eastAsia" w:ascii="方正仿宋简体" w:hAnsi="仿宋" w:eastAsia="方正仿宋简体" w:cs="Times New Roman"/>
          <w:spacing w:val="-4"/>
          <w:sz w:val="32"/>
          <w:szCs w:val="32"/>
        </w:rPr>
        <w:t>机关的沟通联系，强化对基层人大的工作指导，形成履职合力。完成常委会电子表决系统和人大网站建设，推动人大工作公开化、规范化、信息化。努力</w:t>
      </w:r>
      <w:r>
        <w:rPr>
          <w:rFonts w:hint="eastAsia" w:ascii="方正仿宋简体" w:hAnsi="Calibri" w:eastAsia="方正仿宋简体" w:cs="Times New Roman"/>
          <w:sz w:val="32"/>
          <w:szCs w:val="32"/>
        </w:rPr>
        <w:t>把人大及其常委会建设成为全面担负起宪法法律赋予的各项职责的工作机关、管理机关文书档案印信，成为同人民群众保持密切联系的代表机关。</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w:t>
      </w:r>
    </w:p>
    <w:p>
      <w:pPr>
        <w:spacing w:line="440" w:lineRule="exact"/>
        <w:ind w:firstLine="614" w:firstLineChars="192"/>
        <w:rPr>
          <w:rFonts w:ascii="宋体" w:hAnsi="宋体" w:eastAsia="方正仿宋简体" w:cs="Times New Roman"/>
          <w:sz w:val="32"/>
          <w:szCs w:val="32"/>
        </w:rPr>
      </w:pPr>
      <w:r>
        <w:rPr>
          <w:rFonts w:hint="eastAsia" w:ascii="宋体" w:hAnsi="宋体" w:eastAsia="方正仿宋简体" w:cs="仿宋_GB2312"/>
          <w:sz w:val="32"/>
          <w:szCs w:val="32"/>
        </w:rPr>
        <w:t>进一步完善项目目标管理。落实绩效预算管理规定，切实加强项目管理，进一步细化、量化绩效指标，努力使目标做到全面、合理、可评价。</w:t>
      </w:r>
    </w:p>
    <w:p>
      <w:pPr>
        <w:ind w:firstLine="643" w:firstLineChars="200"/>
        <w:rPr>
          <w:rFonts w:ascii="Times New Roman" w:hAnsi="Times New Roman" w:eastAsia="黑体" w:cs="Times New Roman"/>
          <w:b/>
          <w:sz w:val="32"/>
          <w:szCs w:val="32"/>
        </w:rPr>
      </w:pPr>
      <w:r>
        <w:rPr>
          <w:rFonts w:hint="eastAsia" w:ascii="Times New Roman" w:hAnsi="Times New Roman" w:eastAsia="黑体" w:cs="Times New Roman"/>
          <w:b/>
          <w:sz w:val="32"/>
          <w:szCs w:val="32"/>
        </w:rPr>
        <w:t>六、相关建议</w:t>
      </w:r>
    </w:p>
    <w:p>
      <w:pPr>
        <w:ind w:firstLine="640" w:firstLineChars="200"/>
        <w:rPr>
          <w:rFonts w:ascii="Times New Roman" w:hAnsi="Times New Roman" w:eastAsia="黑体" w:cs="Times New Roman"/>
          <w:b/>
          <w:sz w:val="32"/>
          <w:szCs w:val="32"/>
        </w:rPr>
      </w:pPr>
      <w:r>
        <w:rPr>
          <w:rFonts w:hint="eastAsia" w:ascii="宋体" w:hAnsi="宋体" w:eastAsia="方正仿宋简体" w:cs="仿宋_GB2312"/>
          <w:sz w:val="32"/>
          <w:szCs w:val="32"/>
        </w:rPr>
        <w:t>无相关建议</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4"/>
        <w:tblW w:w="11500" w:type="dxa"/>
        <w:tblInd w:w="89" w:type="dxa"/>
        <w:tblLayout w:type="autofit"/>
        <w:tblCellMar>
          <w:top w:w="0" w:type="dxa"/>
          <w:left w:w="108" w:type="dxa"/>
          <w:bottom w:w="0" w:type="dxa"/>
          <w:right w:w="108" w:type="dxa"/>
        </w:tblCellMar>
      </w:tblPr>
      <w:tblGrid>
        <w:gridCol w:w="11500"/>
      </w:tblGrid>
      <w:tr>
        <w:tblPrEx>
          <w:tblCellMar>
            <w:top w:w="0" w:type="dxa"/>
            <w:left w:w="108" w:type="dxa"/>
            <w:bottom w:w="0" w:type="dxa"/>
            <w:right w:w="108" w:type="dxa"/>
          </w:tblCellMar>
        </w:tblPrEx>
        <w:trPr>
          <w:trHeight w:val="1700" w:hRule="atLeast"/>
        </w:trPr>
        <w:tc>
          <w:tcPr>
            <w:tcW w:w="11500" w:type="dxa"/>
            <w:tcBorders>
              <w:top w:val="nil"/>
              <w:left w:val="nil"/>
              <w:bottom w:val="nil"/>
              <w:right w:val="nil"/>
            </w:tcBorders>
            <w:shd w:val="clear" w:color="auto" w:fill="auto"/>
            <w:vAlign w:val="center"/>
          </w:tcPr>
          <w:p>
            <w:pPr>
              <w:widowControl/>
              <w:rPr>
                <w:rFonts w:ascii="宋体" w:hAnsi="宋体" w:eastAsia="宋体" w:cs="宋体"/>
                <w:kern w:val="0"/>
                <w:sz w:val="40"/>
                <w:szCs w:val="40"/>
              </w:rPr>
            </w:pPr>
            <w:r>
              <w:rPr>
                <w:rFonts w:hint="eastAsia" w:ascii="宋体" w:hAnsi="宋体" w:eastAsia="宋体" w:cs="宋体"/>
                <w:kern w:val="0"/>
                <w:sz w:val="40"/>
                <w:szCs w:val="40"/>
              </w:rPr>
              <w:t>2022年预算项目事后绩效自评报告统计表</w:t>
            </w:r>
          </w:p>
          <w:p>
            <w:pPr>
              <w:pStyle w:val="9"/>
              <w:widowControl/>
              <w:ind w:left="360" w:firstLine="0" w:firstLineChars="0"/>
              <w:rPr>
                <w:rFonts w:ascii="宋体" w:hAnsi="宋体" w:eastAsia="宋体" w:cs="宋体"/>
                <w:kern w:val="0"/>
                <w:sz w:val="28"/>
                <w:szCs w:val="28"/>
              </w:rPr>
            </w:pPr>
            <w:r>
              <w:rPr>
                <w:rFonts w:hint="eastAsia" w:ascii="宋体" w:hAnsi="宋体" w:eastAsia="宋体" w:cs="宋体"/>
                <w:kern w:val="0"/>
                <w:sz w:val="28"/>
                <w:szCs w:val="28"/>
              </w:rPr>
              <w:t xml:space="preserve">        注：含一般公共预算和政府性基金项目</w:t>
            </w:r>
          </w:p>
          <w:p>
            <w:pPr>
              <w:widowControl/>
              <w:ind w:firstLine="7280" w:firstLineChars="2600"/>
              <w:rPr>
                <w:rFonts w:ascii="宋体" w:hAnsi="宋体" w:eastAsia="宋体" w:cs="宋体"/>
                <w:kern w:val="0"/>
                <w:sz w:val="28"/>
                <w:szCs w:val="28"/>
              </w:rPr>
            </w:pPr>
            <w:r>
              <w:rPr>
                <w:rFonts w:hint="eastAsia" w:ascii="宋体" w:hAnsi="宋体" w:eastAsia="宋体" w:cs="宋体"/>
                <w:kern w:val="0"/>
                <w:sz w:val="28"/>
                <w:szCs w:val="28"/>
              </w:rPr>
              <w:t>单位：万元</w:t>
            </w:r>
          </w:p>
          <w:tbl>
            <w:tblPr>
              <w:tblStyle w:val="5"/>
              <w:tblpPr w:leftFromText="180" w:rightFromText="180" w:vertAnchor="text" w:horzAnchor="margin" w:tblpY="6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7"/>
              <w:gridCol w:w="713"/>
              <w:gridCol w:w="1917"/>
              <w:gridCol w:w="942"/>
              <w:gridCol w:w="785"/>
              <w:gridCol w:w="3736"/>
              <w:gridCol w:w="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427" w:type="dxa"/>
                </w:tcPr>
                <w:p>
                  <w:pPr>
                    <w:jc w:val="left"/>
                    <w:rPr>
                      <w:rFonts w:ascii="Times New Roman" w:hAnsi="Times New Roman" w:cs="Times New Roman"/>
                    </w:rPr>
                  </w:pPr>
                  <w:r>
                    <w:rPr>
                      <w:rFonts w:hint="eastAsia" w:ascii="Times New Roman" w:hAnsi="Times New Roman" w:cs="Times New Roman"/>
                    </w:rPr>
                    <w:t>序号</w:t>
                  </w:r>
                </w:p>
              </w:tc>
              <w:tc>
                <w:tcPr>
                  <w:tcW w:w="713" w:type="dxa"/>
                </w:tcPr>
                <w:p>
                  <w:pPr>
                    <w:jc w:val="left"/>
                    <w:rPr>
                      <w:rFonts w:ascii="Times New Roman" w:hAnsi="Times New Roman" w:cs="Times New Roman"/>
                    </w:rPr>
                  </w:pPr>
                  <w:r>
                    <w:rPr>
                      <w:rFonts w:hint="eastAsia" w:ascii="Times New Roman" w:hAnsi="Times New Roman" w:cs="Times New Roman"/>
                    </w:rPr>
                    <w:t>单位名称</w:t>
                  </w:r>
                </w:p>
              </w:tc>
              <w:tc>
                <w:tcPr>
                  <w:tcW w:w="1917" w:type="dxa"/>
                </w:tcPr>
                <w:p>
                  <w:pPr>
                    <w:jc w:val="left"/>
                    <w:rPr>
                      <w:rFonts w:ascii="Times New Roman" w:hAnsi="Times New Roman" w:cs="Times New Roman"/>
                    </w:rPr>
                  </w:pPr>
                  <w:r>
                    <w:rPr>
                      <w:rFonts w:hint="eastAsia" w:ascii="Times New Roman" w:hAnsi="Times New Roman" w:cs="Times New Roman"/>
                    </w:rPr>
                    <w:t>项目名称</w:t>
                  </w:r>
                </w:p>
              </w:tc>
              <w:tc>
                <w:tcPr>
                  <w:tcW w:w="942" w:type="dxa"/>
                </w:tcPr>
                <w:p>
                  <w:pPr>
                    <w:jc w:val="left"/>
                    <w:rPr>
                      <w:rFonts w:ascii="Times New Roman" w:hAnsi="Times New Roman" w:cs="Times New Roman"/>
                    </w:rPr>
                  </w:pPr>
                  <w:r>
                    <w:rPr>
                      <w:rFonts w:hint="eastAsia" w:ascii="Times New Roman" w:hAnsi="Times New Roman" w:cs="Times New Roman"/>
                    </w:rPr>
                    <w:t>预算数（含调整数）</w:t>
                  </w:r>
                </w:p>
              </w:tc>
              <w:tc>
                <w:tcPr>
                  <w:tcW w:w="785" w:type="dxa"/>
                </w:tcPr>
                <w:p>
                  <w:pPr>
                    <w:jc w:val="left"/>
                    <w:rPr>
                      <w:rFonts w:ascii="Times New Roman" w:hAnsi="Times New Roman" w:cs="Times New Roman"/>
                    </w:rPr>
                  </w:pPr>
                  <w:r>
                    <w:rPr>
                      <w:rFonts w:hint="eastAsia" w:ascii="Times New Roman" w:hAnsi="Times New Roman" w:cs="Times New Roman"/>
                    </w:rPr>
                    <w:t>自评决算数</w:t>
                  </w:r>
                </w:p>
              </w:tc>
              <w:tc>
                <w:tcPr>
                  <w:tcW w:w="3736" w:type="dxa"/>
                </w:tcPr>
                <w:p>
                  <w:pPr>
                    <w:jc w:val="left"/>
                    <w:rPr>
                      <w:rFonts w:ascii="Times New Roman" w:hAnsi="Times New Roman" w:cs="Times New Roman"/>
                    </w:rPr>
                  </w:pPr>
                  <w:r>
                    <w:rPr>
                      <w:rFonts w:hint="eastAsia" w:ascii="Times New Roman" w:hAnsi="Times New Roman" w:cs="Times New Roman"/>
                    </w:rPr>
                    <w:t>自评结论</w:t>
                  </w:r>
                </w:p>
              </w:tc>
              <w:tc>
                <w:tcPr>
                  <w:tcW w:w="426" w:type="dxa"/>
                </w:tcPr>
                <w:p>
                  <w:pPr>
                    <w:rPr>
                      <w:rFonts w:ascii="Times New Roman" w:hAnsi="Times New Roman" w:cs="Times New Roman"/>
                    </w:rPr>
                  </w:pPr>
                  <w:r>
                    <w:rPr>
                      <w:rFonts w:hint="eastAsia" w:ascii="Times New Roman" w:hAnsi="Times New Roman" w:cs="Times New Roma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3057" w:type="dxa"/>
                  <w:gridSpan w:val="3"/>
                </w:tcPr>
                <w:p>
                  <w:pPr>
                    <w:jc w:val="center"/>
                    <w:rPr>
                      <w:rFonts w:ascii="Times New Roman" w:hAnsi="Times New Roman" w:cs="Times New Roman"/>
                    </w:rPr>
                  </w:pPr>
                  <w:r>
                    <w:rPr>
                      <w:rFonts w:hint="eastAsia" w:ascii="Times New Roman" w:hAnsi="Times New Roman" w:cs="Times New Roman"/>
                    </w:rPr>
                    <w:t>合计</w:t>
                  </w:r>
                </w:p>
              </w:tc>
              <w:tc>
                <w:tcPr>
                  <w:tcW w:w="942" w:type="dxa"/>
                </w:tcPr>
                <w:p>
                  <w:pPr>
                    <w:jc w:val="center"/>
                    <w:rPr>
                      <w:rFonts w:ascii="Times New Roman" w:hAnsi="Times New Roman" w:cs="Times New Roman"/>
                    </w:rPr>
                  </w:pPr>
                  <w:r>
                    <w:rPr>
                      <w:rFonts w:hint="eastAsia" w:ascii="Times New Roman" w:hAnsi="Times New Roman" w:cs="Times New Roman"/>
                    </w:rPr>
                    <w:t>223</w:t>
                  </w:r>
                </w:p>
              </w:tc>
              <w:tc>
                <w:tcPr>
                  <w:tcW w:w="785" w:type="dxa"/>
                </w:tcPr>
                <w:p>
                  <w:pPr>
                    <w:jc w:val="center"/>
                    <w:rPr>
                      <w:rFonts w:ascii="Times New Roman" w:hAnsi="Times New Roman" w:cs="Times New Roman"/>
                    </w:rPr>
                  </w:pPr>
                  <w:r>
                    <w:rPr>
                      <w:rFonts w:hint="eastAsia" w:ascii="Times New Roman" w:hAnsi="Times New Roman" w:cs="Times New Roman"/>
                    </w:rPr>
                    <w:t>94.75</w:t>
                  </w:r>
                </w:p>
              </w:tc>
              <w:tc>
                <w:tcPr>
                  <w:tcW w:w="3736" w:type="dxa"/>
                </w:tcPr>
                <w:p>
                  <w:pPr>
                    <w:jc w:val="left"/>
                    <w:rPr>
                      <w:rFonts w:ascii="Times New Roman" w:hAnsi="Times New Roman" w:cs="Times New Roman"/>
                    </w:rPr>
                  </w:pPr>
                </w:p>
              </w:tc>
              <w:tc>
                <w:tcPr>
                  <w:tcW w:w="426" w:type="dxa"/>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427" w:type="dxa"/>
                </w:tcPr>
                <w:p>
                  <w:pPr>
                    <w:jc w:val="left"/>
                    <w:rPr>
                      <w:rFonts w:ascii="Times New Roman" w:hAnsi="Times New Roman" w:cs="Times New Roman"/>
                    </w:rPr>
                  </w:pPr>
                  <w:r>
                    <w:rPr>
                      <w:rFonts w:hint="eastAsia" w:ascii="Times New Roman" w:hAnsi="Times New Roman" w:cs="Times New Roman"/>
                    </w:rPr>
                    <w:t>1</w:t>
                  </w:r>
                </w:p>
              </w:tc>
              <w:tc>
                <w:tcPr>
                  <w:tcW w:w="713" w:type="dxa"/>
                </w:tcPr>
                <w:p>
                  <w:pPr>
                    <w:jc w:val="left"/>
                    <w:rPr>
                      <w:rFonts w:ascii="Times New Roman" w:hAnsi="Times New Roman" w:cs="Times New Roman"/>
                    </w:rPr>
                  </w:pPr>
                  <w:r>
                    <w:rPr>
                      <w:rFonts w:hint="eastAsia" w:ascii="Times New Roman" w:hAnsi="Times New Roman" w:cs="Times New Roman"/>
                    </w:rPr>
                    <w:t>遵化人大</w:t>
                  </w:r>
                </w:p>
              </w:tc>
              <w:tc>
                <w:tcPr>
                  <w:tcW w:w="1917" w:type="dxa"/>
                </w:tcPr>
                <w:p>
                  <w:pPr>
                    <w:jc w:val="left"/>
                    <w:rPr>
                      <w:rFonts w:ascii="Times New Roman" w:hAnsi="Times New Roman" w:cs="Times New Roman"/>
                    </w:rPr>
                  </w:pPr>
                  <w:r>
                    <w:rPr>
                      <w:rFonts w:hint="eastAsia" w:ascii="Times New Roman" w:hAnsi="Times New Roman" w:cs="Times New Roman"/>
                    </w:rPr>
                    <w:t>代表培训及考察</w:t>
                  </w:r>
                </w:p>
              </w:tc>
              <w:tc>
                <w:tcPr>
                  <w:tcW w:w="942" w:type="dxa"/>
                </w:tcPr>
                <w:p>
                  <w:pPr>
                    <w:jc w:val="left"/>
                    <w:rPr>
                      <w:rFonts w:ascii="Times New Roman" w:hAnsi="Times New Roman" w:cs="Times New Roman"/>
                    </w:rPr>
                  </w:pPr>
                  <w:r>
                    <w:rPr>
                      <w:rFonts w:hint="eastAsia" w:ascii="Times New Roman" w:hAnsi="Times New Roman" w:cs="Times New Roman"/>
                    </w:rPr>
                    <w:t>48</w:t>
                  </w:r>
                </w:p>
              </w:tc>
              <w:tc>
                <w:tcPr>
                  <w:tcW w:w="785" w:type="dxa"/>
                </w:tcPr>
                <w:p>
                  <w:pPr>
                    <w:jc w:val="left"/>
                    <w:rPr>
                      <w:rFonts w:ascii="Times New Roman" w:hAnsi="Times New Roman" w:cs="Times New Roman"/>
                    </w:rPr>
                  </w:pPr>
                  <w:r>
                    <w:rPr>
                      <w:rFonts w:hint="eastAsia" w:ascii="Times New Roman" w:hAnsi="Times New Roman" w:cs="Times New Roman"/>
                    </w:rPr>
                    <w:t>0</w:t>
                  </w:r>
                </w:p>
              </w:tc>
              <w:tc>
                <w:tcPr>
                  <w:tcW w:w="3736" w:type="dxa"/>
                </w:tcPr>
                <w:p>
                  <w:pPr>
                    <w:jc w:val="left"/>
                    <w:rPr>
                      <w:rFonts w:ascii="Times New Roman" w:hAnsi="Times New Roman" w:cs="Times New Roman"/>
                    </w:rPr>
                  </w:pPr>
                  <w:r>
                    <w:rPr>
                      <w:rFonts w:hint="eastAsia" w:ascii="Times New Roman" w:hAnsi="Times New Roman" w:cs="Times New Roman"/>
                    </w:rPr>
                    <w:t>提高人大代表履职能力和水平，组织人大代表开展执法检查、视察、专题调研等活动。</w:t>
                  </w:r>
                </w:p>
              </w:tc>
              <w:tc>
                <w:tcPr>
                  <w:tcW w:w="426" w:type="dxa"/>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trPr>
              <w:tc>
                <w:tcPr>
                  <w:tcW w:w="427" w:type="dxa"/>
                </w:tcPr>
                <w:p>
                  <w:pPr>
                    <w:jc w:val="left"/>
                    <w:rPr>
                      <w:rFonts w:ascii="Times New Roman" w:hAnsi="Times New Roman" w:cs="Times New Roman"/>
                    </w:rPr>
                  </w:pPr>
                  <w:r>
                    <w:rPr>
                      <w:rFonts w:hint="eastAsia" w:ascii="Times New Roman" w:hAnsi="Times New Roman" w:cs="Times New Roman"/>
                    </w:rPr>
                    <w:t>2</w:t>
                  </w:r>
                </w:p>
              </w:tc>
              <w:tc>
                <w:tcPr>
                  <w:tcW w:w="713" w:type="dxa"/>
                </w:tcPr>
                <w:p>
                  <w:pPr>
                    <w:jc w:val="left"/>
                    <w:rPr>
                      <w:rFonts w:ascii="Times New Roman" w:hAnsi="Times New Roman" w:cs="Times New Roman"/>
                    </w:rPr>
                  </w:pPr>
                  <w:r>
                    <w:rPr>
                      <w:rFonts w:hint="eastAsia" w:ascii="Times New Roman" w:hAnsi="Times New Roman" w:cs="Times New Roman"/>
                    </w:rPr>
                    <w:t>遵化人大</w:t>
                  </w:r>
                </w:p>
              </w:tc>
              <w:tc>
                <w:tcPr>
                  <w:tcW w:w="1917" w:type="dxa"/>
                </w:tcPr>
                <w:p>
                  <w:pPr>
                    <w:jc w:val="left"/>
                    <w:rPr>
                      <w:rFonts w:ascii="Times New Roman" w:hAnsi="Times New Roman" w:cs="Times New Roman"/>
                    </w:rPr>
                  </w:pPr>
                  <w:r>
                    <w:rPr>
                      <w:rFonts w:hint="eastAsia" w:ascii="Times New Roman" w:hAnsi="Times New Roman" w:cs="Times New Roman"/>
                    </w:rPr>
                    <w:t>重阳、春节慰问老干部</w:t>
                  </w:r>
                </w:p>
              </w:tc>
              <w:tc>
                <w:tcPr>
                  <w:tcW w:w="942" w:type="dxa"/>
                </w:tcPr>
                <w:p>
                  <w:pPr>
                    <w:jc w:val="left"/>
                    <w:rPr>
                      <w:rFonts w:ascii="Times New Roman" w:hAnsi="Times New Roman" w:cs="Times New Roman"/>
                    </w:rPr>
                  </w:pPr>
                  <w:r>
                    <w:rPr>
                      <w:rFonts w:hint="eastAsia" w:ascii="Times New Roman" w:hAnsi="Times New Roman" w:cs="Times New Roman"/>
                    </w:rPr>
                    <w:t>10</w:t>
                  </w:r>
                </w:p>
              </w:tc>
              <w:tc>
                <w:tcPr>
                  <w:tcW w:w="785" w:type="dxa"/>
                </w:tcPr>
                <w:p>
                  <w:pPr>
                    <w:jc w:val="left"/>
                    <w:rPr>
                      <w:rFonts w:ascii="Times New Roman" w:hAnsi="Times New Roman" w:cs="Times New Roman"/>
                    </w:rPr>
                  </w:pPr>
                  <w:r>
                    <w:rPr>
                      <w:rFonts w:hint="eastAsia" w:ascii="Times New Roman" w:hAnsi="Times New Roman" w:cs="Times New Roman"/>
                    </w:rPr>
                    <w:t>6.25</w:t>
                  </w:r>
                </w:p>
              </w:tc>
              <w:tc>
                <w:tcPr>
                  <w:tcW w:w="3736" w:type="dxa"/>
                </w:tcPr>
                <w:p>
                  <w:pPr>
                    <w:jc w:val="left"/>
                    <w:rPr>
                      <w:rFonts w:ascii="Times New Roman" w:hAnsi="Times New Roman" w:cs="Times New Roman"/>
                    </w:rPr>
                  </w:pPr>
                  <w:r>
                    <w:rPr>
                      <w:rFonts w:hint="eastAsia" w:ascii="Times New Roman" w:hAnsi="Times New Roman" w:cs="Times New Roman"/>
                    </w:rPr>
                    <w:t>在全社会形成尊重老同志、关爱老同志良好风尚，进一步激励引导广大离退干部为加快建设“书香遵化、富强遵化、文明遵化”作出新的贡献。</w:t>
                  </w:r>
                </w:p>
              </w:tc>
              <w:tc>
                <w:tcPr>
                  <w:tcW w:w="426" w:type="dxa"/>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427" w:type="dxa"/>
                </w:tcPr>
                <w:p>
                  <w:pPr>
                    <w:jc w:val="left"/>
                    <w:rPr>
                      <w:rFonts w:ascii="Times New Roman" w:hAnsi="Times New Roman" w:cs="Times New Roman"/>
                    </w:rPr>
                  </w:pPr>
                  <w:r>
                    <w:rPr>
                      <w:rFonts w:hint="eastAsia" w:ascii="Times New Roman" w:hAnsi="Times New Roman" w:cs="Times New Roman"/>
                    </w:rPr>
                    <w:t>3</w:t>
                  </w:r>
                </w:p>
              </w:tc>
              <w:tc>
                <w:tcPr>
                  <w:tcW w:w="713" w:type="dxa"/>
                </w:tcPr>
                <w:p>
                  <w:pPr>
                    <w:jc w:val="left"/>
                    <w:rPr>
                      <w:rFonts w:ascii="Times New Roman" w:hAnsi="Times New Roman" w:cs="Times New Roman"/>
                    </w:rPr>
                  </w:pPr>
                  <w:r>
                    <w:rPr>
                      <w:rFonts w:hint="eastAsia" w:ascii="Times New Roman" w:hAnsi="Times New Roman" w:cs="Times New Roman"/>
                    </w:rPr>
                    <w:t>遵化人大</w:t>
                  </w:r>
                </w:p>
              </w:tc>
              <w:tc>
                <w:tcPr>
                  <w:tcW w:w="1917" w:type="dxa"/>
                </w:tcPr>
                <w:p>
                  <w:pPr>
                    <w:jc w:val="left"/>
                    <w:rPr>
                      <w:rFonts w:ascii="Times New Roman" w:hAnsi="Times New Roman" w:cs="Times New Roman"/>
                    </w:rPr>
                  </w:pPr>
                  <w:r>
                    <w:rPr>
                      <w:rFonts w:hint="eastAsia" w:ascii="Times New Roman" w:hAnsi="Times New Roman" w:cs="Times New Roman"/>
                    </w:rPr>
                    <w:t>人大代表活动经费</w:t>
                  </w:r>
                </w:p>
              </w:tc>
              <w:tc>
                <w:tcPr>
                  <w:tcW w:w="942" w:type="dxa"/>
                </w:tcPr>
                <w:p>
                  <w:pPr>
                    <w:jc w:val="left"/>
                    <w:rPr>
                      <w:rFonts w:ascii="Times New Roman" w:hAnsi="Times New Roman" w:cs="Times New Roman"/>
                    </w:rPr>
                  </w:pPr>
                  <w:r>
                    <w:rPr>
                      <w:rFonts w:hint="eastAsia" w:ascii="Times New Roman" w:hAnsi="Times New Roman" w:cs="Times New Roman"/>
                    </w:rPr>
                    <w:t>26</w:t>
                  </w:r>
                </w:p>
              </w:tc>
              <w:tc>
                <w:tcPr>
                  <w:tcW w:w="785" w:type="dxa"/>
                </w:tcPr>
                <w:p>
                  <w:pPr>
                    <w:jc w:val="left"/>
                    <w:rPr>
                      <w:rFonts w:ascii="Times New Roman" w:hAnsi="Times New Roman" w:cs="Times New Roman"/>
                    </w:rPr>
                  </w:pPr>
                  <w:r>
                    <w:rPr>
                      <w:rFonts w:hint="eastAsia" w:ascii="Times New Roman" w:hAnsi="Times New Roman" w:cs="Times New Roman"/>
                    </w:rPr>
                    <w:t>10.5</w:t>
                  </w:r>
                </w:p>
              </w:tc>
              <w:tc>
                <w:tcPr>
                  <w:tcW w:w="3736" w:type="dxa"/>
                </w:tcPr>
                <w:p>
                  <w:pPr>
                    <w:jc w:val="left"/>
                    <w:rPr>
                      <w:rFonts w:ascii="Times New Roman" w:hAnsi="Times New Roman" w:cs="Times New Roman"/>
                    </w:rPr>
                  </w:pPr>
                  <w:r>
                    <w:rPr>
                      <w:rFonts w:hint="eastAsia" w:ascii="Times New Roman" w:hAnsi="Times New Roman" w:cs="Times New Roman"/>
                    </w:rPr>
                    <w:t>根据《代表法》有关要求，充分发挥人大代表作用，组织人大代表积极参与我市经济建设及社会事业发展各项工作。</w:t>
                  </w:r>
                </w:p>
              </w:tc>
              <w:tc>
                <w:tcPr>
                  <w:tcW w:w="426" w:type="dxa"/>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427" w:type="dxa"/>
                </w:tcPr>
                <w:p>
                  <w:pPr>
                    <w:jc w:val="left"/>
                    <w:rPr>
                      <w:rFonts w:ascii="Times New Roman" w:hAnsi="Times New Roman" w:cs="Times New Roman"/>
                    </w:rPr>
                  </w:pPr>
                  <w:r>
                    <w:rPr>
                      <w:rFonts w:hint="eastAsia" w:ascii="Times New Roman" w:hAnsi="Times New Roman" w:cs="Times New Roman"/>
                    </w:rPr>
                    <w:t>4</w:t>
                  </w:r>
                </w:p>
              </w:tc>
              <w:tc>
                <w:tcPr>
                  <w:tcW w:w="713" w:type="dxa"/>
                </w:tcPr>
                <w:p>
                  <w:pPr>
                    <w:jc w:val="left"/>
                    <w:rPr>
                      <w:rFonts w:ascii="Times New Roman" w:hAnsi="Times New Roman" w:cs="Times New Roman"/>
                    </w:rPr>
                  </w:pPr>
                  <w:r>
                    <w:rPr>
                      <w:rFonts w:hint="eastAsia" w:ascii="Times New Roman" w:hAnsi="Times New Roman" w:cs="Times New Roman"/>
                    </w:rPr>
                    <w:t>遵化人大</w:t>
                  </w:r>
                </w:p>
              </w:tc>
              <w:tc>
                <w:tcPr>
                  <w:tcW w:w="1917" w:type="dxa"/>
                </w:tcPr>
                <w:p>
                  <w:pPr>
                    <w:jc w:val="left"/>
                    <w:rPr>
                      <w:rFonts w:ascii="Times New Roman" w:hAnsi="Times New Roman" w:cs="Times New Roman"/>
                    </w:rPr>
                  </w:pPr>
                  <w:r>
                    <w:rPr>
                      <w:rFonts w:hint="eastAsia" w:ascii="Times New Roman" w:hAnsi="Times New Roman" w:cs="Times New Roman"/>
                    </w:rPr>
                    <w:t>人大八届二次全会会议费</w:t>
                  </w:r>
                </w:p>
              </w:tc>
              <w:tc>
                <w:tcPr>
                  <w:tcW w:w="942" w:type="dxa"/>
                </w:tcPr>
                <w:p>
                  <w:pPr>
                    <w:jc w:val="left"/>
                    <w:rPr>
                      <w:rFonts w:ascii="Times New Roman" w:hAnsi="Times New Roman" w:cs="Times New Roman"/>
                    </w:rPr>
                  </w:pPr>
                  <w:r>
                    <w:rPr>
                      <w:rFonts w:hint="eastAsia" w:ascii="Times New Roman" w:hAnsi="Times New Roman" w:cs="Times New Roman"/>
                    </w:rPr>
                    <w:t>60</w:t>
                  </w:r>
                </w:p>
              </w:tc>
              <w:tc>
                <w:tcPr>
                  <w:tcW w:w="785" w:type="dxa"/>
                </w:tcPr>
                <w:p>
                  <w:pPr>
                    <w:jc w:val="left"/>
                    <w:rPr>
                      <w:rFonts w:ascii="Times New Roman" w:hAnsi="Times New Roman" w:cs="Times New Roman"/>
                    </w:rPr>
                  </w:pPr>
                  <w:r>
                    <w:rPr>
                      <w:rFonts w:hint="eastAsia" w:ascii="Times New Roman" w:hAnsi="Times New Roman" w:cs="Times New Roman"/>
                    </w:rPr>
                    <w:t>60</w:t>
                  </w:r>
                </w:p>
              </w:tc>
              <w:tc>
                <w:tcPr>
                  <w:tcW w:w="3736" w:type="dxa"/>
                </w:tcPr>
                <w:p>
                  <w:pPr>
                    <w:jc w:val="left"/>
                    <w:rPr>
                      <w:rFonts w:ascii="Times New Roman" w:hAnsi="Times New Roman" w:cs="Times New Roman"/>
                    </w:rPr>
                  </w:pPr>
                  <w:r>
                    <w:rPr>
                      <w:rFonts w:hint="eastAsia" w:ascii="Times New Roman" w:hAnsi="Times New Roman" w:cs="Times New Roman"/>
                    </w:rPr>
                    <w:t>为更好地坚持和完善人民代表大会制度，召开人民代表大会会议，共商全市经济社会发展大事。</w:t>
                  </w:r>
                </w:p>
              </w:tc>
              <w:tc>
                <w:tcPr>
                  <w:tcW w:w="426" w:type="dxa"/>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427" w:type="dxa"/>
                </w:tcPr>
                <w:p>
                  <w:pPr>
                    <w:jc w:val="left"/>
                    <w:rPr>
                      <w:rFonts w:ascii="Times New Roman" w:hAnsi="Times New Roman" w:cs="Times New Roman"/>
                    </w:rPr>
                  </w:pPr>
                  <w:r>
                    <w:rPr>
                      <w:rFonts w:hint="eastAsia" w:ascii="Times New Roman" w:hAnsi="Times New Roman" w:cs="Times New Roman"/>
                    </w:rPr>
                    <w:t>5</w:t>
                  </w:r>
                </w:p>
              </w:tc>
              <w:tc>
                <w:tcPr>
                  <w:tcW w:w="713" w:type="dxa"/>
                </w:tcPr>
                <w:p>
                  <w:pPr>
                    <w:jc w:val="left"/>
                    <w:rPr>
                      <w:rFonts w:ascii="Times New Roman" w:hAnsi="Times New Roman" w:cs="Times New Roman"/>
                    </w:rPr>
                  </w:pPr>
                  <w:r>
                    <w:rPr>
                      <w:rFonts w:hint="eastAsia" w:ascii="Times New Roman" w:hAnsi="Times New Roman" w:cs="Times New Roman"/>
                    </w:rPr>
                    <w:t>遵化人大</w:t>
                  </w:r>
                </w:p>
              </w:tc>
              <w:tc>
                <w:tcPr>
                  <w:tcW w:w="1917" w:type="dxa"/>
                </w:tcPr>
                <w:p>
                  <w:pPr>
                    <w:jc w:val="left"/>
                    <w:rPr>
                      <w:rFonts w:ascii="Times New Roman" w:hAnsi="Times New Roman" w:cs="Times New Roman"/>
                    </w:rPr>
                  </w:pPr>
                  <w:r>
                    <w:rPr>
                      <w:rFonts w:hint="eastAsia" w:ascii="Times New Roman" w:hAnsi="Times New Roman" w:cs="Times New Roman"/>
                    </w:rPr>
                    <w:t>招商资金</w:t>
                  </w:r>
                </w:p>
              </w:tc>
              <w:tc>
                <w:tcPr>
                  <w:tcW w:w="942" w:type="dxa"/>
                </w:tcPr>
                <w:p>
                  <w:pPr>
                    <w:jc w:val="left"/>
                    <w:rPr>
                      <w:rFonts w:ascii="Times New Roman" w:hAnsi="Times New Roman" w:cs="Times New Roman"/>
                    </w:rPr>
                  </w:pPr>
                  <w:r>
                    <w:rPr>
                      <w:rFonts w:hint="eastAsia" w:ascii="Times New Roman" w:hAnsi="Times New Roman" w:cs="Times New Roman"/>
                    </w:rPr>
                    <w:t>13</w:t>
                  </w:r>
                </w:p>
              </w:tc>
              <w:tc>
                <w:tcPr>
                  <w:tcW w:w="785" w:type="dxa"/>
                </w:tcPr>
                <w:p>
                  <w:pPr>
                    <w:jc w:val="left"/>
                    <w:rPr>
                      <w:rFonts w:ascii="Times New Roman" w:hAnsi="Times New Roman" w:cs="Times New Roman"/>
                    </w:rPr>
                  </w:pPr>
                  <w:r>
                    <w:rPr>
                      <w:rFonts w:hint="eastAsia" w:ascii="Times New Roman" w:hAnsi="Times New Roman" w:cs="Times New Roman"/>
                    </w:rPr>
                    <w:t>8</w:t>
                  </w:r>
                </w:p>
              </w:tc>
              <w:tc>
                <w:tcPr>
                  <w:tcW w:w="3736" w:type="dxa"/>
                </w:tcPr>
                <w:p>
                  <w:pPr>
                    <w:jc w:val="left"/>
                    <w:rPr>
                      <w:rFonts w:ascii="Times New Roman" w:hAnsi="Times New Roman" w:cs="Times New Roman"/>
                    </w:rPr>
                  </w:pPr>
                  <w:r>
                    <w:rPr>
                      <w:rFonts w:hint="eastAsia" w:ascii="Times New Roman" w:hAnsi="Times New Roman" w:cs="Times New Roman"/>
                    </w:rPr>
                    <w:t>引进广大代表内引外联，以充分发挥我市人文、旅游等传产业优势，把市外、省外企事业引进本地投资，为遵化经济发展做贡献。</w:t>
                  </w:r>
                </w:p>
              </w:tc>
              <w:tc>
                <w:tcPr>
                  <w:tcW w:w="426" w:type="dxa"/>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427" w:type="dxa"/>
                  <w:tcBorders>
                    <w:bottom w:val="single" w:color="auto" w:sz="4" w:space="0"/>
                  </w:tcBorders>
                </w:tcPr>
                <w:p>
                  <w:pPr>
                    <w:jc w:val="left"/>
                    <w:rPr>
                      <w:rFonts w:ascii="Times New Roman" w:hAnsi="Times New Roman" w:cs="Times New Roman"/>
                    </w:rPr>
                  </w:pPr>
                  <w:r>
                    <w:rPr>
                      <w:rFonts w:hint="eastAsia" w:ascii="Times New Roman" w:hAnsi="Times New Roman" w:cs="Times New Roman"/>
                    </w:rPr>
                    <w:t>6</w:t>
                  </w:r>
                </w:p>
              </w:tc>
              <w:tc>
                <w:tcPr>
                  <w:tcW w:w="713" w:type="dxa"/>
                  <w:tcBorders>
                    <w:bottom w:val="single" w:color="auto" w:sz="4" w:space="0"/>
                  </w:tcBorders>
                </w:tcPr>
                <w:p>
                  <w:pPr>
                    <w:jc w:val="left"/>
                    <w:rPr>
                      <w:rFonts w:ascii="Times New Roman" w:hAnsi="Times New Roman" w:cs="Times New Roman"/>
                    </w:rPr>
                  </w:pPr>
                  <w:r>
                    <w:rPr>
                      <w:rFonts w:hint="eastAsia" w:ascii="Times New Roman" w:hAnsi="Times New Roman" w:cs="Times New Roman"/>
                    </w:rPr>
                    <w:t>遵化人大</w:t>
                  </w:r>
                </w:p>
              </w:tc>
              <w:tc>
                <w:tcPr>
                  <w:tcW w:w="1917" w:type="dxa"/>
                  <w:tcBorders>
                    <w:bottom w:val="single" w:color="auto" w:sz="4" w:space="0"/>
                  </w:tcBorders>
                </w:tcPr>
                <w:p>
                  <w:pPr>
                    <w:jc w:val="left"/>
                    <w:rPr>
                      <w:rFonts w:ascii="Times New Roman" w:hAnsi="Times New Roman" w:cs="Times New Roman"/>
                    </w:rPr>
                  </w:pPr>
                  <w:r>
                    <w:rPr>
                      <w:rFonts w:hint="eastAsia" w:ascii="Times New Roman" w:hAnsi="Times New Roman" w:cs="Times New Roman"/>
                    </w:rPr>
                    <w:t>代表之家（联络站）活动建设</w:t>
                  </w:r>
                </w:p>
              </w:tc>
              <w:tc>
                <w:tcPr>
                  <w:tcW w:w="942" w:type="dxa"/>
                  <w:tcBorders>
                    <w:bottom w:val="single" w:color="auto" w:sz="4" w:space="0"/>
                  </w:tcBorders>
                </w:tcPr>
                <w:p>
                  <w:pPr>
                    <w:jc w:val="left"/>
                    <w:rPr>
                      <w:rFonts w:ascii="Times New Roman" w:hAnsi="Times New Roman" w:cs="Times New Roman"/>
                    </w:rPr>
                  </w:pPr>
                  <w:r>
                    <w:rPr>
                      <w:rFonts w:hint="eastAsia" w:ascii="Times New Roman" w:hAnsi="Times New Roman" w:cs="Times New Roman"/>
                    </w:rPr>
                    <w:t>63</w:t>
                  </w:r>
                </w:p>
              </w:tc>
              <w:tc>
                <w:tcPr>
                  <w:tcW w:w="785" w:type="dxa"/>
                  <w:tcBorders>
                    <w:bottom w:val="single" w:color="auto" w:sz="4" w:space="0"/>
                  </w:tcBorders>
                </w:tcPr>
                <w:p>
                  <w:pPr>
                    <w:jc w:val="left"/>
                    <w:rPr>
                      <w:rFonts w:ascii="Times New Roman" w:hAnsi="Times New Roman" w:cs="Times New Roman"/>
                    </w:rPr>
                  </w:pPr>
                  <w:r>
                    <w:rPr>
                      <w:rFonts w:hint="eastAsia" w:ascii="Times New Roman" w:hAnsi="Times New Roman" w:cs="Times New Roman"/>
                    </w:rPr>
                    <w:t>10</w:t>
                  </w:r>
                </w:p>
              </w:tc>
              <w:tc>
                <w:tcPr>
                  <w:tcW w:w="3736" w:type="dxa"/>
                  <w:tcBorders>
                    <w:bottom w:val="single" w:color="auto" w:sz="4" w:space="0"/>
                  </w:tcBorders>
                </w:tcPr>
                <w:p>
                  <w:pPr>
                    <w:jc w:val="left"/>
                    <w:rPr>
                      <w:rFonts w:ascii="Times New Roman" w:hAnsi="Times New Roman" w:cs="Times New Roman"/>
                    </w:rPr>
                  </w:pPr>
                  <w:r>
                    <w:rPr>
                      <w:rFonts w:hint="eastAsia" w:ascii="Times New Roman" w:hAnsi="Times New Roman" w:cs="Times New Roman"/>
                    </w:rPr>
                    <w:t>为代表履职提供服务保障，更快更好反映群众诉求，密切代表与选民的联系，开展人大代表之家（联络站）活动，</w:t>
                  </w:r>
                </w:p>
              </w:tc>
              <w:tc>
                <w:tcPr>
                  <w:tcW w:w="426" w:type="dxa"/>
                  <w:tcBorders>
                    <w:bottom w:val="single" w:color="auto" w:sz="4" w:space="0"/>
                  </w:tcBorders>
                </w:tcPr>
                <w:p>
                  <w:pPr>
                    <w:rPr>
                      <w:rFonts w:ascii="Times New Roman" w:hAnsi="Times New Roman" w:cs="Times New Roman"/>
                    </w:rPr>
                  </w:pPr>
                  <w:r>
                    <w:rPr>
                      <w:rFonts w:hint="eastAsia" w:ascii="Times New Roman" w:hAnsi="Times New Roman" w:cs="Times New Roma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427" w:type="dxa"/>
                  <w:tcBorders>
                    <w:top w:val="single" w:color="auto" w:sz="4" w:space="0"/>
                    <w:left w:val="single" w:color="auto" w:sz="4" w:space="0"/>
                    <w:bottom w:val="nil"/>
                  </w:tcBorders>
                </w:tcPr>
                <w:p>
                  <w:pPr>
                    <w:jc w:val="left"/>
                    <w:rPr>
                      <w:rFonts w:ascii="Times New Roman" w:hAnsi="Times New Roman" w:cs="Times New Roman"/>
                    </w:rPr>
                  </w:pPr>
                  <w:r>
                    <w:rPr>
                      <w:rFonts w:hint="eastAsia" w:ascii="Times New Roman" w:hAnsi="Times New Roman" w:cs="Times New Roman"/>
                    </w:rPr>
                    <w:t>7</w:t>
                  </w:r>
                </w:p>
              </w:tc>
              <w:tc>
                <w:tcPr>
                  <w:tcW w:w="713" w:type="dxa"/>
                  <w:tcBorders>
                    <w:top w:val="single" w:color="auto" w:sz="4" w:space="0"/>
                    <w:bottom w:val="nil"/>
                  </w:tcBorders>
                </w:tcPr>
                <w:p>
                  <w:pPr>
                    <w:jc w:val="left"/>
                    <w:rPr>
                      <w:rFonts w:ascii="Times New Roman" w:hAnsi="Times New Roman" w:cs="Times New Roman"/>
                    </w:rPr>
                  </w:pPr>
                  <w:r>
                    <w:rPr>
                      <w:rFonts w:hint="eastAsia" w:ascii="Times New Roman" w:hAnsi="Times New Roman" w:cs="Times New Roman"/>
                    </w:rPr>
                    <w:t>遵化人大</w:t>
                  </w:r>
                </w:p>
              </w:tc>
              <w:tc>
                <w:tcPr>
                  <w:tcW w:w="1917" w:type="dxa"/>
                  <w:tcBorders>
                    <w:top w:val="single" w:color="auto" w:sz="4" w:space="0"/>
                    <w:bottom w:val="nil"/>
                  </w:tcBorders>
                </w:tcPr>
                <w:p>
                  <w:pPr>
                    <w:jc w:val="left"/>
                    <w:rPr>
                      <w:rFonts w:ascii="Times New Roman" w:hAnsi="Times New Roman" w:cs="Times New Roman"/>
                    </w:rPr>
                  </w:pPr>
                  <w:r>
                    <w:rPr>
                      <w:rFonts w:hint="eastAsia" w:ascii="Times New Roman" w:hAnsi="Times New Roman" w:cs="Times New Roman"/>
                    </w:rPr>
                    <w:t>“智慧人大”系统经费</w:t>
                  </w:r>
                </w:p>
              </w:tc>
              <w:tc>
                <w:tcPr>
                  <w:tcW w:w="942" w:type="dxa"/>
                  <w:tcBorders>
                    <w:top w:val="single" w:color="auto" w:sz="4" w:space="0"/>
                    <w:bottom w:val="nil"/>
                  </w:tcBorders>
                </w:tcPr>
                <w:p>
                  <w:pPr>
                    <w:jc w:val="left"/>
                    <w:rPr>
                      <w:rFonts w:ascii="Times New Roman" w:hAnsi="Times New Roman" w:cs="Times New Roman"/>
                    </w:rPr>
                  </w:pPr>
                  <w:r>
                    <w:rPr>
                      <w:rFonts w:hint="eastAsia" w:ascii="Times New Roman" w:hAnsi="Times New Roman" w:cs="Times New Roman"/>
                    </w:rPr>
                    <w:t>3</w:t>
                  </w:r>
                </w:p>
              </w:tc>
              <w:tc>
                <w:tcPr>
                  <w:tcW w:w="785" w:type="dxa"/>
                  <w:tcBorders>
                    <w:top w:val="single" w:color="auto" w:sz="4" w:space="0"/>
                    <w:bottom w:val="nil"/>
                  </w:tcBorders>
                </w:tcPr>
                <w:p>
                  <w:pPr>
                    <w:jc w:val="left"/>
                    <w:rPr>
                      <w:rFonts w:ascii="Times New Roman" w:hAnsi="Times New Roman" w:cs="Times New Roman"/>
                    </w:rPr>
                  </w:pPr>
                  <w:r>
                    <w:rPr>
                      <w:rFonts w:hint="eastAsia" w:ascii="Times New Roman" w:hAnsi="Times New Roman" w:cs="Times New Roman"/>
                    </w:rPr>
                    <w:t>0</w:t>
                  </w:r>
                </w:p>
              </w:tc>
              <w:tc>
                <w:tcPr>
                  <w:tcW w:w="3736" w:type="dxa"/>
                  <w:tcBorders>
                    <w:top w:val="single" w:color="auto" w:sz="4" w:space="0"/>
                    <w:bottom w:val="nil"/>
                  </w:tcBorders>
                </w:tcPr>
                <w:p>
                  <w:pPr>
                    <w:jc w:val="left"/>
                    <w:rPr>
                      <w:rFonts w:ascii="Times New Roman" w:hAnsi="Times New Roman" w:cs="Times New Roman"/>
                    </w:rPr>
                  </w:pPr>
                  <w:r>
                    <w:rPr>
                      <w:rFonts w:hint="eastAsia" w:ascii="Times New Roman" w:hAnsi="Times New Roman" w:cs="Times New Roman"/>
                    </w:rPr>
                    <w:t>建设并完善县级平台主要功能：代表建议和监督办理系统、代表履职管理系统、网上代表之家（联络站）管理系统、人大通系统（APP）.</w:t>
                  </w:r>
                </w:p>
              </w:tc>
              <w:tc>
                <w:tcPr>
                  <w:tcW w:w="426" w:type="dxa"/>
                  <w:tcBorders>
                    <w:top w:val="single" w:color="auto" w:sz="4" w:space="0"/>
                    <w:bottom w:val="nil"/>
                    <w:right w:val="single" w:color="auto" w:sz="4" w:space="0"/>
                  </w:tcBorders>
                </w:tcPr>
                <w:p>
                  <w:pPr>
                    <w:rPr>
                      <w:rFonts w:ascii="Times New Roman" w:hAnsi="Times New Roman" w:cs="Times New Roman"/>
                    </w:rPr>
                  </w:pPr>
                  <w:r>
                    <w:rPr>
                      <w:rFonts w:hint="eastAsia" w:ascii="Times New Roman" w:hAnsi="Times New Roman" w:cs="Times New Roman"/>
                    </w:rPr>
                    <w:t>　</w:t>
                  </w:r>
                </w:p>
              </w:tc>
            </w:tr>
          </w:tbl>
          <w:p>
            <w:pPr>
              <w:widowControl/>
              <w:rPr>
                <w:rFonts w:ascii="宋体" w:hAnsi="宋体" w:eastAsia="宋体" w:cs="宋体"/>
                <w:kern w:val="0"/>
                <w:sz w:val="28"/>
                <w:szCs w:val="28"/>
              </w:rPr>
            </w:pPr>
          </w:p>
        </w:tc>
      </w:tr>
    </w:tbl>
    <w:p>
      <w:pPr>
        <w:rPr>
          <w:rFonts w:ascii="Times New Roman" w:hAnsi="Times New Roman" w:cs="Times New Roman"/>
        </w:rPr>
      </w:pPr>
    </w:p>
    <w:sectPr>
      <w:headerReference r:id="rId3" w:type="default"/>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OTk1M2YyMjYzMTA1YTIxYjgxZmFmYWVkZjg3ODkifQ=="/>
  </w:docVars>
  <w:rsids>
    <w:rsidRoot w:val="0096493D"/>
    <w:rsid w:val="00005328"/>
    <w:rsid w:val="00010B23"/>
    <w:rsid w:val="00032CB0"/>
    <w:rsid w:val="00075FA4"/>
    <w:rsid w:val="0008093C"/>
    <w:rsid w:val="000862E6"/>
    <w:rsid w:val="00093599"/>
    <w:rsid w:val="000A740A"/>
    <w:rsid w:val="000B10D7"/>
    <w:rsid w:val="000C049D"/>
    <w:rsid w:val="000E7104"/>
    <w:rsid w:val="000F2758"/>
    <w:rsid w:val="00103866"/>
    <w:rsid w:val="00104F3E"/>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C8C"/>
    <w:rsid w:val="00203E52"/>
    <w:rsid w:val="00212913"/>
    <w:rsid w:val="00222585"/>
    <w:rsid w:val="00230589"/>
    <w:rsid w:val="002319C7"/>
    <w:rsid w:val="0024508D"/>
    <w:rsid w:val="002464E9"/>
    <w:rsid w:val="00247665"/>
    <w:rsid w:val="002478E8"/>
    <w:rsid w:val="002541FD"/>
    <w:rsid w:val="002633F7"/>
    <w:rsid w:val="00265B3B"/>
    <w:rsid w:val="0026776F"/>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03E6"/>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3E8C"/>
    <w:rsid w:val="00474EFA"/>
    <w:rsid w:val="0047729E"/>
    <w:rsid w:val="00480A62"/>
    <w:rsid w:val="004A1F5F"/>
    <w:rsid w:val="004A59A6"/>
    <w:rsid w:val="004A768C"/>
    <w:rsid w:val="004B53BA"/>
    <w:rsid w:val="004B673C"/>
    <w:rsid w:val="004D16E1"/>
    <w:rsid w:val="004D361A"/>
    <w:rsid w:val="004E10F6"/>
    <w:rsid w:val="004E2006"/>
    <w:rsid w:val="004F032F"/>
    <w:rsid w:val="004F206A"/>
    <w:rsid w:val="004F4B37"/>
    <w:rsid w:val="00502314"/>
    <w:rsid w:val="00511563"/>
    <w:rsid w:val="00514753"/>
    <w:rsid w:val="005265F1"/>
    <w:rsid w:val="0054486C"/>
    <w:rsid w:val="00552456"/>
    <w:rsid w:val="005544EB"/>
    <w:rsid w:val="00554743"/>
    <w:rsid w:val="00555FB2"/>
    <w:rsid w:val="005608AF"/>
    <w:rsid w:val="00564AD9"/>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0932"/>
    <w:rsid w:val="00721985"/>
    <w:rsid w:val="007240A3"/>
    <w:rsid w:val="00732515"/>
    <w:rsid w:val="00732A47"/>
    <w:rsid w:val="00750ABB"/>
    <w:rsid w:val="00750DE7"/>
    <w:rsid w:val="00755AA3"/>
    <w:rsid w:val="00763E27"/>
    <w:rsid w:val="00772209"/>
    <w:rsid w:val="00790756"/>
    <w:rsid w:val="007955F0"/>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07DAA"/>
    <w:rsid w:val="00922F47"/>
    <w:rsid w:val="00936261"/>
    <w:rsid w:val="00951AF6"/>
    <w:rsid w:val="00962D51"/>
    <w:rsid w:val="0096493D"/>
    <w:rsid w:val="00967B1D"/>
    <w:rsid w:val="00971E03"/>
    <w:rsid w:val="00983E22"/>
    <w:rsid w:val="00987590"/>
    <w:rsid w:val="00996717"/>
    <w:rsid w:val="009B4F7E"/>
    <w:rsid w:val="009B56DD"/>
    <w:rsid w:val="009D0FDC"/>
    <w:rsid w:val="009E7258"/>
    <w:rsid w:val="009E79D4"/>
    <w:rsid w:val="00A01EC7"/>
    <w:rsid w:val="00A05212"/>
    <w:rsid w:val="00A10AA0"/>
    <w:rsid w:val="00A116E8"/>
    <w:rsid w:val="00A15DFD"/>
    <w:rsid w:val="00A33401"/>
    <w:rsid w:val="00A561DC"/>
    <w:rsid w:val="00A62435"/>
    <w:rsid w:val="00A675D2"/>
    <w:rsid w:val="00A75973"/>
    <w:rsid w:val="00A849CC"/>
    <w:rsid w:val="00A91703"/>
    <w:rsid w:val="00A95DFC"/>
    <w:rsid w:val="00AA1287"/>
    <w:rsid w:val="00AB19F5"/>
    <w:rsid w:val="00AB36F7"/>
    <w:rsid w:val="00AB66B4"/>
    <w:rsid w:val="00AC0762"/>
    <w:rsid w:val="00AE01FF"/>
    <w:rsid w:val="00AE0F33"/>
    <w:rsid w:val="00AE5B06"/>
    <w:rsid w:val="00AE7C6C"/>
    <w:rsid w:val="00AF36F2"/>
    <w:rsid w:val="00AF7631"/>
    <w:rsid w:val="00B06FC9"/>
    <w:rsid w:val="00B10C63"/>
    <w:rsid w:val="00B16FA2"/>
    <w:rsid w:val="00B17405"/>
    <w:rsid w:val="00B23BE6"/>
    <w:rsid w:val="00B3392F"/>
    <w:rsid w:val="00B427F5"/>
    <w:rsid w:val="00B92159"/>
    <w:rsid w:val="00B96AA7"/>
    <w:rsid w:val="00BB4B7B"/>
    <w:rsid w:val="00BB53DC"/>
    <w:rsid w:val="00BC1973"/>
    <w:rsid w:val="00BC7C15"/>
    <w:rsid w:val="00BD031B"/>
    <w:rsid w:val="00BD0897"/>
    <w:rsid w:val="00BD25F1"/>
    <w:rsid w:val="00BD47B5"/>
    <w:rsid w:val="00BF3406"/>
    <w:rsid w:val="00BF4BD9"/>
    <w:rsid w:val="00C02BF7"/>
    <w:rsid w:val="00C04864"/>
    <w:rsid w:val="00C06F32"/>
    <w:rsid w:val="00C2469C"/>
    <w:rsid w:val="00C2716C"/>
    <w:rsid w:val="00C33099"/>
    <w:rsid w:val="00C33EA0"/>
    <w:rsid w:val="00C34FC7"/>
    <w:rsid w:val="00C37B3A"/>
    <w:rsid w:val="00C46A14"/>
    <w:rsid w:val="00C51601"/>
    <w:rsid w:val="00C53F88"/>
    <w:rsid w:val="00C53F8F"/>
    <w:rsid w:val="00C639BF"/>
    <w:rsid w:val="00C65C11"/>
    <w:rsid w:val="00C71161"/>
    <w:rsid w:val="00C96B09"/>
    <w:rsid w:val="00CB68B9"/>
    <w:rsid w:val="00CC0354"/>
    <w:rsid w:val="00CC0871"/>
    <w:rsid w:val="00CD473F"/>
    <w:rsid w:val="00CE3B5E"/>
    <w:rsid w:val="00D0106E"/>
    <w:rsid w:val="00D11089"/>
    <w:rsid w:val="00D20515"/>
    <w:rsid w:val="00D24077"/>
    <w:rsid w:val="00D27FFE"/>
    <w:rsid w:val="00D30A65"/>
    <w:rsid w:val="00D45AED"/>
    <w:rsid w:val="00D47902"/>
    <w:rsid w:val="00D5376D"/>
    <w:rsid w:val="00D57B08"/>
    <w:rsid w:val="00D846C4"/>
    <w:rsid w:val="00D87767"/>
    <w:rsid w:val="00D936E7"/>
    <w:rsid w:val="00D95995"/>
    <w:rsid w:val="00DC584E"/>
    <w:rsid w:val="00DD1E85"/>
    <w:rsid w:val="00DD38AB"/>
    <w:rsid w:val="00DD6D93"/>
    <w:rsid w:val="00DD7933"/>
    <w:rsid w:val="00DE26B2"/>
    <w:rsid w:val="00DF240D"/>
    <w:rsid w:val="00E03DF9"/>
    <w:rsid w:val="00E10D5F"/>
    <w:rsid w:val="00E15156"/>
    <w:rsid w:val="00E235EF"/>
    <w:rsid w:val="00E26DC6"/>
    <w:rsid w:val="00E61311"/>
    <w:rsid w:val="00E71BB8"/>
    <w:rsid w:val="00E820CE"/>
    <w:rsid w:val="00E8697C"/>
    <w:rsid w:val="00E91EC5"/>
    <w:rsid w:val="00E96824"/>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451"/>
    <w:rsid w:val="00FD665A"/>
    <w:rsid w:val="00FF6055"/>
    <w:rsid w:val="06600F06"/>
    <w:rsid w:val="11576917"/>
    <w:rsid w:val="1E6B698F"/>
    <w:rsid w:val="2EEC713A"/>
    <w:rsid w:val="3D2E1997"/>
    <w:rsid w:val="59530192"/>
    <w:rsid w:val="5B1A0ADA"/>
    <w:rsid w:val="5D586E4E"/>
    <w:rsid w:val="7C403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9E93-4F83-4691-93B9-D816760D68B1}">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428</Words>
  <Characters>2445</Characters>
  <Lines>20</Lines>
  <Paragraphs>5</Paragraphs>
  <TotalTime>110</TotalTime>
  <ScaleCrop>false</ScaleCrop>
  <LinksUpToDate>false</LinksUpToDate>
  <CharactersWithSpaces>2868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dcterms:modified xsi:type="dcterms:W3CDTF">2024-03-21T02:18:26Z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4445E47941494332A82A307759E3669C_13</vt:lpwstr>
  </property>
</Properties>
</file>