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8" w:name="_GoBack"/>
      <w:bookmarkEnd w:id="8"/>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遵化市科学技术协会</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遵化市科学技术协会编制</w:t>
      </w:r>
    </w:p>
    <w:p>
      <w:pPr>
        <w:spacing w:before="0" w:after="0" w:line="240" w:lineRule="auto"/>
        <w:ind w:firstLine="0"/>
        <w:jc w:val="center"/>
        <w:outlineLvl w:val="9"/>
        <w:sectPr>
          <w:headerReference r:id="rId3" w:type="default"/>
          <w:footerReference r:id="rId4" w:type="default"/>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1.安可计算机购置绩效目标表</w:t>
      </w:r>
      <w:r>
        <w:tab/>
      </w:r>
      <w:r>
        <w:fldChar w:fldCharType="begin"/>
      </w:r>
      <w:r>
        <w:instrText xml:space="preserve">PAGEREF _Toc_4_4_0000000004 \h</w:instrText>
      </w:r>
      <w:r>
        <w:fldChar w:fldCharType="separate"/>
      </w:r>
      <w:r>
        <w:t>6</w:t>
      </w:r>
      <w:r>
        <w:fldChar w:fldCharType="end"/>
      </w:r>
      <w:r>
        <w:fldChar w:fldCharType="end"/>
      </w:r>
    </w:p>
    <w:p>
      <w:pPr>
        <w:pStyle w:val="4"/>
        <w:tabs>
          <w:tab w:val="right" w:leader="dot" w:pos="9282"/>
        </w:tabs>
      </w:pPr>
      <w:r>
        <w:fldChar w:fldCharType="begin"/>
      </w:r>
      <w:r>
        <w:instrText xml:space="preserve"> HYPERLINK \l "_Toc_4_4_0000000005" </w:instrText>
      </w:r>
      <w:r>
        <w:fldChar w:fldCharType="separate"/>
      </w:r>
      <w:r>
        <w:t>2.冀财教【2022】145号河北省财政厅关于提前下达2023年科技馆免费开放中央补助资金的通知绩效目标表</w:t>
      </w:r>
      <w:r>
        <w:tab/>
      </w:r>
      <w:r>
        <w:fldChar w:fldCharType="begin"/>
      </w:r>
      <w:r>
        <w:instrText xml:space="preserve">PAGEREF _Toc_4_4_0000000005 \h</w:instrText>
      </w:r>
      <w:r>
        <w:fldChar w:fldCharType="separate"/>
      </w:r>
      <w:r>
        <w:t>7</w:t>
      </w:r>
      <w:r>
        <w:fldChar w:fldCharType="end"/>
      </w:r>
      <w:r>
        <w:fldChar w:fldCharType="end"/>
      </w:r>
    </w:p>
    <w:p>
      <w:pPr>
        <w:pStyle w:val="4"/>
        <w:tabs>
          <w:tab w:val="right" w:leader="dot" w:pos="9282"/>
        </w:tabs>
      </w:pPr>
      <w:r>
        <w:fldChar w:fldCharType="begin"/>
      </w:r>
      <w:r>
        <w:instrText xml:space="preserve"> HYPERLINK \l "_Toc_4_4_0000000006" </w:instrText>
      </w:r>
      <w:r>
        <w:fldChar w:fldCharType="separate"/>
      </w:r>
      <w:r>
        <w:t>3.科技馆运行经费绩效目标表</w:t>
      </w:r>
      <w:r>
        <w:tab/>
      </w:r>
      <w:r>
        <w:fldChar w:fldCharType="begin"/>
      </w:r>
      <w:r>
        <w:instrText xml:space="preserve">PAGEREF _Toc_4_4_0000000006 \h</w:instrText>
      </w:r>
      <w:r>
        <w:fldChar w:fldCharType="separate"/>
      </w:r>
      <w:r>
        <w:t>8</w:t>
      </w:r>
      <w:r>
        <w:fldChar w:fldCharType="end"/>
      </w:r>
      <w:r>
        <w:fldChar w:fldCharType="end"/>
      </w:r>
    </w:p>
    <w:p>
      <w:pPr>
        <w:pStyle w:val="4"/>
        <w:tabs>
          <w:tab w:val="right" w:leader="dot" w:pos="9282"/>
        </w:tabs>
      </w:pPr>
      <w:r>
        <w:fldChar w:fldCharType="begin"/>
      </w:r>
      <w:r>
        <w:instrText xml:space="preserve"> HYPERLINK \l "_Toc_4_4_0000000007" </w:instrText>
      </w:r>
      <w:r>
        <w:fldChar w:fldCharType="separate"/>
      </w:r>
      <w:r>
        <w:t>4.科普活动经费绩效目标表</w:t>
      </w:r>
      <w:r>
        <w:tab/>
      </w:r>
      <w:r>
        <w:fldChar w:fldCharType="begin"/>
      </w:r>
      <w:r>
        <w:instrText xml:space="preserve">PAGEREF _Toc_4_4_0000000007 \h</w:instrText>
      </w:r>
      <w:r>
        <w:fldChar w:fldCharType="separate"/>
      </w:r>
      <w:r>
        <w:t>9</w:t>
      </w:r>
      <w:r>
        <w:fldChar w:fldCharType="end"/>
      </w:r>
      <w:r>
        <w:fldChar w:fldCharType="end"/>
      </w:r>
    </w:p>
    <w:p>
      <w:pPr>
        <w:pStyle w:val="4"/>
        <w:tabs>
          <w:tab w:val="right" w:leader="dot" w:pos="9282"/>
        </w:tabs>
      </w:pPr>
      <w:r>
        <w:fldChar w:fldCharType="begin"/>
      </w:r>
      <w:r>
        <w:instrText xml:space="preserve"> HYPERLINK \l "_Toc_4_4_0000000008" </w:instrText>
      </w:r>
      <w:r>
        <w:fldChar w:fldCharType="separate"/>
      </w:r>
      <w:r>
        <w:t>5.业务经费绩效目标表</w:t>
      </w:r>
      <w:r>
        <w:tab/>
      </w:r>
      <w:r>
        <w:fldChar w:fldCharType="begin"/>
      </w:r>
      <w:r>
        <w:instrText xml:space="preserve">PAGEREF _Toc_4_4_0000000008 \h</w:instrText>
      </w:r>
      <w:r>
        <w:fldChar w:fldCharType="separate"/>
      </w:r>
      <w:r>
        <w:t>10</w:t>
      </w:r>
      <w:r>
        <w:fldChar w:fldCharType="end"/>
      </w:r>
      <w:r>
        <w:fldChar w:fldCharType="end"/>
      </w:r>
    </w:p>
    <w:p>
      <w:r>
        <w:fldChar w:fldCharType="end"/>
      </w:r>
    </w:p>
    <w:p>
      <w:pPr>
        <w:rPr>
          <w:rFonts w:hint="eastAsia" w:eastAsia="宋体"/>
          <w:lang w:eastAsia="zh-CN"/>
        </w:rPr>
      </w:pPr>
      <w:r>
        <w:br w:type="page"/>
      </w:r>
    </w:p>
    <w:p>
      <w:pPr>
        <w:rPr>
          <w:rFonts w:hint="eastAsia" w:eastAsia="宋体"/>
          <w:lang w:eastAsia="zh-CN"/>
        </w:rPr>
        <w:sectPr>
          <w:footerReference r:id="rId5" w:type="default"/>
          <w:footerReference r:id="rId6" w:type="even"/>
          <w:pgSz w:w="11900" w:h="16840"/>
          <w:pgMar w:top="1984" w:right="1304" w:bottom="1134" w:left="130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0"/>
      </w:pPr>
      <w:r>
        <w:rPr>
          <w:rFonts w:hint="eastAsia" w:ascii="方正仿宋_GBK" w:hAnsi="方正仿宋_GBK" w:eastAsia="方正仿宋_GBK" w:cs="方正仿宋_GBK"/>
        </w:rPr>
        <w:t>2023年遵化市科协将以习近平新时代中国特色社会主义思想为指导，贯彻落实市委、市政府重大决策部署。持续推动科协系统全面深化改革，着力提升新时代各级科协组织的组织力，广泛组织科技工作者创新创业，大力加强科技工作者之家建设，全面提升为科技工作者服务的质量水平；认真贯彻落实《全民科学素质行动计划纲要实施方案（2016—2023年）》，继续加强科普基础设施建设，开展多种形式的科普活动，加强各级科协科普服务能力建设及科普人才队伍建设，加快科普信息化进程，为公众提供更好的科普公共产品和服务。</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1"/>
      </w:pPr>
      <w:r>
        <w:t>（一）科学技术普及活动</w:t>
      </w:r>
    </w:p>
    <w:p>
      <w:pPr>
        <w:pStyle w:val="11"/>
      </w:pPr>
      <w:r>
        <w:t>开展科普惠农、科普益民等重点科普活动；开展科普下乡等系列科普活动。加强大众媒体科普传播能力建设。实施社会科普资源开发共享、县级特色科普工程，培养科普组织和科普人才。</w:t>
      </w:r>
    </w:p>
    <w:p>
      <w:pPr>
        <w:pStyle w:val="11"/>
      </w:pPr>
      <w:r>
        <w:t>绩效目标：通过开展各种科普活动，吸引各重点人群参与，普及科普知识；实现社会科普资源共享程度提高，科普传播能力不断增强。</w:t>
      </w:r>
    </w:p>
    <w:p>
      <w:pPr>
        <w:pStyle w:val="11"/>
      </w:pPr>
      <w:r>
        <w:t>绩效指标：通过科普资源开发与共建共享及加强科普信息化建设大幅度提升公共科普服务能力。科普活动参与者满意度指标值=100%。</w:t>
      </w:r>
    </w:p>
    <w:p>
      <w:pPr>
        <w:pStyle w:val="11"/>
      </w:pPr>
      <w:r>
        <w:t>（二）老科协综合业务</w:t>
      </w:r>
    </w:p>
    <w:p>
      <w:pPr>
        <w:pStyle w:val="11"/>
      </w:pPr>
      <w:r>
        <w:t>开展专题调研，制定科学普及发展规划，保障机关网站运行、科普项目管理、机关织建设等各项工作开展。</w:t>
      </w:r>
    </w:p>
    <w:p>
      <w:pPr>
        <w:pStyle w:val="11"/>
      </w:pPr>
      <w:r>
        <w:t>绩效目标：各类科普业务工作谋划到位、开展有序，助推科普事业发展能力提升。保障机关工作正常高效运转。</w:t>
      </w:r>
    </w:p>
    <w:p>
      <w:pPr>
        <w:pStyle w:val="11"/>
      </w:pPr>
      <w:r>
        <w:t>绩效指标：项目实施对科普活动工作的发展影响度，能够长期较好地开展示，长期满足人民群众对科学文化的需求。科普活动参与者满意度指标值=100%。</w:t>
      </w:r>
    </w:p>
    <w:p>
      <w:pPr>
        <w:pStyle w:val="11"/>
      </w:pPr>
      <w:r>
        <w:t>（三）冀财教【2022】145号关于提前下达2023年科技馆免费开放中央补助资金</w:t>
      </w:r>
    </w:p>
    <w:p>
      <w:pPr>
        <w:pStyle w:val="11"/>
      </w:pPr>
      <w:r>
        <w:t>主要用于科技馆建成后设备的维护、科技展品等更新设备。</w:t>
      </w:r>
    </w:p>
    <w:p>
      <w:pPr>
        <w:pStyle w:val="11"/>
      </w:pPr>
      <w:r>
        <w:t>绩效目标：保障科技馆的设备维护维修和科技展品设备更新，助推科技馆宣传能力提升，保障科技馆工作正常高效运转。</w:t>
      </w:r>
    </w:p>
    <w:p>
      <w:pPr>
        <w:pStyle w:val="11"/>
      </w:pPr>
      <w:r>
        <w:t>绩效指标：通过科技馆长期免费开放形成对公众科技传播与科普教育的可持续影响；激发青少年科学兴趣，培养科学思维，创兴精神和实践能力，科普活动参与者满意度指标值=100%。</w:t>
      </w:r>
    </w:p>
    <w:p>
      <w:pPr>
        <w:pStyle w:val="11"/>
      </w:pPr>
      <w:r>
        <w:t>（四）科技馆站</w:t>
      </w:r>
    </w:p>
    <w:p>
      <w:pPr>
        <w:pStyle w:val="11"/>
      </w:pPr>
      <w:r>
        <w:t>组织开展科普宣传日活动；学生团体参观等活动。</w:t>
      </w:r>
    </w:p>
    <w:p>
      <w:pPr>
        <w:pStyle w:val="11"/>
      </w:pPr>
      <w:r>
        <w:t>绩效目标：保障科技馆的设备维护，保障科技馆的宣传讲解，扩大对外宣传，开展多种形式的文化交流活动，充分展示科技馆良好形象，不断提高知名度、美誉度。</w:t>
      </w:r>
    </w:p>
    <w:p>
      <w:pPr>
        <w:pStyle w:val="11"/>
      </w:pPr>
      <w:r>
        <w:t>绩效指标：通过科技馆长期免费开放形成对公众科技传播与科普教育的可持续影响；激发青少年科学兴趣，培养科学思维，创兴精神和实践能力，科普活动参与者满意度指标值=100%。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2"/>
      </w:pPr>
      <w:r>
        <w:t>(一)市科协党组高度重视预算绩效工作，为全面加强我单位绩效管理，我单位几年来已形成“一把手亲自抓，分管领导具体管，业务部门严格落实”的长效工作机制，从成立绩效领导小组，到制定工作方案，再到具体编制项目绩效目标和指标，年终绩效考评都形成了一套闭合管理体制，从根本上建立绩效管理的组织体系，保证预算绩效工作健康有序发展。</w:t>
      </w:r>
    </w:p>
    <w:p>
      <w:pPr>
        <w:pStyle w:val="12"/>
      </w:pPr>
      <w:r>
        <w:t>（二）为进一步贯彻落实《</w:t>
      </w:r>
      <w:r>
        <w:rPr>
          <w:rFonts w:hint="eastAsia"/>
          <w:lang w:eastAsia="zh-CN"/>
        </w:rPr>
        <w:t>中华人民共和国预算法</w:t>
      </w:r>
      <w:r>
        <w:t>》，全面实施预算绩效管理，提高资金使用效益，实现部门年度绩效目标，市科协从加强组织领导、完善制度建设、规范财务支出管理、宣传培训等方面制定保障措施，现汇报如下：</w:t>
      </w:r>
    </w:p>
    <w:p>
      <w:pPr>
        <w:pStyle w:val="12"/>
      </w:pPr>
      <w:r>
        <w:t>完善制度建设。制度建设是绩效管理工作的基石，市科协根据实际情况，从部门层面、单位层面、项目层面分别制定了多项管理办法，并编制了《科协内控手册》，为年度预算的编制、执行、项目监督、绩效评价等系列工作提供了制度基础，同时也明确了各部室（事业单位）的工作任务，工作职责。2023年我们将依据此类文件，修订完善部门绩效管理制度的相关文件，确保我部门绩效管理工作有效开展。</w:t>
      </w:r>
    </w:p>
    <w:p>
      <w:pPr>
        <w:pStyle w:val="12"/>
      </w:pPr>
      <w:r>
        <w:t>加强支出管理。优化支出结构、编细编实预算、尽快启动项目、及时支付资金、按规定要求支出资金，确保支出进度达标。</w:t>
      </w:r>
    </w:p>
    <w:p>
      <w:pPr>
        <w:pStyle w:val="12"/>
      </w:pPr>
      <w:r>
        <w:t>加强绩效运行监控。按要求开展绩效运行监控，发现问题及时采取措施，确保绩效目标如期保质实现。</w:t>
      </w:r>
    </w:p>
    <w:p>
      <w:pPr>
        <w:pStyle w:val="12"/>
      </w:pPr>
      <w:r>
        <w:t>做好绩效自评。按要求开展上年度部门预算绩效自评和重点评价工作，对评价中发现的问题及时整改，调整优化支出结构，提高财政资金使用效益。</w:t>
      </w:r>
    </w:p>
    <w:p>
      <w:pPr>
        <w:pStyle w:val="12"/>
      </w:pPr>
      <w:r>
        <w:t>规范财务资产管理。完善财务管理制度，严格审批程序，加强固定资产登记、使用和报废处置管理，做到支出合理，物尽其用。</w:t>
      </w:r>
    </w:p>
    <w:p>
      <w:pPr>
        <w:pStyle w:val="12"/>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2"/>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12"/>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1.安可计算机购置绩效目标表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731001遵化市科学技术协会本级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13028123P00016110004W</w:t>
            </w:r>
          </w:p>
        </w:tc>
        <w:tc>
          <w:tcPr>
            <w:tcW w:w="1587" w:type="dxa"/>
            <w:vAlign w:val="center"/>
          </w:tcPr>
          <w:p>
            <w:pPr>
              <w:pStyle w:val="16"/>
            </w:pPr>
            <w:r>
              <w:t>项目名称</w:t>
            </w:r>
          </w:p>
        </w:tc>
        <w:tc>
          <w:tcPr>
            <w:tcW w:w="4422" w:type="dxa"/>
            <w:gridSpan w:val="3"/>
            <w:vAlign w:val="center"/>
          </w:tcPr>
          <w:p>
            <w:pPr>
              <w:pStyle w:val="15"/>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0.85</w:t>
            </w:r>
          </w:p>
        </w:tc>
        <w:tc>
          <w:tcPr>
            <w:tcW w:w="1587" w:type="dxa"/>
            <w:vAlign w:val="center"/>
          </w:tcPr>
          <w:p>
            <w:pPr>
              <w:pStyle w:val="16"/>
            </w:pPr>
            <w:r>
              <w:t>其中：财政    资金</w:t>
            </w:r>
          </w:p>
        </w:tc>
        <w:tc>
          <w:tcPr>
            <w:tcW w:w="1304" w:type="dxa"/>
            <w:vAlign w:val="center"/>
          </w:tcPr>
          <w:p>
            <w:pPr>
              <w:pStyle w:val="15"/>
            </w:pPr>
            <w:r>
              <w:t>0.85</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预算数0.85万元，其中财政资金0.85万元，其他资金0万元。主要用于购置安可计算机1台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1.为推进我市互联网信息服务基础设施建设，加强预算监督，提高资金使用效益，保障单位工作顺利开展。</w:t>
            </w:r>
          </w:p>
          <w:p>
            <w:pPr>
              <w:pStyle w:val="15"/>
            </w:pPr>
            <w:r>
              <w:t>2.做好安全保密工作，完成替代任工作，确保保密工作安全有效。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质量指标</w:t>
            </w:r>
          </w:p>
        </w:tc>
        <w:tc>
          <w:tcPr>
            <w:tcW w:w="1332" w:type="dxa"/>
            <w:vAlign w:val="center"/>
          </w:tcPr>
          <w:p>
            <w:pPr>
              <w:pStyle w:val="15"/>
            </w:pPr>
            <w:r>
              <w:t>采购质量</w:t>
            </w:r>
          </w:p>
        </w:tc>
        <w:tc>
          <w:tcPr>
            <w:tcW w:w="2891" w:type="dxa"/>
            <w:vAlign w:val="center"/>
          </w:tcPr>
          <w:p>
            <w:pPr>
              <w:pStyle w:val="15"/>
            </w:pPr>
            <w:r>
              <w:t>把关采购计算机质优价廉</w:t>
            </w:r>
          </w:p>
        </w:tc>
        <w:tc>
          <w:tcPr>
            <w:tcW w:w="1276" w:type="dxa"/>
            <w:vAlign w:val="center"/>
          </w:tcPr>
          <w:p>
            <w:pPr>
              <w:pStyle w:val="15"/>
            </w:pPr>
            <w:r>
              <w:t>≥95 %</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费用报销及时性</w:t>
            </w:r>
          </w:p>
        </w:tc>
        <w:tc>
          <w:tcPr>
            <w:tcW w:w="2891" w:type="dxa"/>
            <w:vAlign w:val="center"/>
          </w:tcPr>
          <w:p>
            <w:pPr>
              <w:pStyle w:val="15"/>
            </w:pPr>
            <w:r>
              <w:t>按照审批程序及时报销经费、不拖延</w:t>
            </w:r>
          </w:p>
        </w:tc>
        <w:tc>
          <w:tcPr>
            <w:tcW w:w="1276" w:type="dxa"/>
            <w:vAlign w:val="center"/>
          </w:tcPr>
          <w:p>
            <w:pPr>
              <w:pStyle w:val="15"/>
            </w:pPr>
            <w:r>
              <w:t>≥95 %</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公用经费节约率</w:t>
            </w:r>
          </w:p>
        </w:tc>
        <w:tc>
          <w:tcPr>
            <w:tcW w:w="2891" w:type="dxa"/>
            <w:vAlign w:val="center"/>
          </w:tcPr>
          <w:p>
            <w:pPr>
              <w:pStyle w:val="15"/>
            </w:pPr>
            <w:r>
              <w:t>率节约率=（预算金额-报销金额）/预算金额</w:t>
            </w:r>
          </w:p>
        </w:tc>
        <w:tc>
          <w:tcPr>
            <w:tcW w:w="1276" w:type="dxa"/>
            <w:vAlign w:val="center"/>
          </w:tcPr>
          <w:p>
            <w:pPr>
              <w:pStyle w:val="15"/>
            </w:pPr>
            <w:r>
              <w:t>≥95 %</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审核金额</w:t>
            </w:r>
          </w:p>
        </w:tc>
        <w:tc>
          <w:tcPr>
            <w:tcW w:w="2891" w:type="dxa"/>
            <w:vAlign w:val="center"/>
          </w:tcPr>
          <w:p>
            <w:pPr>
              <w:pStyle w:val="15"/>
            </w:pPr>
            <w:r>
              <w:t>按照公用经费管理办法审核经费开支</w:t>
            </w:r>
          </w:p>
        </w:tc>
        <w:tc>
          <w:tcPr>
            <w:tcW w:w="1276" w:type="dxa"/>
            <w:vAlign w:val="center"/>
          </w:tcPr>
          <w:p>
            <w:pPr>
              <w:pStyle w:val="15"/>
            </w:pPr>
            <w:r>
              <w:t>≥0.85 万元</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 xml:space="preserve"> 维护质量安全</w:t>
            </w:r>
          </w:p>
        </w:tc>
        <w:tc>
          <w:tcPr>
            <w:tcW w:w="2891" w:type="dxa"/>
            <w:vAlign w:val="center"/>
          </w:tcPr>
          <w:p>
            <w:pPr>
              <w:pStyle w:val="15"/>
            </w:pPr>
            <w:r>
              <w:t xml:space="preserve"> 维护计算机安全保密</w:t>
            </w:r>
          </w:p>
        </w:tc>
        <w:tc>
          <w:tcPr>
            <w:tcW w:w="1276" w:type="dxa"/>
            <w:vAlign w:val="center"/>
          </w:tcPr>
          <w:p>
            <w:pPr>
              <w:pStyle w:val="15"/>
            </w:pPr>
            <w:r>
              <w:t>≥95 %</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通用设备运行 (或应用软件)的满意率(％)</w:t>
            </w:r>
          </w:p>
        </w:tc>
        <w:tc>
          <w:tcPr>
            <w:tcW w:w="2891" w:type="dxa"/>
            <w:vAlign w:val="center"/>
          </w:tcPr>
          <w:p>
            <w:pPr>
              <w:pStyle w:val="15"/>
            </w:pPr>
            <w:r>
              <w:t>服务申请单中满意的数量占服务申请单总数量的比率</w:t>
            </w:r>
          </w:p>
        </w:tc>
        <w:tc>
          <w:tcPr>
            <w:tcW w:w="1276" w:type="dxa"/>
            <w:vAlign w:val="center"/>
          </w:tcPr>
          <w:p>
            <w:pPr>
              <w:pStyle w:val="15"/>
            </w:pPr>
            <w:r>
              <w:t>≥95 %</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网络安全稳定运行比例</w:t>
            </w:r>
          </w:p>
        </w:tc>
        <w:tc>
          <w:tcPr>
            <w:tcW w:w="2891" w:type="dxa"/>
            <w:vAlign w:val="center"/>
          </w:tcPr>
          <w:p>
            <w:pPr>
              <w:pStyle w:val="15"/>
            </w:pPr>
            <w:r>
              <w:t>网络安全稳定运行时长占总时长的比例</w:t>
            </w:r>
          </w:p>
        </w:tc>
        <w:tc>
          <w:tcPr>
            <w:tcW w:w="1276" w:type="dxa"/>
            <w:vAlign w:val="center"/>
          </w:tcPr>
          <w:p>
            <w:pPr>
              <w:pStyle w:val="15"/>
            </w:pPr>
            <w:r>
              <w:t>≥95 %</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改善生态环境质量</w:t>
            </w:r>
          </w:p>
        </w:tc>
        <w:tc>
          <w:tcPr>
            <w:tcW w:w="2891" w:type="dxa"/>
            <w:vAlign w:val="center"/>
          </w:tcPr>
          <w:p>
            <w:pPr>
              <w:pStyle w:val="15"/>
            </w:pPr>
            <w:r>
              <w:t>改善生态环境质量</w:t>
            </w:r>
          </w:p>
        </w:tc>
        <w:tc>
          <w:tcPr>
            <w:tcW w:w="1276" w:type="dxa"/>
            <w:vAlign w:val="center"/>
          </w:tcPr>
          <w:p>
            <w:pPr>
              <w:pStyle w:val="15"/>
            </w:pPr>
            <w:r>
              <w:t>提升生态环境质量</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培训人员满意度</w:t>
            </w:r>
          </w:p>
        </w:tc>
        <w:tc>
          <w:tcPr>
            <w:tcW w:w="2891" w:type="dxa"/>
            <w:vAlign w:val="center"/>
          </w:tcPr>
          <w:p>
            <w:pPr>
              <w:pStyle w:val="15"/>
            </w:pPr>
            <w:r>
              <w:t>调查中，培训人员满意的人数占总调查人数的比率</w:t>
            </w:r>
          </w:p>
        </w:tc>
        <w:tc>
          <w:tcPr>
            <w:tcW w:w="1276" w:type="dxa"/>
            <w:vAlign w:val="center"/>
          </w:tcPr>
          <w:p>
            <w:pPr>
              <w:pStyle w:val="15"/>
            </w:pPr>
            <w:r>
              <w:t>≥95 %</w:t>
            </w:r>
          </w:p>
        </w:tc>
        <w:tc>
          <w:tcPr>
            <w:tcW w:w="1843" w:type="dxa"/>
            <w:vAlign w:val="center"/>
          </w:tcPr>
          <w:p>
            <w:pPr>
              <w:pStyle w:val="15"/>
            </w:pPr>
            <w:r>
              <w:t>根据年初工作计划安排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2.冀财教【2022】145号河北省财政厅关于提前下达2023年科技馆免费开放中央补助资金的通知绩效目标表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731001遵化市科学技术协会本级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13028123P00015110004M</w:t>
            </w:r>
          </w:p>
        </w:tc>
        <w:tc>
          <w:tcPr>
            <w:tcW w:w="1587" w:type="dxa"/>
            <w:vAlign w:val="center"/>
          </w:tcPr>
          <w:p>
            <w:pPr>
              <w:pStyle w:val="16"/>
            </w:pPr>
            <w:r>
              <w:t>项目名称</w:t>
            </w:r>
          </w:p>
        </w:tc>
        <w:tc>
          <w:tcPr>
            <w:tcW w:w="4422" w:type="dxa"/>
            <w:gridSpan w:val="3"/>
            <w:vAlign w:val="center"/>
          </w:tcPr>
          <w:p>
            <w:pPr>
              <w:pStyle w:val="15"/>
            </w:pPr>
            <w:r>
              <w:t>冀财教【2022】145号河北省财政厅关于提前下达2023年科技馆免费开放中央补助资金的通知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51.00</w:t>
            </w:r>
          </w:p>
        </w:tc>
        <w:tc>
          <w:tcPr>
            <w:tcW w:w="1587" w:type="dxa"/>
            <w:vAlign w:val="center"/>
          </w:tcPr>
          <w:p>
            <w:pPr>
              <w:pStyle w:val="16"/>
            </w:pPr>
            <w:r>
              <w:t>其中：财政    资金</w:t>
            </w:r>
          </w:p>
        </w:tc>
        <w:tc>
          <w:tcPr>
            <w:tcW w:w="1304" w:type="dxa"/>
            <w:vAlign w:val="center"/>
          </w:tcPr>
          <w:p>
            <w:pPr>
              <w:pStyle w:val="15"/>
            </w:pPr>
            <w:r>
              <w:t>51.00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预算数51万元，其中财政资金51万元，其他资金0万元。主要用于科技馆维修维护。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1.充分发挥科技馆科普宣传主阵地作用，在馆内外开展一些喜闻乐见、参与性强的活动，从而提高科技馆影响力。</w:t>
            </w:r>
          </w:p>
          <w:p>
            <w:pPr>
              <w:pStyle w:val="15"/>
            </w:pPr>
            <w:r>
              <w:t>2.保障科技馆的宣传讲解。</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组织参观学习人次</w:t>
            </w:r>
          </w:p>
        </w:tc>
        <w:tc>
          <w:tcPr>
            <w:tcW w:w="2891" w:type="dxa"/>
            <w:vAlign w:val="center"/>
          </w:tcPr>
          <w:p>
            <w:pPr>
              <w:pStyle w:val="15"/>
            </w:pPr>
            <w:r>
              <w:t>组织参观学习人次</w:t>
            </w:r>
          </w:p>
        </w:tc>
        <w:tc>
          <w:tcPr>
            <w:tcW w:w="1276" w:type="dxa"/>
            <w:vAlign w:val="center"/>
          </w:tcPr>
          <w:p>
            <w:pPr>
              <w:pStyle w:val="15"/>
            </w:pPr>
            <w:r>
              <w:t>≥1000人次（送流动文化服务进基层完成率）</w:t>
            </w:r>
          </w:p>
        </w:tc>
        <w:tc>
          <w:tcPr>
            <w:tcW w:w="1843" w:type="dxa"/>
            <w:vAlign w:val="center"/>
          </w:tcPr>
          <w:p>
            <w:pPr>
              <w:pStyle w:val="15"/>
            </w:pPr>
            <w: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补助资金发放完成率（%）</w:t>
            </w:r>
          </w:p>
        </w:tc>
        <w:tc>
          <w:tcPr>
            <w:tcW w:w="2891" w:type="dxa"/>
            <w:vAlign w:val="center"/>
          </w:tcPr>
          <w:p>
            <w:pPr>
              <w:pStyle w:val="15"/>
            </w:pPr>
            <w:r>
              <w:t>实际补助资金占应到位补助资金的比例</w:t>
            </w:r>
          </w:p>
        </w:tc>
        <w:tc>
          <w:tcPr>
            <w:tcW w:w="1276" w:type="dxa"/>
            <w:vAlign w:val="center"/>
          </w:tcPr>
          <w:p>
            <w:pPr>
              <w:pStyle w:val="15"/>
            </w:pPr>
            <w:r>
              <w:t>≥95%（按照专项资金管理办法要求按时、按质、按量拨付补助资金）</w:t>
            </w:r>
          </w:p>
        </w:tc>
        <w:tc>
          <w:tcPr>
            <w:tcW w:w="1843" w:type="dxa"/>
            <w:vAlign w:val="center"/>
          </w:tcPr>
          <w:p>
            <w:pPr>
              <w:pStyle w:val="15"/>
            </w:pPr>
            <w: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各项任务完成及时率（%）</w:t>
            </w:r>
          </w:p>
        </w:tc>
        <w:tc>
          <w:tcPr>
            <w:tcW w:w="2891" w:type="dxa"/>
            <w:vAlign w:val="center"/>
          </w:tcPr>
          <w:p>
            <w:pPr>
              <w:pStyle w:val="15"/>
            </w:pPr>
            <w:r>
              <w:t>各项任务完成及时率（%）</w:t>
            </w:r>
          </w:p>
        </w:tc>
        <w:tc>
          <w:tcPr>
            <w:tcW w:w="1276" w:type="dxa"/>
            <w:vAlign w:val="center"/>
          </w:tcPr>
          <w:p>
            <w:pPr>
              <w:pStyle w:val="15"/>
            </w:pPr>
            <w:r>
              <w:t>≥95%（各项任务完成的实际完成率）</w:t>
            </w:r>
          </w:p>
        </w:tc>
        <w:tc>
          <w:tcPr>
            <w:tcW w:w="1843" w:type="dxa"/>
            <w:vAlign w:val="center"/>
          </w:tcPr>
          <w:p>
            <w:pPr>
              <w:pStyle w:val="15"/>
            </w:pPr>
            <w: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按预算资金完成率</w:t>
            </w:r>
          </w:p>
        </w:tc>
        <w:tc>
          <w:tcPr>
            <w:tcW w:w="2891" w:type="dxa"/>
            <w:vAlign w:val="center"/>
          </w:tcPr>
          <w:p>
            <w:pPr>
              <w:pStyle w:val="15"/>
            </w:pPr>
            <w:r>
              <w:t>送流动文化服务进基层完成率</w:t>
            </w:r>
          </w:p>
        </w:tc>
        <w:tc>
          <w:tcPr>
            <w:tcW w:w="1276" w:type="dxa"/>
            <w:vAlign w:val="center"/>
          </w:tcPr>
          <w:p>
            <w:pPr>
              <w:pStyle w:val="15"/>
            </w:pPr>
            <w:r>
              <w:t>≥95%（送流动文化服务进基层完成率）</w:t>
            </w:r>
          </w:p>
        </w:tc>
        <w:tc>
          <w:tcPr>
            <w:tcW w:w="1843" w:type="dxa"/>
            <w:vAlign w:val="center"/>
          </w:tcPr>
          <w:p>
            <w:pPr>
              <w:pStyle w:val="15"/>
            </w:pPr>
            <w: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长期使用性</w:t>
            </w:r>
          </w:p>
        </w:tc>
        <w:tc>
          <w:tcPr>
            <w:tcW w:w="2891" w:type="dxa"/>
            <w:vAlign w:val="center"/>
          </w:tcPr>
          <w:p>
            <w:pPr>
              <w:pStyle w:val="15"/>
            </w:pPr>
            <w:r>
              <w:t>能够长期较好的开展展演、展映、展播、展示，长期满足人民群众对精神文化的需求</w:t>
            </w:r>
          </w:p>
        </w:tc>
        <w:tc>
          <w:tcPr>
            <w:tcW w:w="1276" w:type="dxa"/>
            <w:vAlign w:val="center"/>
          </w:tcPr>
          <w:p>
            <w:pPr>
              <w:pStyle w:val="15"/>
            </w:pPr>
            <w:r>
              <w:t>爱国主义教育是一项长期性的工作</w:t>
            </w:r>
          </w:p>
        </w:tc>
        <w:tc>
          <w:tcPr>
            <w:tcW w:w="1843" w:type="dxa"/>
            <w:vAlign w:val="center"/>
          </w:tcPr>
          <w:p>
            <w:pPr>
              <w:pStyle w:val="15"/>
            </w:pPr>
            <w: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科技进步贡献率</w:t>
            </w:r>
          </w:p>
        </w:tc>
        <w:tc>
          <w:tcPr>
            <w:tcW w:w="2891" w:type="dxa"/>
            <w:vAlign w:val="center"/>
          </w:tcPr>
          <w:p>
            <w:pPr>
              <w:pStyle w:val="15"/>
            </w:pPr>
            <w:r>
              <w:t>反映科技产业经济发展的拉动作用</w:t>
            </w:r>
          </w:p>
        </w:tc>
        <w:tc>
          <w:tcPr>
            <w:tcW w:w="1276" w:type="dxa"/>
            <w:vAlign w:val="center"/>
          </w:tcPr>
          <w:p>
            <w:pPr>
              <w:pStyle w:val="15"/>
            </w:pPr>
            <w:r>
              <w:t>≥5%（科技产业在国民生产总值中占比稳步增高)</w:t>
            </w:r>
          </w:p>
        </w:tc>
        <w:tc>
          <w:tcPr>
            <w:tcW w:w="1843" w:type="dxa"/>
            <w:vAlign w:val="center"/>
          </w:tcPr>
          <w:p>
            <w:pPr>
              <w:pStyle w:val="15"/>
            </w:pPr>
            <w: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促进重点工作有效开展</w:t>
            </w:r>
          </w:p>
        </w:tc>
        <w:tc>
          <w:tcPr>
            <w:tcW w:w="2891" w:type="dxa"/>
            <w:vAlign w:val="center"/>
          </w:tcPr>
          <w:p>
            <w:pPr>
              <w:pStyle w:val="15"/>
            </w:pPr>
            <w:r>
              <w:t>通过科技馆的免费开放，对遵化公众科学素质的提升提供支持</w:t>
            </w:r>
          </w:p>
        </w:tc>
        <w:tc>
          <w:tcPr>
            <w:tcW w:w="1276" w:type="dxa"/>
            <w:vAlign w:val="center"/>
          </w:tcPr>
          <w:p>
            <w:pPr>
              <w:pStyle w:val="15"/>
            </w:pPr>
            <w:r>
              <w:t>对遵化公众科学素质的提升提供支持</w:t>
            </w:r>
          </w:p>
        </w:tc>
        <w:tc>
          <w:tcPr>
            <w:tcW w:w="1843" w:type="dxa"/>
            <w:vAlign w:val="center"/>
          </w:tcPr>
          <w:p>
            <w:pPr>
              <w:pStyle w:val="15"/>
            </w:pPr>
            <w: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生态效益增长率</w:t>
            </w:r>
          </w:p>
        </w:tc>
        <w:tc>
          <w:tcPr>
            <w:tcW w:w="2891" w:type="dxa"/>
            <w:vAlign w:val="center"/>
          </w:tcPr>
          <w:p>
            <w:pPr>
              <w:pStyle w:val="15"/>
            </w:pPr>
            <w:r>
              <w:t>反映参观使用各类公共文化设施的受众数量增长情况</w:t>
            </w:r>
          </w:p>
        </w:tc>
        <w:tc>
          <w:tcPr>
            <w:tcW w:w="1276" w:type="dxa"/>
            <w:vAlign w:val="center"/>
          </w:tcPr>
          <w:p>
            <w:pPr>
              <w:pStyle w:val="15"/>
            </w:pPr>
            <w:r>
              <w:t>≥15%（公共文化服务体系建设逐步进入百姓生活）</w:t>
            </w:r>
          </w:p>
        </w:tc>
        <w:tc>
          <w:tcPr>
            <w:tcW w:w="1843" w:type="dxa"/>
            <w:vAlign w:val="center"/>
          </w:tcPr>
          <w:p>
            <w:pPr>
              <w:pStyle w:val="15"/>
            </w:pPr>
            <w: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≥100%（通过问卷调查，满意和较满意的受益对象占全部调研对象的比率）</w:t>
            </w:r>
          </w:p>
        </w:tc>
        <w:tc>
          <w:tcPr>
            <w:tcW w:w="1843" w:type="dxa"/>
            <w:vAlign w:val="center"/>
          </w:tcPr>
          <w:p>
            <w:pPr>
              <w:pStyle w:val="15"/>
            </w:pPr>
            <w:r>
              <w:t>冀财教【2022】145号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3.科技馆运行经费绩效目标表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731001遵化市科学技术协会本级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13028123P00015710004P</w:t>
            </w:r>
          </w:p>
        </w:tc>
        <w:tc>
          <w:tcPr>
            <w:tcW w:w="1587" w:type="dxa"/>
            <w:vAlign w:val="center"/>
          </w:tcPr>
          <w:p>
            <w:pPr>
              <w:pStyle w:val="16"/>
            </w:pPr>
            <w:r>
              <w:t>项目名称</w:t>
            </w:r>
          </w:p>
        </w:tc>
        <w:tc>
          <w:tcPr>
            <w:tcW w:w="4422" w:type="dxa"/>
            <w:gridSpan w:val="3"/>
            <w:vAlign w:val="center"/>
          </w:tcPr>
          <w:p>
            <w:pPr>
              <w:pStyle w:val="15"/>
            </w:pPr>
            <w:r>
              <w:t>科技馆运行经费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w:t>
            </w:r>
          </w:p>
        </w:tc>
        <w:tc>
          <w:tcPr>
            <w:tcW w:w="1587" w:type="dxa"/>
            <w:vAlign w:val="center"/>
          </w:tcPr>
          <w:p>
            <w:pPr>
              <w:pStyle w:val="16"/>
            </w:pPr>
            <w:r>
              <w:t>其中：财政    资金</w:t>
            </w:r>
          </w:p>
        </w:tc>
        <w:tc>
          <w:tcPr>
            <w:tcW w:w="1304" w:type="dxa"/>
            <w:vAlign w:val="center"/>
          </w:tcPr>
          <w:p>
            <w:pPr>
              <w:pStyle w:val="15"/>
            </w:pPr>
            <w:r>
              <w:t>5.00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预算数5万元，其中财政资金5万元，其他资金0万元。用于科技馆办公经费。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1.保障科技馆的设备维护</w:t>
            </w:r>
          </w:p>
          <w:p>
            <w:pPr>
              <w:pStyle w:val="15"/>
            </w:pPr>
            <w:r>
              <w:t>2.保障科技馆的宣传讲解</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科技馆对外开放天数</w:t>
            </w:r>
          </w:p>
        </w:tc>
        <w:tc>
          <w:tcPr>
            <w:tcW w:w="2891" w:type="dxa"/>
            <w:vAlign w:val="center"/>
          </w:tcPr>
          <w:p>
            <w:pPr>
              <w:pStyle w:val="15"/>
            </w:pPr>
            <w:r>
              <w:t>全年对外开放天数</w:t>
            </w:r>
          </w:p>
        </w:tc>
        <w:tc>
          <w:tcPr>
            <w:tcW w:w="1276" w:type="dxa"/>
            <w:vAlign w:val="center"/>
          </w:tcPr>
          <w:p>
            <w:pPr>
              <w:pStyle w:val="15"/>
            </w:pPr>
            <w:r>
              <w:t>≥300 天</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科技馆展示设备完好率</w:t>
            </w:r>
          </w:p>
        </w:tc>
        <w:tc>
          <w:tcPr>
            <w:tcW w:w="2891" w:type="dxa"/>
            <w:vAlign w:val="center"/>
          </w:tcPr>
          <w:p>
            <w:pPr>
              <w:pStyle w:val="15"/>
            </w:pPr>
            <w:r>
              <w:t>展品及科普设备保证正常运转</w:t>
            </w:r>
          </w:p>
        </w:tc>
        <w:tc>
          <w:tcPr>
            <w:tcW w:w="1276" w:type="dxa"/>
            <w:vAlign w:val="center"/>
          </w:tcPr>
          <w:p>
            <w:pPr>
              <w:pStyle w:val="15"/>
            </w:pPr>
            <w:r>
              <w:t>保障设备正常运转</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任务完成及时率</w:t>
            </w:r>
          </w:p>
        </w:tc>
        <w:tc>
          <w:tcPr>
            <w:tcW w:w="2891" w:type="dxa"/>
            <w:vAlign w:val="center"/>
          </w:tcPr>
          <w:p>
            <w:pPr>
              <w:pStyle w:val="15"/>
            </w:pPr>
            <w:r>
              <w:t>任务完成及时率</w:t>
            </w:r>
          </w:p>
        </w:tc>
        <w:tc>
          <w:tcPr>
            <w:tcW w:w="1276" w:type="dxa"/>
            <w:vAlign w:val="center"/>
          </w:tcPr>
          <w:p>
            <w:pPr>
              <w:pStyle w:val="15"/>
            </w:pPr>
            <w:r>
              <w:t>≥95 %</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≥95 %</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科技传播与科普教育长期性</w:t>
            </w:r>
          </w:p>
        </w:tc>
        <w:tc>
          <w:tcPr>
            <w:tcW w:w="2891" w:type="dxa"/>
            <w:vAlign w:val="center"/>
          </w:tcPr>
          <w:p>
            <w:pPr>
              <w:pStyle w:val="15"/>
            </w:pPr>
            <w:r>
              <w:t>通过科技馆长期免费开放，形成对公众科技传播与科普教育的可持续性影响。</w:t>
            </w:r>
          </w:p>
        </w:tc>
        <w:tc>
          <w:tcPr>
            <w:tcW w:w="1276" w:type="dxa"/>
            <w:vAlign w:val="center"/>
          </w:tcPr>
          <w:p>
            <w:pPr>
              <w:pStyle w:val="15"/>
            </w:pPr>
            <w:r>
              <w:t xml:space="preserve"> 长期</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维护完成率</w:t>
            </w:r>
          </w:p>
        </w:tc>
        <w:tc>
          <w:tcPr>
            <w:tcW w:w="2891" w:type="dxa"/>
            <w:vAlign w:val="center"/>
          </w:tcPr>
          <w:p>
            <w:pPr>
              <w:pStyle w:val="15"/>
            </w:pPr>
            <w:r>
              <w:t>维护完成率</w:t>
            </w:r>
          </w:p>
        </w:tc>
        <w:tc>
          <w:tcPr>
            <w:tcW w:w="1276" w:type="dxa"/>
            <w:vAlign w:val="center"/>
          </w:tcPr>
          <w:p>
            <w:pPr>
              <w:pStyle w:val="15"/>
            </w:pPr>
            <w:r>
              <w:t>≥95 %</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促进公众科学素质的提升</w:t>
            </w:r>
          </w:p>
        </w:tc>
        <w:tc>
          <w:tcPr>
            <w:tcW w:w="2891" w:type="dxa"/>
            <w:vAlign w:val="center"/>
          </w:tcPr>
          <w:p>
            <w:pPr>
              <w:pStyle w:val="15"/>
            </w:pPr>
            <w:r>
              <w:t>通过科技馆的免费开放，对遵化公众科学素质的提升提供支持。</w:t>
            </w:r>
          </w:p>
        </w:tc>
        <w:tc>
          <w:tcPr>
            <w:tcW w:w="1276" w:type="dxa"/>
            <w:vAlign w:val="center"/>
          </w:tcPr>
          <w:p>
            <w:pPr>
              <w:pStyle w:val="15"/>
            </w:pPr>
            <w:r>
              <w:t xml:space="preserve"> 较大</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社会影响力</w:t>
            </w:r>
          </w:p>
        </w:tc>
        <w:tc>
          <w:tcPr>
            <w:tcW w:w="2891" w:type="dxa"/>
            <w:vAlign w:val="center"/>
          </w:tcPr>
          <w:p>
            <w:pPr>
              <w:pStyle w:val="15"/>
            </w:pPr>
            <w:r>
              <w:t>得到广大群众的认可。</w:t>
            </w:r>
          </w:p>
        </w:tc>
        <w:tc>
          <w:tcPr>
            <w:tcW w:w="1276" w:type="dxa"/>
            <w:vAlign w:val="center"/>
          </w:tcPr>
          <w:p>
            <w:pPr>
              <w:pStyle w:val="15"/>
            </w:pPr>
            <w:r>
              <w:t>≥95 %</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参观人员整体满意度</w:t>
            </w:r>
          </w:p>
        </w:tc>
        <w:tc>
          <w:tcPr>
            <w:tcW w:w="1276" w:type="dxa"/>
            <w:vAlign w:val="center"/>
          </w:tcPr>
          <w:p>
            <w:pPr>
              <w:pStyle w:val="15"/>
            </w:pPr>
            <w:r>
              <w:t>≥85 %</w:t>
            </w:r>
          </w:p>
        </w:tc>
        <w:tc>
          <w:tcPr>
            <w:tcW w:w="1843" w:type="dxa"/>
            <w:vAlign w:val="center"/>
          </w:tcPr>
          <w:p>
            <w:pPr>
              <w:pStyle w:val="15"/>
            </w:pPr>
            <w:r>
              <w:t>根据年初工作计划安排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4.科普活动经费绩效目标表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731001遵化市科学技术协会本级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13028123P00015510004C</w:t>
            </w:r>
          </w:p>
        </w:tc>
        <w:tc>
          <w:tcPr>
            <w:tcW w:w="1587" w:type="dxa"/>
            <w:vAlign w:val="center"/>
          </w:tcPr>
          <w:p>
            <w:pPr>
              <w:pStyle w:val="16"/>
            </w:pPr>
            <w:r>
              <w:t>项目名称</w:t>
            </w:r>
          </w:p>
        </w:tc>
        <w:tc>
          <w:tcPr>
            <w:tcW w:w="4422" w:type="dxa"/>
            <w:gridSpan w:val="3"/>
            <w:vAlign w:val="center"/>
          </w:tcPr>
          <w:p>
            <w:pPr>
              <w:pStyle w:val="15"/>
            </w:pPr>
            <w:r>
              <w:t>科普活动经费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12.00</w:t>
            </w:r>
          </w:p>
        </w:tc>
        <w:tc>
          <w:tcPr>
            <w:tcW w:w="1587" w:type="dxa"/>
            <w:vAlign w:val="center"/>
          </w:tcPr>
          <w:p>
            <w:pPr>
              <w:pStyle w:val="16"/>
            </w:pPr>
            <w:r>
              <w:t>其中：财政    资金</w:t>
            </w:r>
          </w:p>
        </w:tc>
        <w:tc>
          <w:tcPr>
            <w:tcW w:w="1304" w:type="dxa"/>
            <w:vAlign w:val="center"/>
          </w:tcPr>
          <w:p>
            <w:pPr>
              <w:pStyle w:val="15"/>
            </w:pPr>
            <w:r>
              <w:t>12.00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预算数12万元，其中财政资金12万元，其他资金0万元。用于科普活动经费。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1.加强大众媒体科普传播能力建设。</w:t>
            </w:r>
          </w:p>
          <w:p>
            <w:pPr>
              <w:pStyle w:val="15"/>
            </w:pPr>
            <w:r>
              <w:t>2.实施社会科普资源开发共享、县级特色科普公工程，培养科普组织和科普人才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 xml:space="preserve"> 组织开展科普活动次数</w:t>
            </w:r>
          </w:p>
        </w:tc>
        <w:tc>
          <w:tcPr>
            <w:tcW w:w="2891" w:type="dxa"/>
            <w:vAlign w:val="center"/>
          </w:tcPr>
          <w:p>
            <w:pPr>
              <w:pStyle w:val="15"/>
            </w:pPr>
            <w:r>
              <w:t xml:space="preserve"> 科普活动期间开展科普活动共总数</w:t>
            </w:r>
          </w:p>
        </w:tc>
        <w:tc>
          <w:tcPr>
            <w:tcW w:w="1276" w:type="dxa"/>
            <w:vAlign w:val="center"/>
          </w:tcPr>
          <w:p>
            <w:pPr>
              <w:pStyle w:val="15"/>
            </w:pPr>
            <w:r>
              <w:t>≥500人次</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 xml:space="preserve"> 科普活动在公众间的影响力</w:t>
            </w:r>
          </w:p>
        </w:tc>
        <w:tc>
          <w:tcPr>
            <w:tcW w:w="2891" w:type="dxa"/>
            <w:vAlign w:val="center"/>
          </w:tcPr>
          <w:p>
            <w:pPr>
              <w:pStyle w:val="15"/>
            </w:pPr>
            <w:r>
              <w:t>随机抽查的80人中对科普活动认同数占比</w:t>
            </w:r>
          </w:p>
        </w:tc>
        <w:tc>
          <w:tcPr>
            <w:tcW w:w="1276" w:type="dxa"/>
            <w:vAlign w:val="center"/>
          </w:tcPr>
          <w:p>
            <w:pPr>
              <w:pStyle w:val="15"/>
            </w:pPr>
            <w:r>
              <w:t>≥90 %</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 xml:space="preserve"> 项目按时完成率</w:t>
            </w:r>
          </w:p>
        </w:tc>
        <w:tc>
          <w:tcPr>
            <w:tcW w:w="2891" w:type="dxa"/>
            <w:vAlign w:val="center"/>
          </w:tcPr>
          <w:p>
            <w:pPr>
              <w:pStyle w:val="15"/>
            </w:pPr>
            <w:r>
              <w:t xml:space="preserve"> 项目按时完成率</w:t>
            </w:r>
          </w:p>
        </w:tc>
        <w:tc>
          <w:tcPr>
            <w:tcW w:w="1276" w:type="dxa"/>
            <w:vAlign w:val="center"/>
          </w:tcPr>
          <w:p>
            <w:pPr>
              <w:pStyle w:val="15"/>
            </w:pPr>
            <w:r>
              <w:t>≥95%</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 xml:space="preserve"> 按预算资金完成</w:t>
            </w:r>
          </w:p>
        </w:tc>
        <w:tc>
          <w:tcPr>
            <w:tcW w:w="2891" w:type="dxa"/>
            <w:vAlign w:val="center"/>
          </w:tcPr>
          <w:p>
            <w:pPr>
              <w:pStyle w:val="15"/>
            </w:pPr>
            <w:r>
              <w:t xml:space="preserve"> 按预算资金完成率</w:t>
            </w:r>
          </w:p>
        </w:tc>
        <w:tc>
          <w:tcPr>
            <w:tcW w:w="1276" w:type="dxa"/>
            <w:vAlign w:val="center"/>
          </w:tcPr>
          <w:p>
            <w:pPr>
              <w:pStyle w:val="15"/>
            </w:pPr>
            <w:r>
              <w:t>≥95 %</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 xml:space="preserve"> 项目作用发挥期限</w:t>
            </w:r>
          </w:p>
        </w:tc>
        <w:tc>
          <w:tcPr>
            <w:tcW w:w="2891" w:type="dxa"/>
            <w:vAlign w:val="center"/>
          </w:tcPr>
          <w:p>
            <w:pPr>
              <w:pStyle w:val="15"/>
            </w:pPr>
            <w:r>
              <w:t>项目实施对全民科学素质提升的持续影响期限</w:t>
            </w:r>
          </w:p>
        </w:tc>
        <w:tc>
          <w:tcPr>
            <w:tcW w:w="1276" w:type="dxa"/>
            <w:vAlign w:val="center"/>
          </w:tcPr>
          <w:p>
            <w:pPr>
              <w:pStyle w:val="15"/>
            </w:pPr>
            <w:r>
              <w:t>长期</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 xml:space="preserve"> 科技进步贡献率</w:t>
            </w:r>
          </w:p>
        </w:tc>
        <w:tc>
          <w:tcPr>
            <w:tcW w:w="2891" w:type="dxa"/>
            <w:vAlign w:val="center"/>
          </w:tcPr>
          <w:p>
            <w:pPr>
              <w:pStyle w:val="15"/>
            </w:pPr>
            <w:r>
              <w:t>投入效益</w:t>
            </w:r>
          </w:p>
        </w:tc>
        <w:tc>
          <w:tcPr>
            <w:tcW w:w="1276" w:type="dxa"/>
            <w:vAlign w:val="center"/>
          </w:tcPr>
          <w:p>
            <w:pPr>
              <w:pStyle w:val="15"/>
            </w:pPr>
            <w:r>
              <w:t>≥90 %</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 xml:space="preserve"> 科普工作发展影响度</w:t>
            </w:r>
          </w:p>
        </w:tc>
        <w:tc>
          <w:tcPr>
            <w:tcW w:w="2891" w:type="dxa"/>
            <w:vAlign w:val="center"/>
          </w:tcPr>
          <w:p>
            <w:pPr>
              <w:pStyle w:val="15"/>
            </w:pPr>
            <w:r>
              <w:t>项目实施对科普工作发展影响度</w:t>
            </w:r>
          </w:p>
        </w:tc>
        <w:tc>
          <w:tcPr>
            <w:tcW w:w="1276" w:type="dxa"/>
            <w:vAlign w:val="center"/>
          </w:tcPr>
          <w:p>
            <w:pPr>
              <w:pStyle w:val="15"/>
            </w:pPr>
            <w:r>
              <w:t>较大</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 xml:space="preserve"> 宣传材料发放率</w:t>
            </w:r>
          </w:p>
        </w:tc>
        <w:tc>
          <w:tcPr>
            <w:tcW w:w="2891" w:type="dxa"/>
            <w:vAlign w:val="center"/>
          </w:tcPr>
          <w:p>
            <w:pPr>
              <w:pStyle w:val="15"/>
            </w:pPr>
            <w:r>
              <w:t>全年发放宣传册数</w:t>
            </w:r>
          </w:p>
        </w:tc>
        <w:tc>
          <w:tcPr>
            <w:tcW w:w="1276" w:type="dxa"/>
            <w:vAlign w:val="center"/>
          </w:tcPr>
          <w:p>
            <w:pPr>
              <w:pStyle w:val="15"/>
            </w:pPr>
            <w:r>
              <w:t>≥50000 册</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 xml:space="preserve"> 服务对象满意度指标</w:t>
            </w:r>
          </w:p>
        </w:tc>
        <w:tc>
          <w:tcPr>
            <w:tcW w:w="2891" w:type="dxa"/>
            <w:vAlign w:val="center"/>
          </w:tcPr>
          <w:p>
            <w:pPr>
              <w:pStyle w:val="15"/>
            </w:pPr>
            <w:r>
              <w:t>调查中满意和较满意的参与者数量占调查总人数的比率</w:t>
            </w:r>
          </w:p>
        </w:tc>
        <w:tc>
          <w:tcPr>
            <w:tcW w:w="1276" w:type="dxa"/>
            <w:vAlign w:val="center"/>
          </w:tcPr>
          <w:p>
            <w:pPr>
              <w:pStyle w:val="15"/>
            </w:pPr>
            <w:r>
              <w:t>≥90 %</w:t>
            </w:r>
          </w:p>
        </w:tc>
        <w:tc>
          <w:tcPr>
            <w:tcW w:w="1843" w:type="dxa"/>
            <w:vAlign w:val="center"/>
          </w:tcPr>
          <w:p>
            <w:pPr>
              <w:pStyle w:val="15"/>
            </w:pPr>
            <w:r>
              <w:t>根据年初工作计划安排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5.业务经费绩效目标表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731001遵化市科学技术协会本级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13028123P000221100034</w:t>
            </w:r>
          </w:p>
        </w:tc>
        <w:tc>
          <w:tcPr>
            <w:tcW w:w="1587" w:type="dxa"/>
            <w:vAlign w:val="center"/>
          </w:tcPr>
          <w:p>
            <w:pPr>
              <w:pStyle w:val="16"/>
            </w:pPr>
            <w:r>
              <w:t>项目名称</w:t>
            </w:r>
          </w:p>
        </w:tc>
        <w:tc>
          <w:tcPr>
            <w:tcW w:w="4422" w:type="dxa"/>
            <w:gridSpan w:val="3"/>
            <w:vAlign w:val="center"/>
          </w:tcPr>
          <w:p>
            <w:pPr>
              <w:pStyle w:val="15"/>
            </w:pPr>
            <w:r>
              <w:t>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9.00</w:t>
            </w:r>
          </w:p>
        </w:tc>
        <w:tc>
          <w:tcPr>
            <w:tcW w:w="1587" w:type="dxa"/>
            <w:vAlign w:val="center"/>
          </w:tcPr>
          <w:p>
            <w:pPr>
              <w:pStyle w:val="16"/>
            </w:pPr>
            <w:r>
              <w:t>其中：财政    资金</w:t>
            </w:r>
          </w:p>
        </w:tc>
        <w:tc>
          <w:tcPr>
            <w:tcW w:w="1304" w:type="dxa"/>
            <w:vAlign w:val="center"/>
          </w:tcPr>
          <w:p>
            <w:pPr>
              <w:pStyle w:val="15"/>
            </w:pPr>
            <w:r>
              <w:t>9.00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预算数9万元，其中财政资金9万元，其他资金0万元。用于业务办公经费。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1.组织开展主题科普活动，系列活动为抓手，大力提高科普公共能力。</w:t>
            </w:r>
          </w:p>
          <w:p>
            <w:pPr>
              <w:pStyle w:val="15"/>
            </w:pPr>
            <w:r>
              <w:t>2.促进科普基础设施不断完善，培育一批科普工作者，科技工作者，科普资源不断丰富。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组织开展科普活动次数</w:t>
            </w:r>
          </w:p>
        </w:tc>
        <w:tc>
          <w:tcPr>
            <w:tcW w:w="2891" w:type="dxa"/>
            <w:vAlign w:val="center"/>
          </w:tcPr>
          <w:p>
            <w:pPr>
              <w:pStyle w:val="15"/>
            </w:pPr>
            <w:r>
              <w:t>科普活动期间，开展科普活动总数</w:t>
            </w:r>
          </w:p>
        </w:tc>
        <w:tc>
          <w:tcPr>
            <w:tcW w:w="1276" w:type="dxa"/>
            <w:vAlign w:val="center"/>
          </w:tcPr>
          <w:p>
            <w:pPr>
              <w:pStyle w:val="15"/>
            </w:pPr>
            <w:r>
              <w:t>≥20次</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培训效果</w:t>
            </w:r>
          </w:p>
        </w:tc>
        <w:tc>
          <w:tcPr>
            <w:tcW w:w="2891" w:type="dxa"/>
            <w:vAlign w:val="center"/>
          </w:tcPr>
          <w:p>
            <w:pPr>
              <w:pStyle w:val="15"/>
            </w:pPr>
            <w:r>
              <w:t>培训人员科普服务能力的提升</w:t>
            </w:r>
          </w:p>
        </w:tc>
        <w:tc>
          <w:tcPr>
            <w:tcW w:w="1276" w:type="dxa"/>
            <w:vAlign w:val="center"/>
          </w:tcPr>
          <w:p>
            <w:pPr>
              <w:pStyle w:val="15"/>
            </w:pPr>
            <w:r>
              <w:t>较大</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服务的完成度</w:t>
            </w:r>
          </w:p>
        </w:tc>
        <w:tc>
          <w:tcPr>
            <w:tcW w:w="2891" w:type="dxa"/>
            <w:vAlign w:val="center"/>
          </w:tcPr>
          <w:p>
            <w:pPr>
              <w:pStyle w:val="15"/>
            </w:pPr>
            <w:r>
              <w:t>服务的完成度</w:t>
            </w:r>
          </w:p>
        </w:tc>
        <w:tc>
          <w:tcPr>
            <w:tcW w:w="1276" w:type="dxa"/>
            <w:vAlign w:val="center"/>
          </w:tcPr>
          <w:p>
            <w:pPr>
              <w:pStyle w:val="15"/>
            </w:pPr>
            <w:r>
              <w:t>≥85 %</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≥95 %</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项目使用年限</w:t>
            </w:r>
          </w:p>
        </w:tc>
        <w:tc>
          <w:tcPr>
            <w:tcW w:w="2891" w:type="dxa"/>
            <w:vAlign w:val="center"/>
          </w:tcPr>
          <w:p>
            <w:pPr>
              <w:pStyle w:val="15"/>
            </w:pPr>
            <w:r>
              <w:t>项目使用年限</w:t>
            </w:r>
          </w:p>
        </w:tc>
        <w:tc>
          <w:tcPr>
            <w:tcW w:w="1276" w:type="dxa"/>
            <w:vAlign w:val="center"/>
          </w:tcPr>
          <w:p>
            <w:pPr>
              <w:pStyle w:val="15"/>
            </w:pPr>
            <w:r>
              <w:t>长期率</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按时完成率</w:t>
            </w:r>
          </w:p>
        </w:tc>
        <w:tc>
          <w:tcPr>
            <w:tcW w:w="2891" w:type="dxa"/>
            <w:vAlign w:val="center"/>
          </w:tcPr>
          <w:p>
            <w:pPr>
              <w:pStyle w:val="15"/>
            </w:pPr>
            <w:r>
              <w:t>按时完成率</w:t>
            </w:r>
          </w:p>
        </w:tc>
        <w:tc>
          <w:tcPr>
            <w:tcW w:w="1276" w:type="dxa"/>
            <w:vAlign w:val="center"/>
          </w:tcPr>
          <w:p>
            <w:pPr>
              <w:pStyle w:val="15"/>
            </w:pPr>
            <w:r>
              <w:t>≥95 %</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科普工作发展影响度</w:t>
            </w:r>
          </w:p>
        </w:tc>
        <w:tc>
          <w:tcPr>
            <w:tcW w:w="2891" w:type="dxa"/>
            <w:vAlign w:val="center"/>
          </w:tcPr>
          <w:p>
            <w:pPr>
              <w:pStyle w:val="15"/>
            </w:pPr>
            <w:r>
              <w:t>项目实施对科普活动工作的发展影响度</w:t>
            </w:r>
          </w:p>
        </w:tc>
        <w:tc>
          <w:tcPr>
            <w:tcW w:w="1276" w:type="dxa"/>
            <w:vAlign w:val="center"/>
          </w:tcPr>
          <w:p>
            <w:pPr>
              <w:pStyle w:val="15"/>
            </w:pPr>
            <w:r>
              <w:t>较大</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组织会议次数</w:t>
            </w:r>
          </w:p>
        </w:tc>
        <w:tc>
          <w:tcPr>
            <w:tcW w:w="2891" w:type="dxa"/>
            <w:vAlign w:val="center"/>
          </w:tcPr>
          <w:p>
            <w:pPr>
              <w:pStyle w:val="15"/>
            </w:pPr>
            <w:r>
              <w:t>组织会议次数</w:t>
            </w:r>
          </w:p>
        </w:tc>
        <w:tc>
          <w:tcPr>
            <w:tcW w:w="1276" w:type="dxa"/>
            <w:vAlign w:val="center"/>
          </w:tcPr>
          <w:p>
            <w:pPr>
              <w:pStyle w:val="15"/>
            </w:pPr>
            <w:r>
              <w:t>≥50 %</w:t>
            </w:r>
          </w:p>
        </w:tc>
        <w:tc>
          <w:tcPr>
            <w:tcW w:w="1843"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群众满意数量占总数的比例。</w:t>
            </w:r>
          </w:p>
        </w:tc>
        <w:tc>
          <w:tcPr>
            <w:tcW w:w="1276" w:type="dxa"/>
            <w:vAlign w:val="center"/>
          </w:tcPr>
          <w:p>
            <w:pPr>
              <w:pStyle w:val="15"/>
            </w:pPr>
            <w:r>
              <w:t>≥85 %</w:t>
            </w:r>
          </w:p>
        </w:tc>
        <w:tc>
          <w:tcPr>
            <w:tcW w:w="1843" w:type="dxa"/>
            <w:vAlign w:val="center"/>
          </w:tcPr>
          <w:p>
            <w:pPr>
              <w:pStyle w:val="15"/>
            </w:pPr>
            <w:r>
              <w:t>根据年初工作计划安排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OTYwODllYmEwNGQ4OWFiZjM0Nzk2ODVlYTM5MmUifQ=="/>
  </w:docVars>
  <w:rsids>
    <w:rsidRoot w:val="00000000"/>
    <w:rsid w:val="0209179A"/>
    <w:rsid w:val="385E1FAD"/>
    <w:rsid w:val="594914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2023-03-09T15:13:59Z</dcterms:created>
  <dcterms:modified xsi:type="dcterms:W3CDTF">2023-03-09T07:13:59Z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2023-03-09T15:13:59Z</dcterms:created>
  <dcterms:modified xsi:type="dcterms:W3CDTF">2023-03-09T07:13:59Z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2023-03-09T15:13:58Z</dcterms:created>
  <dcterms:modified xsi:type="dcterms:W3CDTF">2023-03-09T07:13:58Z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2023-03-09T15:13:59Z</dcterms:created>
  <dcterms:modified xsi:type="dcterms:W3CDTF">2023-03-09T07:13:59Z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2023-03-09T15:13:59Z</dcterms:created>
  <dcterms:modified xsi:type="dcterms:W3CDTF">2023-03-09T07:13:59Z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2023-03-09T15:13:58Z</dcterms:created>
  <dcterms:modified xsi:type="dcterms:W3CDTF">2023-03-09T07:13:58Z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2023-03-09T15:13:58Z</dcterms:created>
  <dcterms:modified xsi:type="dcterms:W3CDTF">2023-03-09T07:13:58Z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20752aa-de4e-4d4c-b776-8c78c8180ede}">
  <ds:schemaRefs/>
</ds:datastoreItem>
</file>

<file path=customXml/itemProps11.xml><?xml version="1.0" encoding="utf-8"?>
<ds:datastoreItem xmlns:ds="http://schemas.openxmlformats.org/officeDocument/2006/customXml" ds:itemID="{0535b433-219f-4813-aa3f-ebb194ff4f6e}">
  <ds:schemaRefs/>
</ds:datastoreItem>
</file>

<file path=customXml/itemProps12.xml><?xml version="1.0" encoding="utf-8"?>
<ds:datastoreItem xmlns:ds="http://schemas.openxmlformats.org/officeDocument/2006/customXml" ds:itemID="{d867b3c3-b3fe-4f7b-bd26-91e30d917686}">
  <ds:schemaRefs/>
</ds:datastoreItem>
</file>

<file path=customXml/itemProps13.xml><?xml version="1.0" encoding="utf-8"?>
<ds:datastoreItem xmlns:ds="http://schemas.openxmlformats.org/officeDocument/2006/customXml" ds:itemID="{57107852-9299-45ef-a0bb-6b0134b9f650}">
  <ds:schemaRefs/>
</ds:datastoreItem>
</file>

<file path=customXml/itemProps14.xml><?xml version="1.0" encoding="utf-8"?>
<ds:datastoreItem xmlns:ds="http://schemas.openxmlformats.org/officeDocument/2006/customXml" ds:itemID="{ebf5aff9-71fe-48b6-b36a-2d084d572786}">
  <ds:schemaRefs/>
</ds:datastoreItem>
</file>

<file path=customXml/itemProps15.xml><?xml version="1.0" encoding="utf-8"?>
<ds:datastoreItem xmlns:ds="http://schemas.openxmlformats.org/officeDocument/2006/customXml" ds:itemID="{ff38aac7-a38a-4a48-8630-cbda143cd3f8}">
  <ds:schemaRefs/>
</ds:datastoreItem>
</file>

<file path=customXml/itemProps2.xml><?xml version="1.0" encoding="utf-8"?>
<ds:datastoreItem xmlns:ds="http://schemas.openxmlformats.org/officeDocument/2006/customXml" ds:itemID="{a38a6bcf-6624-48fd-926b-8225055cd404}">
  <ds:schemaRefs/>
</ds:datastoreItem>
</file>

<file path=customXml/itemProps3.xml><?xml version="1.0" encoding="utf-8"?>
<ds:datastoreItem xmlns:ds="http://schemas.openxmlformats.org/officeDocument/2006/customXml" ds:itemID="{7483904c-1645-4489-93ec-ad59cc9d64d8}">
  <ds:schemaRefs/>
</ds:datastoreItem>
</file>

<file path=customXml/itemProps4.xml><?xml version="1.0" encoding="utf-8"?>
<ds:datastoreItem xmlns:ds="http://schemas.openxmlformats.org/officeDocument/2006/customXml" ds:itemID="{86893e2b-4475-4117-bba5-0c2ff26656ca}">
  <ds:schemaRefs/>
</ds:datastoreItem>
</file>

<file path=customXml/itemProps5.xml><?xml version="1.0" encoding="utf-8"?>
<ds:datastoreItem xmlns:ds="http://schemas.openxmlformats.org/officeDocument/2006/customXml" ds:itemID="{7e3b5de7-6770-4edb-b3e0-e594ecf617f5}">
  <ds:schemaRefs/>
</ds:datastoreItem>
</file>

<file path=customXml/itemProps6.xml><?xml version="1.0" encoding="utf-8"?>
<ds:datastoreItem xmlns:ds="http://schemas.openxmlformats.org/officeDocument/2006/customXml" ds:itemID="{9180c3e0-e02a-48d5-b153-4d56b71622cd}">
  <ds:schemaRefs/>
</ds:datastoreItem>
</file>

<file path=customXml/itemProps7.xml><?xml version="1.0" encoding="utf-8"?>
<ds:datastoreItem xmlns:ds="http://schemas.openxmlformats.org/officeDocument/2006/customXml" ds:itemID="{e3ade98a-7256-423c-a786-ce18a7917407}">
  <ds:schemaRefs/>
</ds:datastoreItem>
</file>

<file path=customXml/itemProps8.xml><?xml version="1.0" encoding="utf-8"?>
<ds:datastoreItem xmlns:ds="http://schemas.openxmlformats.org/officeDocument/2006/customXml" ds:itemID="{85086fa5-34e2-40d9-abe3-ab43b0eb0a18}">
  <ds:schemaRefs/>
</ds:datastoreItem>
</file>

<file path=customXml/itemProps9.xml><?xml version="1.0" encoding="utf-8"?>
<ds:datastoreItem xmlns:ds="http://schemas.openxmlformats.org/officeDocument/2006/customXml" ds:itemID="{8765f888-fb23-4e6b-9b8c-3fbcd08c0ef0}">
  <ds:schemaRefs/>
</ds:datastoreItem>
</file>

<file path=docProps/app.xml><?xml version="1.0" encoding="utf-8"?>
<Properties xmlns="http://schemas.openxmlformats.org/officeDocument/2006/extended-properties" xmlns:vt="http://schemas.openxmlformats.org/officeDocument/2006/docPropsVTypes">
  <Pages>15</Pages>
  <Words>5267</Words>
  <Characters>5670</Characters>
  <TotalTime>4</TotalTime>
  <ScaleCrop>false</ScaleCrop>
  <LinksUpToDate>false</LinksUpToDate>
  <CharactersWithSpaces>5792</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2023-03-09T15:13:00Z</dcterms:created>
  <dc:creator>lenovo</dc:creator>
  <cp:lastModifiedBy>Administrator</cp:lastModifiedBy>
  <dcterms:modified xsi:type="dcterms:W3CDTF">2024-03-22T02:57:24Z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73D0D8C1193A4B1B9BD0B1301A8AD873</vt:lpwstr>
  </property>
</Properties>
</file>