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b/>
          <w:sz w:val="44"/>
        </w:rPr>
      </w:pPr>
      <w:bookmarkStart w:id="11" w:name="_GoBack"/>
      <w:bookmarkEnd w:id="11"/>
      <w:r>
        <w:rPr>
          <w:rFonts w:hint="eastAsia" w:ascii="方正小标宋简体" w:eastAsia="方正小标宋简体"/>
          <w:b/>
          <w:sz w:val="44"/>
        </w:rPr>
        <w:t>2022年单位预算信息公开目录</w:t>
      </w:r>
    </w:p>
    <w:p>
      <w:pPr>
        <w:jc w:val="center"/>
        <w:rPr>
          <w:rFonts w:ascii="Times New Roman" w:hAnsi="宋体"/>
          <w:b/>
          <w:sz w:val="30"/>
        </w:rPr>
      </w:pPr>
    </w:p>
    <w:p>
      <w:pPr>
        <w:jc w:val="left"/>
        <w:rPr>
          <w:rFonts w:ascii="黑体" w:hAnsi="黑体" w:eastAsia="黑体"/>
          <w:b/>
          <w:sz w:val="28"/>
        </w:rPr>
      </w:pPr>
      <w:r>
        <w:rPr>
          <w:rFonts w:hint="eastAsia" w:ascii="黑体" w:hAnsi="黑体" w:eastAsia="黑体"/>
          <w:b/>
          <w:sz w:val="28"/>
        </w:rPr>
        <w:t>本级预算公开表</w:t>
      </w:r>
    </w:p>
    <w:p>
      <w:pPr>
        <w:pStyle w:val="8"/>
        <w:tabs>
          <w:tab w:val="right" w:leader="dot" w:pos="14789"/>
        </w:tabs>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"2-2" \h \z \u \t "-1"</w:instrText>
      </w:r>
      <w:r>
        <w:rPr>
          <w:rFonts w:hint="eastAsia" w:ascii="方正仿宋简体" w:eastAsia="方正仿宋简体"/>
          <w:sz w:val="28"/>
        </w:rPr>
        <w:fldChar w:fldCharType="separate"/>
      </w:r>
      <w:r>
        <w:fldChar w:fldCharType="begin"/>
      </w:r>
      <w:r>
        <w:instrText xml:space="preserve"> HYPERLINK \l "_Toc68791536" </w:instrText>
      </w:r>
      <w:r>
        <w:fldChar w:fldCharType="separate"/>
      </w:r>
      <w:r>
        <w:rPr>
          <w:rStyle w:val="13"/>
          <w:rFonts w:hint="eastAsia" w:ascii="方正仿宋简体" w:eastAsia="方正仿宋简体"/>
          <w:color w:val="auto"/>
          <w:sz w:val="28"/>
          <w:u w:val="none"/>
        </w:rPr>
        <w:t>本级预算收支总表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"_Toc68791537" </w:instrText>
      </w:r>
      <w:r>
        <w:fldChar w:fldCharType="separate"/>
      </w:r>
      <w:r>
        <w:rPr>
          <w:rStyle w:val="13"/>
          <w:rFonts w:hint="eastAsia" w:ascii="方正仿宋简体" w:eastAsia="方正仿宋简体"/>
          <w:color w:val="auto"/>
          <w:sz w:val="28"/>
          <w:u w:val="none"/>
        </w:rPr>
        <w:t>本级预算收入总表</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"_Toc68791538" </w:instrText>
      </w:r>
      <w:r>
        <w:fldChar w:fldCharType="separate"/>
      </w:r>
      <w:r>
        <w:rPr>
          <w:rStyle w:val="13"/>
          <w:rFonts w:hint="eastAsia" w:ascii="方正仿宋简体" w:eastAsia="方正仿宋简体"/>
          <w:color w:val="auto"/>
          <w:sz w:val="28"/>
          <w:u w:val="none"/>
        </w:rPr>
        <w:t>本级预算支出总表</w:t>
      </w:r>
      <w:r>
        <w:rPr>
          <w:rFonts w:hint="eastAsia" w:ascii="方正仿宋简体" w:eastAsia="方正仿宋简体"/>
          <w:sz w:val="28"/>
        </w:rPr>
        <w:tab/>
      </w:r>
      <w:r>
        <w:rPr>
          <w:rFonts w:hint="eastAsia" w:ascii="方正仿宋简体" w:eastAsia="方正仿宋简体"/>
          <w:sz w:val="28"/>
        </w:rPr>
        <w:t>7</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"_Toc68791539" </w:instrText>
      </w:r>
      <w:r>
        <w:fldChar w:fldCharType="separate"/>
      </w:r>
      <w:r>
        <w:rPr>
          <w:rStyle w:val="13"/>
          <w:rFonts w:hint="eastAsia" w:ascii="方正仿宋简体" w:eastAsia="方正仿宋简体"/>
          <w:color w:val="auto"/>
          <w:sz w:val="28"/>
          <w:u w:val="none"/>
        </w:rPr>
        <w:t>本级预算财政拨款收支总表</w:t>
      </w:r>
      <w:r>
        <w:rPr>
          <w:rFonts w:hint="eastAsia" w:ascii="方正仿宋简体" w:eastAsia="方正仿宋简体"/>
          <w:sz w:val="28"/>
        </w:rPr>
        <w:tab/>
      </w:r>
      <w:r>
        <w:rPr>
          <w:rFonts w:hint="eastAsia" w:ascii="方正仿宋简体" w:eastAsia="方正仿宋简体"/>
          <w:sz w:val="28"/>
        </w:rPr>
        <w:t>9</w:t>
      </w:r>
      <w:r>
        <w:rPr>
          <w:rFonts w:hint="eastAsia" w:ascii="方正仿宋简体" w:eastAsia="方正仿宋简体"/>
          <w:sz w:val="28"/>
        </w:rPr>
        <w:fldChar w:fldCharType="end"/>
      </w:r>
    </w:p>
    <w:p>
      <w:pPr>
        <w:pStyle w:val="8"/>
        <w:tabs>
          <w:tab w:val="right" w:leader="dot" w:pos="14789"/>
        </w:tabs>
        <w:jc w:val="center"/>
        <w:rPr>
          <w:rFonts w:ascii="方正仿宋简体" w:eastAsia="方正仿宋简体"/>
          <w:sz w:val="28"/>
        </w:rPr>
      </w:pPr>
      <w:r>
        <w:fldChar w:fldCharType="begin"/>
      </w:r>
      <w:r>
        <w:instrText xml:space="preserve"> HYPERLINK \l "_Toc68791540" </w:instrText>
      </w:r>
      <w:r>
        <w:fldChar w:fldCharType="separate"/>
      </w:r>
      <w:r>
        <w:rPr>
          <w:rStyle w:val="13"/>
          <w:rFonts w:hint="eastAsia" w:ascii="方正仿宋简体" w:eastAsia="方正仿宋简体"/>
          <w:color w:val="auto"/>
          <w:sz w:val="28"/>
          <w:u w:val="none"/>
        </w:rPr>
        <w:t>本级预算一般公共预算财政拨款支出表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8"/>
        <w:tabs>
          <w:tab w:val="right" w:leader="dot" w:pos="14789"/>
        </w:tabs>
        <w:jc w:val="center"/>
        <w:rPr>
          <w:rFonts w:ascii="方正仿宋简体" w:eastAsia="方正仿宋简体"/>
          <w:sz w:val="28"/>
        </w:rPr>
      </w:pPr>
      <w:r>
        <w:fldChar w:fldCharType="begin"/>
      </w:r>
      <w:r>
        <w:instrText xml:space="preserve"> HYPERLINK \l "_Toc68791541" </w:instrText>
      </w:r>
      <w:r>
        <w:fldChar w:fldCharType="separate"/>
      </w:r>
      <w:r>
        <w:rPr>
          <w:rStyle w:val="13"/>
          <w:rFonts w:hint="eastAsia" w:ascii="方正仿宋简体" w:eastAsia="方正仿宋简体"/>
          <w:color w:val="auto"/>
          <w:sz w:val="28"/>
          <w:u w:val="none"/>
        </w:rPr>
        <w:t>本级预算一般公共预算财政拨款基本支出表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4</w:t>
      </w:r>
    </w:p>
    <w:p>
      <w:pPr>
        <w:pStyle w:val="8"/>
        <w:tabs>
          <w:tab w:val="right" w:leader="dot" w:pos="14789"/>
        </w:tabs>
        <w:jc w:val="center"/>
        <w:rPr>
          <w:rFonts w:ascii="方正仿宋简体" w:eastAsia="方正仿宋简体"/>
          <w:sz w:val="28"/>
        </w:rPr>
      </w:pPr>
      <w:r>
        <w:fldChar w:fldCharType="begin"/>
      </w:r>
      <w:r>
        <w:instrText xml:space="preserve"> HYPERLINK \l "_Toc68791542" </w:instrText>
      </w:r>
      <w:r>
        <w:fldChar w:fldCharType="separate"/>
      </w:r>
      <w:r>
        <w:rPr>
          <w:rStyle w:val="13"/>
          <w:rFonts w:hint="eastAsia" w:ascii="方正仿宋简体" w:eastAsia="方正仿宋简体"/>
          <w:color w:val="auto"/>
          <w:sz w:val="28"/>
          <w:u w:val="none"/>
        </w:rPr>
        <w:t>本级预算政府基金预算财政拨款支出表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8"/>
        <w:tabs>
          <w:tab w:val="right" w:leader="dot" w:pos="14789"/>
        </w:tabs>
        <w:jc w:val="center"/>
        <w:rPr>
          <w:rFonts w:ascii="方正仿宋简体" w:eastAsia="方正仿宋简体"/>
          <w:sz w:val="28"/>
        </w:rPr>
      </w:pPr>
      <w:r>
        <w:fldChar w:fldCharType="begin"/>
      </w:r>
      <w:r>
        <w:instrText xml:space="preserve"> HYPERLINK \l "_Toc68791543" </w:instrText>
      </w:r>
      <w:r>
        <w:fldChar w:fldCharType="separate"/>
      </w:r>
      <w:r>
        <w:rPr>
          <w:rStyle w:val="13"/>
          <w:rFonts w:hint="eastAsia" w:ascii="方正仿宋简体" w:eastAsia="方正仿宋简体"/>
          <w:color w:val="auto"/>
          <w:sz w:val="28"/>
          <w:u w:val="none"/>
        </w:rPr>
        <w:t>本级预算国有资本经营预算财政拨款支出表</w:t>
      </w:r>
      <w:r>
        <w:rPr>
          <w:rFonts w:hint="eastAsia" w:ascii="方正仿宋简体" w:eastAsia="方正仿宋简体"/>
          <w:sz w:val="28"/>
        </w:rPr>
        <w:tab/>
      </w:r>
      <w:r>
        <w:rPr>
          <w:rFonts w:hint="eastAsia" w:ascii="方正仿宋简体" w:eastAsia="方正仿宋简体"/>
          <w:sz w:val="28"/>
        </w:rPr>
        <w:t>1</w:t>
      </w:r>
      <w:r>
        <w:rPr>
          <w:rFonts w:hint="eastAsia" w:ascii="方正仿宋简体" w:eastAsia="方正仿宋简体"/>
          <w:sz w:val="28"/>
        </w:rPr>
        <w:fldChar w:fldCharType="end"/>
      </w:r>
      <w:r>
        <w:rPr>
          <w:rStyle w:val="13"/>
          <w:rFonts w:hint="eastAsia" w:ascii="方正仿宋简体" w:eastAsia="方正仿宋简体"/>
          <w:color w:val="auto"/>
          <w:sz w:val="28"/>
          <w:u w:val="none"/>
        </w:rPr>
        <w:t>8</w:t>
      </w:r>
    </w:p>
    <w:p>
      <w:pPr>
        <w:pStyle w:val="8"/>
        <w:tabs>
          <w:tab w:val="right" w:leader="dot" w:pos="14789"/>
        </w:tabs>
        <w:jc w:val="center"/>
        <w:rPr>
          <w:rFonts w:ascii="方正仿宋简体" w:eastAsia="方正仿宋简体"/>
          <w:sz w:val="28"/>
        </w:rPr>
      </w:pPr>
      <w:r>
        <w:fldChar w:fldCharType="begin"/>
      </w:r>
      <w:r>
        <w:instrText xml:space="preserve"> HYPERLINK \l "_Toc68791544" </w:instrText>
      </w:r>
      <w:r>
        <w:fldChar w:fldCharType="separate"/>
      </w:r>
      <w:r>
        <w:rPr>
          <w:rStyle w:val="13"/>
          <w:rFonts w:hint="eastAsia" w:ascii="方正仿宋简体" w:eastAsia="方正仿宋简体"/>
          <w:color w:val="auto"/>
          <w:sz w:val="28"/>
          <w:u w:val="none"/>
        </w:rPr>
        <w:t>本级预算财政拨款“三公”经费支出表</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19</w:t>
      </w:r>
    </w:p>
    <w:p>
      <w:pPr>
        <w:ind w:left="420" w:leftChars="200"/>
        <w:jc w:val="center"/>
        <w:rPr>
          <w:rFonts w:ascii="方正仿宋简体" w:hAnsi="宋体" w:eastAsia="方正仿宋简体"/>
        </w:rPr>
      </w:pPr>
      <w:r>
        <w:rPr>
          <w:rFonts w:hint="eastAsia" w:ascii="方正仿宋简体" w:eastAsia="方正仿宋简体"/>
          <w:sz w:val="28"/>
        </w:rPr>
        <w:fldChar w:fldCharType="end"/>
      </w:r>
    </w:p>
    <w:p>
      <w:pPr>
        <w:jc w:val="left"/>
        <w:rPr>
          <w:rFonts w:ascii="黑体" w:hAnsi="黑体" w:eastAsia="黑体"/>
          <w:b/>
          <w:sz w:val="28"/>
        </w:rPr>
      </w:pPr>
      <w:r>
        <w:rPr>
          <w:rFonts w:hint="eastAsia" w:ascii="黑体" w:hAnsi="黑体" w:eastAsia="黑体"/>
          <w:b/>
          <w:sz w:val="28"/>
        </w:rPr>
        <w:t>本级预算信息公开情况说明</w:t>
      </w:r>
    </w:p>
    <w:p>
      <w:pPr>
        <w:pStyle w:val="4"/>
        <w:tabs>
          <w:tab w:val="right" w:leader="dot" w:pos="14789"/>
        </w:tabs>
        <w:ind w:left="420" w:leftChars="200"/>
        <w:jc w:val="center"/>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"3-3" \h \z \u \t "-1"</w:instrText>
      </w:r>
      <w:r>
        <w:rPr>
          <w:rFonts w:hint="eastAsia" w:ascii="方正仿宋简体" w:eastAsia="方正仿宋简体"/>
          <w:sz w:val="28"/>
        </w:rPr>
        <w:fldChar w:fldCharType="separate"/>
      </w:r>
      <w:r>
        <w:fldChar w:fldCharType="begin"/>
      </w:r>
      <w:r>
        <w:instrText xml:space="preserve"> HYPERLINK \l "_Toc68791545" </w:instrText>
      </w:r>
      <w:r>
        <w:fldChar w:fldCharType="separate"/>
      </w:r>
      <w:r>
        <w:rPr>
          <w:rStyle w:val="13"/>
          <w:rFonts w:hint="eastAsia" w:ascii="方正仿宋简体" w:hAnsi="黑体" w:eastAsia="方正仿宋简体"/>
          <w:color w:val="auto"/>
          <w:sz w:val="28"/>
          <w:u w:val="none"/>
        </w:rPr>
        <w:t>一、本级职责及机构设置情况</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20</w:t>
      </w:r>
    </w:p>
    <w:p>
      <w:pPr>
        <w:pStyle w:val="4"/>
        <w:tabs>
          <w:tab w:val="right" w:leader="dot" w:pos="14789"/>
        </w:tabs>
        <w:ind w:left="420" w:leftChars="200"/>
        <w:jc w:val="center"/>
        <w:rPr>
          <w:rStyle w:val="13"/>
          <w:rFonts w:ascii="方正仿宋简体" w:eastAsia="方正仿宋简体"/>
          <w:color w:val="auto"/>
          <w:sz w:val="28"/>
          <w:u w:val="none"/>
        </w:rPr>
      </w:pPr>
      <w:r>
        <w:fldChar w:fldCharType="begin"/>
      </w:r>
      <w:r>
        <w:instrText xml:space="preserve"> HYPERLINK \l "_Toc68791546" </w:instrText>
      </w:r>
      <w:r>
        <w:fldChar w:fldCharType="separate"/>
      </w:r>
      <w:r>
        <w:rPr>
          <w:rStyle w:val="13"/>
          <w:rFonts w:hint="eastAsia" w:ascii="方正仿宋简体" w:hAnsi="黑体" w:eastAsia="方正仿宋简体"/>
          <w:color w:val="auto"/>
          <w:sz w:val="28"/>
          <w:u w:val="none"/>
        </w:rPr>
        <w:t>二、本级预算安排的总体情况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1</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"_Toc68791547" </w:instrText>
      </w:r>
      <w:r>
        <w:fldChar w:fldCharType="separate"/>
      </w:r>
      <w:r>
        <w:rPr>
          <w:rStyle w:val="13"/>
          <w:rFonts w:hint="eastAsia" w:ascii="方正仿宋简体" w:hAnsi="黑体" w:eastAsia="方正仿宋简体"/>
          <w:color w:val="auto"/>
          <w:sz w:val="28"/>
          <w:u w:val="none"/>
        </w:rPr>
        <w:t>三、机关运行经费安排情况</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2</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"_Toc68791548" </w:instrText>
      </w:r>
      <w:r>
        <w:fldChar w:fldCharType="separate"/>
      </w:r>
      <w:r>
        <w:rPr>
          <w:rStyle w:val="13"/>
          <w:rFonts w:hint="eastAsia" w:ascii="方正仿宋简体" w:hAnsi="黑体" w:eastAsia="方正仿宋简体"/>
          <w:color w:val="auto"/>
          <w:sz w:val="28"/>
          <w:u w:val="none"/>
        </w:rPr>
        <w:t>四、财政拨款“三公”经费预算情况及增减变化原因</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"_Toc68791549" </w:instrText>
      </w:r>
      <w:r>
        <w:fldChar w:fldCharType="separate"/>
      </w:r>
      <w:r>
        <w:rPr>
          <w:rStyle w:val="13"/>
          <w:rFonts w:hint="eastAsia" w:ascii="方正仿宋简体" w:hAnsi="黑体" w:eastAsia="方正仿宋简体"/>
          <w:color w:val="auto"/>
          <w:sz w:val="28"/>
          <w:u w:val="none"/>
        </w:rPr>
        <w:t>五、预算绩效信息</w:t>
      </w:r>
      <w:r>
        <w:rPr>
          <w:rFonts w:hint="eastAsia" w:ascii="方正仿宋简体" w:eastAsia="方正仿宋简体"/>
          <w:sz w:val="28"/>
        </w:rPr>
        <w:tab/>
      </w:r>
      <w:r>
        <w:rPr>
          <w:rFonts w:hint="eastAsia" w:ascii="方正仿宋简体" w:eastAsia="方正仿宋简体"/>
          <w:sz w:val="28"/>
        </w:rPr>
        <w:t>2</w:t>
      </w:r>
      <w:r>
        <w:rPr>
          <w:rFonts w:hint="eastAsia" w:ascii="方正仿宋简体" w:eastAsia="方正仿宋简体"/>
          <w:sz w:val="28"/>
        </w:rPr>
        <w:fldChar w:fldCharType="end"/>
      </w:r>
      <w:r>
        <w:rPr>
          <w:rStyle w:val="13"/>
          <w:rFonts w:hint="eastAsia" w:ascii="方正仿宋简体" w:eastAsia="方正仿宋简体"/>
          <w:color w:val="auto"/>
          <w:sz w:val="28"/>
          <w:u w:val="none"/>
        </w:rPr>
        <w:t>3</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"_Toc68791550" </w:instrText>
      </w:r>
      <w:r>
        <w:fldChar w:fldCharType="separate"/>
      </w:r>
      <w:r>
        <w:rPr>
          <w:rStyle w:val="13"/>
          <w:rFonts w:hint="eastAsia" w:ascii="方正仿宋简体" w:eastAsia="方正仿宋简体"/>
          <w:color w:val="auto"/>
          <w:sz w:val="28"/>
          <w:u w:val="none"/>
        </w:rPr>
        <w:t>六、政府采购预算情况</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6</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"_Toc68791551" </w:instrText>
      </w:r>
      <w:r>
        <w:fldChar w:fldCharType="separate"/>
      </w:r>
      <w:r>
        <w:rPr>
          <w:rStyle w:val="13"/>
          <w:rFonts w:hint="eastAsia" w:ascii="方正仿宋简体" w:hAnsi="黑体" w:eastAsia="方正仿宋简体"/>
          <w:color w:val="auto"/>
          <w:sz w:val="28"/>
          <w:u w:val="none"/>
        </w:rPr>
        <w:t>七、国有资产信息</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7</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"_Toc68791552" </w:instrText>
      </w:r>
      <w:r>
        <w:fldChar w:fldCharType="separate"/>
      </w:r>
      <w:r>
        <w:rPr>
          <w:rStyle w:val="13"/>
          <w:rFonts w:hint="eastAsia" w:ascii="方正仿宋简体" w:hAnsi="黑体" w:eastAsia="方正仿宋简体"/>
          <w:color w:val="auto"/>
          <w:sz w:val="28"/>
          <w:u w:val="none"/>
        </w:rPr>
        <w:t>八、名词解释</w:t>
      </w:r>
      <w:r>
        <w:rPr>
          <w:rFonts w:hint="eastAsia" w:ascii="方正仿宋简体" w:eastAsia="方正仿宋简体"/>
          <w:sz w:val="28"/>
        </w:rPr>
        <w:tab/>
      </w:r>
      <w:r>
        <w:rPr>
          <w:rFonts w:hint="eastAsia" w:ascii="方正仿宋简体" w:eastAsia="方正仿宋简体"/>
          <w:sz w:val="28"/>
        </w:rPr>
        <w:fldChar w:fldCharType="end"/>
      </w:r>
      <w:r>
        <w:rPr>
          <w:rStyle w:val="13"/>
          <w:rFonts w:hint="eastAsia" w:ascii="方正仿宋简体" w:eastAsia="方正仿宋简体"/>
          <w:color w:val="auto"/>
          <w:sz w:val="28"/>
          <w:u w:val="none"/>
        </w:rPr>
        <w:t>38</w:t>
      </w:r>
    </w:p>
    <w:p>
      <w:pPr>
        <w:pStyle w:val="4"/>
        <w:tabs>
          <w:tab w:val="right" w:leader="dot" w:pos="14789"/>
        </w:tabs>
        <w:ind w:left="420" w:leftChars="200"/>
        <w:jc w:val="center"/>
        <w:rPr>
          <w:rFonts w:ascii="方正仿宋简体" w:eastAsia="方正仿宋简体"/>
          <w:sz w:val="28"/>
        </w:rPr>
      </w:pPr>
      <w:r>
        <w:fldChar w:fldCharType="begin"/>
      </w:r>
      <w:r>
        <w:instrText xml:space="preserve"> HYPERLINK \l "_Toc68791553" </w:instrText>
      </w:r>
      <w:r>
        <w:fldChar w:fldCharType="separate"/>
      </w:r>
      <w:r>
        <w:rPr>
          <w:rStyle w:val="13"/>
          <w:rFonts w:hint="eastAsia" w:ascii="方正仿宋简体" w:hAnsi="黑体" w:eastAsia="方正仿宋简体"/>
          <w:color w:val="auto"/>
          <w:sz w:val="28"/>
          <w:u w:val="none"/>
        </w:rPr>
        <w:t>九、其他需要说明的事项</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3"/>
          <w:rFonts w:hint="eastAsia" w:ascii="方正仿宋简体" w:eastAsia="方正仿宋简体"/>
          <w:color w:val="auto"/>
          <w:sz w:val="28"/>
          <w:u w:val="none"/>
        </w:rPr>
        <w:t>9</w:t>
      </w:r>
    </w:p>
    <w:p>
      <w:pPr>
        <w:ind w:left="420" w:leftChars="200"/>
        <w:jc w:val="center"/>
        <w:rPr>
          <w:rFonts w:ascii="Times New Roman" w:hAnsi="宋体"/>
        </w:rPr>
      </w:pPr>
      <w:r>
        <w:rPr>
          <w:rFonts w:hint="eastAsia" w:ascii="方正仿宋简体" w:eastAsia="方正仿宋简体"/>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sectPr>
          <w:footerReference r:id="rId3"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790" w:type="dxa"/>
            <w:gridSpan w:val="2"/>
            <w:noWrap/>
            <w:vAlign w:val="center"/>
          </w:tcPr>
          <w:p>
            <w:pPr>
              <w:spacing w:line="560" w:lineRule="exact"/>
              <w:ind w:firstLine="1680" w:firstLineChars="6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  入</w:t>
            </w:r>
          </w:p>
        </w:tc>
        <w:tc>
          <w:tcPr>
            <w:tcW w:w="7714" w:type="dxa"/>
            <w:gridSpan w:val="2"/>
            <w:noWrap/>
            <w:vAlign w:val="center"/>
          </w:tcPr>
          <w:p>
            <w:pPr>
              <w:spacing w:line="560" w:lineRule="exact"/>
              <w:ind w:firstLine="2240" w:firstLineChars="8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szCs w:val="28"/>
                <w:u w:val="none"/>
              </w:rPr>
              <w:t>次</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3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54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一、一般公共服务支出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二、政府性基金预算拨款收入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二、外交支出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三、国有资本经营预算拨款收入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三、国防支出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四、财政专户管理资金收入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四、公共安全支出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五、事业收入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五、教育支出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六、事业单位经营收入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六、科学技术支出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七、上级补助收入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七、文化旅游体育与传媒支出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八、附属单位上缴收入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八、社会保障和就业支出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九、其他收入</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九、卫生健康支出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十、节能环保支出</w:t>
            </w:r>
          </w:p>
        </w:tc>
        <w:tc>
          <w:tcPr>
            <w:tcW w:w="221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十一、城乡社区支出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十二、农林水支出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十三、交通运输支出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十四、资源勘探工业信息等支出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十五、商业服务业等支出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十六、金融支出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十七、援助其他地区支出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十八、自然资源海洋气象等支出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19</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十九、住房保障支出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二十、粮油物资储备支出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21</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二十一、国有资本经营预算支出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二十二、灾害防治及应急管理支出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23</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二十三、债务还本支出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二十四、债务付息支出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25</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二十五、债务发行费用支出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26</w:t>
            </w:r>
          </w:p>
        </w:tc>
        <w:tc>
          <w:tcPr>
            <w:tcW w:w="426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1530" w:type="dxa"/>
            <w:noWrap/>
          </w:tcPr>
          <w:p>
            <w:pPr>
              <w:spacing w:line="560" w:lineRule="exact"/>
              <w:jc w:val="left"/>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二十六、其他支出</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27</w:t>
            </w:r>
          </w:p>
        </w:tc>
        <w:tc>
          <w:tcPr>
            <w:tcW w:w="42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本年收入合计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28</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上年结转结余</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年终结转结余</w:t>
            </w:r>
          </w:p>
        </w:tc>
        <w:tc>
          <w:tcPr>
            <w:tcW w:w="2219" w:type="dxa"/>
            <w:noWrap/>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426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收入总计</w:t>
            </w:r>
          </w:p>
        </w:tc>
        <w:tc>
          <w:tcPr>
            <w:tcW w:w="1530"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5495"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支出总计</w:t>
            </w:r>
          </w:p>
        </w:tc>
        <w:tc>
          <w:tcPr>
            <w:tcW w:w="2219" w:type="dxa"/>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r>
    </w:tbl>
    <w:p>
      <w:pPr>
        <w:spacing w:line="560" w:lineRule="exact"/>
        <w:jc w:val="left"/>
        <w:rPr>
          <w:rStyle w:val="13"/>
          <w:rFonts w:ascii="宋体" w:hAnsi="宋体" w:cs="宋体"/>
          <w:color w:val="auto"/>
          <w:sz w:val="28"/>
          <w:u w:val="none"/>
        </w:rPr>
        <w:sectPr>
          <w:footerReference r:id="rId4" w:type="default"/>
          <w:pgSz w:w="16839" w:h="11907" w:orient="landscape"/>
          <w:pgMar w:top="1361" w:right="1020" w:bottom="1361"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本级预算收入总表</w:t>
      </w:r>
    </w:p>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95"/>
        <w:gridCol w:w="2370"/>
        <w:gridCol w:w="1200"/>
        <w:gridCol w:w="1207"/>
        <w:gridCol w:w="1350"/>
        <w:gridCol w:w="62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7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2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8238" w:type="dxa"/>
            <w:gridSpan w:val="8"/>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w:t>
            </w:r>
          </w:p>
        </w:tc>
        <w:tc>
          <w:tcPr>
            <w:tcW w:w="87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5" w:hRule="exact"/>
          <w:tblHeader/>
          <w:jc w:val="center"/>
        </w:trPr>
        <w:tc>
          <w:tcPr>
            <w:tcW w:w="938"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功能科目编码</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2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财政拨款收入</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财政专户收入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事业收入</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经营收入</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上级补助收入</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附属单位上缴收入</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其他收入</w:t>
            </w:r>
          </w:p>
        </w:tc>
        <w:tc>
          <w:tcPr>
            <w:tcW w:w="87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9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3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2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20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161.874</w:t>
            </w:r>
          </w:p>
        </w:tc>
        <w:tc>
          <w:tcPr>
            <w:tcW w:w="13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62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9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237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20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207"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5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9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2210201</w:t>
            </w:r>
          </w:p>
        </w:tc>
        <w:tc>
          <w:tcPr>
            <w:tcW w:w="237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住房公积金</w:t>
            </w:r>
          </w:p>
        </w:tc>
        <w:tc>
          <w:tcPr>
            <w:tcW w:w="120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207"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135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5.74</w:t>
            </w:r>
          </w:p>
        </w:tc>
        <w:tc>
          <w:tcPr>
            <w:tcW w:w="62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宋体" w:hAnsi="宋体" w:cs="宋体"/>
          <w:color w:val="auto"/>
          <w:sz w:val="28"/>
          <w:u w:val="none"/>
        </w:rPr>
        <w:sectPr>
          <w:pgSz w:w="16839" w:h="11907" w:orient="landscape"/>
          <w:pgMar w:top="1361" w:right="1020" w:bottom="1361"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本级预算支出总表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210"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141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3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c>
          <w:tcPr>
            <w:tcW w:w="9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经营支出</w:t>
            </w:r>
          </w:p>
        </w:tc>
        <w:tc>
          <w:tcPr>
            <w:tcW w:w="90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上缴上级支出</w:t>
            </w:r>
          </w:p>
        </w:tc>
        <w:tc>
          <w:tcPr>
            <w:tcW w:w="135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45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41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84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161.87</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c>
          <w:tcPr>
            <w:tcW w:w="9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69.36</w:t>
            </w: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24</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410" w:type="dxa"/>
            <w:noWrap/>
          </w:tcPr>
          <w:p>
            <w:pPr>
              <w:jc w:val="center"/>
              <w:rPr>
                <w:rStyle w:val="13"/>
                <w:rFonts w:ascii="方正仿宋简体" w:hAnsi="方正仿宋简体" w:eastAsia="方正仿宋简体" w:cs="方正仿宋简体"/>
                <w:color w:val="auto"/>
                <w:sz w:val="28"/>
                <w:szCs w:val="28"/>
                <w:u w:val="none"/>
              </w:rPr>
            </w:pPr>
          </w:p>
        </w:tc>
        <w:tc>
          <w:tcPr>
            <w:tcW w:w="138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6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84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45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41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380"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rPr>
              <w:t>12</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380" w:type="dxa"/>
            <w:noWrap/>
          </w:tcPr>
          <w:p>
            <w:pPr>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栏次</w:t>
            </w:r>
          </w:p>
        </w:tc>
        <w:tc>
          <w:tcPr>
            <w:tcW w:w="136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484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455"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41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96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900"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354"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36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210</w:t>
            </w:r>
          </w:p>
        </w:tc>
        <w:tc>
          <w:tcPr>
            <w:tcW w:w="484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卫生健康支出</w:t>
            </w:r>
          </w:p>
        </w:tc>
        <w:tc>
          <w:tcPr>
            <w:tcW w:w="145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13.32</w:t>
            </w:r>
          </w:p>
        </w:tc>
        <w:tc>
          <w:tcPr>
            <w:tcW w:w="141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13.32</w:t>
            </w:r>
          </w:p>
        </w:tc>
        <w:tc>
          <w:tcPr>
            <w:tcW w:w="1380" w:type="dxa"/>
            <w:noWrap/>
            <w:vAlign w:val="center"/>
          </w:tcPr>
          <w:p>
            <w:pPr>
              <w:spacing w:line="560" w:lineRule="exact"/>
              <w:jc w:val="center"/>
              <w:rPr>
                <w:rFonts w:ascii="方正仿宋简体" w:hAnsi="方正仿宋简体" w:eastAsia="方正仿宋简体" w:cs="方正仿宋简体"/>
                <w:sz w:val="28"/>
                <w:szCs w:val="28"/>
              </w:rPr>
            </w:pPr>
          </w:p>
        </w:tc>
        <w:tc>
          <w:tcPr>
            <w:tcW w:w="960" w:type="dxa"/>
            <w:noWrap/>
            <w:vAlign w:val="center"/>
          </w:tcPr>
          <w:p>
            <w:pPr>
              <w:spacing w:line="560" w:lineRule="exact"/>
              <w:jc w:val="left"/>
              <w:rPr>
                <w:rFonts w:ascii="方正仿宋简体" w:hAnsi="方正仿宋简体" w:eastAsia="方正仿宋简体" w:cs="方正仿宋简体"/>
                <w:sz w:val="28"/>
                <w:szCs w:val="28"/>
              </w:rPr>
            </w:pPr>
          </w:p>
        </w:tc>
        <w:tc>
          <w:tcPr>
            <w:tcW w:w="900" w:type="dxa"/>
            <w:noWrap/>
            <w:vAlign w:val="center"/>
          </w:tcPr>
          <w:p>
            <w:pPr>
              <w:spacing w:line="560" w:lineRule="exact"/>
              <w:jc w:val="left"/>
              <w:rPr>
                <w:rFonts w:ascii="方正仿宋简体" w:hAnsi="方正仿宋简体" w:eastAsia="方正仿宋简体" w:cs="方正仿宋简体"/>
                <w:sz w:val="28"/>
                <w:szCs w:val="28"/>
              </w:rPr>
            </w:pPr>
          </w:p>
        </w:tc>
        <w:tc>
          <w:tcPr>
            <w:tcW w:w="1354" w:type="dxa"/>
            <w:noWrap/>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5.84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17</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36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84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1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38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6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327"/>
        <w:gridCol w:w="1275"/>
        <w:gridCol w:w="71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731遵化市科学技术协会                       预算年度：2022</w:t>
            </w:r>
            <w:r>
              <w:rPr>
                <w:rStyle w:val="13"/>
                <w:rFonts w:hint="eastAsia" w:ascii="方正仿宋简体" w:hAnsi="黑体" w:eastAsia="方正仿宋简体" w:cs="方正仿宋简体"/>
                <w:color w:val="auto"/>
                <w:sz w:val="28"/>
                <w:szCs w:val="28"/>
                <w:u w:val="none"/>
              </w:rPr>
              <w:tab/>
            </w:r>
            <w:r>
              <w:rPr>
                <w:rStyle w:val="13"/>
                <w:rFonts w:hint="eastAsia" w:ascii="方正仿宋简体" w:hAnsi="黑体" w:eastAsia="方正仿宋简体" w:cs="方正仿宋简体"/>
                <w:color w:val="auto"/>
                <w:sz w:val="28"/>
                <w:szCs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序号</w:t>
            </w:r>
          </w:p>
        </w:tc>
        <w:tc>
          <w:tcPr>
            <w:tcW w:w="4785" w:type="dxa"/>
            <w:gridSpan w:val="2"/>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收  入</w:t>
            </w:r>
          </w:p>
        </w:tc>
        <w:tc>
          <w:tcPr>
            <w:tcW w:w="8854" w:type="dxa"/>
            <w:gridSpan w:val="5"/>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金额</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项  目</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合计</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一般公共预算财政拨款</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政府性基金预算财政拨款</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栏次</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1339"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一、一般公共服务支出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二、外交支出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四、公共安全支出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五、教育支出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六、科学技术支出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131.36</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七、文化旅游体育与传媒支出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八、社会保障和就业支出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11.45</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九、卫生健康支出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13.32</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十、节能环保支出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十一、城乡社区支出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十二、农林水支出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十三、交通运输支出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十四、资源勘探工业信息等支出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十五、商业服务业等支出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十六、金融支出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17</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十七、援助其他地区支出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十八、自然资源海洋气象等支出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十九、住房保障支出</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5.74</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二十、粮油物资储备支出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二十一、国有资本经营预算支出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22</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二十二、灾害防治及应急管理支出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23</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二十三、债务还本支出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24</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二十四、债务付息支出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25</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二十五、债务发行费用支出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26</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二十六、其他支出</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27</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本年收入合计</w:t>
            </w:r>
          </w:p>
        </w:tc>
        <w:tc>
          <w:tcPr>
            <w:tcW w:w="1260" w:type="dxa"/>
            <w:noWrap/>
            <w:vAlign w:val="center"/>
          </w:tcPr>
          <w:p>
            <w:pPr>
              <w:spacing w:line="560" w:lineRule="exac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本年支出合计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28</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年初财政拨款结转和结余</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年末财政拨款结转和结余</w:t>
            </w: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29</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一、一般公共预算拨款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30</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二、政府性基金预算拨款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31</w:t>
            </w:r>
          </w:p>
        </w:tc>
        <w:tc>
          <w:tcPr>
            <w:tcW w:w="3525" w:type="dxa"/>
            <w:noWrap/>
            <w:vAlign w:val="center"/>
          </w:tcPr>
          <w:p>
            <w:pPr>
              <w:spacing w:line="560" w:lineRule="exact"/>
              <w:jc w:val="left"/>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三、国有资本经营预算拨款</w:t>
            </w:r>
          </w:p>
        </w:tc>
        <w:tc>
          <w:tcPr>
            <w:tcW w:w="126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4200"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27"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713"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20"/>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32</w:t>
            </w:r>
          </w:p>
        </w:tc>
        <w:tc>
          <w:tcPr>
            <w:tcW w:w="352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26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4200"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总计</w:t>
            </w:r>
          </w:p>
        </w:tc>
        <w:tc>
          <w:tcPr>
            <w:tcW w:w="1327"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1275" w:type="dxa"/>
            <w:noWrap/>
            <w:vAlign w:val="center"/>
          </w:tcPr>
          <w:p>
            <w:pPr>
              <w:spacing w:line="560" w:lineRule="exact"/>
              <w:jc w:val="center"/>
              <w:rPr>
                <w:rStyle w:val="13"/>
                <w:rFonts w:ascii="方正仿宋简体" w:hAnsi="黑体" w:eastAsia="方正仿宋简体" w:cs="方正仿宋简体"/>
                <w:color w:val="auto"/>
                <w:sz w:val="28"/>
                <w:szCs w:val="28"/>
                <w:u w:val="none"/>
              </w:rPr>
            </w:pPr>
            <w:r>
              <w:rPr>
                <w:rStyle w:val="13"/>
                <w:rFonts w:hint="eastAsia" w:ascii="方正仿宋简体" w:hAnsi="黑体" w:eastAsia="方正仿宋简体" w:cs="方正仿宋简体"/>
                <w:color w:val="auto"/>
                <w:sz w:val="28"/>
                <w:szCs w:val="28"/>
                <w:u w:val="none"/>
              </w:rPr>
              <w:t>161.87</w:t>
            </w:r>
          </w:p>
        </w:tc>
        <w:tc>
          <w:tcPr>
            <w:tcW w:w="713" w:type="dxa"/>
            <w:noWrap/>
            <w:vAlign w:val="center"/>
          </w:tcPr>
          <w:p>
            <w:pPr>
              <w:spacing w:line="560" w:lineRule="exact"/>
              <w:jc w:val="center"/>
              <w:rPr>
                <w:rStyle w:val="13"/>
                <w:rFonts w:ascii="方正仿宋简体" w:hAnsi="黑体" w:eastAsia="方正仿宋简体" w:cs="方正仿宋简体"/>
                <w:color w:val="auto"/>
                <w:sz w:val="28"/>
                <w:szCs w:val="28"/>
                <w:u w:val="none"/>
              </w:rPr>
            </w:pPr>
          </w:p>
        </w:tc>
        <w:tc>
          <w:tcPr>
            <w:tcW w:w="1339" w:type="dxa"/>
            <w:noWrap/>
            <w:vAlign w:val="center"/>
          </w:tcPr>
          <w:p>
            <w:pPr>
              <w:spacing w:line="560" w:lineRule="exact"/>
              <w:jc w:val="left"/>
              <w:rPr>
                <w:rStyle w:val="13"/>
                <w:rFonts w:ascii="方正仿宋简体" w:hAnsi="黑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315" w:type="dxa"/>
            <w:gridSpan w:val="2"/>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51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4500"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53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6315" w:type="dxa"/>
            <w:gridSpan w:val="2"/>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6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48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1455"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7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51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60"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8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55"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34" w:type="dxa"/>
            <w:vMerge w:val="continue"/>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6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48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45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3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157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7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161.87</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131.36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科学技术管理事务</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2060101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行政运行</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69.36</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99.87</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91.71</w:t>
            </w:r>
          </w:p>
        </w:tc>
        <w:tc>
          <w:tcPr>
            <w:tcW w:w="145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8.16</w:t>
            </w: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科学技术普及</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2060702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科普活动</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2060705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科技馆站</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w:t>
            </w:r>
          </w:p>
        </w:tc>
        <w:tc>
          <w:tcPr>
            <w:tcW w:w="1560" w:type="dxa"/>
            <w:noWrap/>
          </w:tcPr>
          <w:p>
            <w:pPr>
              <w:jc w:val="center"/>
              <w:rPr>
                <w:rStyle w:val="13"/>
                <w:rFonts w:ascii="方正仿宋简体" w:hAnsi="方正仿宋简体" w:eastAsia="方正仿宋简体" w:cs="方正仿宋简体"/>
                <w:color w:val="auto"/>
                <w:sz w:val="28"/>
                <w:szCs w:val="28"/>
                <w:u w:val="none"/>
              </w:rPr>
            </w:pPr>
          </w:p>
        </w:tc>
        <w:tc>
          <w:tcPr>
            <w:tcW w:w="1485" w:type="dxa"/>
            <w:noWrap/>
          </w:tcPr>
          <w:p>
            <w:pPr>
              <w:jc w:val="center"/>
              <w:rPr>
                <w:rStyle w:val="13"/>
                <w:rFonts w:ascii="方正仿宋简体" w:hAnsi="方正仿宋简体" w:eastAsia="方正仿宋简体" w:cs="方正仿宋简体"/>
                <w:color w:val="auto"/>
                <w:sz w:val="28"/>
                <w:szCs w:val="28"/>
                <w:u w:val="none"/>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75"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2060799</w:t>
            </w:r>
          </w:p>
        </w:tc>
        <w:tc>
          <w:tcPr>
            <w:tcW w:w="4740" w:type="dxa"/>
            <w:noWrap/>
            <w:vAlign w:val="center"/>
          </w:tcPr>
          <w:p>
            <w:pPr>
              <w:widowControl/>
              <w:jc w:val="left"/>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其他科学技术普及支出</w:t>
            </w:r>
          </w:p>
        </w:tc>
        <w:tc>
          <w:tcPr>
            <w:tcW w:w="151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18</w:t>
            </w:r>
          </w:p>
        </w:tc>
        <w:tc>
          <w:tcPr>
            <w:tcW w:w="1560"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85" w:type="dxa"/>
            <w:noWrap/>
            <w:vAlign w:val="center"/>
          </w:tcPr>
          <w:p>
            <w:pPr>
              <w:widowControl/>
              <w:jc w:val="center"/>
              <w:textAlignment w:val="center"/>
              <w:rPr>
                <w:rFonts w:ascii="方正仿宋简体" w:hAnsi="方正仿宋简体" w:eastAsia="方正仿宋简体" w:cs="方正仿宋简体"/>
                <w:kern w:val="0"/>
                <w:sz w:val="28"/>
                <w:szCs w:val="28"/>
              </w:rPr>
            </w:pP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9</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社会保障和就业支出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行政事业单位养老支出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11.45</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2080505</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7.63</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2080506</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机关事业单位职业年金缴费支出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卫生健康支出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行政事业单位医疗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2101102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事业单位医疗</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13.32</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住房保障支出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住房改革支出</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18</w:t>
            </w:r>
          </w:p>
        </w:tc>
        <w:tc>
          <w:tcPr>
            <w:tcW w:w="157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2210201</w:t>
            </w:r>
          </w:p>
        </w:tc>
        <w:tc>
          <w:tcPr>
            <w:tcW w:w="474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住房公积金</w:t>
            </w:r>
          </w:p>
        </w:tc>
        <w:tc>
          <w:tcPr>
            <w:tcW w:w="151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56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8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5.74</w:t>
            </w:r>
          </w:p>
        </w:tc>
        <w:tc>
          <w:tcPr>
            <w:tcW w:w="1455" w:type="dxa"/>
            <w:noWrap/>
          </w:tcPr>
          <w:p>
            <w:pPr>
              <w:jc w:val="center"/>
              <w:rPr>
                <w:rStyle w:val="13"/>
                <w:rFonts w:ascii="方正仿宋简体" w:hAnsi="方正仿宋简体" w:eastAsia="方正仿宋简体" w:cs="方正仿宋简体"/>
                <w:color w:val="auto"/>
                <w:sz w:val="28"/>
                <w:szCs w:val="28"/>
                <w:u w:val="none"/>
              </w:rPr>
            </w:pPr>
          </w:p>
        </w:tc>
        <w:tc>
          <w:tcPr>
            <w:tcW w:w="1534" w:type="dxa"/>
            <w:noWrap/>
          </w:tcPr>
          <w:p>
            <w:pPr>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r>
        <w:rPr>
          <w:rStyle w:val="13"/>
          <w:rFonts w:hint="eastAsia" w:ascii="方正仿宋简体" w:hAnsi="方正仿宋简体" w:eastAsia="方正仿宋简体" w:cs="方正仿宋简体"/>
          <w:color w:val="auto"/>
          <w:sz w:val="28"/>
          <w:szCs w:val="28"/>
          <w:u w:val="none"/>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0" w:hRule="exact"/>
          <w:tblHeader/>
          <w:jc w:val="center"/>
        </w:trPr>
        <w:tc>
          <w:tcPr>
            <w:tcW w:w="1041"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noWrap/>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99.87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91.71</w:t>
            </w: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工资福利支出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77.87</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77.87</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基本工资</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25.03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津贴补贴</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20.53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30103</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奖金</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2.09</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30108</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机关事业单位基本养老保险缴费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7.63</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30109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职业年金缴费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30110</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职工基本医疗保险缴费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3.34</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30111</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公务员医疗补助缴费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3.82</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3.82</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30307</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全额离退休人员医疗保险费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6.08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6.08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30112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其他社会保障缴费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565"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0.88</w:t>
            </w:r>
          </w:p>
        </w:tc>
        <w:tc>
          <w:tcPr>
            <w:tcW w:w="2329"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30113</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住房公积金</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565"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5.74</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预留增资</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565"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w:t>
            </w:r>
          </w:p>
        </w:tc>
        <w:tc>
          <w:tcPr>
            <w:tcW w:w="2329" w:type="dxa"/>
            <w:noWrap/>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14</w:t>
            </w:r>
          </w:p>
        </w:tc>
        <w:tc>
          <w:tcPr>
            <w:tcW w:w="1515"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30102</w:t>
            </w:r>
          </w:p>
        </w:tc>
        <w:tc>
          <w:tcPr>
            <w:tcW w:w="4650" w:type="dxa"/>
            <w:noWrap/>
            <w:vAlign w:val="center"/>
          </w:tcPr>
          <w:p>
            <w:pPr>
              <w:spacing w:line="560" w:lineRule="exact"/>
              <w:jc w:val="left"/>
              <w:rPr>
                <w:rFonts w:ascii="方正仿宋简体" w:hAnsi="方正仿宋简体" w:eastAsia="方正仿宋简体" w:cs="方正仿宋简体"/>
                <w:kern w:val="0"/>
                <w:sz w:val="28"/>
                <w:szCs w:val="28"/>
              </w:rPr>
            </w:pPr>
            <w:r>
              <w:rPr>
                <w:rStyle w:val="13"/>
                <w:rFonts w:hint="eastAsia" w:ascii="方正仿宋简体" w:hAnsi="方正仿宋简体" w:eastAsia="方正仿宋简体" w:cs="方正仿宋简体"/>
                <w:color w:val="auto"/>
                <w:sz w:val="28"/>
                <w:szCs w:val="28"/>
                <w:u w:val="none"/>
              </w:rPr>
              <w:t>在职住宅取暖费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3.79</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3.79</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15</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30302</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退休住宅取暖费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7.76</w:t>
            </w:r>
          </w:p>
        </w:tc>
        <w:tc>
          <w:tcPr>
            <w:tcW w:w="2565" w:type="dxa"/>
            <w:noWrap/>
          </w:tcPr>
          <w:p>
            <w:pPr>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7.76</w:t>
            </w: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16</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商品和服务支出</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办公费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19</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30207</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邮电费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差旅费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515"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30217</w:t>
            </w:r>
          </w:p>
        </w:tc>
        <w:tc>
          <w:tcPr>
            <w:tcW w:w="46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公务接待费</w:t>
            </w:r>
          </w:p>
        </w:tc>
        <w:tc>
          <w:tcPr>
            <w:tcW w:w="2640"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30215</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会议费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30216</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培训费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30228</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工会经费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30229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26</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30231</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公务用车运行维护费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27</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退休人员福利费</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28</w:t>
            </w:r>
          </w:p>
        </w:tc>
        <w:tc>
          <w:tcPr>
            <w:tcW w:w="1515"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30239</w:t>
            </w:r>
          </w:p>
        </w:tc>
        <w:tc>
          <w:tcPr>
            <w:tcW w:w="4650" w:type="dxa"/>
            <w:noWrap/>
            <w:vAlign w:val="center"/>
          </w:tcPr>
          <w:p>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公车补贴费用</w:t>
            </w:r>
          </w:p>
        </w:tc>
        <w:tc>
          <w:tcPr>
            <w:tcW w:w="2640"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c>
          <w:tcPr>
            <w:tcW w:w="2565" w:type="dxa"/>
            <w:noWrap/>
          </w:tcPr>
          <w:p>
            <w:pPr>
              <w:jc w:val="center"/>
              <w:rPr>
                <w:rFonts w:ascii="方正仿宋简体" w:hAnsi="方正仿宋简体" w:eastAsia="方正仿宋简体" w:cs="方正仿宋简体"/>
                <w:sz w:val="28"/>
                <w:szCs w:val="28"/>
              </w:rPr>
            </w:pPr>
          </w:p>
        </w:tc>
        <w:tc>
          <w:tcPr>
            <w:tcW w:w="2329" w:type="dxa"/>
            <w:noWrap/>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29</w:t>
            </w:r>
          </w:p>
        </w:tc>
        <w:tc>
          <w:tcPr>
            <w:tcW w:w="1515"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30299</w:t>
            </w:r>
          </w:p>
        </w:tc>
        <w:tc>
          <w:tcPr>
            <w:tcW w:w="4650" w:type="dxa"/>
            <w:noWrap/>
            <w:vAlign w:val="center"/>
          </w:tcPr>
          <w:p>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其他业务费</w:t>
            </w:r>
          </w:p>
        </w:tc>
        <w:tc>
          <w:tcPr>
            <w:tcW w:w="2640"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c>
          <w:tcPr>
            <w:tcW w:w="2565" w:type="dxa"/>
            <w:noWrap/>
          </w:tcPr>
          <w:p>
            <w:pPr>
              <w:jc w:val="center"/>
              <w:rPr>
                <w:rStyle w:val="13"/>
                <w:rFonts w:ascii="方正仿宋简体" w:hAnsi="方正仿宋简体" w:eastAsia="方正仿宋简体" w:cs="方正仿宋简体"/>
                <w:color w:val="auto"/>
                <w:sz w:val="28"/>
                <w:szCs w:val="28"/>
                <w:u w:val="none"/>
              </w:rPr>
            </w:pPr>
          </w:p>
        </w:tc>
        <w:tc>
          <w:tcPr>
            <w:tcW w:w="2329" w:type="dxa"/>
            <w:noWrap/>
            <w:vAlign w:val="center"/>
          </w:tcPr>
          <w:p>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kern w:val="0"/>
                <w:sz w:val="28"/>
                <w:szCs w:val="28"/>
              </w:rPr>
              <w:t>0.06</w:t>
            </w: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3"/>
                <w:rFonts w:ascii="方正仿宋简体" w:hAnsi="方正仿宋简体" w:eastAsia="方正仿宋简体" w:cs="方正仿宋简体"/>
                <w:color w:val="auto"/>
                <w:sz w:val="28"/>
                <w:szCs w:val="28"/>
                <w:u w:val="none"/>
              </w:rPr>
            </w:pPr>
          </w:p>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956" w:type="dxa"/>
            <w:gridSpan w:val="2"/>
            <w:noWrap/>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747"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3"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49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747"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5956"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83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12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74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3"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9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5535" w:type="dxa"/>
            <w:gridSpan w:val="2"/>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264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8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2659"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291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25"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4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58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659"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注：无国有资本经营预算财政拨款预算，空表列示。</w:t>
      </w:r>
    </w:p>
    <w:p>
      <w:pPr>
        <w:spacing w:line="560" w:lineRule="exact"/>
        <w:jc w:val="left"/>
        <w:rPr>
          <w:rStyle w:val="13"/>
          <w:rFonts w:ascii="方正仿宋简体" w:hAnsi="方正仿宋简体" w:eastAsia="方正仿宋简体" w:cs="方正仿宋简体"/>
          <w:color w:val="auto"/>
          <w:sz w:val="28"/>
          <w:szCs w:val="28"/>
          <w:u w:val="none"/>
        </w:rPr>
      </w:pP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本级预算财政拨款“三公”经费支出表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731遵化市科学技术协会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950" w:type="dxa"/>
            <w:vMerge w:val="restart"/>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9906" w:type="dxa"/>
            <w:gridSpan w:val="4"/>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950" w:type="dxa"/>
            <w:vMerge w:val="continue"/>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一般公共预算       财政拨款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政府性基金         预算拨款</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950"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2.06</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一、因公出国（境）费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二、公务用车购置及运维费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其中：公务用车购置费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2.05</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3950" w:type="dxa"/>
            <w:noWrap/>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三、公务接待费</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6"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0.01</w:t>
            </w: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noWrap/>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遵化市科学技术协会本级2022年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》、《地方预决算公开操作规程》和《河北省省级预算公开办法》规定，现将遵化市融媒体中心本级2022年本级预算公开如下：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spacing w:line="500" w:lineRule="exact"/>
        <w:ind w:firstLine="560" w:firstLineChars="200"/>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根据《遵化市科学技术协会本级职能配置、内设机构和人员编制规定》， 遵化市科学技术协会本级的主要职责是：</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sz w:val="28"/>
          <w:szCs w:val="28"/>
        </w:rPr>
        <w:t>1、</w:t>
      </w:r>
      <w:r>
        <w:rPr>
          <w:rFonts w:hint="eastAsia" w:ascii="方正仿宋简体" w:hAnsi="仿宋" w:eastAsia="方正仿宋简体" w:cs="仿宋"/>
          <w:sz w:val="28"/>
          <w:szCs w:val="28"/>
        </w:rPr>
        <w:t>贯彻落实党和国家有关加强科学技术普及工作的方针;会同有关本级制定和组织实施全市科学技术普及工作的规划,推动科学技术进步和全市科学技术普及工作的发展；</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2、开展学术交流,促进科学发展、引进新成果,推广新技术，抓好科普示范基地建设,促进科技成果向现代生产力转化；</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3、维护科技工作者的合法权益,反映科技工作者的意见和要求,组织科技工作者参与科技政策、地方性法规的拟定、科学决策和民主监督工作。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4、开展反对伪科学、反科学活动。</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5、组织科技人员搞好科技咨询服务,开展民间技术交流。</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6、与有关本级配合,搞好科技人员的培训工作。</w:t>
      </w:r>
    </w:p>
    <w:p>
      <w:pPr>
        <w:spacing w:line="500" w:lineRule="exact"/>
        <w:ind w:firstLine="560" w:firstLineChars="200"/>
        <w:jc w:val="left"/>
        <w:rPr>
          <w:rFonts w:ascii="方正仿宋简体" w:hAnsi="仿宋" w:eastAsia="方正仿宋简体" w:cs="仿宋"/>
          <w:sz w:val="28"/>
          <w:szCs w:val="28"/>
        </w:rPr>
      </w:pPr>
      <w:r>
        <w:rPr>
          <w:rFonts w:hint="eastAsia" w:ascii="方正仿宋简体" w:hAnsi="仿宋" w:eastAsia="方正仿宋简体" w:cs="仿宋"/>
          <w:sz w:val="28"/>
          <w:szCs w:val="28"/>
        </w:rPr>
        <w:t>7、承办市委、市政府交办的其他工作任务。</w:t>
      </w:r>
    </w:p>
    <w:p>
      <w:pPr>
        <w:spacing w:line="560" w:lineRule="exact"/>
        <w:ind w:firstLine="560" w:firstLineChars="200"/>
        <w:jc w:val="left"/>
        <w:rPr>
          <w:rFonts w:ascii="方正仿宋简体" w:hAnsi="仿宋" w:eastAsia="方正仿宋简体"/>
          <w:sz w:val="28"/>
          <w:szCs w:val="28"/>
        </w:rPr>
      </w:pPr>
      <w:r>
        <w:rPr>
          <w:rFonts w:hint="eastAsia" w:ascii="方正仿宋简体" w:hAnsi="方正仿宋简体" w:eastAsia="方正仿宋简体" w:cs="方正仿宋简体"/>
          <w:sz w:val="28"/>
          <w:szCs w:val="28"/>
        </w:rPr>
        <w:t>遵化市科学技术协会参公编制8名。实有参公人员6名</w:t>
      </w:r>
      <w:r>
        <w:rPr>
          <w:rFonts w:hint="eastAsia" w:ascii="方正仿宋简体" w:hAnsi="仿宋" w:eastAsia="方正仿宋简体"/>
          <w:sz w:val="28"/>
          <w:szCs w:val="28"/>
        </w:rPr>
        <w:t>。</w:t>
      </w:r>
    </w:p>
    <w:p>
      <w:pPr>
        <w:autoSpaceDE w:val="0"/>
        <w:autoSpaceDN w:val="0"/>
        <w:adjustRightInd w:val="0"/>
        <w:ind w:firstLine="640" w:firstLineChars="200"/>
        <w:jc w:val="left"/>
        <w:rPr>
          <w:rFonts w:ascii="方正楷体简体" w:hAnsi="Times New Roman" w:eastAsia="方正楷体简体"/>
          <w:sz w:val="32"/>
          <w:szCs w:val="32"/>
        </w:rPr>
      </w:pPr>
      <w:r>
        <w:rPr>
          <w:rFonts w:hint="eastAsia" w:ascii="方正楷体简体" w:hAnsi="Times New Roman" w:eastAsia="方正楷体简体"/>
          <w:sz w:val="32"/>
          <w:szCs w:val="32"/>
        </w:rPr>
        <w:t>(二)机构设置</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1.办公室：负责科协机关行政事务、文秘收发、档案管理、财务管理、人事、劳资等工作。</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2.科普学会部：承办科学技术的推广、普及事宜，搞好科学技术网络的建设；组织技术培训；指导市内各技术研究会的工作；制定科学事业发展规划；组织科技人员开展学术交流和竞赛活动；负责重点工作和重大活动新闻报道工作；宣传优秀科技工作者的先进事迹，反映科技工作者的建议、呼声和要求；开展反对伪科学、反科学活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3.科技咨询部</w:t>
      </w:r>
    </w:p>
    <w:p>
      <w:pPr>
        <w:autoSpaceDE w:val="0"/>
        <w:autoSpaceDN w:val="0"/>
        <w:adjustRightInd w:val="0"/>
        <w:ind w:firstLine="640" w:firstLineChars="200"/>
        <w:jc w:val="left"/>
        <w:rPr>
          <w:rFonts w:ascii="方正仿宋简体" w:hAnsi="Times New Roman" w:eastAsia="方正仿宋简体"/>
          <w:sz w:val="32"/>
          <w:szCs w:val="32"/>
        </w:rPr>
      </w:pPr>
      <w:r>
        <w:rPr>
          <w:rFonts w:hint="eastAsia" w:ascii="方正仿宋简体" w:hAnsi="Times New Roman" w:eastAsia="方正仿宋简体"/>
          <w:sz w:val="32"/>
          <w:szCs w:val="32"/>
        </w:rPr>
        <w:t>组织科技人员搞好技术服务，帮助解决有关技术问题；组织民间科技交流活动。</w:t>
      </w:r>
    </w:p>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w:t>
            </w:r>
          </w:p>
        </w:tc>
        <w:tc>
          <w:tcPr>
            <w:tcW w:w="2250"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noWrap/>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autoSpaceDE w:val="0"/>
        <w:autoSpaceDN w:val="0"/>
        <w:adjustRightInd w:val="0"/>
        <w:ind w:firstLine="643" w:firstLineChars="200"/>
        <w:jc w:val="left"/>
        <w:rPr>
          <w:rFonts w:ascii="方正楷体简体" w:hAnsi="Times New Roman" w:eastAsia="方正楷体简体"/>
          <w:b/>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二、本级预算安排的总体情况</w:t>
      </w:r>
      <w:bookmarkEnd w:id="1"/>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按照预算管理有关规定，目前我本级预算的编制实行综合预算制度，即全部收入和支出都反映在预算中。遵化市科学技术协会的收支包含在本级预算中。</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2022年预算收入161.87万元，其中：一般公共预算收入161.87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560" w:lineRule="exact"/>
        <w:ind w:firstLine="641"/>
        <w:rPr>
          <w:rFonts w:ascii="方正仿宋简体" w:hAnsi="宋体" w:eastAsia="方正仿宋简体" w:cs="宋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科学技术协会2022年度本级预算中支出预算的总体情况。2022年支出预算161.87万元，其中：基本支出99.87万元，包括：人员经费91.71万元和日常公用经费8.16万元；项目支出62万元，主要为科普活动经费、老科协业务经费、科技馆经费等。</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560" w:lineRule="exact"/>
        <w:ind w:firstLine="640"/>
        <w:rPr>
          <w:rFonts w:ascii="方正仿宋简体" w:hAnsi="仿宋" w:eastAsia="方正仿宋简体"/>
          <w:sz w:val="32"/>
          <w:szCs w:val="32"/>
        </w:rPr>
      </w:pPr>
      <w:r>
        <w:rPr>
          <w:rFonts w:hint="eastAsia" w:ascii="方正仿宋简体" w:hAnsi="方正仿宋简体" w:eastAsia="方正仿宋简体" w:cs="方正仿宋简体"/>
          <w:sz w:val="32"/>
          <w:szCs w:val="32"/>
        </w:rPr>
        <w:t>2022年预算收支安排161.87万元，较2022年预算增加15.94万元，其中：基本支出减少0.94万元，主要为日常公用经费</w:t>
      </w:r>
      <w:r>
        <w:rPr>
          <w:rFonts w:hint="eastAsia" w:ascii="方正仿宋简体" w:hAnsi="仿宋" w:eastAsia="方正仿宋简体"/>
          <w:sz w:val="32"/>
          <w:szCs w:val="32"/>
        </w:rPr>
        <w:t>减少</w:t>
      </w:r>
      <w:r>
        <w:rPr>
          <w:rFonts w:hint="eastAsia" w:ascii="方正仿宋简体" w:hAnsi="方正仿宋简体" w:eastAsia="方正仿宋简体" w:cs="方正仿宋简体"/>
          <w:sz w:val="32"/>
          <w:szCs w:val="32"/>
        </w:rPr>
        <w:t>；项目支出</w:t>
      </w:r>
      <w:bookmarkStart w:id="2" w:name="_Toc68791547"/>
      <w:r>
        <w:rPr>
          <w:rFonts w:hint="eastAsia" w:ascii="方正仿宋简体" w:hAnsi="仿宋" w:eastAsia="方正仿宋简体"/>
          <w:sz w:val="32"/>
          <w:szCs w:val="32"/>
        </w:rPr>
        <w:t>增加了15万元，主要是中央补助科技馆免费开放项目15万元。</w:t>
      </w:r>
    </w:p>
    <w:p>
      <w:pPr>
        <w:numPr>
          <w:ilvl w:val="0"/>
          <w:numId w:val="1"/>
        </w:num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机关运行经费安排情况</w:t>
      </w:r>
      <w:bookmarkEnd w:id="2"/>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2022年，本本级机关运行经费共计安排8.16万元，主要用于办公费0.18万元，电费0.12万元，邮电费0.43万元，差旅费0.12万元，会议费0.03万元，培训费0.03万元，公务接待费0.01万元，工会经费0.55万元，福利费0.63万元，公务用车运行维护费2.05万元，退休干部福利费0.23万元，其他交通费用3.72万元，其他商品和服务支出0.06万元等日常运行支出。</w:t>
      </w:r>
    </w:p>
    <w:p>
      <w:pPr>
        <w:numPr>
          <w:ilvl w:val="0"/>
          <w:numId w:val="1"/>
        </w:num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2022年我本级财政拨款“三公”经费预算安排2.06万元，较2021年减少0.04万元，其中公务接待费减少0.04万元，主要是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 xml:space="preserve">。具体安排情况为： </w:t>
      </w:r>
    </w:p>
    <w:p>
      <w:pPr>
        <w:spacing w:line="620" w:lineRule="exact"/>
        <w:ind w:firstLine="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（一）</w:t>
      </w:r>
      <w:r>
        <w:rPr>
          <w:rFonts w:hint="eastAsia" w:ascii="方正仿宋简体" w:hAnsi="方正仿宋简体" w:eastAsia="方正仿宋简体" w:cs="方正仿宋简体"/>
          <w:kern w:val="2"/>
          <w:sz w:val="32"/>
          <w:szCs w:val="32"/>
          <w:lang w:eastAsia="zh-CN"/>
        </w:rPr>
        <w:t>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年相比持平，无增减变化。其中：①公务用车购置费安排0万元，与202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年相比持平，车辆运行维护费严格按照统一定额标准，公车数量未发生增减，车辆运行维护费无变化。</w:t>
      </w:r>
    </w:p>
    <w:p>
      <w:pPr>
        <w:spacing w:line="620" w:lineRule="exact"/>
        <w:ind w:left="560"/>
        <w:jc w:val="left"/>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（二）公务接待费。安排0.01万元，较2021年减少0.04万元，主要是</w:t>
      </w:r>
      <w:r>
        <w:rPr>
          <w:rFonts w:hint="eastAsia" w:ascii="方正仿宋简体" w:hAnsi="仿宋" w:eastAsia="方正仿宋简体" w:cs="仿宋"/>
          <w:sz w:val="32"/>
          <w:szCs w:val="32"/>
          <w:lang w:eastAsia="zh-CN"/>
        </w:rPr>
        <w:t>厉行节约，</w:t>
      </w:r>
      <w:r>
        <w:rPr>
          <w:rFonts w:hint="eastAsia" w:ascii="方正仿宋简体" w:hAnsi="仿宋" w:eastAsia="方正仿宋简体" w:cs="仿宋"/>
          <w:sz w:val="32"/>
          <w:szCs w:val="32"/>
        </w:rPr>
        <w:t>减少日常公务接待</w:t>
      </w:r>
      <w:r>
        <w:rPr>
          <w:rFonts w:hint="eastAsia" w:ascii="方正仿宋简体" w:hAnsi="仿宋" w:eastAsia="方正仿宋简体" w:cs="仿宋"/>
          <w:sz w:val="32"/>
          <w:szCs w:val="32"/>
          <w:lang w:eastAsia="zh-CN"/>
        </w:rPr>
        <w:t>费用</w:t>
      </w:r>
      <w:r>
        <w:rPr>
          <w:rFonts w:hint="eastAsia" w:ascii="方正仿宋简体" w:hAnsi="仿宋" w:eastAsia="方正仿宋简体" w:cs="仿宋"/>
          <w:sz w:val="32"/>
          <w:szCs w:val="32"/>
        </w:rPr>
        <w:t>。</w:t>
      </w:r>
    </w:p>
    <w:p>
      <w:pPr>
        <w:pStyle w:val="27"/>
        <w:keepNext w:val="0"/>
        <w:keepLines w:val="0"/>
        <w:pageBreakBefore w:val="0"/>
        <w:widowControl w:val="0"/>
        <w:kinsoku/>
        <w:wordWrap/>
        <w:overflowPunct/>
        <w:topLinePunct w:val="0"/>
        <w:autoSpaceDE/>
        <w:autoSpaceDN/>
        <w:bidi w:val="0"/>
        <w:adjustRightInd/>
        <w:snapToGrid/>
        <w:spacing w:line="570" w:lineRule="exact"/>
        <w:ind w:left="71" w:leftChars="34" w:firstLine="561"/>
        <w:textAlignment w:val="auto"/>
        <w:rPr>
          <w:rFonts w:ascii="方正黑体简体" w:hAnsi="方正黑体简体" w:eastAsia="方正黑体简体" w:cs="方正黑体简体"/>
          <w:sz w:val="32"/>
          <w:szCs w:val="32"/>
        </w:rPr>
      </w:pPr>
      <w:r>
        <w:rPr>
          <w:rFonts w:hint="eastAsia" w:ascii="方正仿宋简体" w:hAnsi="仿宋" w:eastAsia="方正仿宋简体" w:cs="仿宋"/>
          <w:sz w:val="32"/>
          <w:szCs w:val="32"/>
        </w:rPr>
        <w:t>（三）</w:t>
      </w:r>
      <w:r>
        <w:rPr>
          <w:rFonts w:hint="eastAsia" w:ascii="方正仿宋简体" w:hAnsi="方正仿宋简体" w:eastAsia="方正仿宋简体" w:cs="方正仿宋简体"/>
          <w:kern w:val="2"/>
          <w:sz w:val="32"/>
          <w:szCs w:val="32"/>
          <w:lang w:eastAsia="zh-CN"/>
        </w:rPr>
        <w:t>因公出国（境）费安排0万元，与202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年相比持平，无增减变化。原因是没有因公出国安排，所以未安排因公出国费。</w:t>
      </w:r>
    </w:p>
    <w:p>
      <w:pPr>
        <w:spacing w:line="620" w:lineRule="exact"/>
        <w:ind w:firstLine="560"/>
        <w:jc w:val="left"/>
        <w:rPr>
          <w:rFonts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2022年）》，继续加强科普基础设施建设，开展多种形式的科普活动，加强各级科协科普服务能力建设及科普人才队伍建设，加快科普信息化进程，为公众提供更好的科普公共产品和服务。</w:t>
      </w:r>
    </w:p>
    <w:p>
      <w:pPr>
        <w:numPr>
          <w:ilvl w:val="0"/>
          <w:numId w:val="2"/>
        </w:num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分项绩效目标</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1.科学技术普及活动</w:t>
      </w:r>
    </w:p>
    <w:p>
      <w:pPr>
        <w:spacing w:line="56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开展科普惠农、科普益民等重点科普活动；开展科普下乡等系列科普活动。加强大众媒体科普传播能力建设。实施社会科普资源开发共享、县级特色科普工程，培养科普组织和科普人才。</w:t>
      </w:r>
    </w:p>
    <w:p>
      <w:pPr>
        <w:spacing w:line="56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通过开展各种科普活动，吸引各重点人群参与，普及科普知识；实现社会科普资源共享程度提高，科普传播能力不断增强。</w:t>
      </w:r>
    </w:p>
    <w:p>
      <w:pPr>
        <w:pStyle w:val="2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绩效指标：通过科普资源开发与共建共享及加强科普信息化建设大幅度提升公共科普服务能力。科普活动参与者满意度指标值=100%。</w:t>
      </w:r>
    </w:p>
    <w:p>
      <w:pPr>
        <w:spacing w:line="560" w:lineRule="exact"/>
        <w:ind w:firstLine="643" w:firstLineChars="200"/>
        <w:jc w:val="left"/>
        <w:rPr>
          <w:rFonts w:ascii="方正仿宋简体" w:hAnsi="仿宋" w:eastAsia="方正仿宋简体" w:cs="仿宋"/>
          <w:sz w:val="32"/>
          <w:szCs w:val="32"/>
        </w:rPr>
      </w:pPr>
      <w:r>
        <w:rPr>
          <w:rFonts w:hint="eastAsia" w:ascii="方正仿宋简体" w:hAnsi="仿宋" w:eastAsia="方正仿宋简体" w:cs="仿宋"/>
          <w:b/>
          <w:sz w:val="32"/>
          <w:szCs w:val="32"/>
        </w:rPr>
        <w:t>2.</w:t>
      </w:r>
      <w:r>
        <w:rPr>
          <w:rFonts w:hint="eastAsia" w:ascii="方正仿宋简体" w:hAnsi="仿宋" w:eastAsia="方正仿宋简体" w:cs="仿宋"/>
          <w:sz w:val="32"/>
          <w:szCs w:val="32"/>
        </w:rPr>
        <w:t>老科协综合业务</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方正仿宋简体" w:eastAsia="方正仿宋简体" w:cs="方正仿宋简体"/>
          <w:sz w:val="32"/>
          <w:szCs w:val="32"/>
        </w:rPr>
        <w:t>开展专题调研，制定科学普及发展规划，保障机关网站运行、科普项目管理、机关织建设等各项工作开展。</w:t>
      </w:r>
    </w:p>
    <w:p>
      <w:pPr>
        <w:spacing w:beforeLines="50" w:line="560" w:lineRule="exact"/>
        <w:ind w:firstLine="62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绩效目标：</w:t>
      </w:r>
      <w:r>
        <w:rPr>
          <w:rFonts w:hint="eastAsia" w:ascii="方正仿宋简体" w:hAnsi="方正仿宋简体" w:eastAsia="方正仿宋简体" w:cs="方正仿宋简体"/>
          <w:sz w:val="32"/>
          <w:szCs w:val="32"/>
        </w:rPr>
        <w:t>各类科普业务工作谋划到位、开展有序，助推科普事业发展能力提升。保障机关工作正常高效运转。</w:t>
      </w:r>
    </w:p>
    <w:p>
      <w:pPr>
        <w:spacing w:beforeLines="50" w:line="560" w:lineRule="exact"/>
        <w:ind w:firstLine="629"/>
        <w:rPr>
          <w:rFonts w:ascii="方正仿宋简体" w:hAnsi="仿宋_GB2312" w:eastAsia="方正仿宋简体" w:cs="仿宋_GB2312"/>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项目实施对科普活动工作的发展影响度，能够长期较好地开展示，长期满足人民群众对科学文化的需求。科普活动参与者满意度指标值=100%。</w:t>
      </w:r>
      <w:r>
        <w:rPr>
          <w:rFonts w:hint="eastAsia" w:ascii="方正仿宋简体" w:eastAsia="方正仿宋简体"/>
          <w:sz w:val="32"/>
          <w:szCs w:val="32"/>
        </w:rPr>
        <w:fldChar w:fldCharType="begin"/>
      </w:r>
      <w:r>
        <w:rPr>
          <w:rFonts w:hint="eastAsia" w:ascii="方正仿宋简体" w:hAnsi="仿宋_GB2312" w:eastAsia="方正仿宋简体" w:cs="仿宋_GB2312"/>
          <w:sz w:val="32"/>
          <w:szCs w:val="32"/>
        </w:rPr>
        <w:instrText xml:space="preserve"> TC 分项绩效目标 \f A \l 1 </w:instrText>
      </w:r>
      <w:r>
        <w:rPr>
          <w:rFonts w:hint="eastAsia" w:ascii="方正仿宋简体" w:hAnsi="仿宋_GB2312" w:eastAsia="方正仿宋简体" w:cs="仿宋_GB2312"/>
          <w:sz w:val="32"/>
          <w:szCs w:val="32"/>
        </w:rPr>
        <w:fldChar w:fldCharType="end"/>
      </w:r>
    </w:p>
    <w:p>
      <w:pPr>
        <w:pStyle w:val="22"/>
        <w:ind w:firstLine="643" w:firstLineChars="200"/>
        <w:rPr>
          <w:rFonts w:ascii="方正仿宋简体" w:hAnsi="方正仿宋简体" w:eastAsia="方正仿宋简体" w:cs="方正仿宋简体"/>
          <w:kern w:val="0"/>
          <w:sz w:val="32"/>
          <w:szCs w:val="32"/>
        </w:rPr>
      </w:pPr>
      <w:r>
        <w:rPr>
          <w:rFonts w:hint="eastAsia" w:ascii="方正仿宋简体" w:hAnsi="仿宋" w:eastAsia="方正仿宋简体" w:cs="仿宋"/>
          <w:b/>
          <w:sz w:val="32"/>
          <w:szCs w:val="32"/>
        </w:rPr>
        <w:t>3.</w:t>
      </w:r>
      <w:r>
        <w:rPr>
          <w:rFonts w:hint="eastAsia" w:ascii="方正仿宋简体" w:hAnsi="仿宋" w:eastAsia="方正仿宋简体" w:cs="仿宋"/>
          <w:sz w:val="32"/>
          <w:szCs w:val="32"/>
        </w:rPr>
        <w:t>冀财教【2021】119号关于提前下达2022年科技馆免费开放中央补助资金</w:t>
      </w:r>
      <w:r>
        <w:rPr>
          <w:rFonts w:hint="eastAsia" w:ascii="方正仿宋简体" w:hAnsi="方正仿宋简体" w:eastAsia="方正仿宋简体" w:cs="方正仿宋简体"/>
          <w:kern w:val="0"/>
          <w:sz w:val="32"/>
          <w:szCs w:val="32"/>
        </w:rPr>
        <w:t>主要用于科技馆建成后设备的维护、科技展品等更新设备。</w:t>
      </w:r>
    </w:p>
    <w:p>
      <w:pPr>
        <w:pStyle w:val="22"/>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保障科技馆的设备维护维修和科技展品设备更新，助推科技馆宣传能力提升，保障科技馆工作正常高效运转。</w:t>
      </w:r>
    </w:p>
    <w:p>
      <w:pPr>
        <w:widowControl/>
        <w:wordWrap w:val="0"/>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w:t>
      </w:r>
      <w:r>
        <w:rPr>
          <w:rFonts w:hint="eastAsia" w:ascii="方正仿宋简体" w:hAnsi="方正仿宋简体" w:eastAsia="方正仿宋简体" w:cs="方正仿宋简体"/>
          <w:sz w:val="32"/>
          <w:szCs w:val="32"/>
        </w:rPr>
        <w:t>通过科技馆长期免费开放形成对公众科技传播与科普教育的可持续影响；激发青少年科学兴趣，培养科学思维，创兴精神和实践能力，科普活动参与者满意度指标值=100%。</w:t>
      </w:r>
    </w:p>
    <w:p>
      <w:pPr>
        <w:spacing w:line="56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4.科技馆站</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组织开展科普宣传日活动；学生团体参观等活动。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保障科技馆的设备维护，保障科技馆的宣传讲解，扩大对外宣传，开展多种形式的文化交流活动，充分展示科技馆良好形象，不断提高知名度、美誉度。</w:t>
      </w:r>
    </w:p>
    <w:p>
      <w:pPr>
        <w:widowControl/>
        <w:wordWrap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绩效指标：通过科技馆长期免费开放形成对公众科技传播与科普教育的可持续影响；激发青少年科学兴趣，培养科学思维，创兴精神和实践能力，科普活动参与者满意度指标值=100%。</w:t>
      </w:r>
    </w:p>
    <w:p>
      <w:pPr>
        <w:numPr>
          <w:ilvl w:val="0"/>
          <w:numId w:val="2"/>
        </w:numPr>
        <w:spacing w:line="620" w:lineRule="exact"/>
        <w:ind w:firstLine="56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工作保障措施</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为进一步贯彻落实《</w:t>
      </w:r>
      <w:r>
        <w:rPr>
          <w:rFonts w:hint="eastAsia" w:ascii="方正仿宋简体" w:hAnsi="方正仿宋简体" w:eastAsia="方正仿宋简体" w:cs="方正仿宋简体"/>
          <w:kern w:val="0"/>
          <w:sz w:val="32"/>
          <w:szCs w:val="32"/>
          <w:lang w:eastAsia="zh-CN"/>
        </w:rPr>
        <w:t>中华人民共和国预算法</w:t>
      </w:r>
      <w:r>
        <w:rPr>
          <w:rFonts w:hint="eastAsia" w:ascii="方正仿宋简体" w:hAnsi="方正仿宋简体" w:eastAsia="方正仿宋简体" w:cs="方正仿宋简体"/>
          <w:kern w:val="0"/>
          <w:sz w:val="32"/>
          <w:szCs w:val="32"/>
        </w:rPr>
        <w:t>》，全面实施预算绩效管理，提高资金使用效益，实现本级年度绩效目标，市科协从加强组织领导、完善制度建设、规范财务支出管理、宣传培训等方面制定保障措施，现汇报如下：</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1.加强组织领导，确保绩效管理体制健全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市科协党组高度重视预算绩效工作，为全面加强我单位绩效管理，我单位几年来已形成“一把手亲自抓，分管领导具体管，业务本级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2.加强制度建设，促进内部控制不断完善</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制度建设是绩效管理工作的基石，市科协根据实际情况，从本级层面、单位层面、项目层面分别制定了多项管理办法，并编制了《科协内控手册》，为年度预算的编制、执行、项目监督、绩效评价等系列工作提供了制度基础，同时也明确了各部室（事业单位）的工作任务，工作职责。2022年我们将依据此类文件，修订完善本级绩效管理制度的相关文件，确保我本级绩效管理工作有效开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3.加强支出管理，确保绩效运行安全合理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支出管理是预算执行的重要组成部分，是预算编制的延续，我本级通过优化支出结构、细化预算编制、专人负责政府采购等多种措施，确保支出规范，进度达标。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4.加强宣传培训调研，提升绩效管理能力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加强对财务人员和相关工作人员培训力度，使财务人员熟悉绩效管理流程，掌握工作方式方法，提升绩效管理能力。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hAnsi="方正仿宋简体" w:eastAsia="方正仿宋简体" w:cs="方正仿宋简体"/>
          <w:sz w:val="32"/>
          <w:szCs w:val="32"/>
        </w:rPr>
      </w:pPr>
      <w:r>
        <w:rPr>
          <w:rFonts w:ascii="方正仿宋简体" w:hAnsi="方正仿宋简体" w:eastAsia="方正仿宋简体" w:cs="方正仿宋简体"/>
          <w:kern w:val="0"/>
          <w:sz w:val="32"/>
          <w:szCs w:val="32"/>
        </w:rPr>
        <w:br w:type="page"/>
      </w:r>
      <w:r>
        <w:rPr>
          <w:rFonts w:hint="eastAsia" w:ascii="方正仿宋简体" w:hAnsi="方正仿宋简体" w:eastAsia="方正仿宋简体" w:cs="方正仿宋简体"/>
          <w:sz w:val="32"/>
          <w:szCs w:val="32"/>
        </w:rPr>
        <w:t>本级预算项目绩效目标</w:t>
      </w:r>
      <w:bookmarkStart w:id="5" w:name="_Toc68791550"/>
    </w:p>
    <w:p>
      <w:pPr>
        <w:ind w:firstLine="560"/>
        <w:jc w:val="left"/>
        <w:outlineLvl w:val="3"/>
        <w:rPr>
          <w:rFonts w:ascii="方正仿宋简体" w:hAnsi="方正仿宋简体" w:eastAsia="方正仿宋简体" w:cs="方正仿宋简体"/>
          <w:sz w:val="32"/>
          <w:szCs w:val="32"/>
        </w:rPr>
      </w:pPr>
      <w:bookmarkStart w:id="6" w:name="_Toc_4_4_0000000004"/>
      <w:r>
        <w:rPr>
          <w:rFonts w:hint="eastAsia" w:ascii="方正仿宋简体" w:hAnsi="方正仿宋简体" w:eastAsia="方正仿宋简体" w:cs="方正仿宋简体"/>
          <w:sz w:val="32"/>
          <w:szCs w:val="32"/>
        </w:rPr>
        <w:t>1.科普活动经费绩效目标表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9"/>
        <w:gridCol w:w="1327"/>
        <w:gridCol w:w="1327"/>
        <w:gridCol w:w="1327"/>
        <w:gridCol w:w="1327"/>
        <w:gridCol w:w="1327"/>
        <w:gridCol w:w="22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84"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2210"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13028122P00CXKE10003A</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864"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2210"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1、开展科普惠农、科普益民等重点科普活动；开展科普下乡等系列科普活动。2、加强大众媒体科普传播能力建设。3、实施社会科普资源开发共享、县级特色科普工程，培养科普组织和科普人才。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537"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537"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845"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1.6月底前完成总任务的50%</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2.1月底前完成100%</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8"/>
        <w:gridCol w:w="1327"/>
        <w:gridCol w:w="1327"/>
        <w:gridCol w:w="2654"/>
        <w:gridCol w:w="1327"/>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88"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175"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科普活动期间开展科普活动共总数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科普活动在公众间的影响力</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随机抽查的80人中对科普活动认同数占比</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科普活动项目按时完成率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项目发挥作用期限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项目实施对全民科学素质提升的持续影响期限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投入效益使用率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项目实施对科普工作发展影响度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宣传材料发放率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全年发放宣传册数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≥50000册</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调查中满意和较满意的参与者数量占调查总人数的比率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≥90百分比</w:t>
            </w:r>
          </w:p>
        </w:tc>
        <w:tc>
          <w:tcPr>
            <w:tcW w:w="2175"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pStyle w:val="21"/>
        <w:spacing w:line="620" w:lineRule="exact"/>
        <w:ind w:firstLine="0"/>
        <w:rPr>
          <w:rFonts w:ascii="方正仿宋简体" w:hAnsi="方正仿宋简体" w:eastAsia="方正仿宋简体" w:cs="方正仿宋简体"/>
          <w:sz w:val="32"/>
          <w:szCs w:val="32"/>
        </w:rPr>
      </w:pPr>
    </w:p>
    <w:p>
      <w:pPr>
        <w:tabs>
          <w:tab w:val="left" w:pos="312"/>
        </w:tabs>
        <w:ind w:left="560"/>
        <w:jc w:val="left"/>
        <w:outlineLvl w:val="3"/>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br w:type="page"/>
      </w:r>
      <w:r>
        <w:rPr>
          <w:rFonts w:hint="eastAsia" w:ascii="方正仿宋简体" w:hAnsi="方正仿宋简体" w:eastAsia="方正仿宋简体" w:cs="方正仿宋简体"/>
          <w:sz w:val="32"/>
          <w:szCs w:val="32"/>
        </w:rPr>
        <w:t>2.老科协业务经费绩效目标表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4"/>
        <w:gridCol w:w="1327"/>
        <w:gridCol w:w="1327"/>
        <w:gridCol w:w="1327"/>
        <w:gridCol w:w="1327"/>
        <w:gridCol w:w="1327"/>
        <w:gridCol w:w="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79"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1845"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13028122P00338710002Y</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4499"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老科协业务经费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1845"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根据有关规定，老科协所需工作经费要列入财政预算。主要用于开展专题调研，制定科学普及发展规划，保障机关网站运行、科普项目管理、机关织建设等各项工作开展。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3172"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172"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8480"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1.促进科普基础设施不断完善，培育一批科普工作者，科技工作者，科普资源不断丰富。</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2.组织开展主题科普活动，系列活动为抓手，大力提高科普公共能力。</w:t>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9"/>
        <w:gridCol w:w="1327"/>
        <w:gridCol w:w="1327"/>
        <w:gridCol w:w="2654"/>
        <w:gridCol w:w="1327"/>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19"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180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组织开展科普活动次数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科普活动期间，开展科普活动总数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培训人员科普服务能力的提升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服务的完成度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开展科普活动的服务完好率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项目使用年限</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开展活动项目使用年限</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长期率</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科普工作发展影响度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项目实施对科普活动工作的发展影响度</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较大</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组织会议次数</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组织开展主题活动组织会议次数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≥50次</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9"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群众满意数量占总数的比例。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≥85百分比</w:t>
            </w:r>
          </w:p>
        </w:tc>
        <w:tc>
          <w:tcPr>
            <w:tcW w:w="180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年度工作计划</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3.冀财教【2021】119号关于提前下达2022年科技馆免费开放中央补助资金的通知绩效目标表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34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731001遵化市科学技术协会本级</w:t>
            </w:r>
          </w:p>
        </w:tc>
        <w:tc>
          <w:tcPr>
            <w:tcW w:w="349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13028122P002709100019</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6151" w:type="dxa"/>
            <w:gridSpan w:val="3"/>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冀财教【2021】119号关于提前下达2022年科技馆免费开放中央补助资金的通知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15.00</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3497" w:type="dxa"/>
            <w:noWrap/>
            <w:vAlign w:val="center"/>
          </w:tcPr>
          <w:p>
            <w:pPr>
              <w:pStyle w:val="23"/>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按财政预算一般公共预算收入进度和馆长免费开放工作开展情况，到财政本级下达的项目资金预算后，用于科技馆展品更新购置、维修及其他运行维护费用。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4824" w:type="dxa"/>
            <w:gridSpan w:val="2"/>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pPr>
              <w:rPr>
                <w:rFonts w:ascii="方正仿宋简体" w:hAnsi="方正仿宋简体" w:eastAsia="方正仿宋简体" w:cs="方正仿宋简体"/>
                <w:szCs w:val="21"/>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482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132" w:type="dxa"/>
            <w:gridSpan w:val="6"/>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1.充分发挥科技馆科普宣传主阵地作用，在馆内外开展一些喜闻乐见、参与性强的活动，从而提高科技馆影响力。</w:t>
            </w:r>
          </w:p>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2.保障科技馆的宣传讲解</w:t>
            </w:r>
          </w:p>
        </w:tc>
      </w:tr>
    </w:tbl>
    <w:p>
      <w:pPr>
        <w:spacing w:line="2" w:lineRule="exact"/>
        <w:jc w:val="center"/>
        <w:rPr>
          <w:rFonts w:ascii="方正仿宋简体" w:hAnsi="方正仿宋简体" w:eastAsia="方正仿宋简体" w:cs="方正仿宋简体"/>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65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327"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3494" w:type="dxa"/>
            <w:noWrap/>
            <w:vAlign w:val="center"/>
          </w:tcPr>
          <w:p>
            <w:pPr>
              <w:pStyle w:val="2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按预算资金完成率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送流动文化服务进基层完成率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100%（送流动文化服务进基层完成率）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各项任务完成及时率（%）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100%（各项任务完成的实际完成率）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补助资金发放完成率（%）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实际补助资金占应到位补助资金的比例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100%（按照专项资金管理办法要求按时、按质、按量拨付补助资金）</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组织参观学习人次</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100人次（组织参观学习人次）</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科技进步贡献率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反映科技产业经济发展的拉动作用</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≥5%（科技产业在国民生产总值中占比稳步增高)</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生态效益增长率</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反映参观使用各类公共文化设施的受众数量增长情况</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≥15%（公共文化服务体系建设逐步进入百姓生活）</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促进重点工作有效开展</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对遵化公众科学素质的提升提供支持</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ign w:val="center"/>
          </w:tcPr>
          <w:p>
            <w:pPr>
              <w:rPr>
                <w:rFonts w:ascii="方正仿宋简体" w:hAnsi="方正仿宋简体" w:eastAsia="方正仿宋简体" w:cs="方正仿宋简体"/>
                <w:szCs w:val="21"/>
              </w:rPr>
            </w:pP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长期使用性</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能够长期较好的开展展演、展映、展播、展示，长期满足人民群众对精神文化的需求。</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爱国主义教育是一项长期性的工作</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265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系列组织活动参与者满意人数占参与人数的比例</w:t>
            </w:r>
          </w:p>
        </w:tc>
        <w:tc>
          <w:tcPr>
            <w:tcW w:w="1327"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100%（通过问卷调查，满意和较满意的受益对象占全部调研对象的比率）</w:t>
            </w:r>
          </w:p>
        </w:tc>
        <w:tc>
          <w:tcPr>
            <w:tcW w:w="3494" w:type="dxa"/>
            <w:noWrap/>
            <w:vAlign w:val="center"/>
          </w:tcPr>
          <w:p>
            <w:pPr>
              <w:pStyle w:val="23"/>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&lt;&lt;关于提前下达2022年科技馆免费开放中央补助资金的通知&gt;&gt;</w:t>
            </w:r>
          </w:p>
        </w:tc>
      </w:tr>
    </w:tbl>
    <w:p>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pPr>
        <w:ind w:firstLine="560"/>
        <w:jc w:val="lef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4.科技馆运行经费绩效目标表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5"/>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10" w:type="dxa"/>
            <w:gridSpan w:val="6"/>
            <w:tcBorders>
              <w:top w:val="single" w:color="FFFFFF" w:sz="6" w:space="0"/>
              <w:left w:val="single" w:color="FFFFFF" w:sz="6" w:space="0"/>
              <w:right w:val="single" w:color="FFFFFF" w:sz="6" w:space="0"/>
            </w:tcBorders>
            <w:noWrap/>
            <w:vAlign w:val="center"/>
          </w:tcPr>
          <w:p>
            <w:pPr>
              <w:pStyle w:val="26"/>
              <w:rPr>
                <w:rFonts w:ascii="方正仿宋简体" w:hAnsi="方正仿宋简体" w:eastAsia="方正仿宋简体" w:cs="方正仿宋简体"/>
              </w:rPr>
            </w:pPr>
            <w:r>
              <w:rPr>
                <w:rFonts w:hint="eastAsia" w:ascii="方正仿宋简体" w:hAnsi="方正仿宋简体" w:eastAsia="方正仿宋简体" w:cs="方正仿宋简体"/>
              </w:rPr>
              <w:t>731001遵化市科学技术协会本级</w:t>
            </w:r>
          </w:p>
        </w:tc>
        <w:tc>
          <w:tcPr>
            <w:tcW w:w="1327" w:type="dxa"/>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13028122P003380100027</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981" w:type="dxa"/>
            <w:gridSpan w:val="3"/>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noWrap/>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保障科技馆的设备维护，保障科技馆的宣传讲解，扩大对外宣传，开展多种形式的文化交流活动，充分展示科技馆良好形象，不断提高知名度、美誉度。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noWrap/>
          </w:tcPr>
          <w:p>
            <w:pPr>
              <w:rPr>
                <w:rFonts w:ascii="方正仿宋简体" w:hAnsi="方正仿宋简体" w:eastAsia="方正仿宋简体" w:cs="方正仿宋简体"/>
              </w:rPr>
            </w:pP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654" w:type="dxa"/>
            <w:gridSpan w:val="2"/>
            <w:noWrap/>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7962" w:type="dxa"/>
            <w:gridSpan w:val="6"/>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1.保障科技馆的设备维护</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2.保障科技馆的宣传讲解</w:t>
            </w:r>
          </w:p>
        </w:tc>
      </w:tr>
    </w:tbl>
    <w:p>
      <w:pPr>
        <w:spacing w:line="2" w:lineRule="exact"/>
        <w:jc w:val="center"/>
        <w:rPr>
          <w:rFonts w:ascii="方正仿宋简体" w:hAnsi="方正仿宋简体" w:eastAsia="方正仿宋简体" w:cs="方正仿宋简体"/>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8"/>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98"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科技馆对外开放天数</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全年对外开放天数</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≥300天</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科技馆展示设备完好率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展品及科普设备保证正常运转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保障设备正常运转</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开展活动的任务完成及时率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科技馆全年预算执行率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restart"/>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科技传播与科普教育长期性</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通过科技馆长期免费开放，形成对公众科技传播与科普教育的可持续性影响。</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长期</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维护完成率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科技展品的维护完成率　</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促进公众科学素质的提升</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通过科技馆的免费开放，对遵化公众科学素质的提升提供支持。</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较大</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vMerge w:val="continue"/>
            <w:noWrap/>
            <w:vAlign w:val="center"/>
          </w:tcPr>
          <w:p>
            <w:pPr>
              <w:rPr>
                <w:rFonts w:ascii="方正仿宋简体" w:hAnsi="方正仿宋简体" w:eastAsia="方正仿宋简体" w:cs="方正仿宋简体"/>
              </w:rPr>
            </w:pP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得到广大群众的认可。</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8" w:type="dxa"/>
            <w:noWrap/>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654"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参观人员整体满意度</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≥85百分比</w:t>
            </w:r>
          </w:p>
        </w:tc>
        <w:tc>
          <w:tcPr>
            <w:tcW w:w="1327" w:type="dxa"/>
            <w:noWrap/>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rPr>
          <w:rFonts w:ascii="方正仿宋简体" w:hAnsi="方正仿宋简体" w:eastAsia="方正仿宋简体" w:cs="方正仿宋简体"/>
        </w:rPr>
      </w:pPr>
    </w:p>
    <w:p>
      <w:pPr>
        <w:pStyle w:val="21"/>
        <w:spacing w:line="620" w:lineRule="exact"/>
        <w:ind w:firstLine="0"/>
        <w:rPr>
          <w:rFonts w:ascii="方正仿宋简体" w:hAnsi="方正仿宋简体" w:eastAsia="方正仿宋简体" w:cs="方正仿宋简体"/>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p>
    <w:p>
      <w:pPr>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六、政府采购预算情况</w:t>
      </w:r>
      <w:bookmarkEnd w:id="5"/>
    </w:p>
    <w:p>
      <w:pPr>
        <w:ind w:firstLine="640" w:firstLineChars="200"/>
        <w:outlineLvl w:val="0"/>
        <w:rPr>
          <w:rFonts w:ascii="方正仿宋简体" w:hAnsi="方正仿宋简体" w:eastAsia="方正仿宋简体" w:cs="方正仿宋简体"/>
          <w:sz w:val="32"/>
          <w:szCs w:val="32"/>
        </w:rPr>
      </w:pPr>
      <w:bookmarkStart w:id="7" w:name="_Toc471398468"/>
      <w:r>
        <w:rPr>
          <w:rFonts w:hint="eastAsia" w:ascii="方正仿宋简体" w:hAnsi="方正仿宋简体" w:eastAsia="方正仿宋简体" w:cs="方正仿宋简体"/>
          <w:sz w:val="32"/>
          <w:szCs w:val="32"/>
        </w:rPr>
        <w:t>2022年，我本级安排政府采购预算0万元。具体内容见下表。</w:t>
      </w:r>
    </w:p>
    <w:p>
      <w:pPr>
        <w:ind w:firstLine="640" w:firstLineChars="200"/>
        <w:outlineLvl w:val="0"/>
        <w:rPr>
          <w:rFonts w:ascii="方正仿宋简体" w:hAnsi="方正仿宋简体" w:eastAsia="方正仿宋简体" w:cs="方正仿宋简体"/>
          <w:sz w:val="32"/>
          <w:szCs w:val="32"/>
        </w:rPr>
      </w:pPr>
    </w:p>
    <w:bookmarkEnd w:id="7"/>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913"/>
        <w:gridCol w:w="1312"/>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731002遵化市科学技术协会</w:t>
            </w:r>
          </w:p>
        </w:tc>
        <w:tc>
          <w:tcPr>
            <w:tcW w:w="6985" w:type="dxa"/>
            <w:gridSpan w:val="6"/>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政府采购金额（当年本级预算安排资金）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1" w:hRule="atLeast"/>
          <w:tblHeader/>
          <w:jc w:val="center"/>
        </w:trPr>
        <w:tc>
          <w:tcPr>
            <w:tcW w:w="102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ign w:val="center"/>
          </w:tcPr>
          <w:p>
            <w:pPr>
              <w:jc w:val="left"/>
              <w:rPr>
                <w:rFonts w:ascii="方正仿宋简体" w:hAnsi="方正仿宋简体" w:eastAsia="方正仿宋简体" w:cs="方正仿宋简体"/>
                <w:bCs/>
                <w:sz w:val="32"/>
                <w:szCs w:val="32"/>
              </w:rPr>
            </w:pPr>
          </w:p>
        </w:tc>
        <w:tc>
          <w:tcPr>
            <w:tcW w:w="1410" w:type="dxa"/>
            <w:vMerge w:val="continue"/>
            <w:noWrap/>
            <w:vAlign w:val="center"/>
          </w:tcPr>
          <w:p>
            <w:pPr>
              <w:jc w:val="left"/>
              <w:rPr>
                <w:rFonts w:ascii="方正仿宋简体" w:hAnsi="方正仿宋简体" w:eastAsia="方正仿宋简体" w:cs="方正仿宋简体"/>
                <w:bCs/>
                <w:sz w:val="32"/>
                <w:szCs w:val="32"/>
              </w:rPr>
            </w:pPr>
          </w:p>
        </w:tc>
        <w:tc>
          <w:tcPr>
            <w:tcW w:w="1065" w:type="dxa"/>
            <w:vMerge w:val="continue"/>
            <w:noWrap/>
            <w:vAlign w:val="center"/>
          </w:tcPr>
          <w:p>
            <w:pPr>
              <w:jc w:val="left"/>
              <w:rPr>
                <w:rFonts w:ascii="方正仿宋简体" w:hAnsi="方正仿宋简体" w:eastAsia="方正仿宋简体" w:cs="方正仿宋简体"/>
                <w:bCs/>
                <w:sz w:val="32"/>
                <w:szCs w:val="32"/>
              </w:rPr>
            </w:pPr>
          </w:p>
        </w:tc>
        <w:tc>
          <w:tcPr>
            <w:tcW w:w="1020" w:type="dxa"/>
            <w:vMerge w:val="continue"/>
            <w:noWrap/>
            <w:vAlign w:val="center"/>
          </w:tcPr>
          <w:p>
            <w:pPr>
              <w:jc w:val="left"/>
              <w:rPr>
                <w:rFonts w:ascii="方正仿宋简体" w:hAnsi="方正仿宋简体" w:eastAsia="方正仿宋简体" w:cs="方正仿宋简体"/>
                <w:bCs/>
                <w:sz w:val="32"/>
                <w:szCs w:val="32"/>
              </w:rPr>
            </w:pPr>
          </w:p>
        </w:tc>
        <w:tc>
          <w:tcPr>
            <w:tcW w:w="953" w:type="dxa"/>
            <w:vMerge w:val="continue"/>
            <w:noWrap/>
            <w:vAlign w:val="center"/>
          </w:tcPr>
          <w:p>
            <w:pPr>
              <w:jc w:val="left"/>
              <w:rPr>
                <w:rFonts w:ascii="方正仿宋简体" w:hAnsi="方正仿宋简体" w:eastAsia="方正仿宋简体" w:cs="方正仿宋简体"/>
                <w:bCs/>
                <w:sz w:val="32"/>
                <w:szCs w:val="32"/>
              </w:rPr>
            </w:pPr>
          </w:p>
        </w:tc>
        <w:tc>
          <w:tcPr>
            <w:tcW w:w="913"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12"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300" w:lineRule="exact"/>
              <w:jc w:val="left"/>
              <w:rPr>
                <w:rFonts w:ascii="方正仿宋简体" w:hAnsi="方正仿宋简体" w:eastAsia="方正仿宋简体" w:cs="方正仿宋简体"/>
                <w:bCs/>
                <w:sz w:val="24"/>
                <w:szCs w:val="24"/>
              </w:rPr>
            </w:pPr>
          </w:p>
        </w:tc>
        <w:tc>
          <w:tcPr>
            <w:tcW w:w="1035" w:type="dxa"/>
            <w:noWrap/>
            <w:vAlign w:val="center"/>
          </w:tcPr>
          <w:p>
            <w:pPr>
              <w:spacing w:line="300" w:lineRule="exact"/>
              <w:jc w:val="right"/>
              <w:rPr>
                <w:rFonts w:ascii="方正仿宋简体" w:hAnsi="方正仿宋简体" w:eastAsia="方正仿宋简体" w:cs="方正仿宋简体"/>
                <w:bCs/>
                <w:sz w:val="24"/>
                <w:szCs w:val="24"/>
              </w:rPr>
            </w:pPr>
          </w:p>
        </w:tc>
        <w:tc>
          <w:tcPr>
            <w:tcW w:w="1245" w:type="dxa"/>
            <w:noWrap/>
            <w:vAlign w:val="center"/>
          </w:tcPr>
          <w:p>
            <w:pPr>
              <w:spacing w:line="300" w:lineRule="exact"/>
              <w:jc w:val="left"/>
              <w:rPr>
                <w:rFonts w:ascii="方正仿宋简体" w:hAnsi="方正仿宋简体" w:eastAsia="方正仿宋简体" w:cs="方正仿宋简体"/>
                <w:bCs/>
                <w:sz w:val="24"/>
                <w:szCs w:val="24"/>
              </w:rPr>
            </w:pPr>
          </w:p>
        </w:tc>
        <w:tc>
          <w:tcPr>
            <w:tcW w:w="1410" w:type="dxa"/>
            <w:noWrap/>
            <w:vAlign w:val="center"/>
          </w:tcPr>
          <w:p>
            <w:pPr>
              <w:pStyle w:val="23"/>
              <w:rPr>
                <w:rFonts w:ascii="方正仿宋简体" w:hAnsi="方正仿宋简体" w:eastAsia="方正仿宋简体" w:cs="方正仿宋简体"/>
                <w:bCs/>
                <w:sz w:val="24"/>
                <w:szCs w:val="24"/>
              </w:rPr>
            </w:pPr>
          </w:p>
        </w:tc>
        <w:tc>
          <w:tcPr>
            <w:tcW w:w="1065" w:type="dxa"/>
            <w:noWrap/>
            <w:vAlign w:val="center"/>
          </w:tcPr>
          <w:p>
            <w:pPr>
              <w:spacing w:line="300" w:lineRule="exact"/>
              <w:jc w:val="center"/>
              <w:rPr>
                <w:rFonts w:ascii="方正仿宋简体" w:hAnsi="方正仿宋简体" w:eastAsia="方正仿宋简体" w:cs="方正仿宋简体"/>
                <w:bCs/>
                <w:sz w:val="24"/>
                <w:szCs w:val="24"/>
              </w:rPr>
            </w:pPr>
          </w:p>
        </w:tc>
        <w:tc>
          <w:tcPr>
            <w:tcW w:w="1020" w:type="dxa"/>
            <w:noWrap/>
            <w:vAlign w:val="center"/>
          </w:tcPr>
          <w:p>
            <w:pPr>
              <w:spacing w:line="300" w:lineRule="exact"/>
              <w:jc w:val="right"/>
              <w:rPr>
                <w:rFonts w:ascii="方正仿宋简体" w:hAnsi="方正仿宋简体" w:eastAsia="方正仿宋简体" w:cs="方正仿宋简体"/>
                <w:bCs/>
                <w:sz w:val="24"/>
                <w:szCs w:val="24"/>
              </w:rPr>
            </w:pPr>
          </w:p>
        </w:tc>
        <w:tc>
          <w:tcPr>
            <w:tcW w:w="953" w:type="dxa"/>
            <w:noWrap/>
            <w:vAlign w:val="center"/>
          </w:tcPr>
          <w:p>
            <w:pPr>
              <w:spacing w:line="300" w:lineRule="exact"/>
              <w:jc w:val="right"/>
              <w:rPr>
                <w:rFonts w:ascii="方正仿宋简体" w:hAnsi="方正仿宋简体" w:eastAsia="方正仿宋简体" w:cs="方正仿宋简体"/>
                <w:bCs/>
                <w:sz w:val="24"/>
                <w:szCs w:val="24"/>
              </w:rPr>
            </w:pPr>
          </w:p>
        </w:tc>
        <w:tc>
          <w:tcPr>
            <w:tcW w:w="913" w:type="dxa"/>
            <w:noWrap/>
            <w:vAlign w:val="center"/>
          </w:tcPr>
          <w:p>
            <w:pPr>
              <w:spacing w:line="300" w:lineRule="exact"/>
              <w:jc w:val="right"/>
              <w:rPr>
                <w:rFonts w:ascii="方正仿宋简体" w:hAnsi="方正仿宋简体" w:eastAsia="方正仿宋简体" w:cs="方正仿宋简体"/>
                <w:bCs/>
                <w:sz w:val="24"/>
                <w:szCs w:val="24"/>
              </w:rPr>
            </w:pPr>
          </w:p>
        </w:tc>
        <w:tc>
          <w:tcPr>
            <w:tcW w:w="1312" w:type="dxa"/>
            <w:noWrap/>
            <w:vAlign w:val="center"/>
          </w:tcPr>
          <w:p>
            <w:pPr>
              <w:spacing w:line="300" w:lineRule="exact"/>
              <w:jc w:val="right"/>
              <w:rPr>
                <w:rFonts w:ascii="方正仿宋简体" w:hAnsi="方正仿宋简体" w:eastAsia="方正仿宋简体" w:cs="方正仿宋简体"/>
                <w:bCs/>
                <w:sz w:val="24"/>
                <w:szCs w:val="24"/>
              </w:rPr>
            </w:pPr>
          </w:p>
        </w:tc>
        <w:tc>
          <w:tcPr>
            <w:tcW w:w="1149" w:type="dxa"/>
            <w:noWrap/>
            <w:vAlign w:val="center"/>
          </w:tcPr>
          <w:p>
            <w:pPr>
              <w:spacing w:line="300" w:lineRule="exact"/>
              <w:jc w:val="left"/>
              <w:rPr>
                <w:rFonts w:ascii="方正仿宋简体" w:hAnsi="方正仿宋简体" w:eastAsia="方正仿宋简体" w:cs="方正仿宋简体"/>
                <w:bCs/>
                <w:sz w:val="24"/>
                <w:szCs w:val="24"/>
              </w:rPr>
            </w:pPr>
          </w:p>
        </w:tc>
        <w:tc>
          <w:tcPr>
            <w:tcW w:w="1487" w:type="dxa"/>
            <w:noWrap/>
            <w:vAlign w:val="center"/>
          </w:tcPr>
          <w:p>
            <w:pPr>
              <w:spacing w:line="300" w:lineRule="exact"/>
              <w:jc w:val="right"/>
              <w:rPr>
                <w:rFonts w:ascii="方正仿宋简体" w:hAnsi="方正仿宋简体" w:eastAsia="方正仿宋简体" w:cs="方正仿宋简体"/>
                <w:bCs/>
                <w:sz w:val="24"/>
                <w:szCs w:val="24"/>
              </w:rPr>
            </w:pPr>
          </w:p>
        </w:tc>
        <w:tc>
          <w:tcPr>
            <w:tcW w:w="1058" w:type="dxa"/>
            <w:noWrap/>
            <w:vAlign w:val="center"/>
          </w:tcPr>
          <w:p>
            <w:pPr>
              <w:spacing w:line="300" w:lineRule="exact"/>
              <w:jc w:val="right"/>
              <w:rPr>
                <w:rFonts w:ascii="方正仿宋简体" w:hAnsi="方正仿宋简体" w:eastAsia="方正仿宋简体" w:cs="方正仿宋简体"/>
                <w:bCs/>
                <w:sz w:val="24"/>
                <w:szCs w:val="24"/>
              </w:rPr>
            </w:pPr>
          </w:p>
        </w:tc>
        <w:tc>
          <w:tcPr>
            <w:tcW w:w="1066" w:type="dxa"/>
            <w:noWrap/>
            <w:vAlign w:val="center"/>
          </w:tcPr>
          <w:p>
            <w:pPr>
              <w:spacing w:line="300" w:lineRule="exact"/>
              <w:jc w:val="right"/>
              <w:rPr>
                <w:rFonts w:ascii="方正仿宋简体" w:hAnsi="方正仿宋简体" w:eastAsia="方正仿宋简体" w:cs="方正仿宋简体"/>
                <w:bCs/>
                <w:sz w:val="24"/>
                <w:szCs w:val="24"/>
              </w:rPr>
            </w:pPr>
          </w:p>
        </w:tc>
      </w:tr>
    </w:tbl>
    <w:p>
      <w:pPr>
        <w:spacing w:beforeLines="50" w:afterLines="50" w:line="560" w:lineRule="exact"/>
        <w:jc w:val="left"/>
        <w:outlineLvl w:val="2"/>
        <w:rPr>
          <w:rFonts w:ascii="方正黑体简体" w:hAnsi="方正黑体简体" w:eastAsia="方正黑体简体" w:cs="方正黑体简体"/>
          <w:sz w:val="32"/>
          <w:szCs w:val="32"/>
        </w:rPr>
      </w:pPr>
      <w:bookmarkStart w:id="8"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8"/>
    </w:p>
    <w:p>
      <w:p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遵化市科学技术协会上年末固定资产金额为44.35万元（详见下表），</w:t>
      </w:r>
      <w:r>
        <w:rPr>
          <w:rFonts w:hint="eastAsia" w:ascii="方正仿宋简体" w:hAnsi="仿宋" w:eastAsia="方正仿宋简体"/>
          <w:kern w:val="0"/>
          <w:sz w:val="32"/>
          <w:szCs w:val="32"/>
        </w:rPr>
        <w:t>其中：车辆1辆18.87万元，其他固定资产25.48万元，2022年度未安排固定资产购置。</w:t>
      </w:r>
    </w:p>
    <w:tbl>
      <w:tblPr>
        <w:tblStyle w:val="9"/>
        <w:tblW w:w="0" w:type="auto"/>
        <w:tblInd w:w="0" w:type="dxa"/>
        <w:tblLayout w:type="fixed"/>
        <w:tblCellMar>
          <w:top w:w="0" w:type="dxa"/>
          <w:left w:w="108" w:type="dxa"/>
          <w:bottom w:w="0" w:type="dxa"/>
          <w:right w:w="108" w:type="dxa"/>
        </w:tblCellMar>
      </w:tblPr>
      <w:tblGrid>
        <w:gridCol w:w="5224"/>
        <w:gridCol w:w="3155"/>
        <w:gridCol w:w="5496"/>
      </w:tblGrid>
      <w:tr>
        <w:tblPrEx>
          <w:tblCellMar>
            <w:top w:w="0" w:type="dxa"/>
            <w:left w:w="108" w:type="dxa"/>
            <w:bottom w:w="0" w:type="dxa"/>
            <w:right w:w="108" w:type="dxa"/>
          </w:tblCellMar>
        </w:tblPrEx>
        <w:trPr>
          <w:trHeight w:val="705" w:hRule="atLeast"/>
        </w:trPr>
        <w:tc>
          <w:tcPr>
            <w:tcW w:w="13875" w:type="dxa"/>
            <w:gridSpan w:val="3"/>
            <w:tcBorders>
              <w:top w:val="nil"/>
              <w:left w:val="nil"/>
              <w:bottom w:val="nil"/>
              <w:right w:val="nil"/>
            </w:tcBorders>
            <w:noWrap/>
            <w:vAlign w:val="center"/>
          </w:tcPr>
          <w:p>
            <w:pPr>
              <w:widowControl/>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遵化市科学技术协会固定资产占用情况表</w:t>
            </w:r>
          </w:p>
        </w:tc>
      </w:tr>
      <w:tr>
        <w:tblPrEx>
          <w:tblCellMar>
            <w:top w:w="0" w:type="dxa"/>
            <w:left w:w="108" w:type="dxa"/>
            <w:bottom w:w="0" w:type="dxa"/>
            <w:right w:w="108" w:type="dxa"/>
          </w:tblCellMar>
        </w:tblPrEx>
        <w:trPr>
          <w:trHeight w:val="887" w:hRule="atLeast"/>
        </w:trPr>
        <w:tc>
          <w:tcPr>
            <w:tcW w:w="8379" w:type="dxa"/>
            <w:gridSpan w:val="2"/>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编制本级：遵化市科学技术协会</w:t>
            </w:r>
          </w:p>
        </w:tc>
        <w:tc>
          <w:tcPr>
            <w:tcW w:w="5496" w:type="dxa"/>
            <w:tcBorders>
              <w:top w:val="nil"/>
              <w:left w:val="nil"/>
              <w:bottom w:val="nil"/>
              <w:right w:val="nil"/>
            </w:tcBorders>
            <w:noWrap/>
            <w:vAlign w:val="center"/>
          </w:tcPr>
          <w:p>
            <w:pPr>
              <w:widowControl/>
              <w:jc w:val="left"/>
              <w:rPr>
                <w:rFonts w:ascii="方正仿宋简体" w:eastAsia="方正仿宋简体"/>
                <w:kern w:val="0"/>
                <w:sz w:val="32"/>
                <w:szCs w:val="32"/>
              </w:rPr>
            </w:pPr>
            <w:r>
              <w:rPr>
                <w:rFonts w:hint="eastAsia" w:ascii="方正仿宋简体" w:hAnsi="宋体" w:eastAsia="方正仿宋简体" w:cs="宋体"/>
                <w:kern w:val="0"/>
                <w:sz w:val="32"/>
                <w:szCs w:val="32"/>
              </w:rPr>
              <w:t>截止时间：2021年12月31日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项目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数量</w:t>
            </w:r>
          </w:p>
        </w:tc>
        <w:tc>
          <w:tcPr>
            <w:tcW w:w="5496"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eastAsia="方正仿宋简体"/>
                <w:b/>
                <w:bCs/>
                <w:kern w:val="0"/>
                <w:sz w:val="28"/>
                <w:szCs w:val="28"/>
              </w:rPr>
            </w:pPr>
            <w:r>
              <w:rPr>
                <w:rFonts w:hint="eastAsia" w:ascii="方正仿宋简体" w:hAnsi="宋体" w:eastAsia="方正仿宋简体" w:cs="宋体"/>
                <w:b/>
                <w:bCs/>
                <w:kern w:val="0"/>
                <w:sz w:val="28"/>
                <w:szCs w:val="28"/>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105</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44.35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18.87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eastAsia="方正仿宋简体"/>
                <w:kern w:val="0"/>
                <w:sz w:val="28"/>
                <w:szCs w:val="28"/>
              </w:rPr>
            </w:pPr>
            <w:r>
              <w:rPr>
                <w:rFonts w:hint="eastAsia" w:ascii="方正仿宋简体" w:hAnsi="宋体" w:eastAsia="方正仿宋简体" w:cs="宋体"/>
                <w:kern w:val="0"/>
                <w:sz w:val="28"/>
                <w:szCs w:val="28"/>
              </w:rPr>
              <w:t>4、其他固定资产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eastAsia="方正仿宋简体"/>
                <w:kern w:val="0"/>
                <w:sz w:val="28"/>
                <w:szCs w:val="28"/>
              </w:rPr>
              <w:t>104</w:t>
            </w:r>
          </w:p>
        </w:tc>
        <w:tc>
          <w:tcPr>
            <w:tcW w:w="5496" w:type="dxa"/>
            <w:tcBorders>
              <w:top w:val="nil"/>
              <w:left w:val="nil"/>
              <w:bottom w:val="single" w:color="auto" w:sz="4" w:space="0"/>
              <w:right w:val="single" w:color="auto" w:sz="4" w:space="0"/>
            </w:tcBorders>
            <w:noWrap/>
            <w:vAlign w:val="center"/>
          </w:tcPr>
          <w:p>
            <w:pPr>
              <w:widowControl/>
              <w:jc w:val="center"/>
              <w:rPr>
                <w:rFonts w:ascii="方正仿宋简体" w:eastAsia="方正仿宋简体"/>
                <w:kern w:val="0"/>
                <w:sz w:val="28"/>
                <w:szCs w:val="28"/>
              </w:rPr>
            </w:pPr>
            <w:r>
              <w:rPr>
                <w:rFonts w:hint="eastAsia" w:ascii="方正仿宋简体" w:hAnsi="宋体" w:eastAsia="方正仿宋简体" w:cs="宋体"/>
                <w:kern w:val="0"/>
                <w:sz w:val="28"/>
                <w:szCs w:val="28"/>
              </w:rPr>
              <w:t>25.48</w:t>
            </w:r>
          </w:p>
        </w:tc>
      </w:tr>
    </w:tbl>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方正黑体简体" w:hAnsi="方正黑体简体" w:eastAsia="方正黑体简体" w:cs="方正黑体简体"/>
          <w:sz w:val="32"/>
          <w:szCs w:val="32"/>
        </w:rPr>
      </w:pPr>
      <w:bookmarkStart w:id="9" w:name="_Toc68791552"/>
      <w:r>
        <w:rPr>
          <w:rFonts w:hint="eastAsia" w:ascii="方正黑体简体" w:hAnsi="方正黑体简体" w:eastAsia="方正黑体简体" w:cs="方正黑体简体"/>
          <w:sz w:val="32"/>
          <w:szCs w:val="32"/>
        </w:rPr>
        <w:t>八、名词解释</w:t>
      </w:r>
      <w:bookmarkEnd w:id="9"/>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10" w:name="_Toc68791553"/>
      <w:r>
        <w:rPr>
          <w:rFonts w:hint="eastAsia" w:ascii="方正黑体简体" w:hAnsi="方正黑体简体" w:eastAsia="方正黑体简体" w:cs="方正黑体简体"/>
          <w:sz w:val="32"/>
          <w:szCs w:val="32"/>
        </w:rPr>
        <w:t>九、其他需要说明的事项</w:t>
      </w:r>
      <w:bookmarkEnd w:id="10"/>
    </w:p>
    <w:p>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1、遵化市科学技术协会2022年本级预算中未安排政府性基金预算，故政府性基金预算支出表为空。</w:t>
      </w:r>
    </w:p>
    <w:p>
      <w:pPr>
        <w:tabs>
          <w:tab w:val="left" w:pos="11490"/>
        </w:tabs>
        <w:spacing w:line="560" w:lineRule="exact"/>
        <w:ind w:firstLine="640" w:firstLineChars="200"/>
        <w:rPr>
          <w:rFonts w:ascii="方正仿宋简体" w:hAnsi="宋体" w:eastAsia="方正仿宋简体"/>
          <w:sz w:val="32"/>
          <w:szCs w:val="32"/>
        </w:rPr>
      </w:pPr>
      <w:r>
        <w:rPr>
          <w:rFonts w:hint="eastAsia" w:ascii="方正仿宋简体" w:hAnsi="仿宋" w:eastAsia="方正仿宋简体"/>
          <w:sz w:val="32"/>
          <w:szCs w:val="32"/>
        </w:rPr>
        <w:t>2、遵化市科学技术协会2022年本级预算中未安排资本经营预算，故国有资本经营预算支出表为空。</w:t>
      </w:r>
    </w:p>
    <w:p>
      <w:pPr>
        <w:spacing w:line="560" w:lineRule="exact"/>
        <w:jc w:val="left"/>
        <w:rPr>
          <w:rFonts w:ascii="方正仿宋简体" w:hAnsi="仿宋" w:eastAsia="方正仿宋简体" w:cs="仿宋"/>
          <w:sz w:val="32"/>
          <w:szCs w:val="32"/>
        </w:rPr>
      </w:pPr>
    </w:p>
    <w:sectPr>
      <w:footerReference r:id="rId5"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72127D-6A13-4ECC-A948-92F2C70964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68F639-8E7E-4CD7-822A-75C1D54CB4D1}"/>
  </w:font>
  <w:font w:name="方正仿宋_GBK">
    <w:panose1 w:val="02000000000000000000"/>
    <w:charset w:val="86"/>
    <w:family w:val="auto"/>
    <w:pitch w:val="default"/>
    <w:sig w:usb0="00000000" w:usb1="00000000" w:usb2="00000000" w:usb3="00000000" w:csb0="00000000" w:csb1="00000000"/>
    <w:embedRegular r:id="rId3" w:fontKey="{05CBACC5-A880-4A2C-91B9-55994A0D441B}"/>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58F94273-4C75-468D-8A50-1613C41A1314}"/>
  </w:font>
  <w:font w:name="方正仿宋简体">
    <w:panose1 w:val="03000509000000000000"/>
    <w:charset w:val="86"/>
    <w:family w:val="script"/>
    <w:pitch w:val="default"/>
    <w:sig w:usb0="00000001" w:usb1="080E0000" w:usb2="00000000" w:usb3="00000000" w:csb0="00040000" w:csb1="00000000"/>
    <w:embedRegular r:id="rId5" w:fontKey="{556CDD7F-99D2-46F8-9F70-8C0005A80BA5}"/>
  </w:font>
  <w:font w:name="方正黑体简体">
    <w:panose1 w:val="03000509000000000000"/>
    <w:charset w:val="86"/>
    <w:family w:val="script"/>
    <w:pitch w:val="default"/>
    <w:sig w:usb0="00000001" w:usb1="080E0000" w:usb2="00000000" w:usb3="00000000" w:csb0="00040000" w:csb1="00000000"/>
    <w:embedRegular r:id="rId6" w:fontKey="{DF9EC57A-7672-46A0-BB8D-859DE25C5222}"/>
  </w:font>
  <w:font w:name="方正楷体简体">
    <w:panose1 w:val="03000509000000000000"/>
    <w:charset w:val="86"/>
    <w:family w:val="script"/>
    <w:pitch w:val="default"/>
    <w:sig w:usb0="00000001" w:usb1="080E0000" w:usb2="00000000" w:usb3="00000000" w:csb0="00040000" w:csb1="00000000"/>
    <w:embedRegular r:id="rId7" w:fontKey="{0563D1AB-ECB3-450D-85A2-475AABE8CB6C}"/>
  </w:font>
  <w:font w:name="仿宋">
    <w:panose1 w:val="02010609060101010101"/>
    <w:charset w:val="86"/>
    <w:family w:val="modern"/>
    <w:pitch w:val="default"/>
    <w:sig w:usb0="800002BF" w:usb1="38CF7CFA" w:usb2="00000016" w:usb3="00000000" w:csb0="00040001" w:csb1="00000000"/>
    <w:embedRegular r:id="rId8" w:fontKey="{C16CEEE6-89A9-41F7-BC0F-F9C8F81AE85F}"/>
  </w:font>
  <w:font w:name="仿宋_GB2312">
    <w:panose1 w:val="02010609030101010101"/>
    <w:charset w:val="86"/>
    <w:family w:val="modern"/>
    <w:pitch w:val="default"/>
    <w:sig w:usb0="00000001" w:usb1="080E0000" w:usb2="00000000" w:usb3="00000000" w:csb0="00040000" w:csb1="00000000"/>
    <w:embedRegular r:id="rId9" w:fontKey="{1A5DCA1D-C705-44D0-9B42-AA99BBA2E3A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31" o:spid="_x0000_s3073"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732E"/>
    <w:multiLevelType w:val="singleLevel"/>
    <w:tmpl w:val="BFBE732E"/>
    <w:lvl w:ilvl="0" w:tentative="0">
      <w:start w:val="3"/>
      <w:numFmt w:val="chineseCounting"/>
      <w:suff w:val="nothing"/>
      <w:lvlText w:val="%1、"/>
      <w:lvlJc w:val="left"/>
      <w:rPr>
        <w:rFonts w:hint="eastAsia"/>
      </w:rPr>
    </w:lvl>
  </w:abstractNum>
  <w:abstractNum w:abstractNumId="1">
    <w:nsid w:val="600CEEC7"/>
    <w:multiLevelType w:val="singleLevel"/>
    <w:tmpl w:val="600CE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2OTYwODllYmEwNGQ4OWFiZjM0Nzk2ODVlYTM5MmUifQ=="/>
  </w:docVars>
  <w:rsids>
    <w:rsidRoot w:val="007B7DAC"/>
    <w:rsid w:val="0000191A"/>
    <w:rsid w:val="000119AD"/>
    <w:rsid w:val="000136CC"/>
    <w:rsid w:val="00074492"/>
    <w:rsid w:val="000879D5"/>
    <w:rsid w:val="000963FE"/>
    <w:rsid w:val="000A6480"/>
    <w:rsid w:val="000F5685"/>
    <w:rsid w:val="00111210"/>
    <w:rsid w:val="001248FE"/>
    <w:rsid w:val="00163EAF"/>
    <w:rsid w:val="00183D9D"/>
    <w:rsid w:val="001849C5"/>
    <w:rsid w:val="00244D0B"/>
    <w:rsid w:val="00261BBD"/>
    <w:rsid w:val="00284ECA"/>
    <w:rsid w:val="00285CCD"/>
    <w:rsid w:val="002B4AC8"/>
    <w:rsid w:val="002F55D6"/>
    <w:rsid w:val="00331150"/>
    <w:rsid w:val="00344C44"/>
    <w:rsid w:val="00350E0F"/>
    <w:rsid w:val="00351150"/>
    <w:rsid w:val="003F0308"/>
    <w:rsid w:val="003F6596"/>
    <w:rsid w:val="003F7F77"/>
    <w:rsid w:val="00496EA3"/>
    <w:rsid w:val="004C216B"/>
    <w:rsid w:val="004E3EBA"/>
    <w:rsid w:val="005C1429"/>
    <w:rsid w:val="005D6DE4"/>
    <w:rsid w:val="00622281"/>
    <w:rsid w:val="00627F27"/>
    <w:rsid w:val="00633FBF"/>
    <w:rsid w:val="007440E5"/>
    <w:rsid w:val="007672B7"/>
    <w:rsid w:val="00786A2C"/>
    <w:rsid w:val="00790499"/>
    <w:rsid w:val="007B7DAC"/>
    <w:rsid w:val="007D68CE"/>
    <w:rsid w:val="0093446F"/>
    <w:rsid w:val="00966DCD"/>
    <w:rsid w:val="00992BA3"/>
    <w:rsid w:val="009C7D96"/>
    <w:rsid w:val="009D648F"/>
    <w:rsid w:val="009E057E"/>
    <w:rsid w:val="00A464E7"/>
    <w:rsid w:val="00B04399"/>
    <w:rsid w:val="00BC5742"/>
    <w:rsid w:val="00BD3932"/>
    <w:rsid w:val="00C50B1F"/>
    <w:rsid w:val="00C60112"/>
    <w:rsid w:val="00CA11B5"/>
    <w:rsid w:val="00CB4BB6"/>
    <w:rsid w:val="00D47106"/>
    <w:rsid w:val="00D615E8"/>
    <w:rsid w:val="00D914CC"/>
    <w:rsid w:val="00DC5A62"/>
    <w:rsid w:val="00E56E0E"/>
    <w:rsid w:val="00EB6D40"/>
    <w:rsid w:val="00F308A0"/>
    <w:rsid w:val="00F467C5"/>
    <w:rsid w:val="00F8192C"/>
    <w:rsid w:val="00F85BC6"/>
    <w:rsid w:val="00FC307B"/>
    <w:rsid w:val="024C4CC7"/>
    <w:rsid w:val="031E5023"/>
    <w:rsid w:val="033A6154"/>
    <w:rsid w:val="034F401E"/>
    <w:rsid w:val="03685B9C"/>
    <w:rsid w:val="03D424E6"/>
    <w:rsid w:val="0410644B"/>
    <w:rsid w:val="045F0459"/>
    <w:rsid w:val="049D7FDE"/>
    <w:rsid w:val="04F63CC6"/>
    <w:rsid w:val="05DA705A"/>
    <w:rsid w:val="05F32A99"/>
    <w:rsid w:val="069528D3"/>
    <w:rsid w:val="079A6831"/>
    <w:rsid w:val="07A1465B"/>
    <w:rsid w:val="07CF5EEC"/>
    <w:rsid w:val="07EB0F1A"/>
    <w:rsid w:val="085327BB"/>
    <w:rsid w:val="085C5796"/>
    <w:rsid w:val="08A52DFF"/>
    <w:rsid w:val="08FC3767"/>
    <w:rsid w:val="090411D3"/>
    <w:rsid w:val="09A064A3"/>
    <w:rsid w:val="09A10A0F"/>
    <w:rsid w:val="09AE68F1"/>
    <w:rsid w:val="09F02E64"/>
    <w:rsid w:val="0A597F3F"/>
    <w:rsid w:val="0A6767AA"/>
    <w:rsid w:val="0C472F3C"/>
    <w:rsid w:val="0D937411"/>
    <w:rsid w:val="0DDD0437"/>
    <w:rsid w:val="0E3804ED"/>
    <w:rsid w:val="0E3F4C6B"/>
    <w:rsid w:val="0E551E27"/>
    <w:rsid w:val="0F9A588A"/>
    <w:rsid w:val="0FFE6D6C"/>
    <w:rsid w:val="123E55EC"/>
    <w:rsid w:val="12CB7C01"/>
    <w:rsid w:val="12EF4843"/>
    <w:rsid w:val="134C5AA1"/>
    <w:rsid w:val="139412EE"/>
    <w:rsid w:val="14024900"/>
    <w:rsid w:val="14486641"/>
    <w:rsid w:val="14BA13CD"/>
    <w:rsid w:val="15FD116F"/>
    <w:rsid w:val="161B1841"/>
    <w:rsid w:val="161D4120"/>
    <w:rsid w:val="165D57B7"/>
    <w:rsid w:val="166F3C6D"/>
    <w:rsid w:val="1690383A"/>
    <w:rsid w:val="171659AA"/>
    <w:rsid w:val="17A53929"/>
    <w:rsid w:val="187668BA"/>
    <w:rsid w:val="18792896"/>
    <w:rsid w:val="187C482A"/>
    <w:rsid w:val="1AB3725D"/>
    <w:rsid w:val="1ACD6FF8"/>
    <w:rsid w:val="1C06108A"/>
    <w:rsid w:val="1DFA451A"/>
    <w:rsid w:val="1E1823CB"/>
    <w:rsid w:val="1E1D2B90"/>
    <w:rsid w:val="1E8E32A8"/>
    <w:rsid w:val="1EE95C5B"/>
    <w:rsid w:val="1F971FB0"/>
    <w:rsid w:val="217863C8"/>
    <w:rsid w:val="217F591B"/>
    <w:rsid w:val="21925097"/>
    <w:rsid w:val="229318FF"/>
    <w:rsid w:val="229A1643"/>
    <w:rsid w:val="23152068"/>
    <w:rsid w:val="234E1072"/>
    <w:rsid w:val="23CB4526"/>
    <w:rsid w:val="26B226DA"/>
    <w:rsid w:val="26D70594"/>
    <w:rsid w:val="26E919BE"/>
    <w:rsid w:val="274E3B09"/>
    <w:rsid w:val="27934AA0"/>
    <w:rsid w:val="27A47DDD"/>
    <w:rsid w:val="27AC7CC9"/>
    <w:rsid w:val="288464AA"/>
    <w:rsid w:val="28CF521A"/>
    <w:rsid w:val="29275089"/>
    <w:rsid w:val="2A58631A"/>
    <w:rsid w:val="2AAE7BE1"/>
    <w:rsid w:val="2AD01F14"/>
    <w:rsid w:val="2D1F6C70"/>
    <w:rsid w:val="2D410E5B"/>
    <w:rsid w:val="2D78504F"/>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54F39CB"/>
    <w:rsid w:val="36201C01"/>
    <w:rsid w:val="362D43E7"/>
    <w:rsid w:val="36AD3816"/>
    <w:rsid w:val="370C533A"/>
    <w:rsid w:val="374F5F3F"/>
    <w:rsid w:val="384C4EA0"/>
    <w:rsid w:val="385601F1"/>
    <w:rsid w:val="38F56B86"/>
    <w:rsid w:val="39186904"/>
    <w:rsid w:val="39B95739"/>
    <w:rsid w:val="39EE27C2"/>
    <w:rsid w:val="3A847683"/>
    <w:rsid w:val="3B1C1310"/>
    <w:rsid w:val="3B2F2A32"/>
    <w:rsid w:val="3BE93DE9"/>
    <w:rsid w:val="3E8B7CBC"/>
    <w:rsid w:val="3E9739D8"/>
    <w:rsid w:val="3FC03E23"/>
    <w:rsid w:val="3FC267A5"/>
    <w:rsid w:val="3FD22FC7"/>
    <w:rsid w:val="3FDE78A1"/>
    <w:rsid w:val="408D1B8F"/>
    <w:rsid w:val="40DF0E09"/>
    <w:rsid w:val="41543F25"/>
    <w:rsid w:val="417B67B7"/>
    <w:rsid w:val="41D157C2"/>
    <w:rsid w:val="41F97124"/>
    <w:rsid w:val="42161703"/>
    <w:rsid w:val="425603E3"/>
    <w:rsid w:val="42DA0485"/>
    <w:rsid w:val="43DC73BB"/>
    <w:rsid w:val="4458751E"/>
    <w:rsid w:val="455B6D6B"/>
    <w:rsid w:val="460B556C"/>
    <w:rsid w:val="46243F9B"/>
    <w:rsid w:val="46BA6D19"/>
    <w:rsid w:val="46C2138F"/>
    <w:rsid w:val="46E82FB1"/>
    <w:rsid w:val="47031780"/>
    <w:rsid w:val="476651DD"/>
    <w:rsid w:val="477778C2"/>
    <w:rsid w:val="47B162CD"/>
    <w:rsid w:val="47E576DF"/>
    <w:rsid w:val="48214178"/>
    <w:rsid w:val="483B1E05"/>
    <w:rsid w:val="4870538C"/>
    <w:rsid w:val="48DB0D11"/>
    <w:rsid w:val="492F1465"/>
    <w:rsid w:val="494F7FAB"/>
    <w:rsid w:val="498854B1"/>
    <w:rsid w:val="4BE115E5"/>
    <w:rsid w:val="4C0965DC"/>
    <w:rsid w:val="4CCF71E5"/>
    <w:rsid w:val="4CEA2D7E"/>
    <w:rsid w:val="4D5B1197"/>
    <w:rsid w:val="4D8A180B"/>
    <w:rsid w:val="4DB432F6"/>
    <w:rsid w:val="4E441AC6"/>
    <w:rsid w:val="4E954280"/>
    <w:rsid w:val="4EF349C3"/>
    <w:rsid w:val="4F500EF7"/>
    <w:rsid w:val="4FCD588C"/>
    <w:rsid w:val="4FF3183B"/>
    <w:rsid w:val="4FF56E75"/>
    <w:rsid w:val="4FF7762A"/>
    <w:rsid w:val="503A0A23"/>
    <w:rsid w:val="50887115"/>
    <w:rsid w:val="509B122F"/>
    <w:rsid w:val="50C61561"/>
    <w:rsid w:val="515F5C27"/>
    <w:rsid w:val="51687056"/>
    <w:rsid w:val="51C33170"/>
    <w:rsid w:val="522E159E"/>
    <w:rsid w:val="5329786E"/>
    <w:rsid w:val="54525A49"/>
    <w:rsid w:val="54C120D0"/>
    <w:rsid w:val="54DC46EC"/>
    <w:rsid w:val="555A379D"/>
    <w:rsid w:val="55EA2A2C"/>
    <w:rsid w:val="56032FEE"/>
    <w:rsid w:val="5605007D"/>
    <w:rsid w:val="565B0BD7"/>
    <w:rsid w:val="578B216D"/>
    <w:rsid w:val="579552E9"/>
    <w:rsid w:val="588E0985"/>
    <w:rsid w:val="58E13A06"/>
    <w:rsid w:val="59445C62"/>
    <w:rsid w:val="594E241C"/>
    <w:rsid w:val="59AB1CFA"/>
    <w:rsid w:val="5A136D6A"/>
    <w:rsid w:val="5A502A34"/>
    <w:rsid w:val="5B330849"/>
    <w:rsid w:val="5B5A4219"/>
    <w:rsid w:val="5C4F7C85"/>
    <w:rsid w:val="5C6357D3"/>
    <w:rsid w:val="5C76110E"/>
    <w:rsid w:val="5D2212FE"/>
    <w:rsid w:val="5D3C3B24"/>
    <w:rsid w:val="5D496449"/>
    <w:rsid w:val="5D6967E0"/>
    <w:rsid w:val="5ED47BBF"/>
    <w:rsid w:val="5F5175FF"/>
    <w:rsid w:val="603C30AD"/>
    <w:rsid w:val="6060668D"/>
    <w:rsid w:val="61465208"/>
    <w:rsid w:val="619007F8"/>
    <w:rsid w:val="61E47B98"/>
    <w:rsid w:val="620E3E48"/>
    <w:rsid w:val="62272621"/>
    <w:rsid w:val="6248439C"/>
    <w:rsid w:val="638B4489"/>
    <w:rsid w:val="63DE5EDA"/>
    <w:rsid w:val="64084107"/>
    <w:rsid w:val="645941B3"/>
    <w:rsid w:val="646F2F1F"/>
    <w:rsid w:val="64A2308F"/>
    <w:rsid w:val="64B4044D"/>
    <w:rsid w:val="64CF79FC"/>
    <w:rsid w:val="650C7C0D"/>
    <w:rsid w:val="653F103C"/>
    <w:rsid w:val="6548478A"/>
    <w:rsid w:val="65E02AAD"/>
    <w:rsid w:val="663514F4"/>
    <w:rsid w:val="666A179C"/>
    <w:rsid w:val="69FB450F"/>
    <w:rsid w:val="6A1D02D2"/>
    <w:rsid w:val="6A6909B1"/>
    <w:rsid w:val="6A724DC3"/>
    <w:rsid w:val="6ADE73C3"/>
    <w:rsid w:val="6C08232C"/>
    <w:rsid w:val="6C0C509E"/>
    <w:rsid w:val="6C603669"/>
    <w:rsid w:val="6C6F771A"/>
    <w:rsid w:val="6CBB3C39"/>
    <w:rsid w:val="6D550BB3"/>
    <w:rsid w:val="6F0C4ACF"/>
    <w:rsid w:val="6F392B6D"/>
    <w:rsid w:val="6F40683E"/>
    <w:rsid w:val="6F72561A"/>
    <w:rsid w:val="71136F71"/>
    <w:rsid w:val="712D27DB"/>
    <w:rsid w:val="71A6516C"/>
    <w:rsid w:val="71AA15F1"/>
    <w:rsid w:val="7304063B"/>
    <w:rsid w:val="736A0139"/>
    <w:rsid w:val="73F734C0"/>
    <w:rsid w:val="74961386"/>
    <w:rsid w:val="754A1737"/>
    <w:rsid w:val="75F27075"/>
    <w:rsid w:val="760A4BBB"/>
    <w:rsid w:val="760D1A5C"/>
    <w:rsid w:val="76384823"/>
    <w:rsid w:val="765961E8"/>
    <w:rsid w:val="76D35717"/>
    <w:rsid w:val="76DD4C70"/>
    <w:rsid w:val="775D5293"/>
    <w:rsid w:val="77935322"/>
    <w:rsid w:val="780204DD"/>
    <w:rsid w:val="79161645"/>
    <w:rsid w:val="7AAF4FDA"/>
    <w:rsid w:val="7AE765B8"/>
    <w:rsid w:val="7B193B0B"/>
    <w:rsid w:val="7B3545DB"/>
    <w:rsid w:val="7B397DEA"/>
    <w:rsid w:val="7C2D0BF2"/>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character" w:customStyle="1" w:styleId="16">
    <w:name w:val="font01"/>
    <w:basedOn w:val="11"/>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单元格样式2"/>
    <w:basedOn w:val="1"/>
    <w:qFormat/>
    <w:uiPriority w:val="0"/>
    <w:pPr>
      <w:jc w:val="left"/>
    </w:pPr>
    <w:rPr>
      <w:rFonts w:ascii="方正书宋_GBK" w:hAnsi="方正书宋_GBK" w:eastAsia="方正书宋_GBK" w:cs="方正书宋_GBK"/>
    </w:rPr>
  </w:style>
  <w:style w:type="paragraph" w:customStyle="1" w:styleId="24">
    <w:name w:val="单元格样式1"/>
    <w:basedOn w:val="1"/>
    <w:qFormat/>
    <w:uiPriority w:val="0"/>
    <w:pPr>
      <w:jc w:val="center"/>
    </w:pPr>
    <w:rPr>
      <w:rFonts w:ascii="方正书宋_GBK" w:hAnsi="方正书宋_GBK" w:eastAsia="方正书宋_GBK" w:cs="方正书宋_GBK"/>
      <w:b/>
    </w:rPr>
  </w:style>
  <w:style w:type="paragraph" w:customStyle="1" w:styleId="25">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6">
    <w:name w:val="单元格样式5"/>
    <w:basedOn w:val="1"/>
    <w:qFormat/>
    <w:uiPriority w:val="0"/>
    <w:pPr>
      <w:jc w:val="left"/>
    </w:pPr>
    <w:rPr>
      <w:rFonts w:ascii="方正书宋_GBK" w:hAnsi="方正书宋_GBK" w:eastAsia="方正书宋_GBK" w:cs="方正书宋_GBK"/>
      <w:b/>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9925</Words>
  <Characters>11758</Characters>
  <Lines>109</Lines>
  <Paragraphs>30</Paragraphs>
  <TotalTime>1</TotalTime>
  <ScaleCrop>false</ScaleCrop>
  <LinksUpToDate>false</LinksUpToDate>
  <CharactersWithSpaces>12349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2022-07-06T01:38:00Z</dcterms:created>
  <dc:creator>微软用户</dc:creator>
  <cp:lastModifiedBy>Administrator</cp:lastModifiedBy>
  <cp:lastPrinted>2022-04-01T02:04:00Z</cp:lastPrinted>
  <dcterms:modified xsi:type="dcterms:W3CDTF">2024-03-22T03:23:42Z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4C99F05FE44F4789B20014FEB9FFC0E2</vt:lpwstr>
  </property>
</Properties>
</file>