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_GBK" w:hAnsi="方正小标宋简体" w:eastAsia="Times New Roman" w:cs="方正小标宋简体"/>
          <w:b/>
          <w:sz w:val="44"/>
          <w:szCs w:val="44"/>
        </w:rPr>
      </w:pPr>
      <w:r>
        <w:rPr>
          <w:rFonts w:ascii="?????_GBK" w:hAnsi="方正小标宋简体" w:eastAsia="Times New Roman" w:cs="方正小标宋简体"/>
          <w:b/>
          <w:sz w:val="44"/>
          <w:szCs w:val="44"/>
        </w:rPr>
        <w:t>遵化市总工会201</w:t>
      </w:r>
      <w:r>
        <w:rPr>
          <w:rFonts w:hint="eastAsia" w:ascii="?????_GBK" w:hAnsi="方正小标宋简体" w:cs="方正小标宋简体"/>
          <w:b/>
          <w:sz w:val="44"/>
          <w:szCs w:val="44"/>
        </w:rPr>
        <w:t>9</w:t>
      </w:r>
      <w:r>
        <w:rPr>
          <w:rFonts w:ascii="?????_GBK" w:hAnsi="方正小标宋简体" w:eastAsia="Times New Roman" w:cs="方正小标宋简体"/>
          <w:b/>
          <w:sz w:val="44"/>
          <w:szCs w:val="44"/>
        </w:rPr>
        <w:t>年部门预算信息公开</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val="en-US" w:eastAsia="zh-CN"/>
        </w:rPr>
        <w:t>中华人民共和国</w:t>
      </w:r>
      <w:bookmarkStart w:id="2" w:name="_GoBack"/>
      <w:bookmarkEnd w:id="2"/>
      <w:r>
        <w:rPr>
          <w:rFonts w:hint="eastAsia" w:ascii="仿宋_GB2312" w:hAnsi="仿宋" w:eastAsia="仿宋_GB2312" w:cs="仿宋_GB2312"/>
          <w:sz w:val="32"/>
          <w:szCs w:val="32"/>
        </w:rPr>
        <w:t>预算法》、《地方预决算公开操作规程》和《河北省省级预算公开办法》规定，现将遵化市总工会</w:t>
      </w:r>
      <w:r>
        <w:rPr>
          <w:rFonts w:ascii="仿宋_GB2312" w:hAnsi="仿宋" w:eastAsia="仿宋_GB2312" w:cs="仿宋_GB2312"/>
          <w:sz w:val="32"/>
          <w:szCs w:val="32"/>
        </w:rPr>
        <w:t>201</w:t>
      </w:r>
      <w:r>
        <w:rPr>
          <w:rFonts w:hint="eastAsia" w:ascii="仿宋_GB2312" w:hAnsi="仿宋" w:eastAsia="仿宋_GB2312" w:cs="仿宋_GB2312"/>
          <w:sz w:val="32"/>
          <w:szCs w:val="32"/>
        </w:rPr>
        <w:t>9年部门预算公开如下：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部门职责：</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一）</w:t>
      </w:r>
      <w:r>
        <w:rPr>
          <w:rFonts w:hint="eastAsia" w:ascii="仿宋_GB2312" w:hAnsi="仿宋" w:eastAsia="仿宋_GB2312" w:cs="仿宋_GB2312"/>
          <w:sz w:val="32"/>
          <w:szCs w:val="32"/>
        </w:rPr>
        <w:t>维护职工合法权益。在不同行业、不同类型、不同规模的企事业单位培养一批工作典型，推动厂务公开民主管理创新发展。进一步提高职工维权服务水平，加强职工安全生产教育培训工作，谋划落实一系列职工帮扶救助项目和特色帮扶救助活动。加强劳模管理和服务工作。确保职工合法权益得到有效保障，改善困难劳模生活困境，提升广大职工技术技能素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升职工技能及创新水平。着眼于加快转变经济发展方式和调整优化经济结构，注重培养高素质技能型人才，加强学历教育，围绕市委、市政府提出的重点工程、重点项目和重点领域，组织全市职工开展劳动竞赛，大力推进实施职工经济技术创新工程。通过开展遵化市“金牌工人”“能工巧匠”评选表彰活动，进一步加快全市高技能人才队伍建设，为全市经济社会持续健康发展建功立业。</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工会事务管理。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autoSpaceDE w:val="0"/>
        <w:autoSpaceDN w:val="0"/>
        <w:adjustRightInd w:val="0"/>
        <w:jc w:val="left"/>
        <w:rPr>
          <w:rFonts w:ascii="仿宋_GB2312" w:hAnsi="仿宋" w:eastAsia="仿宋_GB2312" w:cs="仿宋_GB2312"/>
          <w:b/>
          <w:sz w:val="32"/>
          <w:szCs w:val="32"/>
        </w:rPr>
      </w:pPr>
      <w:r>
        <w:rPr>
          <w:rFonts w:hint="eastAsia" w:ascii="仿宋_GB2312" w:hAnsi="仿宋" w:eastAsia="仿宋_GB2312" w:cs="仿宋_GB2312"/>
          <w:b/>
          <w:sz w:val="32"/>
          <w:szCs w:val="32"/>
        </w:rPr>
        <w:t>机构设置：</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部门机构设置情况</w:t>
      </w:r>
    </w:p>
    <w:tbl>
      <w:tblPr>
        <w:tblStyle w:val="6"/>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665"/>
        <w:gridCol w:w="163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单位名称</w:t>
            </w:r>
          </w:p>
        </w:tc>
        <w:tc>
          <w:tcPr>
            <w:tcW w:w="166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单位性质</w:t>
            </w:r>
          </w:p>
        </w:tc>
        <w:tc>
          <w:tcPr>
            <w:tcW w:w="163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单位规格</w:t>
            </w:r>
          </w:p>
        </w:tc>
        <w:tc>
          <w:tcPr>
            <w:tcW w:w="380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continue"/>
            <w:vAlign w:val="center"/>
          </w:tcPr>
          <w:p>
            <w:pPr>
              <w:spacing w:line="300" w:lineRule="exact"/>
              <w:jc w:val="left"/>
              <w:outlineLvl w:val="0"/>
              <w:rPr>
                <w:rFonts w:ascii="仿宋" w:hAnsi="仿宋" w:eastAsia="仿宋" w:cs="仿宋_GB2312"/>
                <w:sz w:val="32"/>
                <w:szCs w:val="32"/>
              </w:rPr>
            </w:pPr>
          </w:p>
        </w:tc>
        <w:tc>
          <w:tcPr>
            <w:tcW w:w="1665" w:type="dxa"/>
            <w:vMerge w:val="continue"/>
            <w:vAlign w:val="center"/>
          </w:tcPr>
          <w:p>
            <w:pPr>
              <w:spacing w:line="300" w:lineRule="exact"/>
              <w:jc w:val="left"/>
              <w:outlineLvl w:val="0"/>
              <w:rPr>
                <w:rFonts w:ascii="仿宋" w:hAnsi="仿宋" w:eastAsia="仿宋" w:cs="仿宋_GB2312"/>
                <w:sz w:val="32"/>
                <w:szCs w:val="32"/>
              </w:rPr>
            </w:pPr>
          </w:p>
        </w:tc>
        <w:tc>
          <w:tcPr>
            <w:tcW w:w="1635" w:type="dxa"/>
            <w:vMerge w:val="continue"/>
            <w:vAlign w:val="center"/>
          </w:tcPr>
          <w:p>
            <w:pPr>
              <w:spacing w:line="300" w:lineRule="exact"/>
              <w:jc w:val="left"/>
              <w:outlineLvl w:val="0"/>
              <w:rPr>
                <w:rFonts w:ascii="仿宋" w:hAnsi="仿宋" w:eastAsia="仿宋" w:cs="仿宋_GB2312"/>
                <w:sz w:val="32"/>
                <w:szCs w:val="32"/>
              </w:rPr>
            </w:pPr>
          </w:p>
        </w:tc>
        <w:tc>
          <w:tcPr>
            <w:tcW w:w="3805" w:type="dxa"/>
            <w:vMerge w:val="continue"/>
            <w:vAlign w:val="center"/>
          </w:tcPr>
          <w:p>
            <w:pPr>
              <w:spacing w:line="300" w:lineRule="exact"/>
              <w:jc w:val="left"/>
              <w:outlineLvl w:val="0"/>
              <w:rPr>
                <w:rFonts w:ascii="仿宋" w:hAnsi="仿宋" w:eastAsia="仿宋"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总工会办公室</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经济技术部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女工保障部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组宣部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财务部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法工部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按照预算管理有关规定，目前我市部门预算的编制实行综合预算制度，即全部收入和支出都反映在预算中。</w:t>
      </w:r>
    </w:p>
    <w:p>
      <w:pPr>
        <w:ind w:firstLine="640"/>
        <w:rPr>
          <w:rFonts w:ascii="黑体" w:hAnsi="仿宋" w:eastAsia="黑体" w:cs="Times New Roman"/>
          <w:b/>
          <w:sz w:val="32"/>
          <w:szCs w:val="32"/>
        </w:rPr>
      </w:pPr>
      <w:r>
        <w:rPr>
          <w:rFonts w:ascii="黑体" w:hAnsi="仿宋" w:eastAsia="黑体" w:cs="Times New Roman"/>
          <w:b/>
          <w:sz w:val="32"/>
          <w:szCs w:val="32"/>
        </w:rPr>
        <w:t>1</w:t>
      </w:r>
      <w:r>
        <w:rPr>
          <w:rFonts w:hint="eastAsia" w:ascii="黑体" w:hAnsi="仿宋" w:eastAsia="黑体" w:cs="Times New Roman"/>
          <w:b/>
          <w:sz w:val="32"/>
          <w:szCs w:val="32"/>
        </w:rPr>
        <w:t>、收入说明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反映本部门当年全部收入。</w:t>
      </w:r>
      <w:r>
        <w:rPr>
          <w:rFonts w:ascii="仿宋_GB2312" w:hAnsi="仿宋" w:eastAsia="仿宋_GB2312" w:cs="仿宋_GB2312"/>
          <w:sz w:val="32"/>
          <w:szCs w:val="32"/>
        </w:rPr>
        <w:t>201</w:t>
      </w:r>
      <w:r>
        <w:rPr>
          <w:rFonts w:hint="eastAsia" w:ascii="仿宋_GB2312" w:hAnsi="仿宋" w:eastAsia="仿宋_GB2312" w:cs="仿宋_GB2312"/>
          <w:sz w:val="32"/>
          <w:szCs w:val="32"/>
        </w:rPr>
        <w:t>9年预算收入</w:t>
      </w:r>
      <w:r>
        <w:rPr>
          <w:rFonts w:ascii="仿宋_GB2312" w:hAnsi="仿宋" w:eastAsia="仿宋_GB2312" w:cs="仿宋_GB2312"/>
          <w:sz w:val="32"/>
          <w:szCs w:val="32"/>
        </w:rPr>
        <w:t>3</w:t>
      </w:r>
      <w:r>
        <w:rPr>
          <w:rFonts w:hint="eastAsia" w:ascii="仿宋_GB2312" w:hAnsi="仿宋" w:eastAsia="仿宋_GB2312" w:cs="仿宋_GB2312"/>
          <w:sz w:val="32"/>
          <w:szCs w:val="32"/>
        </w:rPr>
        <w:t>35.76万元，其中：一般公共预算收入</w:t>
      </w:r>
      <w:r>
        <w:rPr>
          <w:rFonts w:ascii="仿宋_GB2312" w:hAnsi="仿宋" w:eastAsia="仿宋_GB2312" w:cs="仿宋_GB2312"/>
          <w:sz w:val="32"/>
          <w:szCs w:val="32"/>
        </w:rPr>
        <w:t>3</w:t>
      </w:r>
      <w:r>
        <w:rPr>
          <w:rFonts w:hint="eastAsia" w:ascii="仿宋_GB2312" w:hAnsi="仿宋" w:eastAsia="仿宋_GB2312" w:cs="仿宋_GB2312"/>
          <w:sz w:val="32"/>
          <w:szCs w:val="32"/>
        </w:rPr>
        <w:t>35.76万元，基金预算收入</w:t>
      </w:r>
      <w:r>
        <w:rPr>
          <w:rFonts w:ascii="仿宋_GB2312" w:hAnsi="仿宋" w:eastAsia="仿宋_GB2312" w:cs="仿宋_GB2312"/>
          <w:sz w:val="32"/>
          <w:szCs w:val="32"/>
        </w:rPr>
        <w:t>0</w:t>
      </w:r>
      <w:r>
        <w:rPr>
          <w:rFonts w:hint="eastAsia" w:ascii="仿宋_GB2312" w:hAnsi="仿宋" w:eastAsia="仿宋_GB2312" w:cs="仿宋_GB2312"/>
          <w:sz w:val="32"/>
          <w:szCs w:val="32"/>
        </w:rPr>
        <w:t>万元，财政专户核拨收入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万元，其他来源收入</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ind w:firstLine="640"/>
        <w:rPr>
          <w:rFonts w:ascii="黑体" w:hAnsi="仿宋" w:eastAsia="黑体" w:cs="仿宋_GB2312"/>
          <w:b/>
          <w:sz w:val="32"/>
          <w:szCs w:val="32"/>
        </w:rPr>
      </w:pPr>
      <w:r>
        <w:rPr>
          <w:rFonts w:ascii="黑体" w:hAnsi="仿宋" w:eastAsia="黑体" w:cs="仿宋_GB2312"/>
          <w:b/>
          <w:sz w:val="32"/>
          <w:szCs w:val="32"/>
        </w:rPr>
        <w:t>2</w:t>
      </w:r>
      <w:r>
        <w:rPr>
          <w:rFonts w:hint="eastAsia" w:ascii="黑体" w:hAnsi="仿宋" w:eastAsia="黑体" w:cs="仿宋_GB2312"/>
          <w:b/>
          <w:sz w:val="32"/>
          <w:szCs w:val="32"/>
        </w:rPr>
        <w:t>、支出说明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收支预算总表支出栏、基本支出表、项目支出表按经济分类和支出功能分类科目编制，反映遵化市总工会年度部门预算中支出预算的总体情况。</w:t>
      </w:r>
      <w:r>
        <w:rPr>
          <w:rFonts w:ascii="仿宋_GB2312" w:hAnsi="仿宋" w:eastAsia="仿宋_GB2312" w:cs="仿宋_GB2312"/>
          <w:sz w:val="32"/>
          <w:szCs w:val="32"/>
        </w:rPr>
        <w:t>201</w:t>
      </w:r>
      <w:r>
        <w:rPr>
          <w:rFonts w:hint="eastAsia" w:ascii="仿宋_GB2312" w:hAnsi="仿宋" w:eastAsia="仿宋_GB2312" w:cs="仿宋_GB2312"/>
          <w:sz w:val="32"/>
          <w:szCs w:val="32"/>
        </w:rPr>
        <w:t>9年支出预算</w:t>
      </w:r>
      <w:r>
        <w:rPr>
          <w:rFonts w:ascii="仿宋_GB2312" w:hAnsi="仿宋" w:eastAsia="仿宋_GB2312" w:cs="仿宋_GB2312"/>
          <w:sz w:val="32"/>
          <w:szCs w:val="32"/>
        </w:rPr>
        <w:t>3</w:t>
      </w:r>
      <w:r>
        <w:rPr>
          <w:rFonts w:hint="eastAsia" w:ascii="仿宋_GB2312" w:hAnsi="仿宋" w:eastAsia="仿宋_GB2312" w:cs="仿宋_GB2312"/>
          <w:sz w:val="32"/>
          <w:szCs w:val="32"/>
        </w:rPr>
        <w:t>35.76万元，其中：基本支出</w:t>
      </w:r>
      <w:r>
        <w:rPr>
          <w:rFonts w:ascii="仿宋_GB2312" w:hAnsi="仿宋" w:eastAsia="仿宋_GB2312" w:cs="仿宋_GB2312"/>
          <w:sz w:val="32"/>
          <w:szCs w:val="32"/>
        </w:rPr>
        <w:t>3</w:t>
      </w:r>
      <w:r>
        <w:rPr>
          <w:rFonts w:hint="eastAsia" w:ascii="仿宋_GB2312" w:hAnsi="仿宋" w:eastAsia="仿宋_GB2312" w:cs="仿宋_GB2312"/>
          <w:sz w:val="32"/>
          <w:szCs w:val="32"/>
        </w:rPr>
        <w:t>12.76万元，包括人员经费</w:t>
      </w:r>
      <w:r>
        <w:rPr>
          <w:rFonts w:ascii="仿宋_GB2312" w:hAnsi="仿宋" w:eastAsia="仿宋_GB2312" w:cs="仿宋_GB2312"/>
          <w:sz w:val="32"/>
          <w:szCs w:val="32"/>
        </w:rPr>
        <w:t>293.</w:t>
      </w:r>
      <w:r>
        <w:rPr>
          <w:rFonts w:hint="eastAsia" w:ascii="仿宋_GB2312" w:hAnsi="仿宋" w:eastAsia="仿宋_GB2312" w:cs="仿宋_GB2312"/>
          <w:sz w:val="32"/>
          <w:szCs w:val="32"/>
        </w:rPr>
        <w:t>77万元和日常公用经费18.99万元；项目支出23万元，主要为困难职工及劳模帮扶救助专项资金等。</w:t>
      </w:r>
    </w:p>
    <w:p>
      <w:pPr>
        <w:ind w:firstLine="640"/>
        <w:rPr>
          <w:rFonts w:ascii="黑体" w:hAnsi="仿宋" w:eastAsia="黑体"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、比上年增减情况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9年预算收支安排</w:t>
      </w:r>
      <w:r>
        <w:rPr>
          <w:rFonts w:ascii="仿宋_GB2312" w:hAnsi="仿宋" w:eastAsia="仿宋_GB2312" w:cs="仿宋_GB2312"/>
          <w:sz w:val="32"/>
          <w:szCs w:val="32"/>
        </w:rPr>
        <w:t>3</w:t>
      </w:r>
      <w:r>
        <w:rPr>
          <w:rFonts w:hint="eastAsia" w:ascii="仿宋_GB2312" w:hAnsi="仿宋" w:eastAsia="仿宋_GB2312" w:cs="仿宋_GB2312"/>
          <w:sz w:val="32"/>
          <w:szCs w:val="32"/>
        </w:rPr>
        <w:t>35</w:t>
      </w:r>
      <w:r>
        <w:rPr>
          <w:rFonts w:ascii="仿宋_GB2312" w:hAnsi="仿宋" w:eastAsia="仿宋_GB2312" w:cs="仿宋_GB2312"/>
          <w:sz w:val="32"/>
          <w:szCs w:val="32"/>
        </w:rPr>
        <w:t>.7</w:t>
      </w:r>
      <w:r>
        <w:rPr>
          <w:rFonts w:hint="eastAsia" w:ascii="仿宋_GB2312" w:hAnsi="仿宋" w:eastAsia="仿宋_GB2312" w:cs="仿宋_GB2312"/>
          <w:sz w:val="32"/>
          <w:szCs w:val="32"/>
        </w:rPr>
        <w:t>6万元，较</w:t>
      </w:r>
      <w:r>
        <w:rPr>
          <w:rFonts w:ascii="仿宋_GB2312" w:hAnsi="仿宋" w:eastAsia="仿宋_GB2312" w:cs="仿宋_GB2312"/>
          <w:sz w:val="32"/>
          <w:szCs w:val="32"/>
        </w:rPr>
        <w:t>201</w:t>
      </w:r>
      <w:r>
        <w:rPr>
          <w:rFonts w:hint="eastAsia" w:ascii="仿宋_GB2312" w:hAnsi="仿宋" w:eastAsia="仿宋_GB2312" w:cs="仿宋_GB2312"/>
          <w:sz w:val="32"/>
          <w:szCs w:val="32"/>
        </w:rPr>
        <w:t>8年预算减少42.61万元，其中：基本支出减少1</w:t>
      </w:r>
      <w:r>
        <w:rPr>
          <w:rFonts w:ascii="仿宋_GB2312" w:hAnsi="仿宋" w:eastAsia="仿宋_GB2312" w:cs="仿宋_GB2312"/>
          <w:sz w:val="32"/>
          <w:szCs w:val="32"/>
        </w:rPr>
        <w:t>.</w:t>
      </w:r>
      <w:r>
        <w:rPr>
          <w:rFonts w:hint="eastAsia" w:ascii="仿宋_GB2312" w:hAnsi="仿宋" w:eastAsia="仿宋_GB2312" w:cs="仿宋_GB2312"/>
          <w:sz w:val="32"/>
          <w:szCs w:val="32"/>
        </w:rPr>
        <w:t>61万元，减少的主要原因为两名职工退休，人员经费支出减少；项目支出减少4</w:t>
      </w:r>
      <w:r>
        <w:rPr>
          <w:rFonts w:ascii="仿宋_GB2312" w:hAnsi="仿宋" w:eastAsia="仿宋_GB2312" w:cs="仿宋_GB2312"/>
          <w:sz w:val="32"/>
          <w:szCs w:val="32"/>
        </w:rPr>
        <w:t>1</w:t>
      </w:r>
      <w:r>
        <w:rPr>
          <w:rFonts w:hint="eastAsia" w:ascii="仿宋_GB2312" w:hAnsi="仿宋" w:eastAsia="仿宋_GB2312" w:cs="仿宋_GB2312"/>
          <w:sz w:val="32"/>
          <w:szCs w:val="32"/>
        </w:rPr>
        <w:t>万元，减少的主要原因为建档立卡困难职工减少。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我部门机关运行经费共计安排18.99万元，主要用于：办公费0.64万元，电费0.42万元，邮电费0.63万元，差旅费0.42万元，会议费0.1万元，培训费0.1万元，其他业务费0.21万元，公务用车运行维护费2.05万元，离退休干部费0.56万元，公务交通补贴9.9万元，工会福利费3.96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9年，我部门财政拨款“三公”经费预算安排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8年持平，无增减变化。具体安排情况为：</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（一）公务用车购置及运行费。</w:t>
      </w:r>
      <w:r>
        <w:rPr>
          <w:rFonts w:hint="eastAsia" w:ascii="仿宋_GB2312" w:hAnsi="仿宋" w:eastAsia="仿宋_GB2312" w:cs="仿宋"/>
          <w:color w:val="000000"/>
          <w:sz w:val="32"/>
          <w:szCs w:val="32"/>
        </w:rPr>
        <w:t>共计安排</w:t>
      </w:r>
      <w:r>
        <w:rPr>
          <w:rFonts w:ascii="仿宋_GB2312" w:hAnsi="仿宋" w:eastAsia="仿宋_GB2312" w:cs="仿宋"/>
          <w:color w:val="000000"/>
          <w:sz w:val="32"/>
          <w:szCs w:val="32"/>
        </w:rPr>
        <w:t>2</w:t>
      </w:r>
      <w:r>
        <w:rPr>
          <w:rFonts w:ascii="仿宋_GB2312" w:hAnsi="仿宋" w:eastAsia="仿宋_GB2312" w:cs="仿宋_GB2312"/>
          <w:color w:val="000000"/>
          <w:sz w:val="32"/>
          <w:szCs w:val="32"/>
        </w:rPr>
        <w:t>.05</w:t>
      </w:r>
      <w:r>
        <w:rPr>
          <w:rFonts w:hint="eastAsia" w:ascii="仿宋_GB2312" w:hAnsi="仿宋" w:eastAsia="仿宋_GB2312" w:cs="仿宋_GB2312"/>
          <w:color w:val="000000"/>
          <w:sz w:val="32"/>
          <w:szCs w:val="32"/>
        </w:rPr>
        <w:t>万元。其中：</w:t>
      </w:r>
      <w:r>
        <w:rPr>
          <w:rFonts w:hint="eastAsia" w:ascii="仿宋_GB2312" w:hAnsi="Wingdings" w:eastAsia="仿宋_GB2312" w:cs="仿宋_GB2312"/>
          <w:color w:val="000000"/>
          <w:sz w:val="32"/>
          <w:szCs w:val="32"/>
        </w:rPr>
        <w:t>①</w:t>
      </w:r>
      <w:r>
        <w:rPr>
          <w:rFonts w:hint="eastAsia" w:ascii="仿宋_GB2312" w:hAnsi="仿宋" w:eastAsia="仿宋_GB2312" w:cs="仿宋_GB2312"/>
          <w:color w:val="000000"/>
          <w:sz w:val="32"/>
          <w:szCs w:val="32"/>
        </w:rPr>
        <w:t>公务用车购置费为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8相比持平，无增减变化。</w:t>
      </w:r>
      <w:r>
        <w:rPr>
          <w:rFonts w:hint="eastAsia" w:ascii="仿宋_GB2312" w:hAnsi="Wingdings" w:eastAsia="仿宋_GB2312" w:cs="仿宋_GB2312"/>
          <w:color w:val="000000"/>
          <w:sz w:val="32"/>
          <w:szCs w:val="32"/>
        </w:rPr>
        <w:t>②</w:t>
      </w:r>
      <w:r>
        <w:rPr>
          <w:rFonts w:hint="eastAsia" w:ascii="仿宋_GB2312" w:hAnsi="仿宋" w:eastAsia="仿宋_GB2312" w:cs="仿宋_GB2312"/>
          <w:color w:val="000000"/>
          <w:sz w:val="32"/>
          <w:szCs w:val="32"/>
        </w:rPr>
        <w:t>公务用车运行费安排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（二）公务接待费安排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（三）因公出国（境）费安排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8年相比持平，无增减变化。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黑体" w:hAnsi="仿宋" w:eastAsia="黑体" w:cs="仿宋_GB2312"/>
          <w:b/>
          <w:sz w:val="32"/>
          <w:szCs w:val="32"/>
        </w:rPr>
      </w:pPr>
      <w:bookmarkStart w:id="0" w:name="_Toc471398463"/>
      <w:r>
        <w:rPr>
          <w:rFonts w:hint="eastAsia" w:ascii="黑体" w:hAnsi="仿宋" w:eastAsia="黑体" w:cs="仿宋_GB2312"/>
          <w:b/>
          <w:sz w:val="32"/>
          <w:szCs w:val="32"/>
        </w:rPr>
        <w:t>总体绩效目标：</w:t>
      </w:r>
    </w:p>
    <w:p>
      <w:pPr>
        <w:ind w:firstLine="561"/>
        <w:rPr>
          <w:rFonts w:ascii="仿宋_GB2312" w:hAnsi="仿宋" w:eastAsia="仿宋_GB2312" w:cs="仿宋_GB2312"/>
          <w:sz w:val="32"/>
          <w:szCs w:val="32"/>
        </w:rPr>
      </w:pPr>
      <w:r>
        <w:rPr>
          <w:rFonts w:hint="eastAsia" w:ascii="仿宋_GB2312" w:hAnsi="仿宋" w:eastAsia="仿宋_GB2312" w:cs="仿宋_GB2312"/>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w:t>
      </w:r>
    </w:p>
    <w:p>
      <w:pPr>
        <w:ind w:firstLine="643" w:firstLineChars="200"/>
        <w:jc w:val="left"/>
        <w:rPr>
          <w:rFonts w:ascii="黑体" w:hAnsi="仿宋" w:eastAsia="黑体" w:cs="仿宋_GB2312"/>
          <w:b/>
          <w:sz w:val="32"/>
          <w:szCs w:val="32"/>
        </w:rPr>
      </w:pPr>
      <w:r>
        <w:rPr>
          <w:rFonts w:hint="eastAsia" w:ascii="黑体" w:hAnsi="仿宋" w:eastAsia="黑体" w:cs="仿宋_GB2312"/>
          <w:b/>
          <w:sz w:val="32"/>
          <w:szCs w:val="32"/>
        </w:rPr>
        <w:t>职责分类绩效目标：</w:t>
      </w:r>
    </w:p>
    <w:p>
      <w:pPr>
        <w:ind w:firstLine="560"/>
        <w:rPr>
          <w:rFonts w:ascii="仿宋" w:hAnsi="仿宋" w:eastAsia="仿宋" w:cs="仿宋_GB2312"/>
          <w:sz w:val="32"/>
          <w:szCs w:val="32"/>
        </w:rPr>
      </w:pPr>
      <w:r>
        <w:rPr>
          <w:rFonts w:hint="eastAsia" w:ascii="黑体" w:hAnsi="仿宋" w:eastAsia="黑体" w:cs="仿宋_GB2312"/>
          <w:b/>
          <w:sz w:val="32"/>
          <w:szCs w:val="32"/>
        </w:rPr>
        <w:t>（一）维护职工合法权益。</w:t>
      </w:r>
      <w:r>
        <w:rPr>
          <w:rFonts w:hint="eastAsia" w:ascii="仿宋_GB2312" w:hAnsi="仿宋" w:eastAsia="仿宋_GB2312" w:cs="仿宋_GB2312"/>
          <w:sz w:val="32"/>
          <w:szCs w:val="32"/>
        </w:rPr>
        <w:t>指导全省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（二）提升职工技能及创新水平。</w:t>
      </w:r>
      <w:r>
        <w:rPr>
          <w:rFonts w:hint="eastAsia" w:ascii="仿宋_GB2312" w:hAnsi="仿宋" w:eastAsia="仿宋_GB2312" w:cs="仿宋_GB2312"/>
          <w:sz w:val="32"/>
          <w:szCs w:val="32"/>
        </w:rPr>
        <w:t>着眼于加快转变经济发展方式和调整优化经济结构，注重培养高素质技能型人才，加强学历教育，围绕市委、市政府提出的重点工程、重点项目和重点领域，组织全市职工开展劳动竞赛，大力推进实施职工经济技术创新工程。有效促进全市重点工程、重点项目和重点领域的建设，为全市经济社会持续健康发展建功立业。</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（三）工会事务管理。</w:t>
      </w:r>
      <w:r>
        <w:rPr>
          <w:rFonts w:hint="eastAsia" w:ascii="仿宋_GB2312" w:hAnsi="仿宋" w:eastAsia="仿宋_GB2312" w:cs="仿宋_GB2312"/>
          <w:sz w:val="32"/>
          <w:szCs w:val="32"/>
        </w:rPr>
        <w:t>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ind w:firstLine="640"/>
        <w:rPr>
          <w:rFonts w:ascii="仿宋" w:hAnsi="仿宋" w:eastAsia="仿宋" w:cs="Times New Roman"/>
          <w:sz w:val="32"/>
          <w:szCs w:val="24"/>
        </w:rPr>
      </w:pPr>
      <w:r>
        <w:rPr>
          <w:rFonts w:hint="eastAsia" w:ascii="仿宋" w:hAnsi="仿宋" w:eastAsia="仿宋" w:cs="仿宋_GB2312"/>
          <w:b/>
          <w:sz w:val="32"/>
          <w:szCs w:val="32"/>
        </w:rPr>
        <w:t>部门职责及工作活动绩效目标指标：</w:t>
      </w:r>
    </w:p>
    <w:p>
      <w:pPr>
        <w:ind w:firstLine="560"/>
        <w:jc w:val="center"/>
        <w:rPr>
          <w:rFonts w:ascii="黑体" w:hAnsi="仿宋_GB2312" w:eastAsia="黑体" w:cs="仿宋_GB2312"/>
          <w:b/>
          <w:sz w:val="32"/>
          <w:szCs w:val="32"/>
        </w:rPr>
      </w:pPr>
      <w:r>
        <w:rPr>
          <w:rFonts w:hint="eastAsia" w:ascii="黑体" w:hAnsi="仿宋_GB2312" w:eastAsia="黑体" w:cs="仿宋_GB2312"/>
          <w:b/>
          <w:sz w:val="32"/>
          <w:szCs w:val="24"/>
        </w:rPr>
        <w:t>部门职责</w:t>
      </w:r>
      <w:r>
        <w:rPr>
          <w:rFonts w:ascii="黑体" w:hAnsi="仿宋_GB2312" w:eastAsia="黑体" w:cs="仿宋_GB2312"/>
          <w:b/>
          <w:sz w:val="32"/>
          <w:szCs w:val="24"/>
        </w:rPr>
        <w:t>-</w:t>
      </w:r>
      <w:r>
        <w:rPr>
          <w:rFonts w:hint="eastAsia" w:ascii="黑体" w:hAnsi="仿宋_GB2312" w:eastAsia="黑体" w:cs="仿宋_GB2312"/>
          <w:b/>
          <w:sz w:val="32"/>
          <w:szCs w:val="24"/>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9"/>
        <w:gridCol w:w="945"/>
        <w:gridCol w:w="4305"/>
        <w:gridCol w:w="3360"/>
        <w:gridCol w:w="735"/>
        <w:gridCol w:w="735"/>
        <w:gridCol w:w="581"/>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44" w:type="dxa"/>
            <w:gridSpan w:val="5"/>
            <w:tcBorders>
              <w:top w:val="single" w:color="FFFFFF" w:sz="6" w:space="0"/>
              <w:left w:val="single" w:color="FFFFFF" w:sz="6" w:space="0"/>
              <w:right w:val="single" w:color="FFFFFF" w:sz="6" w:space="0"/>
            </w:tcBorders>
            <w:vAlign w:val="center"/>
          </w:tcPr>
          <w:p>
            <w:pPr>
              <w:spacing w:line="300" w:lineRule="exact"/>
              <w:jc w:val="left"/>
              <w:rPr>
                <w:rFonts w:ascii="?????_GBK" w:eastAsia="Times New Roman"/>
                <w:sz w:val="24"/>
              </w:rPr>
            </w:pPr>
            <w:r>
              <w:rPr>
                <w:rFonts w:ascii="?????_GBK" w:eastAsia="Times New Roman"/>
                <w:sz w:val="24"/>
              </w:rPr>
              <w:t>711总工会部门</w:t>
            </w:r>
          </w:p>
        </w:tc>
        <w:tc>
          <w:tcPr>
            <w:tcW w:w="279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restart"/>
            <w:vAlign w:val="center"/>
          </w:tcPr>
          <w:p>
            <w:pPr>
              <w:spacing w:line="300" w:lineRule="exact"/>
              <w:jc w:val="center"/>
              <w:rPr>
                <w:rFonts w:ascii="黑体" w:eastAsia="黑体"/>
                <w:b/>
              </w:rPr>
            </w:pPr>
            <w:r>
              <w:rPr>
                <w:rFonts w:hint="eastAsia" w:ascii="黑体" w:eastAsia="黑体"/>
                <w:b/>
              </w:rPr>
              <w:t>职责活动</w:t>
            </w:r>
          </w:p>
        </w:tc>
        <w:tc>
          <w:tcPr>
            <w:tcW w:w="945" w:type="dxa"/>
            <w:vMerge w:val="restart"/>
            <w:vAlign w:val="center"/>
          </w:tcPr>
          <w:p>
            <w:pPr>
              <w:spacing w:line="300" w:lineRule="exact"/>
              <w:jc w:val="center"/>
              <w:rPr>
                <w:rFonts w:ascii="黑体" w:eastAsia="黑体"/>
                <w:b/>
              </w:rPr>
            </w:pPr>
            <w:r>
              <w:rPr>
                <w:rFonts w:hint="eastAsia" w:ascii="黑体" w:eastAsia="黑体"/>
                <w:b/>
              </w:rPr>
              <w:t>年度预算数</w:t>
            </w:r>
          </w:p>
        </w:tc>
        <w:tc>
          <w:tcPr>
            <w:tcW w:w="4305" w:type="dxa"/>
            <w:vMerge w:val="restart"/>
            <w:vAlign w:val="center"/>
          </w:tcPr>
          <w:p>
            <w:pPr>
              <w:spacing w:line="300" w:lineRule="exact"/>
              <w:jc w:val="center"/>
              <w:rPr>
                <w:rFonts w:ascii="黑体" w:eastAsia="黑体"/>
                <w:b/>
              </w:rPr>
            </w:pPr>
            <w:r>
              <w:rPr>
                <w:rFonts w:hint="eastAsia" w:ascii="黑体" w:eastAsia="黑体"/>
                <w:b/>
              </w:rPr>
              <w:t>内容描述</w:t>
            </w:r>
          </w:p>
        </w:tc>
        <w:tc>
          <w:tcPr>
            <w:tcW w:w="3360" w:type="dxa"/>
            <w:vMerge w:val="restart"/>
            <w:vAlign w:val="center"/>
          </w:tcPr>
          <w:p>
            <w:pPr>
              <w:spacing w:line="300" w:lineRule="exact"/>
              <w:jc w:val="center"/>
              <w:rPr>
                <w:rFonts w:ascii="黑体" w:eastAsia="黑体"/>
                <w:b/>
              </w:rPr>
            </w:pPr>
            <w:r>
              <w:rPr>
                <w:rFonts w:hint="eastAsia" w:ascii="黑体" w:eastAsia="黑体"/>
                <w:b/>
              </w:rPr>
              <w:t>绩效目标</w:t>
            </w:r>
          </w:p>
        </w:tc>
        <w:tc>
          <w:tcPr>
            <w:tcW w:w="735" w:type="dxa"/>
            <w:vMerge w:val="restart"/>
            <w:vAlign w:val="center"/>
          </w:tcPr>
          <w:p>
            <w:pPr>
              <w:spacing w:line="300" w:lineRule="exact"/>
              <w:jc w:val="center"/>
              <w:rPr>
                <w:rFonts w:ascii="黑体" w:eastAsia="黑体"/>
                <w:b/>
              </w:rPr>
            </w:pPr>
            <w:r>
              <w:rPr>
                <w:rFonts w:hint="eastAsia" w:ascii="黑体" w:eastAsia="黑体"/>
                <w:b/>
              </w:rPr>
              <w:t>绩效指标</w:t>
            </w:r>
          </w:p>
        </w:tc>
        <w:tc>
          <w:tcPr>
            <w:tcW w:w="2790" w:type="dxa"/>
            <w:gridSpan w:val="4"/>
            <w:vAlign w:val="center"/>
          </w:tcPr>
          <w:p>
            <w:pPr>
              <w:spacing w:line="300" w:lineRule="exact"/>
              <w:jc w:val="center"/>
              <w:rPr>
                <w:rFonts w:ascii="黑体" w:eastAsia="黑体"/>
                <w:b/>
              </w:rPr>
            </w:pPr>
            <w:r>
              <w:rPr>
                <w:rFonts w:hint="eastAsia" w:ascii="黑体" w:eastAsia="黑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continue"/>
            <w:vAlign w:val="center"/>
          </w:tcPr>
          <w:p>
            <w:pPr>
              <w:spacing w:line="300" w:lineRule="exact"/>
              <w:jc w:val="left"/>
              <w:outlineLvl w:val="0"/>
              <w:rPr>
                <w:rFonts w:ascii="黑体" w:eastAsia="黑体"/>
              </w:rPr>
            </w:pPr>
          </w:p>
        </w:tc>
        <w:tc>
          <w:tcPr>
            <w:tcW w:w="945" w:type="dxa"/>
            <w:vMerge w:val="continue"/>
            <w:vAlign w:val="center"/>
          </w:tcPr>
          <w:p>
            <w:pPr>
              <w:spacing w:line="300" w:lineRule="exact"/>
              <w:jc w:val="left"/>
              <w:outlineLvl w:val="0"/>
              <w:rPr>
                <w:rFonts w:ascii="黑体" w:eastAsia="黑体"/>
              </w:rPr>
            </w:pPr>
          </w:p>
        </w:tc>
        <w:tc>
          <w:tcPr>
            <w:tcW w:w="4305" w:type="dxa"/>
            <w:vMerge w:val="continue"/>
            <w:vAlign w:val="center"/>
          </w:tcPr>
          <w:p>
            <w:pPr>
              <w:spacing w:line="300" w:lineRule="exact"/>
              <w:jc w:val="left"/>
              <w:outlineLvl w:val="0"/>
              <w:rPr>
                <w:rFonts w:ascii="黑体" w:eastAsia="黑体"/>
              </w:rPr>
            </w:pPr>
          </w:p>
        </w:tc>
        <w:tc>
          <w:tcPr>
            <w:tcW w:w="3360" w:type="dxa"/>
            <w:vMerge w:val="continue"/>
            <w:vAlign w:val="center"/>
          </w:tcPr>
          <w:p>
            <w:pPr>
              <w:spacing w:line="300" w:lineRule="exact"/>
              <w:jc w:val="left"/>
              <w:outlineLvl w:val="0"/>
              <w:rPr>
                <w:rFonts w:ascii="黑体" w:eastAsia="黑体"/>
              </w:rPr>
            </w:pPr>
          </w:p>
        </w:tc>
        <w:tc>
          <w:tcPr>
            <w:tcW w:w="735" w:type="dxa"/>
            <w:vMerge w:val="continue"/>
            <w:vAlign w:val="center"/>
          </w:tcPr>
          <w:p>
            <w:pPr>
              <w:spacing w:line="300" w:lineRule="exact"/>
              <w:jc w:val="left"/>
              <w:outlineLvl w:val="0"/>
              <w:rPr>
                <w:rFonts w:ascii="黑体" w:eastAsia="黑体"/>
              </w:rPr>
            </w:pPr>
          </w:p>
        </w:tc>
        <w:tc>
          <w:tcPr>
            <w:tcW w:w="735" w:type="dxa"/>
            <w:vAlign w:val="center"/>
          </w:tcPr>
          <w:p>
            <w:pPr>
              <w:spacing w:line="300" w:lineRule="exact"/>
              <w:jc w:val="center"/>
              <w:rPr>
                <w:rFonts w:ascii="黑体" w:eastAsia="黑体"/>
                <w:b/>
              </w:rPr>
            </w:pPr>
            <w:r>
              <w:rPr>
                <w:rFonts w:hint="eastAsia" w:ascii="黑体" w:eastAsia="黑体"/>
                <w:b/>
              </w:rPr>
              <w:t>优</w:t>
            </w:r>
          </w:p>
        </w:tc>
        <w:tc>
          <w:tcPr>
            <w:tcW w:w="581" w:type="dxa"/>
            <w:vAlign w:val="center"/>
          </w:tcPr>
          <w:p>
            <w:pPr>
              <w:spacing w:line="300" w:lineRule="exact"/>
              <w:jc w:val="center"/>
              <w:rPr>
                <w:rFonts w:ascii="黑体" w:eastAsia="黑体"/>
                <w:b/>
              </w:rPr>
            </w:pPr>
            <w:r>
              <w:rPr>
                <w:rFonts w:hint="eastAsia" w:ascii="黑体" w:eastAsia="黑体"/>
                <w:b/>
              </w:rPr>
              <w:t>良</w:t>
            </w:r>
          </w:p>
        </w:tc>
        <w:tc>
          <w:tcPr>
            <w:tcW w:w="737" w:type="dxa"/>
            <w:vAlign w:val="center"/>
          </w:tcPr>
          <w:p>
            <w:pPr>
              <w:spacing w:line="300" w:lineRule="exact"/>
              <w:jc w:val="center"/>
              <w:rPr>
                <w:rFonts w:ascii="黑体" w:eastAsia="黑体"/>
                <w:b/>
              </w:rPr>
            </w:pPr>
            <w:r>
              <w:rPr>
                <w:rFonts w:hint="eastAsia" w:ascii="黑体" w:eastAsia="黑体"/>
                <w:b/>
              </w:rPr>
              <w:t>中</w:t>
            </w:r>
          </w:p>
        </w:tc>
        <w:tc>
          <w:tcPr>
            <w:tcW w:w="737" w:type="dxa"/>
            <w:vAlign w:val="center"/>
          </w:tcPr>
          <w:p>
            <w:pPr>
              <w:spacing w:line="300" w:lineRule="exact"/>
              <w:jc w:val="center"/>
              <w:rPr>
                <w:rFonts w:ascii="黑体" w:eastAsia="黑体"/>
                <w:b/>
              </w:rPr>
            </w:pPr>
            <w:r>
              <w:rPr>
                <w:rFonts w:hint="eastAsia" w:ascii="黑体" w:eastAsia="黑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一、维护职工合法权益</w:t>
            </w:r>
          </w:p>
        </w:tc>
        <w:tc>
          <w:tcPr>
            <w:tcW w:w="945" w:type="dxa"/>
            <w:vAlign w:val="center"/>
          </w:tcPr>
          <w:p>
            <w:pPr>
              <w:spacing w:line="300" w:lineRule="exact"/>
              <w:jc w:val="left"/>
              <w:rPr>
                <w:rFonts w:ascii="仿宋_GB2312" w:eastAsia="仿宋_GB2312"/>
              </w:rPr>
            </w:pPr>
            <w:r>
              <w:rPr>
                <w:rFonts w:hint="eastAsia" w:ascii="仿宋_GB2312" w:eastAsia="仿宋_GB2312"/>
              </w:rPr>
              <w:t>23</w:t>
            </w:r>
            <w:r>
              <w:rPr>
                <w:rFonts w:ascii="仿宋_GB2312" w:eastAsia="仿宋_GB2312"/>
              </w:rPr>
              <w:t>.00</w:t>
            </w:r>
          </w:p>
        </w:tc>
        <w:tc>
          <w:tcPr>
            <w:tcW w:w="4305" w:type="dxa"/>
            <w:vAlign w:val="center"/>
          </w:tcPr>
          <w:p>
            <w:pPr>
              <w:spacing w:line="300" w:lineRule="exact"/>
              <w:jc w:val="left"/>
              <w:rPr>
                <w:rFonts w:ascii="仿宋_GB2312" w:eastAsia="仿宋_GB2312"/>
              </w:rPr>
            </w:pPr>
            <w:r>
              <w:rPr>
                <w:rFonts w:hint="eastAsia" w:ascii="仿宋_GB2312" w:eastAsia="仿宋_GB2312"/>
              </w:rPr>
              <w:t>组织职工开展民主选举、民主决策、民主管理和民主监督工作；推动基层工会建立集体合同制度、工资集体协商和监督保证机制；参与职工安全生产保护工作；为工会组织、干部、职工提供维权渠道。</w:t>
            </w:r>
          </w:p>
        </w:tc>
        <w:tc>
          <w:tcPr>
            <w:tcW w:w="3360" w:type="dxa"/>
            <w:vAlign w:val="center"/>
          </w:tcPr>
          <w:p>
            <w:pPr>
              <w:spacing w:line="300" w:lineRule="exact"/>
              <w:jc w:val="left"/>
              <w:rPr>
                <w:rFonts w:ascii="仿宋_GB2312" w:eastAsia="仿宋_GB2312"/>
              </w:rPr>
            </w:pPr>
            <w:r>
              <w:rPr>
                <w:rFonts w:hint="eastAsia" w:ascii="仿宋_GB2312" w:eastAsia="仿宋_GB2312"/>
              </w:rPr>
              <w:t>确保职工合法权益得到有效保障，改善困难劳模生活困境，改善困难职工生活困境，提升广大职工技术技能素质。</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、完善工会参与社会管理机制</w:t>
            </w:r>
          </w:p>
        </w:tc>
        <w:tc>
          <w:tcPr>
            <w:tcW w:w="945" w:type="dxa"/>
            <w:vAlign w:val="center"/>
          </w:tcPr>
          <w:p>
            <w:pPr>
              <w:spacing w:line="300" w:lineRule="exact"/>
              <w:jc w:val="left"/>
              <w:rPr>
                <w:rFonts w:ascii="仿宋_GB2312" w:eastAsia="仿宋_GB2312"/>
              </w:rPr>
            </w:pPr>
            <w:r>
              <w:rPr>
                <w:rFonts w:hint="eastAsia" w:ascii="仿宋_GB2312" w:eastAsia="仿宋_GB2312"/>
              </w:rPr>
              <w:t>23</w:t>
            </w:r>
            <w:r>
              <w:rPr>
                <w:rFonts w:ascii="仿宋_GB2312" w:eastAsia="仿宋_GB2312"/>
              </w:rPr>
              <w:t>.00</w:t>
            </w:r>
          </w:p>
        </w:tc>
        <w:tc>
          <w:tcPr>
            <w:tcW w:w="4305" w:type="dxa"/>
            <w:vAlign w:val="center"/>
          </w:tcPr>
          <w:p>
            <w:pPr>
              <w:spacing w:line="300" w:lineRule="exact"/>
              <w:jc w:val="left"/>
              <w:rPr>
                <w:rFonts w:ascii="仿宋_GB2312" w:eastAsia="仿宋_GB2312"/>
              </w:rPr>
            </w:pPr>
            <w:r>
              <w:rPr>
                <w:rFonts w:hint="eastAsia" w:ascii="仿宋_GB2312" w:eastAsia="仿宋_GB2312"/>
              </w:rPr>
              <w:t>围绕职工合法权益的重大问题进行调研，提出意见和建议；参与指导劳动合同签订工作；指导职工开展以职工代表大会为基本制度的民主选举、民主决策、民主管理和民主监督工作。</w:t>
            </w:r>
          </w:p>
        </w:tc>
        <w:tc>
          <w:tcPr>
            <w:tcW w:w="3360" w:type="dxa"/>
            <w:vAlign w:val="center"/>
          </w:tcPr>
          <w:p>
            <w:pPr>
              <w:spacing w:line="300" w:lineRule="exact"/>
              <w:jc w:val="left"/>
              <w:rPr>
                <w:rFonts w:ascii="仿宋_GB2312" w:eastAsia="仿宋_GB2312"/>
              </w:rPr>
            </w:pPr>
            <w:r>
              <w:rPr>
                <w:rFonts w:hint="eastAsia" w:ascii="仿宋_GB2312" w:eastAsia="仿宋_GB2312"/>
              </w:rPr>
              <w:t>提高职工代表大会制度和联席会议制度的规范化和有效性。</w:t>
            </w:r>
          </w:p>
        </w:tc>
        <w:tc>
          <w:tcPr>
            <w:tcW w:w="735" w:type="dxa"/>
            <w:vAlign w:val="center"/>
          </w:tcPr>
          <w:p>
            <w:pPr>
              <w:spacing w:line="300" w:lineRule="exact"/>
              <w:jc w:val="left"/>
              <w:rPr>
                <w:rFonts w:ascii="仿宋_GB2312" w:eastAsia="仿宋_GB2312"/>
              </w:rPr>
            </w:pPr>
            <w:r>
              <w:rPr>
                <w:rFonts w:hint="eastAsia" w:ascii="仿宋_GB2312" w:eastAsia="仿宋_GB2312"/>
              </w:rPr>
              <w:t>厂务公开建制率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二、提升职工技能及创新水平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指导管理工作次数</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三、提升职工技能及创新水平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职工年完成技术革新项目数量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四、提升职工技能及创新水平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职工年完成发明创造数量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五、提升职工技能及创新水平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参赛职工和参加技能培训职工比率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六、提升职工技能及创新水平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开展岗位练兵、技能比赛的企业比例</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七、工会事务管理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3360" w:type="dxa"/>
            <w:vAlign w:val="center"/>
          </w:tcPr>
          <w:p>
            <w:pPr>
              <w:spacing w:line="300" w:lineRule="exact"/>
              <w:jc w:val="left"/>
              <w:rPr>
                <w:rFonts w:ascii="仿宋_GB2312" w:eastAsia="仿宋_GB2312"/>
              </w:rPr>
            </w:pPr>
            <w:r>
              <w:rPr>
                <w:rFonts w:hint="eastAsia" w:ascii="仿宋_GB2312" w:eastAsia="仿宋_GB2312"/>
              </w:rPr>
              <w:t>加强组织和干部队伍建设，提高干部业务素质和大型企事业单位工会领导干部水平，促进工会事业发展。</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、综合事务管理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tc>
        <w:tc>
          <w:tcPr>
            <w:tcW w:w="3360" w:type="dxa"/>
            <w:vAlign w:val="center"/>
          </w:tcPr>
          <w:p>
            <w:pPr>
              <w:spacing w:line="300" w:lineRule="exact"/>
              <w:jc w:val="left"/>
              <w:rPr>
                <w:rFonts w:ascii="仿宋_GB2312" w:eastAsia="仿宋_GB2312"/>
              </w:rPr>
            </w:pPr>
            <w:r>
              <w:rPr>
                <w:rFonts w:hint="eastAsia" w:ascii="仿宋_GB2312" w:eastAsia="仿宋_GB2312"/>
              </w:rPr>
              <w:t>切实提高工会综合事务管理水平，保障单位的正常运转</w:t>
            </w:r>
          </w:p>
        </w:tc>
        <w:tc>
          <w:tcPr>
            <w:tcW w:w="735" w:type="dxa"/>
            <w:vAlign w:val="center"/>
          </w:tcPr>
          <w:p>
            <w:pPr>
              <w:spacing w:line="300" w:lineRule="exact"/>
              <w:jc w:val="left"/>
              <w:rPr>
                <w:rFonts w:ascii="仿宋_GB2312" w:eastAsia="仿宋_GB2312"/>
              </w:rPr>
            </w:pPr>
            <w:r>
              <w:rPr>
                <w:rFonts w:hint="eastAsia" w:ascii="仿宋_GB2312" w:eastAsia="仿宋_GB2312"/>
              </w:rPr>
              <w:t>各项综合事务工作完成率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 w:hAnsi="仿宋" w:eastAsia="仿宋" w:cs="Times New Roman"/>
          <w:sz w:val="32"/>
          <w:szCs w:val="32"/>
        </w:rPr>
      </w:pPr>
      <w:bookmarkStart w:id="1" w:name="_Toc471398468"/>
      <w:r>
        <w:rPr>
          <w:rFonts w:ascii="仿宋_GB2312" w:hAnsi="仿宋" w:eastAsia="仿宋_GB2312" w:cs="Times New Roman"/>
          <w:sz w:val="32"/>
          <w:szCs w:val="32"/>
        </w:rPr>
        <w:t>201</w:t>
      </w:r>
      <w:r>
        <w:rPr>
          <w:rFonts w:hint="eastAsia" w:ascii="仿宋_GB2312" w:hAnsi="仿宋" w:eastAsia="仿宋_GB2312" w:cs="Times New Roman"/>
          <w:sz w:val="32"/>
          <w:szCs w:val="32"/>
        </w:rPr>
        <w:t>9</w:t>
      </w:r>
      <w:r>
        <w:rPr>
          <w:rFonts w:hint="eastAsia" w:ascii="仿宋_GB2312" w:hAnsi="仿宋" w:eastAsia="仿宋_GB2312" w:cs="宋体"/>
          <w:sz w:val="32"/>
          <w:szCs w:val="32"/>
        </w:rPr>
        <w:t>年纳入政府采购的预算包括正常公用下车辆设备维修保险服务支出</w:t>
      </w:r>
      <w:r>
        <w:rPr>
          <w:rFonts w:ascii="仿宋_GB2312" w:hAnsi="仿宋" w:eastAsia="仿宋_GB2312" w:cs="Times New Roman"/>
          <w:sz w:val="32"/>
          <w:szCs w:val="32"/>
        </w:rPr>
        <w:t>1.35</w:t>
      </w:r>
      <w:r>
        <w:rPr>
          <w:rFonts w:hint="eastAsia" w:ascii="仿宋_GB2312" w:hAnsi="仿宋" w:eastAsia="仿宋_GB2312" w:cs="宋体"/>
          <w:sz w:val="32"/>
          <w:szCs w:val="32"/>
        </w:rPr>
        <w:t>万元</w:t>
      </w:r>
      <w:r>
        <w:rPr>
          <w:rFonts w:ascii="仿宋_GB2312" w:hAnsi="仿宋" w:eastAsia="仿宋_GB2312" w:cs="宋体"/>
          <w:sz w:val="32"/>
          <w:szCs w:val="32"/>
        </w:rPr>
        <w:t>,</w:t>
      </w:r>
      <w:r>
        <w:rPr>
          <w:rFonts w:hint="eastAsia" w:ascii="仿宋_GB2312" w:hAnsi="仿宋" w:eastAsia="仿宋_GB2312" w:cs="宋体"/>
          <w:sz w:val="32"/>
          <w:szCs w:val="32"/>
        </w:rPr>
        <w:t>与</w:t>
      </w:r>
      <w:r>
        <w:rPr>
          <w:rFonts w:ascii="仿宋_GB2312" w:hAnsi="仿宋" w:eastAsia="仿宋_GB2312" w:cs="宋体"/>
          <w:sz w:val="32"/>
          <w:szCs w:val="32"/>
        </w:rPr>
        <w:t>201</w:t>
      </w:r>
      <w:r>
        <w:rPr>
          <w:rFonts w:hint="eastAsia" w:ascii="仿宋_GB2312" w:hAnsi="仿宋" w:eastAsia="仿宋_GB2312" w:cs="宋体"/>
          <w:sz w:val="32"/>
          <w:szCs w:val="32"/>
        </w:rPr>
        <w:t>8年持平。具体内容见下表</w:t>
      </w:r>
      <w:r>
        <w:rPr>
          <w:rFonts w:hint="eastAsia" w:ascii="仿宋" w:hAnsi="仿宋" w:eastAsia="仿宋" w:cs="宋体"/>
          <w:sz w:val="32"/>
          <w:szCs w:val="32"/>
        </w:rPr>
        <w:t>：</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693" w:type="dxa"/>
            <w:gridSpan w:val="7"/>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vAlign w:val="center"/>
          </w:tcPr>
          <w:p>
            <w:pPr>
              <w:spacing w:line="300" w:lineRule="exact"/>
              <w:jc w:val="left"/>
              <w:outlineLvl w:val="0"/>
              <w:rPr>
                <w:rFonts w:ascii="黑体" w:hAnsi="仿宋" w:eastAsia="黑体"/>
                <w:b/>
                <w:sz w:val="28"/>
                <w:szCs w:val="28"/>
              </w:rPr>
            </w:pPr>
          </w:p>
        </w:tc>
        <w:tc>
          <w:tcPr>
            <w:tcW w:w="792"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848" w:type="dxa"/>
            <w:vMerge w:val="continue"/>
            <w:vAlign w:val="center"/>
          </w:tcPr>
          <w:p>
            <w:pPr>
              <w:spacing w:line="300" w:lineRule="exact"/>
              <w:jc w:val="left"/>
              <w:outlineLvl w:val="0"/>
              <w:rPr>
                <w:rFonts w:ascii="黑体" w:hAnsi="仿宋" w:eastAsia="黑体"/>
                <w:b/>
                <w:sz w:val="28"/>
                <w:szCs w:val="28"/>
              </w:rPr>
            </w:pPr>
          </w:p>
        </w:tc>
        <w:tc>
          <w:tcPr>
            <w:tcW w:w="96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92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pPr>
              <w:spacing w:line="300" w:lineRule="exact"/>
              <w:jc w:val="left"/>
              <w:outlineLvl w:val="0"/>
              <w:rPr>
                <w:rFonts w:ascii="仿宋" w:hAnsi="仿宋" w:eastAsia="仿宋"/>
                <w:sz w:val="28"/>
                <w:szCs w:val="28"/>
              </w:rPr>
            </w:pPr>
          </w:p>
        </w:tc>
        <w:tc>
          <w:tcPr>
            <w:tcW w:w="932" w:type="dxa"/>
            <w:vMerge w:val="continue"/>
            <w:vAlign w:val="center"/>
          </w:tcPr>
          <w:p>
            <w:pPr>
              <w:spacing w:line="300" w:lineRule="exact"/>
              <w:jc w:val="left"/>
              <w:outlineLvl w:val="0"/>
              <w:rPr>
                <w:rFonts w:ascii="仿宋" w:hAnsi="仿宋" w:eastAsia="仿宋"/>
                <w:sz w:val="28"/>
                <w:szCs w:val="28"/>
              </w:rPr>
            </w:pPr>
          </w:p>
        </w:tc>
        <w:tc>
          <w:tcPr>
            <w:tcW w:w="1168" w:type="dxa"/>
            <w:vMerge w:val="continue"/>
            <w:vAlign w:val="center"/>
          </w:tcPr>
          <w:p>
            <w:pPr>
              <w:spacing w:line="300" w:lineRule="exact"/>
              <w:jc w:val="left"/>
              <w:outlineLvl w:val="0"/>
              <w:rPr>
                <w:rFonts w:ascii="仿宋" w:hAnsi="仿宋" w:eastAsia="仿宋"/>
                <w:sz w:val="28"/>
                <w:szCs w:val="28"/>
              </w:rPr>
            </w:pPr>
          </w:p>
        </w:tc>
        <w:tc>
          <w:tcPr>
            <w:tcW w:w="792"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848" w:type="dxa"/>
            <w:vMerge w:val="continue"/>
            <w:vAlign w:val="center"/>
          </w:tcPr>
          <w:p>
            <w:pPr>
              <w:spacing w:line="300" w:lineRule="exact"/>
              <w:jc w:val="left"/>
              <w:outlineLvl w:val="0"/>
              <w:rPr>
                <w:rFonts w:ascii="仿宋" w:hAnsi="仿宋" w:eastAsia="仿宋"/>
                <w:sz w:val="28"/>
                <w:szCs w:val="28"/>
              </w:rPr>
            </w:pPr>
          </w:p>
        </w:tc>
        <w:tc>
          <w:tcPr>
            <w:tcW w:w="961" w:type="dxa"/>
            <w:vMerge w:val="continue"/>
            <w:vAlign w:val="center"/>
          </w:tcPr>
          <w:p>
            <w:pPr>
              <w:spacing w:line="300" w:lineRule="exact"/>
              <w:jc w:val="left"/>
              <w:outlineLvl w:val="0"/>
              <w:rPr>
                <w:rFonts w:ascii="仿宋" w:hAnsi="仿宋" w:eastAsia="仿宋"/>
                <w:sz w:val="28"/>
                <w:szCs w:val="28"/>
              </w:rPr>
            </w:pP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921" w:type="dxa"/>
            <w:vMerge w:val="continue"/>
            <w:vAlign w:val="center"/>
          </w:tcPr>
          <w:p>
            <w:pPr>
              <w:spacing w:line="30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bl>
    <w:p>
      <w:pPr>
        <w:autoSpaceDE w:val="0"/>
        <w:autoSpaceDN w:val="0"/>
        <w:adjustRightInd w:val="0"/>
        <w:ind w:left="198" w:firstLine="640" w:firstLineChars="20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遵化市总工会部门上年末固定资产金额为</w:t>
      </w:r>
      <w:r>
        <w:rPr>
          <w:rFonts w:ascii="仿宋_GB2312" w:hAnsi="仿宋" w:eastAsia="仿宋_GB2312" w:cs="仿宋_GB2312"/>
          <w:sz w:val="32"/>
          <w:szCs w:val="32"/>
        </w:rPr>
        <w:t>689.80</w:t>
      </w:r>
      <w:r>
        <w:rPr>
          <w:rFonts w:hint="eastAsia" w:ascii="仿宋_GB2312" w:hAnsi="仿宋" w:eastAsia="仿宋_GB2312" w:cs="仿宋_GB2312"/>
          <w:sz w:val="32"/>
          <w:szCs w:val="32"/>
        </w:rPr>
        <w:t>万元（详见下表），本年度未安排固定资产采购预算。</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遵化市总工会部门固定资产占用情况表</w:t>
            </w:r>
          </w:p>
        </w:tc>
      </w:tr>
      <w:tr>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201</w:t>
            </w:r>
            <w:r>
              <w:rPr>
                <w:rFonts w:hint="eastAsia" w:ascii="仿宋_GB2312" w:hAnsi="仿宋" w:eastAsia="仿宋_GB2312" w:cs="仿宋_GB2312"/>
                <w:kern w:val="0"/>
                <w:sz w:val="28"/>
                <w:szCs w:val="28"/>
              </w:rPr>
              <w:t>8年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pPr>
        <w:rPr>
          <w:rFonts w:ascii="仿宋_GB2312" w:hAnsi="仿宋_GB2312" w:eastAsia="仿宋_GB2312" w:cs="仿宋_GB2312"/>
          <w:color w:val="FF0000"/>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w:t>
      </w:r>
      <w:r>
        <w:rPr>
          <w:rFonts w:hint="eastAsia" w:ascii="黑体" w:hAnsi="仿宋" w:eastAsia="黑体" w:cs="仿宋_GB2312"/>
          <w:b/>
          <w:sz w:val="32"/>
          <w:szCs w:val="32"/>
        </w:rPr>
        <w:t>、一般公共预算拨款收入：</w:t>
      </w:r>
      <w:r>
        <w:rPr>
          <w:rFonts w:hint="eastAsia" w:ascii="仿宋_GB2312" w:hAnsi="仿宋" w:eastAsia="仿宋_GB2312" w:cs="仿宋_GB2312"/>
          <w:sz w:val="32"/>
          <w:szCs w:val="32"/>
        </w:rPr>
        <w:t>指市级财政当年拨付的资金。</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2</w:t>
      </w:r>
      <w:r>
        <w:rPr>
          <w:rFonts w:hint="eastAsia" w:ascii="黑体" w:hAnsi="仿宋" w:eastAsia="黑体" w:cs="仿宋_GB2312"/>
          <w:b/>
          <w:sz w:val="32"/>
          <w:szCs w:val="32"/>
        </w:rPr>
        <w:t>、事业收入：</w:t>
      </w:r>
      <w:r>
        <w:rPr>
          <w:rFonts w:hint="eastAsia" w:ascii="仿宋_GB2312" w:hAnsi="仿宋"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 w:eastAsia="仿宋_GB2312"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、其他收入：</w:t>
      </w:r>
      <w:r>
        <w:rPr>
          <w:rFonts w:hint="eastAsia" w:ascii="仿宋_GB2312" w:hAnsi="仿宋"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4</w:t>
      </w:r>
      <w:r>
        <w:rPr>
          <w:rFonts w:hint="eastAsia" w:ascii="黑体" w:hAnsi="仿宋" w:eastAsia="黑体" w:cs="仿宋_GB2312"/>
          <w:b/>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5</w:t>
      </w:r>
      <w:r>
        <w:rPr>
          <w:rFonts w:hint="eastAsia" w:ascii="黑体" w:hAnsi="仿宋" w:eastAsia="黑体" w:cs="仿宋_GB2312"/>
          <w:b/>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6</w:t>
      </w:r>
      <w:r>
        <w:rPr>
          <w:rFonts w:hint="eastAsia" w:ascii="黑体" w:hAnsi="仿宋" w:eastAsia="黑体" w:cs="仿宋_GB2312"/>
          <w:b/>
          <w:sz w:val="32"/>
          <w:szCs w:val="32"/>
        </w:rPr>
        <w:t>、上缴上级支出</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指下级单位上缴上级的支出</w:t>
      </w:r>
      <w:r>
        <w:rPr>
          <w:rFonts w:hint="eastAsia" w:ascii="仿宋" w:hAnsi="仿宋" w:eastAsia="仿宋" w:cs="仿宋_GB2312"/>
          <w:sz w:val="32"/>
          <w:szCs w:val="32"/>
        </w:rPr>
        <w:t>。</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7</w:t>
      </w:r>
      <w:r>
        <w:rPr>
          <w:rFonts w:hint="eastAsia" w:ascii="黑体" w:hAnsi="仿宋" w:eastAsia="黑体" w:cs="仿宋_GB2312"/>
          <w:b/>
          <w:sz w:val="32"/>
          <w:szCs w:val="32"/>
        </w:rPr>
        <w:t>、“三公”经费：</w:t>
      </w:r>
      <w:r>
        <w:rPr>
          <w:rFonts w:hint="eastAsia" w:ascii="仿宋_GB2312" w:hAnsi="仿宋" w:eastAsia="仿宋_GB2312" w:cs="仿宋_GB2312"/>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8</w:t>
      </w:r>
      <w:r>
        <w:rPr>
          <w:rFonts w:hint="eastAsia" w:ascii="黑体" w:hAnsi="仿宋" w:eastAsia="黑体" w:cs="仿宋_GB2312"/>
          <w:b/>
          <w:sz w:val="32"/>
          <w:szCs w:val="32"/>
        </w:rPr>
        <w:t>、机关运行费：</w:t>
      </w:r>
      <w:r>
        <w:rPr>
          <w:rFonts w:hint="eastAsia" w:ascii="仿宋_GB2312" w:hAnsi="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9</w:t>
      </w:r>
      <w:r>
        <w:rPr>
          <w:rFonts w:hint="eastAsia" w:ascii="黑体" w:hAnsi="仿宋" w:eastAsia="黑体" w:cs="仿宋_GB2312"/>
          <w:b/>
          <w:sz w:val="32"/>
          <w:szCs w:val="32"/>
        </w:rPr>
        <w:t>、上年结转：</w:t>
      </w:r>
      <w:r>
        <w:rPr>
          <w:rFonts w:hint="eastAsia" w:ascii="仿宋_GB2312" w:hAnsi="仿宋"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10</w:t>
      </w:r>
      <w:r>
        <w:rPr>
          <w:rFonts w:hint="eastAsia" w:ascii="黑体" w:hAnsi="仿宋" w:eastAsia="黑体" w:cs="仿宋_GB2312"/>
          <w:b/>
          <w:sz w:val="32"/>
          <w:szCs w:val="32"/>
        </w:rPr>
        <w:t>、事业单位经营支出：</w:t>
      </w:r>
      <w:r>
        <w:rPr>
          <w:rFonts w:hint="eastAsia" w:ascii="仿宋_GB2312" w:hAnsi="仿宋"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201</w:t>
      </w:r>
      <w:r>
        <w:rPr>
          <w:rFonts w:hint="eastAsia" w:ascii="仿宋_GB2312" w:hAnsi="仿宋" w:eastAsia="仿宋_GB2312" w:cs="仿宋_GB2312"/>
          <w:sz w:val="32"/>
          <w:szCs w:val="32"/>
        </w:rPr>
        <w:t>9年部门预算中未安排政府性基金预算，故政府性基金预算支出表为空。</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201</w:t>
      </w:r>
      <w:r>
        <w:rPr>
          <w:rFonts w:hint="eastAsia" w:ascii="仿宋_GB2312" w:hAnsi="仿宋" w:eastAsia="仿宋_GB2312" w:cs="仿宋_GB2312"/>
          <w:sz w:val="32"/>
          <w:szCs w:val="32"/>
        </w:rPr>
        <w:t>9年部门预算中未安排国有资本经营预算，故国有资本经营预算支出表为空。</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327A39"/>
    <w:rsid w:val="00061089"/>
    <w:rsid w:val="00091296"/>
    <w:rsid w:val="000B1C12"/>
    <w:rsid w:val="000B6421"/>
    <w:rsid w:val="00152327"/>
    <w:rsid w:val="0020112E"/>
    <w:rsid w:val="0022487A"/>
    <w:rsid w:val="00234D0C"/>
    <w:rsid w:val="00281FE9"/>
    <w:rsid w:val="00327A39"/>
    <w:rsid w:val="00360048"/>
    <w:rsid w:val="00361CEA"/>
    <w:rsid w:val="003963D1"/>
    <w:rsid w:val="003F376F"/>
    <w:rsid w:val="00412F91"/>
    <w:rsid w:val="00413369"/>
    <w:rsid w:val="00493F0D"/>
    <w:rsid w:val="004E3C68"/>
    <w:rsid w:val="005F4AAA"/>
    <w:rsid w:val="00661BD3"/>
    <w:rsid w:val="00696B0A"/>
    <w:rsid w:val="00715AD7"/>
    <w:rsid w:val="0071782D"/>
    <w:rsid w:val="00736F39"/>
    <w:rsid w:val="00755D79"/>
    <w:rsid w:val="00823BCA"/>
    <w:rsid w:val="008241D5"/>
    <w:rsid w:val="00827EA6"/>
    <w:rsid w:val="00846C21"/>
    <w:rsid w:val="00954F31"/>
    <w:rsid w:val="0097491D"/>
    <w:rsid w:val="00A1629D"/>
    <w:rsid w:val="00A21A4F"/>
    <w:rsid w:val="00A47297"/>
    <w:rsid w:val="00AF7880"/>
    <w:rsid w:val="00B54D8A"/>
    <w:rsid w:val="00B644C0"/>
    <w:rsid w:val="00BC3545"/>
    <w:rsid w:val="00C05B16"/>
    <w:rsid w:val="00C35A8F"/>
    <w:rsid w:val="00CC2D3C"/>
    <w:rsid w:val="00D501E1"/>
    <w:rsid w:val="00E26732"/>
    <w:rsid w:val="00E460E9"/>
    <w:rsid w:val="00F24CE9"/>
    <w:rsid w:val="00FC7624"/>
    <w:rsid w:val="011E40F4"/>
    <w:rsid w:val="02CC1DFB"/>
    <w:rsid w:val="0E4F6609"/>
    <w:rsid w:val="140A1993"/>
    <w:rsid w:val="1B4164FD"/>
    <w:rsid w:val="1D090279"/>
    <w:rsid w:val="212B285C"/>
    <w:rsid w:val="22C97F11"/>
    <w:rsid w:val="28635414"/>
    <w:rsid w:val="30AF0B67"/>
    <w:rsid w:val="31D37162"/>
    <w:rsid w:val="334119C5"/>
    <w:rsid w:val="3B9C4859"/>
    <w:rsid w:val="3DCA1D14"/>
    <w:rsid w:val="3E1523BF"/>
    <w:rsid w:val="45AA3861"/>
    <w:rsid w:val="4A9F2360"/>
    <w:rsid w:val="4B544718"/>
    <w:rsid w:val="51D246D9"/>
    <w:rsid w:val="528B73DF"/>
    <w:rsid w:val="54440227"/>
    <w:rsid w:val="54E660C8"/>
    <w:rsid w:val="59FE7C32"/>
    <w:rsid w:val="62EF3491"/>
    <w:rsid w:val="6CFA38A3"/>
    <w:rsid w:val="6DB848C0"/>
    <w:rsid w:val="6EF11B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footnote reference"/>
    <w:qFormat/>
    <w:uiPriority w:val="99"/>
    <w:rPr>
      <w:rFonts w:cs="Times New Roman"/>
      <w:vertAlign w:val="superscript"/>
    </w:rPr>
  </w:style>
  <w:style w:type="character" w:customStyle="1" w:styleId="9">
    <w:name w:val="页脚 字符"/>
    <w:link w:val="2"/>
    <w:semiHidden/>
    <w:qFormat/>
    <w:locked/>
    <w:uiPriority w:val="99"/>
    <w:rPr>
      <w:rFonts w:ascii="Times New Roman" w:hAnsi="Times New Roman" w:eastAsia="宋体" w:cs="Times New Roman"/>
      <w:sz w:val="18"/>
      <w:szCs w:val="18"/>
    </w:rPr>
  </w:style>
  <w:style w:type="character" w:customStyle="1" w:styleId="10">
    <w:name w:val="页眉 字符"/>
    <w:link w:val="3"/>
    <w:semiHidden/>
    <w:qFormat/>
    <w:locked/>
    <w:uiPriority w:val="99"/>
    <w:rPr>
      <w:rFonts w:ascii="Times New Roman" w:hAnsi="Times New Roman" w:eastAsia="宋体" w:cs="Times New Roman"/>
      <w:sz w:val="18"/>
      <w:szCs w:val="18"/>
    </w:rPr>
  </w:style>
  <w:style w:type="paragraph" w:customStyle="1" w:styleId="11">
    <w:name w:val="批注框文本 Char Char"/>
    <w:basedOn w:val="1"/>
    <w:link w:val="13"/>
    <w:qFormat/>
    <w:uiPriority w:val="99"/>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批注框文本 Char Char Char"/>
    <w:link w:val="11"/>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893</Words>
  <Characters>5094</Characters>
  <Lines>42</Lines>
  <Paragraphs>11</Paragraphs>
  <TotalTime>11</TotalTime>
  <ScaleCrop>false</ScaleCrop>
  <LinksUpToDate>false</LinksUpToDate>
  <CharactersWithSpaces>5976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2017-11-09T17:12:00Z</cp:lastPrinted>
  <dcterms:modified xsi:type="dcterms:W3CDTF">2024-03-20T08:36:26Z</dcterms:modified>
  <dc:title>user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0314D83358D84B8BB8D22968E307712A_12</vt:lpwstr>
  </property>
</Properties>
</file>