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遵化市残疾人联合会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（草案）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10" w:name="_GoBack"/>
      <w:bookmarkEnd w:id="10"/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遵化市残疾人联合会编制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44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一、遵化市残疾人联合会本级收支预算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47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根据《遵化市残疾人联合会职能配置、内设机构和人员编制规定》，遵化市残疾人联合会的主要职责是：</w:t>
      </w:r>
    </w:p>
    <w:p>
      <w:pPr>
        <w:pStyle w:val="8"/>
      </w:pPr>
      <w:r>
        <w:t>根据遵化市机构编制委员会关于印发《遵化市残疾人联合会主要职责、内设机构和人员编制方案》的文件，我单位主要职责是：</w:t>
      </w:r>
    </w:p>
    <w:p>
      <w:pPr>
        <w:pStyle w:val="8"/>
      </w:pPr>
      <w:r>
        <w:t>1、协助政府研究、制定和实施残疾人事业的有关政策和规划。对社会涉及残疾人的工作进行业务指导和协调。</w:t>
      </w:r>
    </w:p>
    <w:p>
      <w:pPr>
        <w:pStyle w:val="8"/>
      </w:pPr>
      <w:r>
        <w:t>2、团结、教育残疾人，听取残疾人意见，反映残疾人需求，维护残疾人权益，为残疾人服务。</w:t>
      </w:r>
    </w:p>
    <w:p>
      <w:pPr>
        <w:pStyle w:val="8"/>
      </w:pPr>
      <w:r>
        <w:t>3、沟通政府、社会与残疾人之间的联系，开展残疾人康复、教育、劳动就业、文化、体育、科研、用品供应、福利、社会服务、无障碍设施和残疾预防工作，扶助残疾人平等参与社会生活。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4、承担政府残疾人工作协调委员会的日常工作，开展残疾人事业的国内、国际交流与合作。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762遵化市残疾人联合会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1528.09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1528.09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1378.69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1241.62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137.07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1528.09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405.72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389.78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1122.37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762遵化市残疾人联合会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389.78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389.78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374.85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374.85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27.14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24.34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2.86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199.72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199.72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117.75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117.75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（2）自收自支人员养老保险、失业险及工伤保险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22.58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（4）自收自支人员医疗保险及生育险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15.75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9.72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（2）招聘人员养老保险、失业险及工伤保险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（4）招聘人员医疗保险及生育险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95.45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95.45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61.56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33.89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10、预留增资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14.93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6.45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3.99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4.41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4.41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15.94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15.94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14.41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14.41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5.35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3.84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1.53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0.65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0.68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762遵化市残疾人联合会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1122.37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972.97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149.40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1122.37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972.97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149.40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1、“全国助残日”活动经费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2、办理残疾人证经费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3、残疾儿童康复训练补助资金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4、残疾人春节慰问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8.70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8.70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5、残疾人个体创业补贴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6、残疾人家庭有线电视收视费补助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7、残疾人假肢安装补助资金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8、残疾人就业保障金年审工作经费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9、残疾人联合会换届工作经费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10、残疾人文化进家庭“五个一”活动费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11、残疾人医疗保险个人缴费补助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680.00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12、残疾人运动会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13、残疾人综合服务中心修缮资金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14、残疾学生及低保户残疾人子女教育救助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15、持证残疾人基本状况调查工作经费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16、村专职委员工作补贴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21.70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21.70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17、冀财社【2021】133号提前下达2022年中央专项彩票公益金支持残疾人事业发展补助资金(残疾人文化)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2296006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18、冀财社【2021】133号提前下达2022年中央专项彩票公益金支持残疾人事业发展补助资金（儿童辅具）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2296006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19、冀财社【2021】133号提前下达2022年中央专项彩票公益金支持残疾人事业发展补助资金（儿童康复训练）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2296006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140.40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140.40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20、冀财社【2021】133号提前下达2022年中央专项彩票公益金支持残疾人事业发展补助资金（困难家庭无障碍改造）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2296006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21、冀财社【2021】148号提前下达2022年中央财政残疾人事业发展补助资金(基本康复服务)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9.95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9.95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22、冀财社【2021】148号提前下达2022年中央财政残疾人事业发展补助资金（残疾人托养）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23、冀财社【2021】148号提前下达2022年中央财政残疾人事业发展补助资金（辅具适配服务）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4.30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4.30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24、冀财社【2021】148号提前下达2022年中央财政残疾人事业发展补助资金（农村实用技术培训）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6.45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6.45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25、冀财社【2021】148号提前下达2022年中央财政残疾人事业发展补助资金（燃油补贴）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5.96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5.96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26、冀财社【2021】191号提前下达2022年省级残疾人事业发展补助资金(家庭医生签约)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4.14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27、冀财社【2021】191号提前下达2022年省级残疾人事业发展补助资金（残疾评定补贴）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4.32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4.32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28、冀财社【2021】191号提前下达2022年省级残疾人事业发展补助资金（残疾人家庭无障碍改造）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10.15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10.15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29、冀财社【2021】191号提前下达2022年省级残疾人事业发展补助资金（残疾人托养补助）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22.35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22.35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30、冀财社【2021】191号提前下达2022年省级残疾人事业发展补助资金（辅具适配服务）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41.40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41.40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31、冀财社【2021】191号提前下达2022年省级残疾人事业发展补助资金（基本康复服务）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16.20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32、贫困残疾人家庭无障碍设施改造资金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762遵化市残疾人联合会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1528.09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1378.69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149.40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382.43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382.43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106.79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1038.87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890.97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147.90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762遵化市残疾人联合会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55"/>
        <w:gridCol w:w="585"/>
        <w:gridCol w:w="585"/>
        <w:gridCol w:w="387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01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762遵化市残疾人联合会</w:t>
            </w:r>
          </w:p>
        </w:tc>
        <w:tc>
          <w:tcPr>
            <w:tcW w:w="5157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387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pStyle w:val="11"/>
            </w:pPr>
            <w:r>
              <w:t>2022年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53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555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585" w:type="dxa"/>
            <w:vMerge w:val="continue"/>
          </w:tcPr>
          <w:p/>
        </w:tc>
        <w:tc>
          <w:tcPr>
            <w:tcW w:w="585" w:type="dxa"/>
            <w:vMerge w:val="continue"/>
          </w:tcPr>
          <w:p/>
        </w:tc>
        <w:tc>
          <w:tcPr>
            <w:tcW w:w="387" w:type="dxa"/>
            <w:vMerge w:val="continue"/>
          </w:tcPr>
          <w:p/>
        </w:tc>
        <w:tc>
          <w:tcPr>
            <w:tcW w:w="573" w:type="dxa"/>
            <w:vMerge w:val="continue"/>
          </w:tcPr>
          <w:p/>
        </w:tc>
        <w:tc>
          <w:tcPr>
            <w:tcW w:w="573" w:type="dxa"/>
            <w:vMerge w:val="continue"/>
          </w:tcPr>
          <w:p/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财政拨    款结转</w:t>
            </w:r>
          </w:p>
        </w:tc>
        <w:tc>
          <w:tcPr>
            <w:tcW w:w="573" w:type="dxa"/>
            <w:vAlign w:val="center"/>
          </w:tcPr>
          <w:p>
            <w:pPr>
              <w:pStyle w:val="11"/>
            </w:pPr>
            <w:r>
              <w:t>非财政    拨款结    转结余</w:t>
            </w:r>
          </w:p>
        </w:tc>
        <w:tc>
          <w:tcPr>
            <w:tcW w:w="573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3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555" w:type="dxa"/>
            <w:vAlign w:val="center"/>
          </w:tcPr>
          <w:p>
            <w:pPr>
              <w:pStyle w:val="16"/>
            </w:pPr>
          </w:p>
        </w:tc>
        <w:tc>
          <w:tcPr>
            <w:tcW w:w="585" w:type="dxa"/>
            <w:vAlign w:val="center"/>
          </w:tcPr>
          <w:p>
            <w:pPr>
              <w:pStyle w:val="17"/>
            </w:pPr>
          </w:p>
        </w:tc>
        <w:tc>
          <w:tcPr>
            <w:tcW w:w="585" w:type="dxa"/>
            <w:vAlign w:val="center"/>
          </w:tcPr>
          <w:p>
            <w:pPr>
              <w:pStyle w:val="17"/>
            </w:pPr>
          </w:p>
        </w:tc>
        <w:tc>
          <w:tcPr>
            <w:tcW w:w="387" w:type="dxa"/>
            <w:vAlign w:val="center"/>
          </w:tcPr>
          <w:p>
            <w:pPr>
              <w:pStyle w:val="15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41.40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41.40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41.40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3" w:type="dxa"/>
            <w:vAlign w:val="center"/>
          </w:tcPr>
          <w:p>
            <w:pPr>
              <w:pStyle w:val="15"/>
            </w:pPr>
            <w:r>
              <w:t>遵化市残疾人联合会本级小计</w:t>
            </w:r>
          </w:p>
        </w:tc>
        <w:tc>
          <w:tcPr>
            <w:tcW w:w="555" w:type="dxa"/>
            <w:vAlign w:val="center"/>
          </w:tcPr>
          <w:p>
            <w:pPr>
              <w:pStyle w:val="16"/>
            </w:pPr>
          </w:p>
        </w:tc>
        <w:tc>
          <w:tcPr>
            <w:tcW w:w="585" w:type="dxa"/>
            <w:vAlign w:val="center"/>
          </w:tcPr>
          <w:p>
            <w:pPr>
              <w:pStyle w:val="17"/>
            </w:pPr>
          </w:p>
        </w:tc>
        <w:tc>
          <w:tcPr>
            <w:tcW w:w="585" w:type="dxa"/>
            <w:vAlign w:val="center"/>
          </w:tcPr>
          <w:p>
            <w:pPr>
              <w:pStyle w:val="17"/>
            </w:pPr>
          </w:p>
        </w:tc>
        <w:tc>
          <w:tcPr>
            <w:tcW w:w="387" w:type="dxa"/>
            <w:vAlign w:val="center"/>
          </w:tcPr>
          <w:p>
            <w:pPr>
              <w:pStyle w:val="15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41.40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41.40</w:t>
            </w: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</w:p>
        </w:tc>
        <w:tc>
          <w:tcPr>
            <w:tcW w:w="573" w:type="dxa"/>
            <w:vAlign w:val="center"/>
          </w:tcPr>
          <w:p>
            <w:pPr>
              <w:pStyle w:val="16"/>
            </w:pPr>
            <w:r>
              <w:t>41.40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3" w:type="dxa"/>
            <w:vAlign w:val="center"/>
          </w:tcPr>
          <w:p>
            <w:pPr>
              <w:pStyle w:val="13"/>
            </w:pPr>
            <w:r>
              <w:t>冀财社【2021】191号提前下达2022年省级残疾人事业发展补助资金（辅具适配服务）</w:t>
            </w:r>
          </w:p>
        </w:tc>
        <w:tc>
          <w:tcPr>
            <w:tcW w:w="555" w:type="dxa"/>
            <w:vAlign w:val="center"/>
          </w:tcPr>
          <w:p>
            <w:pPr>
              <w:pStyle w:val="12"/>
            </w:pPr>
            <w:r>
              <w:t>41.40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其他不另分类的物品</w:t>
            </w:r>
          </w:p>
        </w:tc>
        <w:tc>
          <w:tcPr>
            <w:tcW w:w="585" w:type="dxa"/>
            <w:vAlign w:val="center"/>
          </w:tcPr>
          <w:p>
            <w:pPr>
              <w:pStyle w:val="13"/>
            </w:pPr>
            <w:r>
              <w:t>A9999</w:t>
            </w:r>
          </w:p>
        </w:tc>
        <w:tc>
          <w:tcPr>
            <w:tcW w:w="387" w:type="dxa"/>
            <w:vAlign w:val="center"/>
          </w:tcPr>
          <w:p>
            <w:pPr>
              <w:pStyle w:val="14"/>
            </w:pPr>
            <w:r>
              <w:t>个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t>41.40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t>41.40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t>41.40</w:t>
            </w: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</w:p>
        </w:tc>
        <w:tc>
          <w:tcPr>
            <w:tcW w:w="573" w:type="dxa"/>
            <w:vAlign w:val="center"/>
          </w:tcPr>
          <w:p>
            <w:pPr>
              <w:pStyle w:val="12"/>
            </w:pPr>
            <w:r>
              <w:t>41.40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1900" w:h="16840"/>
          <w:pgMar w:top="1361" w:right="1020" w:bottom="1361" w:left="1020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9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762遵化市残疾人联合会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1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1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1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pStyle w:val="1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部门或    财政调    剂收入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2324" w:type="dxa"/>
            <w:vMerge w:val="continue"/>
          </w:tcPr>
          <w:p/>
        </w:tc>
        <w:tc>
          <w:tcPr>
            <w:tcW w:w="1304" w:type="dxa"/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/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>
            <w:pPr>
              <w:pStyle w:val="17"/>
            </w:pPr>
          </w:p>
        </w:tc>
        <w:tc>
          <w:tcPr>
            <w:tcW w:w="2324" w:type="dxa"/>
            <w:vAlign w:val="center"/>
          </w:tcPr>
          <w:p>
            <w:pPr>
              <w:pStyle w:val="17"/>
            </w:pPr>
          </w:p>
        </w:tc>
        <w:tc>
          <w:tcPr>
            <w:tcW w:w="1304" w:type="dxa"/>
            <w:vAlign w:val="center"/>
          </w:tcPr>
          <w:p>
            <w:pPr>
              <w:pStyle w:val="17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320.00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320.00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320.00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1030218</w:t>
            </w:r>
          </w:p>
        </w:tc>
        <w:tc>
          <w:tcPr>
            <w:tcW w:w="2324" w:type="dxa"/>
            <w:vAlign w:val="center"/>
          </w:tcPr>
          <w:p>
            <w:pPr>
              <w:pStyle w:val="13"/>
            </w:pPr>
            <w:r>
              <w:t>残疾人就业保证金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专项收入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320.00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320.00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320.00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762遵化市残疾人联合会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9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遵化市残疾人联合会本级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9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一、遵化市残疾人联合会本级收支预算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762001遵化市残疾人联合会本级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1528.09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1528.09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1378.69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1241.62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137.07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1528.09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405.72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389.78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1122.37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762001遵化市残疾人联合会本级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389.78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389.78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374.85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374.85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27.14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24.34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1）回族补贴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（5）乡镇补贴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（6）全额离退休人员医疗保险费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2.86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0.27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（9）生育保险费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7、自收自支人员支出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199.72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199.72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（1）自收自支人员工资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117.75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117.75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（2）自收自支人员养老保险、失业险及工伤保险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22.58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（3）自收自支人员职业年金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10.50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（4）自收自支人员医疗保险及生育险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（5）自收自支人员住房公积金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15.75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（6）自收自支人员住宅取暖费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9.72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8、招聘人员支出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（1）招聘人员工资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（2）招聘人员养老保险、失业险及工伤保险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（3）招聘人员职业年金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（4）招聘人员医疗保险及生育险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（5）招聘人员住房公积金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（6）招聘人员住宅取暖费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9、定额人员支出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95.45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95.45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（1）定额人员工资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61.56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（2）定额人员保险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33.89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10、预留增资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14.93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（3）离休人员特殊补贴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（3）退职人员特殊补贴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（4）退职人员上述项目之外的补贴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（5）社保机构开支人员单位应负担的退职生活费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6、医疗费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7、助学金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（1)独生子女父母奖励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（2)其他奖励金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6.45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10、待规范津贴补贴人员提租补贴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（1）在职人员提租补贴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（3）退休人员提租补贴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（4）退职（役）人员提租补贴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11、购房补贴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1）在职住宅取暖费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3.99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2）离休住宅取暖费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3）退休住宅取暖费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4）退职住宅取暖费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915"/>
        <w:gridCol w:w="4005"/>
        <w:gridCol w:w="1144"/>
        <w:gridCol w:w="1144"/>
        <w:gridCol w:w="1144"/>
        <w:gridCol w:w="1144"/>
        <w:gridCol w:w="1144"/>
        <w:gridCol w:w="1145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762001遵化市残疾人联合会本级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15.94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15.94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14.41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5.35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（10）培训费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0.16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（15）公车补贴费用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3.84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0.06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1.53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0.65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0.68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（10）不可预见费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762001遵化市残疾人联合会本级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1122.37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972.97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149.40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残疾儿童康复训练补助资金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残疾人春节慰问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8.70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8.70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残疾人个体创业补贴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残疾人家庭有线电视收视费补助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残疾人假肢安装补助资金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残疾人医疗保险个人缴费补助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680.00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残疾学生及低保户残疾人子女教育救助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村专职委员工作补贴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21.70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21.70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冀财社【2021】133号提前下达2022年中央专项彩票公益金支持残疾人事业发展补助资金（儿童辅具）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冀财社【2021】133号提前下达2022年中央专项彩票公益金支持残疾人事业发展补助资金（儿童康复训练）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140.40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140.40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冀财社【2021】133号提前下达2022年中央专项彩票公益金支持残疾人事业发展补助资金（困难家庭无障碍改造）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冀财社【2021】148号提前下达2022年中央财政残疾人事业发展补助资金(基本康复服务)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9.95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9.95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冀财社【2021】148号提前下达2022年中央财政残疾人事业发展补助资金（残疾人托养）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11.85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冀财社【2021】148号提前下达2022年中央财政残疾人事业发展补助资金（燃油补贴）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5.96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5.96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冀财社【2021】191号提前下达2022年省级残疾人事业发展补助资金（残疾评定补贴）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4.32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4.32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冀财社【2021】191号提前下达2022年省级残疾人事业发展补助资金（残疾人家庭无障碍改造）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10.15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10.15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冀财社【2021】191号提前下达2022年省级残疾人事业发展补助资金（残疾人托养补助）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22.35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22.35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冀财社【2021】191号提前下达2022年省级残疾人事业发展补助资金（基本康复服务）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16.20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贫困残疾人家庭无障碍设施改造资金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“全国助残日”活动经费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办理残疾人证经费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残疾人就业保障金年审工作经费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残疾人联合会换届工作经费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残疾人文化进家庭“五个一”活动费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残疾人运动会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残疾人综合服务中心修缮资金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持证残疾人基本状况调查工作经费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冀财社【2021】133号提前下达2022年中央专项彩票公益金支持残疾人事业发展补助资金(残疾人文化)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2296006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冀财社【2021】148号提前下达2022年中央财政残疾人事业发展补助资金（辅具适配服务）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4.30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4.30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冀财社【2021】148号提前下达2022年中央财政残疾人事业发展补助资金（农村实用技术培训）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6.45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6.45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冀财社【2021】191号提前下达2022年省级残疾人事业发展补助资金(家庭医生签约)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4.14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4.14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冀财社【2021】191号提前下达2022年省级残疾人事业发展补助资金（辅具适配服务）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2081104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41.40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41.40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762001遵化市残疾人联合会本级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1528.09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1378.69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149.40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382.43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382.43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106.79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105.29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1038.87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890.97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147.90</w:t>
            </w: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762001遵化市残疾人联合会本级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4.30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4.10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0.20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F12E66"/>
    <w:rsid w:val="1BB078D0"/>
    <w:rsid w:val="1F8967C1"/>
    <w:rsid w:val="29481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2022-03-17T11:24:18Z</dcterms:created>
  <dcterms:modified xsi:type="dcterms:W3CDTF">2022-03-17T03:24:18Z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2022-03-17T11:24:16Z</dcterms:created>
  <dcterms:modified xsi:type="dcterms:W3CDTF">2022-03-17T03:24:16Z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2022-03-17T11:24:16Z</dcterms:created>
  <dcterms:modified xsi:type="dcterms:W3CDTF">2022-03-17T03:24:16Z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ec51d-ec97-400e-b9f9-349b7f54460b}">
  <ds:schemaRefs/>
</ds:datastoreItem>
</file>

<file path=customXml/itemProps3.xml><?xml version="1.0" encoding="utf-8"?>
<ds:datastoreItem xmlns:ds="http://schemas.openxmlformats.org/officeDocument/2006/customXml" ds:itemID="{f6295650-254b-4079-8e09-e63f19a8f063}">
  <ds:schemaRefs/>
</ds:datastoreItem>
</file>

<file path=customXml/itemProps4.xml><?xml version="1.0" encoding="utf-8"?>
<ds:datastoreItem xmlns:ds="http://schemas.openxmlformats.org/officeDocument/2006/customXml" ds:itemID="{4cf604d7-55f5-4e76-9282-c3e5bdd1ef61}">
  <ds:schemaRefs/>
</ds:datastoreItem>
</file>

<file path=customXml/itemProps5.xml><?xml version="1.0" encoding="utf-8"?>
<ds:datastoreItem xmlns:ds="http://schemas.openxmlformats.org/officeDocument/2006/customXml" ds:itemID="{06d37064-c570-4bb9-8513-71a3536cd1a9}">
  <ds:schemaRefs/>
</ds:datastoreItem>
</file>

<file path=customXml/itemProps6.xml><?xml version="1.0" encoding="utf-8"?>
<ds:datastoreItem xmlns:ds="http://schemas.openxmlformats.org/officeDocument/2006/customXml" ds:itemID="{5a41125f-ec12-4cde-8285-c9e9c69bf901}">
  <ds:schemaRefs/>
</ds:datastoreItem>
</file>

<file path=customXml/itemProps7.xml><?xml version="1.0" encoding="utf-8"?>
<ds:datastoreItem xmlns:ds="http://schemas.openxmlformats.org/officeDocument/2006/customXml" ds:itemID="{b4b6dd59-43b2-41e2-88ae-5f2694989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2022-03-17T11:24:00Z</dcterms:created>
  <dc:creator>Administrator</dc:creator>
  <cp:lastModifiedBy>Administrator</cp:lastModifiedBy>
  <dcterms:modified xsi:type="dcterms:W3CDTF">2022-04-11T06:59:45Z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