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宋体"/>
          <w:b/>
          <w:sz w:val="44"/>
        </w:rPr>
      </w:pPr>
      <w:r>
        <w:rPr>
          <w:rFonts w:hint="eastAsia" w:ascii="黑体" w:hAnsi="Calibri" w:eastAsia="黑体"/>
          <w:b/>
          <w:sz w:val="44"/>
        </w:rPr>
        <w:t>2022年部门预算信息公开目录</w:t>
      </w:r>
    </w:p>
    <w:p>
      <w:pPr>
        <w:jc w:val="center"/>
        <w:rPr>
          <w:rFonts w:hAnsi="宋体"/>
          <w:b/>
          <w:sz w:val="30"/>
        </w:rPr>
      </w:pPr>
    </w:p>
    <w:p>
      <w:pPr>
        <w:jc w:val="left"/>
        <w:rPr>
          <w:rFonts w:hAnsi="宋体"/>
          <w:b/>
          <w:sz w:val="28"/>
        </w:rPr>
      </w:pPr>
      <w:r>
        <w:rPr>
          <w:rFonts w:hint="eastAsia" w:ascii="方正楷体_GBK" w:hAnsi="Calibri" w:eastAsia="方正楷体_GBK"/>
          <w:b/>
          <w:sz w:val="28"/>
        </w:rPr>
        <w:t>部门预算公开表</w:t>
      </w:r>
    </w:p>
    <w:p>
      <w:pPr>
        <w:pStyle w:val="10"/>
        <w:tabs>
          <w:tab w:val="right" w:leader="dot" w:pos="14789"/>
        </w:tabs>
        <w:jc w:val="center"/>
        <w:rPr>
          <w:rFonts w:hAnsi="Calibri" w:eastAsia="方正仿宋_GBK"/>
          <w:sz w:val="28"/>
        </w:rPr>
      </w:pPr>
      <w:r>
        <w:rPr>
          <w:rFonts w:hAnsi="Calibri" w:eastAsia="方正仿宋_GBK"/>
          <w:sz w:val="28"/>
        </w:rPr>
        <w:fldChar w:fldCharType="begin"/>
      </w:r>
      <w:r>
        <w:rPr>
          <w:rFonts w:hAnsi="Calibri" w:eastAsia="方正仿宋_GBK"/>
          <w:sz w:val="28"/>
        </w:rPr>
        <w:instrText xml:space="preserve"> TOC \o "2-2" \h \z \u \t "-1"</w:instrText>
      </w:r>
      <w:r>
        <w:rPr>
          <w:rFonts w:hAnsi="Calibri" w:eastAsia="方正仿宋_GBK"/>
          <w:sz w:val="28"/>
        </w:rPr>
        <w:fldChar w:fldCharType="separate"/>
      </w:r>
      <w:r>
        <w:fldChar w:fldCharType="begin"/>
      </w:r>
      <w:r>
        <w:instrText xml:space="preserve"> HYPERLINK \l "_Toc68791536" </w:instrText>
      </w:r>
      <w:r>
        <w:fldChar w:fldCharType="separate"/>
      </w:r>
      <w:r>
        <w:rPr>
          <w:rStyle w:val="17"/>
          <w:rFonts w:hint="eastAsia" w:hAnsi="Calibri" w:eastAsia="方正仿宋_GBK"/>
          <w:sz w:val="28"/>
        </w:rPr>
        <w:t>部门预算收支总表</w:t>
      </w:r>
      <w:r>
        <w:rPr>
          <w:rFonts w:hAnsi="Calibri" w:eastAsia="方正仿宋_GBK"/>
          <w:sz w:val="28"/>
        </w:rPr>
        <w:tab/>
      </w:r>
      <w:r>
        <w:rPr>
          <w:rFonts w:hint="eastAsia" w:hAnsi="Calibri"/>
          <w:sz w:val="28"/>
        </w:rPr>
        <w:t>1</w:t>
      </w:r>
      <w:r>
        <w:rPr>
          <w:rFonts w:hint="eastAsia" w:hAnsi="Calibri"/>
          <w:sz w:val="28"/>
        </w:rPr>
        <w:fldChar w:fldCharType="end"/>
      </w:r>
    </w:p>
    <w:p>
      <w:pPr>
        <w:pStyle w:val="10"/>
        <w:tabs>
          <w:tab w:val="right" w:leader="dot" w:pos="14789"/>
        </w:tabs>
        <w:jc w:val="center"/>
        <w:rPr>
          <w:rFonts w:hAnsi="Calibri" w:eastAsia="方正仿宋_GBK"/>
          <w:sz w:val="28"/>
        </w:rPr>
      </w:pPr>
      <w:r>
        <w:fldChar w:fldCharType="begin"/>
      </w:r>
      <w:r>
        <w:instrText xml:space="preserve"> HYPERLINK \l "_Toc68791537" </w:instrText>
      </w:r>
      <w:r>
        <w:fldChar w:fldCharType="separate"/>
      </w:r>
      <w:r>
        <w:rPr>
          <w:rStyle w:val="17"/>
          <w:rFonts w:hint="eastAsia" w:hAnsi="Calibri" w:eastAsia="方正仿宋_GBK"/>
          <w:sz w:val="28"/>
        </w:rPr>
        <w:t>部门预算收入总表</w:t>
      </w:r>
      <w:r>
        <w:rPr>
          <w:rFonts w:hAnsi="Calibri" w:eastAsia="方正仿宋_GBK"/>
          <w:sz w:val="28"/>
        </w:rPr>
        <w:tab/>
      </w:r>
      <w:r>
        <w:rPr>
          <w:rFonts w:hint="eastAsia" w:hAnsi="Calibri"/>
          <w:sz w:val="28"/>
        </w:rPr>
        <w:t>3</w:t>
      </w:r>
      <w:r>
        <w:rPr>
          <w:rFonts w:hint="eastAsia" w:hAnsi="Calibri"/>
          <w:sz w:val="28"/>
        </w:rPr>
        <w:fldChar w:fldCharType="end"/>
      </w:r>
    </w:p>
    <w:p>
      <w:pPr>
        <w:pStyle w:val="10"/>
        <w:tabs>
          <w:tab w:val="right" w:leader="dot" w:pos="14789"/>
        </w:tabs>
        <w:jc w:val="center"/>
        <w:rPr>
          <w:rFonts w:hAnsi="Calibri" w:eastAsia="方正仿宋_GBK"/>
          <w:sz w:val="28"/>
        </w:rPr>
      </w:pPr>
      <w:r>
        <w:fldChar w:fldCharType="begin"/>
      </w:r>
      <w:r>
        <w:instrText xml:space="preserve"> HYPERLINK \l "_Toc68791538" </w:instrText>
      </w:r>
      <w:r>
        <w:fldChar w:fldCharType="separate"/>
      </w:r>
      <w:r>
        <w:rPr>
          <w:rStyle w:val="17"/>
          <w:rFonts w:hint="eastAsia" w:hAnsi="Calibri" w:eastAsia="方正仿宋_GBK"/>
          <w:sz w:val="28"/>
        </w:rPr>
        <w:t>部门预算支出总表</w:t>
      </w:r>
      <w:r>
        <w:rPr>
          <w:rFonts w:hAnsi="Calibri" w:eastAsia="方正仿宋_GBK"/>
          <w:sz w:val="28"/>
        </w:rPr>
        <w:tab/>
      </w:r>
      <w:r>
        <w:rPr>
          <w:rFonts w:hint="eastAsia" w:hAnsi="Calibri"/>
          <w:sz w:val="28"/>
        </w:rPr>
        <w:t>5</w:t>
      </w:r>
      <w:r>
        <w:rPr>
          <w:rFonts w:hint="eastAsia" w:hAnsi="Calibri"/>
          <w:sz w:val="28"/>
        </w:rPr>
        <w:fldChar w:fldCharType="end"/>
      </w:r>
    </w:p>
    <w:p>
      <w:pPr>
        <w:pStyle w:val="10"/>
        <w:tabs>
          <w:tab w:val="right" w:leader="dot" w:pos="14789"/>
        </w:tabs>
        <w:jc w:val="center"/>
        <w:rPr>
          <w:rFonts w:hAnsi="Calibri"/>
          <w:sz w:val="28"/>
        </w:rPr>
      </w:pPr>
      <w:r>
        <w:fldChar w:fldCharType="begin"/>
      </w:r>
      <w:r>
        <w:instrText xml:space="preserve"> HYPERLINK \l "_Toc68791539" </w:instrText>
      </w:r>
      <w:r>
        <w:fldChar w:fldCharType="separate"/>
      </w:r>
      <w:r>
        <w:rPr>
          <w:rStyle w:val="17"/>
          <w:rFonts w:hint="eastAsia" w:hAnsi="Calibri" w:eastAsia="方正仿宋_GBK"/>
          <w:sz w:val="28"/>
        </w:rPr>
        <w:t>部门预算财政拨款收支总表</w:t>
      </w:r>
      <w:r>
        <w:rPr>
          <w:rFonts w:hAnsi="Calibri" w:eastAsia="方正仿宋_GBK"/>
          <w:sz w:val="28"/>
        </w:rPr>
        <w:tab/>
      </w:r>
      <w:r>
        <w:rPr>
          <w:rFonts w:hint="eastAsia" w:hAnsi="Calibri"/>
          <w:sz w:val="28"/>
        </w:rPr>
        <w:t>7</w:t>
      </w:r>
      <w:r>
        <w:rPr>
          <w:rFonts w:hint="eastAsia" w:hAnsi="Calibri"/>
          <w:sz w:val="28"/>
        </w:rPr>
        <w:fldChar w:fldCharType="end"/>
      </w:r>
    </w:p>
    <w:p>
      <w:pPr>
        <w:pStyle w:val="10"/>
        <w:tabs>
          <w:tab w:val="right" w:leader="dot" w:pos="14789"/>
        </w:tabs>
        <w:jc w:val="center"/>
        <w:rPr>
          <w:rFonts w:hAnsi="Calibri"/>
          <w:sz w:val="28"/>
        </w:rPr>
      </w:pPr>
      <w:r>
        <w:fldChar w:fldCharType="begin"/>
      </w:r>
      <w:r>
        <w:instrText xml:space="preserve"> HYPERLINK \l "_Toc68791540" </w:instrText>
      </w:r>
      <w:r>
        <w:fldChar w:fldCharType="separate"/>
      </w:r>
      <w:r>
        <w:rPr>
          <w:rStyle w:val="17"/>
          <w:rFonts w:hint="eastAsia" w:hAnsi="Calibri" w:eastAsia="方正仿宋_GBK"/>
          <w:sz w:val="28"/>
        </w:rPr>
        <w:t>部门预算一般公共预算财政拨款支出表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0</w:t>
      </w:r>
    </w:p>
    <w:p>
      <w:pPr>
        <w:pStyle w:val="10"/>
        <w:tabs>
          <w:tab w:val="right" w:leader="dot" w:pos="14789"/>
        </w:tabs>
        <w:jc w:val="center"/>
        <w:rPr>
          <w:rFonts w:hAnsi="Calibri"/>
          <w:sz w:val="28"/>
        </w:rPr>
      </w:pPr>
      <w:r>
        <w:fldChar w:fldCharType="begin"/>
      </w:r>
      <w:r>
        <w:instrText xml:space="preserve"> HYPERLINK \l "_Toc68791541" </w:instrText>
      </w:r>
      <w:r>
        <w:fldChar w:fldCharType="separate"/>
      </w:r>
      <w:r>
        <w:rPr>
          <w:rStyle w:val="17"/>
          <w:rFonts w:hint="eastAsia" w:hAnsi="Calibri" w:eastAsia="方正仿宋_GBK"/>
          <w:sz w:val="28"/>
        </w:rPr>
        <w:t>部门预算一般公共预算财政拨款基本支出表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2</w:t>
      </w:r>
    </w:p>
    <w:p>
      <w:pPr>
        <w:pStyle w:val="10"/>
        <w:tabs>
          <w:tab w:val="right" w:leader="dot" w:pos="14789"/>
        </w:tabs>
        <w:jc w:val="center"/>
        <w:rPr>
          <w:rFonts w:hAnsi="Calibri"/>
          <w:sz w:val="28"/>
        </w:rPr>
      </w:pPr>
      <w:r>
        <w:fldChar w:fldCharType="begin"/>
      </w:r>
      <w:r>
        <w:instrText xml:space="preserve"> HYPERLINK \l "_Toc68791542" </w:instrText>
      </w:r>
      <w:r>
        <w:fldChar w:fldCharType="separate"/>
      </w:r>
      <w:r>
        <w:rPr>
          <w:rStyle w:val="17"/>
          <w:rFonts w:hint="eastAsia" w:hAnsi="Calibri" w:eastAsia="方正仿宋_GBK"/>
          <w:sz w:val="28"/>
        </w:rPr>
        <w:t>部门预算政府基金预算财政拨款支出表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5</w:t>
      </w:r>
    </w:p>
    <w:p>
      <w:pPr>
        <w:pStyle w:val="10"/>
        <w:tabs>
          <w:tab w:val="right" w:leader="dot" w:pos="14789"/>
        </w:tabs>
        <w:jc w:val="center"/>
        <w:rPr>
          <w:rFonts w:hAnsi="Calibri"/>
          <w:sz w:val="28"/>
        </w:rPr>
      </w:pPr>
      <w:r>
        <w:fldChar w:fldCharType="begin"/>
      </w:r>
      <w:r>
        <w:instrText xml:space="preserve"> HYPERLINK \l "_Toc68791543" </w:instrText>
      </w:r>
      <w:r>
        <w:fldChar w:fldCharType="separate"/>
      </w:r>
      <w:r>
        <w:rPr>
          <w:rStyle w:val="17"/>
          <w:rFonts w:hint="eastAsia" w:hAnsi="Calibri" w:eastAsia="方正仿宋_GBK"/>
          <w:sz w:val="28"/>
        </w:rPr>
        <w:t>部门预算国有资本经营预算财政拨款支出表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6</w:t>
      </w:r>
    </w:p>
    <w:p>
      <w:pPr>
        <w:pStyle w:val="10"/>
        <w:tabs>
          <w:tab w:val="right" w:leader="dot" w:pos="14789"/>
        </w:tabs>
        <w:jc w:val="center"/>
        <w:rPr>
          <w:rFonts w:hAnsi="Calibri"/>
          <w:sz w:val="28"/>
        </w:rPr>
      </w:pPr>
      <w:r>
        <w:fldChar w:fldCharType="begin"/>
      </w:r>
      <w:r>
        <w:instrText xml:space="preserve"> HYPERLINK \l "_Toc68791544" </w:instrText>
      </w:r>
      <w:r>
        <w:fldChar w:fldCharType="separate"/>
      </w:r>
      <w:r>
        <w:rPr>
          <w:rStyle w:val="17"/>
          <w:rFonts w:hint="eastAsia" w:hAnsi="Calibri" w:eastAsia="方正仿宋_GBK"/>
          <w:sz w:val="28"/>
        </w:rPr>
        <w:t>部门预算财政拨款“三公”经费支出表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7</w:t>
      </w:r>
    </w:p>
    <w:p>
      <w:pPr>
        <w:ind w:left="420" w:leftChars="200"/>
        <w:jc w:val="center"/>
        <w:rPr>
          <w:rFonts w:hAnsi="宋体"/>
        </w:rPr>
      </w:pPr>
      <w:r>
        <w:rPr>
          <w:rFonts w:hAnsi="Calibri" w:eastAsia="方正仿宋_GBK"/>
          <w:sz w:val="28"/>
        </w:rPr>
        <w:fldChar w:fldCharType="end"/>
      </w:r>
    </w:p>
    <w:p>
      <w:pPr>
        <w:jc w:val="left"/>
        <w:rPr>
          <w:rFonts w:hAnsi="宋体"/>
          <w:b/>
          <w:sz w:val="28"/>
        </w:rPr>
      </w:pPr>
      <w:r>
        <w:rPr>
          <w:rFonts w:hint="eastAsia" w:ascii="方正楷体_GBK" w:hAnsi="Calibri" w:eastAsia="方正楷体_GBK"/>
          <w:b/>
          <w:sz w:val="28"/>
        </w:rPr>
        <w:t>部门预算信息公开情况说明</w:t>
      </w:r>
    </w:p>
    <w:p>
      <w:pPr>
        <w:pStyle w:val="5"/>
        <w:tabs>
          <w:tab w:val="right" w:leader="dot" w:pos="14789"/>
        </w:tabs>
        <w:ind w:left="420" w:leftChars="200"/>
        <w:jc w:val="center"/>
        <w:rPr>
          <w:rFonts w:hAnsi="Calibri"/>
          <w:sz w:val="28"/>
        </w:rPr>
      </w:pPr>
      <w:r>
        <w:rPr>
          <w:rFonts w:hAnsi="Calibri" w:eastAsia="方正仿宋_GBK"/>
          <w:sz w:val="28"/>
        </w:rPr>
        <w:fldChar w:fldCharType="begin"/>
      </w:r>
      <w:r>
        <w:rPr>
          <w:rFonts w:hAnsi="Calibri" w:eastAsia="方正仿宋_GBK"/>
          <w:sz w:val="28"/>
        </w:rPr>
        <w:instrText xml:space="preserve"> TOC \o "3-3" \h \z \u \t "-1"</w:instrText>
      </w:r>
      <w:r>
        <w:rPr>
          <w:rFonts w:hAnsi="Calibri" w:eastAsia="方正仿宋_GBK"/>
          <w:sz w:val="28"/>
        </w:rPr>
        <w:fldChar w:fldCharType="separate"/>
      </w:r>
      <w:r>
        <w:fldChar w:fldCharType="begin"/>
      </w:r>
      <w:r>
        <w:instrText xml:space="preserve"> HYPERLINK \l "_Toc68791545" </w:instrText>
      </w:r>
      <w:r>
        <w:fldChar w:fldCharType="separate"/>
      </w:r>
      <w:r>
        <w:rPr>
          <w:rStyle w:val="17"/>
          <w:rFonts w:hint="eastAsia" w:hAnsi="黑体" w:eastAsia="方正仿宋_GBK"/>
          <w:sz w:val="28"/>
        </w:rPr>
        <w:t>一、部门职责及机构设置情况</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8</w:t>
      </w:r>
    </w:p>
    <w:p>
      <w:pPr>
        <w:pStyle w:val="5"/>
        <w:tabs>
          <w:tab w:val="right" w:leader="dot" w:pos="14789"/>
        </w:tabs>
        <w:ind w:left="420" w:leftChars="200"/>
        <w:jc w:val="center"/>
        <w:rPr>
          <w:rFonts w:hAnsi="Calibri"/>
          <w:sz w:val="28"/>
        </w:rPr>
      </w:pPr>
      <w:r>
        <w:fldChar w:fldCharType="begin"/>
      </w:r>
      <w:r>
        <w:instrText xml:space="preserve"> HYPERLINK \l "_Toc68791546" </w:instrText>
      </w:r>
      <w:r>
        <w:fldChar w:fldCharType="separate"/>
      </w:r>
      <w:r>
        <w:rPr>
          <w:rStyle w:val="17"/>
          <w:rFonts w:hint="eastAsia" w:hAnsi="黑体" w:eastAsia="方正仿宋_GBK"/>
          <w:sz w:val="28"/>
        </w:rPr>
        <w:t>二、部门预算安排的总体情况</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5</w:t>
      </w:r>
    </w:p>
    <w:p>
      <w:pPr>
        <w:pStyle w:val="5"/>
        <w:tabs>
          <w:tab w:val="right" w:leader="dot" w:pos="14789"/>
        </w:tabs>
        <w:ind w:left="420" w:leftChars="200"/>
        <w:jc w:val="center"/>
        <w:rPr>
          <w:rStyle w:val="17"/>
          <w:rFonts w:hAnsi="Calibri" w:eastAsia="方正仿宋_GBK"/>
          <w:sz w:val="28"/>
        </w:rPr>
        <w:sectPr>
          <w:footerReference r:id="rId3" w:type="default"/>
          <w:pgSz w:w="16839" w:h="11907" w:orient="landscape"/>
          <w:pgMar w:top="680" w:right="1020" w:bottom="680" w:left="1020" w:header="851" w:footer="992" w:gutter="0"/>
          <w:cols w:space="720" w:num="1"/>
          <w:docGrid w:type="lines" w:linePitch="312" w:charSpace="0"/>
        </w:sectPr>
      </w:pPr>
    </w:p>
    <w:p>
      <w:pPr>
        <w:pStyle w:val="5"/>
        <w:tabs>
          <w:tab w:val="right" w:leader="dot" w:pos="14789"/>
        </w:tabs>
        <w:ind w:left="420" w:leftChars="200"/>
        <w:jc w:val="center"/>
        <w:rPr>
          <w:rFonts w:hAnsi="Calibri"/>
          <w:sz w:val="28"/>
        </w:rPr>
      </w:pPr>
      <w:r>
        <w:fldChar w:fldCharType="begin"/>
      </w:r>
      <w:r>
        <w:instrText xml:space="preserve"> HYPERLINK \l "_Toc68791547" </w:instrText>
      </w:r>
      <w:r>
        <w:fldChar w:fldCharType="separate"/>
      </w:r>
      <w:r>
        <w:rPr>
          <w:rStyle w:val="17"/>
          <w:rFonts w:hint="eastAsia" w:hAnsi="黑体" w:eastAsia="方正仿宋_GBK"/>
          <w:sz w:val="28"/>
        </w:rPr>
        <w:t>三、机关运行经费安排情况</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6</w:t>
      </w:r>
    </w:p>
    <w:p>
      <w:pPr>
        <w:pStyle w:val="5"/>
        <w:tabs>
          <w:tab w:val="right" w:leader="dot" w:pos="14789"/>
        </w:tabs>
        <w:ind w:left="420" w:leftChars="200"/>
        <w:jc w:val="center"/>
        <w:rPr>
          <w:rFonts w:hAnsi="Calibri"/>
          <w:sz w:val="28"/>
        </w:rPr>
      </w:pPr>
      <w:r>
        <w:fldChar w:fldCharType="begin"/>
      </w:r>
      <w:r>
        <w:instrText xml:space="preserve"> HYPERLINK \l "_Toc68791548" </w:instrText>
      </w:r>
      <w:r>
        <w:fldChar w:fldCharType="separate"/>
      </w:r>
      <w:r>
        <w:rPr>
          <w:rStyle w:val="17"/>
          <w:rFonts w:hint="eastAsia" w:hAnsi="黑体" w:eastAsia="方正仿宋_GBK"/>
          <w:sz w:val="28"/>
        </w:rPr>
        <w:t>四、财政拨款</w:t>
      </w:r>
      <w:r>
        <w:rPr>
          <w:rStyle w:val="17"/>
          <w:rFonts w:hAnsi="黑体" w:eastAsia="方正仿宋_GBK"/>
          <w:sz w:val="28"/>
        </w:rPr>
        <w:t>“</w:t>
      </w:r>
      <w:r>
        <w:rPr>
          <w:rStyle w:val="17"/>
          <w:rFonts w:hint="eastAsia" w:hAnsi="黑体" w:eastAsia="方正仿宋_GBK"/>
          <w:sz w:val="28"/>
        </w:rPr>
        <w:t>三公</w:t>
      </w:r>
      <w:r>
        <w:rPr>
          <w:rStyle w:val="17"/>
          <w:rFonts w:hAnsi="黑体" w:eastAsia="方正仿宋_GBK"/>
          <w:sz w:val="28"/>
        </w:rPr>
        <w:t>”</w:t>
      </w:r>
      <w:r>
        <w:rPr>
          <w:rStyle w:val="17"/>
          <w:rFonts w:hint="eastAsia" w:hAnsi="黑体" w:eastAsia="方正仿宋_GBK"/>
          <w:sz w:val="28"/>
        </w:rPr>
        <w:t>经费预算情况及增减变化原因</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7</w:t>
      </w:r>
    </w:p>
    <w:p>
      <w:pPr>
        <w:pStyle w:val="5"/>
        <w:tabs>
          <w:tab w:val="right" w:leader="dot" w:pos="14789"/>
        </w:tabs>
        <w:ind w:left="420" w:leftChars="200"/>
        <w:jc w:val="center"/>
        <w:rPr>
          <w:rFonts w:hAnsi="Calibri"/>
          <w:sz w:val="28"/>
        </w:rPr>
      </w:pPr>
      <w:r>
        <w:fldChar w:fldCharType="begin"/>
      </w:r>
      <w:r>
        <w:instrText xml:space="preserve"> HYPERLINK \l "_Toc68791549" </w:instrText>
      </w:r>
      <w:r>
        <w:fldChar w:fldCharType="separate"/>
      </w:r>
      <w:r>
        <w:rPr>
          <w:rStyle w:val="17"/>
          <w:rFonts w:hint="eastAsia" w:hAnsi="黑体" w:eastAsia="方正仿宋_GBK"/>
          <w:sz w:val="28"/>
        </w:rPr>
        <w:t>五、预算绩效信息</w:t>
      </w:r>
      <w:r>
        <w:rPr>
          <w:rFonts w:hAnsi="Calibri" w:eastAsia="方正仿宋_GBK"/>
          <w:sz w:val="28"/>
        </w:rPr>
        <w:tab/>
      </w:r>
      <w:r>
        <w:rPr>
          <w:rFonts w:hint="eastAsia" w:hAnsi="Calibri"/>
          <w:sz w:val="28"/>
        </w:rPr>
        <w:t>35</w:t>
      </w:r>
      <w:r>
        <w:rPr>
          <w:rFonts w:hint="eastAsia" w:hAnsi="Calibri"/>
          <w:sz w:val="28"/>
        </w:rPr>
        <w:fldChar w:fldCharType="end"/>
      </w:r>
    </w:p>
    <w:p>
      <w:pPr>
        <w:pStyle w:val="5"/>
        <w:tabs>
          <w:tab w:val="right" w:leader="dot" w:pos="14789"/>
        </w:tabs>
        <w:ind w:left="420" w:leftChars="200"/>
        <w:jc w:val="center"/>
        <w:rPr>
          <w:rFonts w:hAnsi="Calibri"/>
          <w:sz w:val="28"/>
        </w:rPr>
      </w:pPr>
      <w:r>
        <w:fldChar w:fldCharType="begin"/>
      </w:r>
      <w:r>
        <w:instrText xml:space="preserve"> HYPERLINK \l "_Toc68791550" </w:instrText>
      </w:r>
      <w:r>
        <w:fldChar w:fldCharType="separate"/>
      </w:r>
      <w:r>
        <w:rPr>
          <w:rStyle w:val="17"/>
          <w:rFonts w:hint="eastAsia" w:hAnsi="Calibri" w:eastAsia="方正仿宋_GBK"/>
          <w:sz w:val="28"/>
        </w:rPr>
        <w:t>六、政府采购预算情况</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6</w:t>
      </w:r>
    </w:p>
    <w:p>
      <w:pPr>
        <w:pStyle w:val="5"/>
        <w:tabs>
          <w:tab w:val="right" w:leader="dot" w:pos="14789"/>
        </w:tabs>
        <w:ind w:left="420" w:leftChars="200"/>
        <w:jc w:val="center"/>
        <w:rPr>
          <w:rFonts w:hAnsi="Calibri"/>
          <w:sz w:val="28"/>
        </w:rPr>
      </w:pPr>
      <w:r>
        <w:fldChar w:fldCharType="begin"/>
      </w:r>
      <w:r>
        <w:instrText xml:space="preserve"> HYPERLINK \l "_Toc68791551" </w:instrText>
      </w:r>
      <w:r>
        <w:fldChar w:fldCharType="separate"/>
      </w:r>
      <w:r>
        <w:rPr>
          <w:rStyle w:val="17"/>
          <w:rFonts w:hint="eastAsia" w:hAnsi="黑体" w:eastAsia="方正仿宋_GBK"/>
          <w:sz w:val="28"/>
        </w:rPr>
        <w:t>七、国有资产信息</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7</w:t>
      </w:r>
    </w:p>
    <w:p>
      <w:pPr>
        <w:pStyle w:val="5"/>
        <w:tabs>
          <w:tab w:val="right" w:leader="dot" w:pos="14789"/>
        </w:tabs>
        <w:ind w:left="420" w:leftChars="200"/>
        <w:rPr>
          <w:rFonts w:hAnsi="Calibri"/>
          <w:sz w:val="28"/>
        </w:rPr>
      </w:pPr>
      <w:r>
        <w:fldChar w:fldCharType="begin"/>
      </w:r>
      <w:r>
        <w:instrText xml:space="preserve"> HYPERLINK \l "_Toc68791552" </w:instrText>
      </w:r>
      <w:r>
        <w:fldChar w:fldCharType="separate"/>
      </w:r>
      <w:r>
        <w:rPr>
          <w:rStyle w:val="17"/>
          <w:rFonts w:hint="eastAsia" w:hAnsi="黑体" w:eastAsia="方正仿宋_GBK"/>
          <w:sz w:val="28"/>
        </w:rPr>
        <w:t>八、名词解释</w:t>
      </w:r>
      <w:r>
        <w:rPr>
          <w:rFonts w:hAnsi="Calibri" w:eastAsia="方正仿宋_GBK"/>
          <w:sz w:val="28"/>
        </w:rPr>
        <w:tab/>
      </w:r>
      <w:r>
        <w:rPr>
          <w:rFonts w:hAnsi="Calibri" w:eastAsia="方正仿宋_GBK"/>
          <w:sz w:val="28"/>
        </w:rPr>
        <w:fldChar w:fldCharType="end"/>
      </w:r>
      <w:r>
        <w:rPr>
          <w:rStyle w:val="17"/>
          <w:rFonts w:hint="eastAsia" w:hAnsi="Calibri"/>
          <w:sz w:val="28"/>
        </w:rPr>
        <w:t>37</w:t>
      </w:r>
    </w:p>
    <w:p>
      <w:pPr>
        <w:pStyle w:val="5"/>
        <w:tabs>
          <w:tab w:val="right" w:leader="dot" w:pos="14789"/>
        </w:tabs>
        <w:ind w:left="420" w:leftChars="200"/>
        <w:jc w:val="center"/>
        <w:rPr>
          <w:rFonts w:hAnsi="Calibri"/>
          <w:sz w:val="28"/>
        </w:rPr>
      </w:pPr>
      <w:r>
        <w:fldChar w:fldCharType="begin"/>
      </w:r>
      <w:r>
        <w:instrText xml:space="preserve"> HYPERLINK \l "_Toc68791553" </w:instrText>
      </w:r>
      <w:r>
        <w:fldChar w:fldCharType="separate"/>
      </w:r>
      <w:r>
        <w:rPr>
          <w:rStyle w:val="17"/>
          <w:rFonts w:hint="eastAsia" w:hAnsi="黑体" w:eastAsia="方正仿宋_GBK"/>
          <w:sz w:val="28"/>
        </w:rPr>
        <w:t>九、其他需要说明的事项</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8</w:t>
      </w:r>
    </w:p>
    <w:p>
      <w:pPr>
        <w:ind w:left="420" w:leftChars="200"/>
        <w:jc w:val="center"/>
        <w:rPr>
          <w:rFonts w:hAnsi="宋体"/>
        </w:rPr>
      </w:pPr>
      <w:r>
        <w:rPr>
          <w:rFonts w:hAnsi="Calibri" w:eastAsia="方正仿宋_GBK"/>
          <w:sz w:val="28"/>
        </w:rPr>
        <w:fldChar w:fldCharType="end"/>
      </w:r>
    </w:p>
    <w:p>
      <w:pPr>
        <w:pStyle w:val="9"/>
        <w:tabs>
          <w:tab w:val="right" w:leader="dot" w:pos="14789"/>
        </w:tabs>
        <w:ind w:left="420" w:leftChars="200"/>
        <w:jc w:val="center"/>
        <w:rPr>
          <w:rFonts w:hAnsi="Calibri" w:eastAsia="方正仿宋_GBK"/>
          <w:sz w:val="28"/>
        </w:rPr>
      </w:pPr>
    </w:p>
    <w:p>
      <w:pPr>
        <w:ind w:left="420" w:leftChars="200"/>
        <w:jc w:val="center"/>
        <w:rPr>
          <w:rFonts w:hAnsi="宋体"/>
        </w:rPr>
      </w:pPr>
    </w:p>
    <w:p>
      <w:pPr>
        <w:jc w:val="center"/>
        <w:rPr>
          <w:rFonts w:ascii="Calibri" w:hAnsi="Calibri"/>
        </w:rPr>
      </w:pPr>
    </w:p>
    <w:p>
      <w:pPr>
        <w:ind w:firstLine="560" w:firstLineChars="200"/>
        <w:jc w:val="left"/>
        <w:rPr>
          <w:rFonts w:hAnsi="Calibri" w:eastAsia="方正仿宋_GBK"/>
          <w:sz w:val="28"/>
        </w:rPr>
      </w:pPr>
    </w:p>
    <w:p>
      <w:pPr>
        <w:spacing w:line="560" w:lineRule="exact"/>
        <w:jc w:val="left"/>
        <w:rPr>
          <w:rStyle w:val="17"/>
          <w:rFonts w:ascii="宋体" w:hAnsi="宋体" w:cs="宋体"/>
          <w:color w:val="auto"/>
          <w:sz w:val="28"/>
        </w:rPr>
      </w:pPr>
    </w:p>
    <w:p>
      <w:pPr>
        <w:spacing w:line="560" w:lineRule="exact"/>
        <w:jc w:val="left"/>
        <w:rPr>
          <w:rStyle w:val="17"/>
          <w:rFonts w:ascii="宋体" w:hAnsi="宋体" w:cs="宋体"/>
          <w:color w:val="auto"/>
          <w:sz w:val="28"/>
        </w:rPr>
      </w:pPr>
    </w:p>
    <w:p>
      <w:pPr>
        <w:spacing w:line="560" w:lineRule="exact"/>
        <w:jc w:val="left"/>
        <w:rPr>
          <w:rStyle w:val="17"/>
          <w:rFonts w:ascii="宋体" w:hAnsi="宋体" w:cs="宋体"/>
          <w:color w:val="auto"/>
          <w:sz w:val="28"/>
        </w:rPr>
        <w:sectPr>
          <w:footerReference r:id="rId4"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Fonts w:ascii="黑体" w:hAnsi="黑体" w:eastAsia="黑体" w:cs="黑体"/>
          <w:bCs/>
          <w:sz w:val="24"/>
        </w:rPr>
      </w:pPr>
    </w:p>
    <w:p>
      <w:pPr>
        <w:spacing w:line="560" w:lineRule="exact"/>
        <w:jc w:val="left"/>
        <w:rPr>
          <w:rFonts w:ascii="黑体" w:hAnsi="黑体" w:eastAsia="黑体" w:cs="黑体"/>
          <w:bCs/>
          <w:sz w:val="24"/>
        </w:rPr>
      </w:pPr>
      <w:r>
        <w:rPr>
          <w:rFonts w:hint="eastAsia" w:ascii="黑体" w:hAnsi="黑体" w:eastAsia="黑体" w:cs="黑体"/>
          <w:bCs/>
          <w:sz w:val="24"/>
        </w:rPr>
        <w:t>附表1-1</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部门预算收支总表</w:t>
      </w:r>
    </w:p>
    <w:p>
      <w:pPr>
        <w:spacing w:line="560" w:lineRule="exact"/>
        <w:ind w:firstLine="240" w:firstLineChars="1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629 遵化市文化路街道办事处    </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ign w:val="center"/>
          </w:tcPr>
          <w:p>
            <w:pPr>
              <w:tabs>
                <w:tab w:val="left" w:pos="453"/>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790" w:type="dxa"/>
            <w:gridSpan w:val="2"/>
            <w:noWrap/>
            <w:vAlign w:val="center"/>
          </w:tcPr>
          <w:p>
            <w:pPr>
              <w:spacing w:line="560" w:lineRule="exact"/>
              <w:ind w:firstLine="1440" w:firstLineChars="6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收  入</w:t>
            </w:r>
          </w:p>
        </w:tc>
        <w:tc>
          <w:tcPr>
            <w:tcW w:w="7714" w:type="dxa"/>
            <w:gridSpan w:val="2"/>
            <w:noWrap/>
            <w:vAlign w:val="center"/>
          </w:tcPr>
          <w:p>
            <w:pPr>
              <w:spacing w:line="560" w:lineRule="exact"/>
              <w:ind w:firstLine="1920" w:firstLineChars="8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预算数</w:t>
            </w: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一、一般公共预算拨款收入</w:t>
            </w:r>
          </w:p>
        </w:tc>
        <w:tc>
          <w:tcPr>
            <w:tcW w:w="153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一、一般公共服务支出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二、外交支出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三、国防支出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四、财政专户管理资金收入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四、公共安全支出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五、事业收入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五、教育支出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六、事业单位经营收入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六、科学技术支出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七、上级补助收入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七、文化旅游体育与传媒支出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八、附属单位上缴收入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八、社会保障和就业支出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九、其他收入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九、卫生健康支出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十、节能环保支出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十一、城乡社区支出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十二、农林水支出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tabs>
                <w:tab w:val="left" w:pos="498"/>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r>
          </w:tbl>
          <w:p>
            <w:pPr>
              <w:spacing w:line="560" w:lineRule="exact"/>
              <w:jc w:val="center"/>
              <w:rPr>
                <w:rFonts w:ascii="方正仿宋简体" w:hAnsi="方正仿宋简体" w:eastAsia="方正仿宋简体" w:cs="方正仿宋简体"/>
                <w:bCs/>
                <w:sz w:val="24"/>
              </w:rPr>
            </w:pP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十三、交通运输支出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十四、资源勘探工业信息等支出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十五、商业服务业等支出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十六、金融支出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十七、援助其他地区支出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十八、自然资源海洋气象等支出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十九、住房保障支出</w:t>
            </w:r>
          </w:p>
        </w:tc>
        <w:tc>
          <w:tcPr>
            <w:tcW w:w="2219"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二十、粮油物资储备支出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二十一、国有资本经营预算支出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二十二、灾害防治及应急管理支出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二十三、债务还本支出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二十四、债务付息支出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二十五、债务发行费用支出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二十六、其他支出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本年收入合计</w:t>
            </w:r>
          </w:p>
        </w:tc>
        <w:tc>
          <w:tcPr>
            <w:tcW w:w="153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5495"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2219"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426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上年结转结余</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年终结转结余</w:t>
            </w:r>
          </w:p>
        </w:tc>
        <w:tc>
          <w:tcPr>
            <w:tcW w:w="2219" w:type="dxa"/>
            <w:noWrap/>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仿宋" w:hAnsi="仿宋" w:eastAsia="仿宋" w:cs="仿宋"/>
          <w:bCs/>
          <w:sz w:val="24"/>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Fonts w:ascii="黑体" w:hAnsi="黑体" w:eastAsia="黑体" w:cs="黑体"/>
          <w:bCs/>
          <w:sz w:val="24"/>
        </w:rPr>
      </w:pPr>
      <w:r>
        <w:rPr>
          <w:rFonts w:hint="eastAsia" w:ascii="黑体" w:hAnsi="黑体" w:eastAsia="黑体" w:cs="黑体"/>
          <w:bCs/>
          <w:sz w:val="24"/>
        </w:rPr>
        <w:t>附表1-2</w:t>
      </w:r>
    </w:p>
    <w:p>
      <w:pPr>
        <w:pStyle w:val="4"/>
        <w:rPr>
          <w:rFonts w:ascii="方正黑体简体" w:hAnsi="方正黑体简体" w:cs="方正黑体简体"/>
          <w:b w:val="0"/>
          <w:bCs/>
          <w:szCs w:val="44"/>
        </w:rPr>
      </w:pPr>
      <w:r>
        <w:rPr>
          <w:rFonts w:hint="eastAsia" w:ascii="方正黑体简体" w:hAnsi="方正黑体简体" w:cs="方正黑体简体"/>
          <w:b w:val="0"/>
          <w:bCs/>
          <w:szCs w:val="44"/>
        </w:rPr>
        <w:t>部门预算收入总表</w:t>
      </w: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629 遵化市文化路街道办事处        </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225"/>
        <w:gridCol w:w="3740"/>
        <w:gridCol w:w="1151"/>
        <w:gridCol w:w="1134"/>
        <w:gridCol w:w="1134"/>
        <w:gridCol w:w="284"/>
        <w:gridCol w:w="333"/>
        <w:gridCol w:w="851"/>
        <w:gridCol w:w="1088"/>
        <w:gridCol w:w="1435"/>
        <w:gridCol w:w="82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ign w:val="center"/>
          </w:tcPr>
          <w:p>
            <w:pPr>
              <w:tabs>
                <w:tab w:val="left" w:pos="243"/>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496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15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7087" w:type="dxa"/>
            <w:gridSpan w:val="8"/>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w:t>
            </w:r>
          </w:p>
        </w:tc>
        <w:tc>
          <w:tcPr>
            <w:tcW w:w="87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5" w:hRule="exact"/>
          <w:tblHeader/>
          <w:jc w:val="center"/>
        </w:trPr>
        <w:tc>
          <w:tcPr>
            <w:tcW w:w="938"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2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功能科目编码</w:t>
            </w: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15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小计</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财政拨款收入</w:t>
            </w:r>
          </w:p>
        </w:tc>
        <w:tc>
          <w:tcPr>
            <w:tcW w:w="2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财政专户收入</w:t>
            </w:r>
          </w:p>
        </w:tc>
        <w:tc>
          <w:tcPr>
            <w:tcW w:w="33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事业收入</w:t>
            </w:r>
          </w:p>
        </w:tc>
        <w:tc>
          <w:tcPr>
            <w:tcW w:w="8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经营收入</w:t>
            </w:r>
          </w:p>
        </w:tc>
        <w:tc>
          <w:tcPr>
            <w:tcW w:w="108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上级补助收入</w:t>
            </w:r>
          </w:p>
        </w:tc>
        <w:tc>
          <w:tcPr>
            <w:tcW w:w="143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附属单位上缴收入</w:t>
            </w:r>
          </w:p>
        </w:tc>
        <w:tc>
          <w:tcPr>
            <w:tcW w:w="82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其他收入</w:t>
            </w:r>
          </w:p>
        </w:tc>
        <w:tc>
          <w:tcPr>
            <w:tcW w:w="87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2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2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33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8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08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43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82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87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225" w:type="dxa"/>
            <w:noWrap/>
            <w:vAlign w:val="center"/>
          </w:tcPr>
          <w:p>
            <w:pPr>
              <w:spacing w:line="560" w:lineRule="exact"/>
              <w:jc w:val="center"/>
              <w:rPr>
                <w:rFonts w:ascii="方正仿宋简体" w:hAnsi="方正仿宋简体" w:eastAsia="方正仿宋简体" w:cs="方正仿宋简体"/>
                <w:bCs/>
                <w:sz w:val="24"/>
              </w:rPr>
            </w:pP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761.37</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761.37</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761.37</w:t>
            </w:r>
          </w:p>
        </w:tc>
        <w:tc>
          <w:tcPr>
            <w:tcW w:w="284" w:type="dxa"/>
            <w:noWrap/>
            <w:vAlign w:val="center"/>
          </w:tcPr>
          <w:p>
            <w:pPr>
              <w:spacing w:line="560" w:lineRule="exact"/>
              <w:jc w:val="center"/>
              <w:rPr>
                <w:rFonts w:ascii="方正仿宋简体" w:hAnsi="方正仿宋简体" w:eastAsia="方正仿宋简体" w:cs="方正仿宋简体"/>
                <w:bCs/>
                <w:sz w:val="24"/>
              </w:rPr>
            </w:pPr>
          </w:p>
        </w:tc>
        <w:tc>
          <w:tcPr>
            <w:tcW w:w="333" w:type="dxa"/>
            <w:noWrap/>
            <w:vAlign w:val="center"/>
          </w:tcPr>
          <w:p>
            <w:pPr>
              <w:spacing w:line="560" w:lineRule="exact"/>
              <w:jc w:val="center"/>
              <w:rPr>
                <w:rFonts w:ascii="方正仿宋简体" w:hAnsi="方正仿宋简体" w:eastAsia="方正仿宋简体" w:cs="方正仿宋简体"/>
                <w:bCs/>
                <w:sz w:val="24"/>
              </w:rPr>
            </w:pPr>
          </w:p>
        </w:tc>
        <w:tc>
          <w:tcPr>
            <w:tcW w:w="851" w:type="dxa"/>
            <w:noWrap/>
            <w:vAlign w:val="center"/>
          </w:tcPr>
          <w:p>
            <w:pPr>
              <w:spacing w:line="560" w:lineRule="exact"/>
              <w:jc w:val="center"/>
              <w:rPr>
                <w:rFonts w:ascii="方正仿宋简体" w:hAnsi="方正仿宋简体" w:eastAsia="方正仿宋简体" w:cs="方正仿宋简体"/>
                <w:bCs/>
                <w:sz w:val="24"/>
              </w:rPr>
            </w:pPr>
          </w:p>
        </w:tc>
        <w:tc>
          <w:tcPr>
            <w:tcW w:w="1088" w:type="dxa"/>
            <w:noWrap/>
            <w:vAlign w:val="center"/>
          </w:tcPr>
          <w:p>
            <w:pPr>
              <w:spacing w:line="560" w:lineRule="exact"/>
              <w:jc w:val="center"/>
              <w:rPr>
                <w:rFonts w:ascii="方正仿宋简体" w:hAnsi="方正仿宋简体" w:eastAsia="方正仿宋简体" w:cs="方正仿宋简体"/>
                <w:bCs/>
                <w:sz w:val="24"/>
              </w:rPr>
            </w:pPr>
          </w:p>
        </w:tc>
        <w:tc>
          <w:tcPr>
            <w:tcW w:w="1435" w:type="dxa"/>
            <w:noWrap/>
            <w:vAlign w:val="center"/>
          </w:tcPr>
          <w:p>
            <w:pPr>
              <w:spacing w:line="560" w:lineRule="exact"/>
              <w:jc w:val="center"/>
              <w:rPr>
                <w:rFonts w:ascii="方正仿宋简体" w:hAnsi="方正仿宋简体" w:eastAsia="方正仿宋简体" w:cs="方正仿宋简体"/>
                <w:bCs/>
                <w:sz w:val="24"/>
              </w:rPr>
            </w:pPr>
          </w:p>
        </w:tc>
        <w:tc>
          <w:tcPr>
            <w:tcW w:w="828" w:type="dxa"/>
            <w:noWrap/>
            <w:vAlign w:val="center"/>
          </w:tcPr>
          <w:p>
            <w:pPr>
              <w:spacing w:line="560" w:lineRule="exact"/>
              <w:jc w:val="center"/>
              <w:rPr>
                <w:rFonts w:ascii="方正仿宋简体" w:hAnsi="方正仿宋简体" w:eastAsia="方正仿宋简体" w:cs="方正仿宋简体"/>
                <w:bCs/>
                <w:sz w:val="24"/>
              </w:rPr>
            </w:pPr>
          </w:p>
        </w:tc>
        <w:tc>
          <w:tcPr>
            <w:tcW w:w="87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1413.288</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151"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151"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151"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284" w:type="dxa"/>
            <w:noWrap/>
            <w:vAlign w:val="center"/>
          </w:tcPr>
          <w:p>
            <w:pPr>
              <w:spacing w:line="560" w:lineRule="exact"/>
              <w:jc w:val="left"/>
              <w:rPr>
                <w:rFonts w:ascii="方正仿宋简体" w:hAnsi="方正仿宋简体" w:eastAsia="方正仿宋简体" w:cs="方正仿宋简体"/>
                <w:bCs/>
                <w:sz w:val="24"/>
              </w:rPr>
            </w:pPr>
          </w:p>
        </w:tc>
        <w:tc>
          <w:tcPr>
            <w:tcW w:w="333" w:type="dxa"/>
            <w:noWrap/>
            <w:vAlign w:val="center"/>
          </w:tcPr>
          <w:p>
            <w:pPr>
              <w:spacing w:line="560" w:lineRule="exact"/>
              <w:jc w:val="left"/>
              <w:rPr>
                <w:rFonts w:ascii="方正仿宋简体" w:hAnsi="方正仿宋简体" w:eastAsia="方正仿宋简体" w:cs="方正仿宋简体"/>
                <w:bCs/>
                <w:sz w:val="24"/>
              </w:rPr>
            </w:pPr>
          </w:p>
        </w:tc>
        <w:tc>
          <w:tcPr>
            <w:tcW w:w="851" w:type="dxa"/>
            <w:noWrap/>
            <w:vAlign w:val="center"/>
          </w:tcPr>
          <w:p>
            <w:pPr>
              <w:spacing w:line="560" w:lineRule="exact"/>
              <w:jc w:val="left"/>
              <w:rPr>
                <w:rFonts w:ascii="方正仿宋简体" w:hAnsi="方正仿宋简体" w:eastAsia="方正仿宋简体" w:cs="方正仿宋简体"/>
                <w:bCs/>
                <w:sz w:val="24"/>
              </w:rPr>
            </w:pPr>
          </w:p>
        </w:tc>
        <w:tc>
          <w:tcPr>
            <w:tcW w:w="1088" w:type="dxa"/>
            <w:noWrap/>
            <w:vAlign w:val="center"/>
          </w:tcPr>
          <w:p>
            <w:pPr>
              <w:spacing w:line="560" w:lineRule="exact"/>
              <w:jc w:val="left"/>
              <w:rPr>
                <w:rFonts w:ascii="方正仿宋简体" w:hAnsi="方正仿宋简体" w:eastAsia="方正仿宋简体" w:cs="方正仿宋简体"/>
                <w:bCs/>
                <w:sz w:val="24"/>
              </w:rPr>
            </w:pPr>
          </w:p>
        </w:tc>
        <w:tc>
          <w:tcPr>
            <w:tcW w:w="1435"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附表1-3</w:t>
      </w:r>
    </w:p>
    <w:p>
      <w:pPr>
        <w:pStyle w:val="4"/>
        <w:rPr>
          <w:rFonts w:ascii="方正黑体简体" w:hAnsi="方正黑体简体" w:cs="方正黑体简体"/>
          <w:b w:val="0"/>
          <w:bCs/>
          <w:szCs w:val="32"/>
        </w:rPr>
      </w:pPr>
      <w:r>
        <w:rPr>
          <w:rFonts w:hint="eastAsia" w:ascii="方正黑体简体" w:hAnsi="方正黑体简体" w:cs="方正黑体简体"/>
          <w:b w:val="0"/>
          <w:bCs/>
          <w:szCs w:val="44"/>
        </w:rPr>
        <w:t>部门预算支出总表</w:t>
      </w:r>
    </w:p>
    <w:p>
      <w:pPr>
        <w:spacing w:line="560" w:lineRule="exact"/>
        <w:ind w:firstLine="240" w:firstLineChars="100"/>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ign w:val="center"/>
          </w:tcPr>
          <w:p>
            <w:pPr>
              <w:tabs>
                <w:tab w:val="left" w:pos="408"/>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210"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45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141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138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c>
          <w:tcPr>
            <w:tcW w:w="96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经营支出</w:t>
            </w:r>
          </w:p>
        </w:tc>
        <w:tc>
          <w:tcPr>
            <w:tcW w:w="90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上缴上级支出</w:t>
            </w:r>
          </w:p>
        </w:tc>
        <w:tc>
          <w:tcPr>
            <w:tcW w:w="135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455"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41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8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96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90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5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3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9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9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35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365" w:type="dxa"/>
            <w:noWrap/>
            <w:vAlign w:val="center"/>
          </w:tcPr>
          <w:p>
            <w:pPr>
              <w:spacing w:line="560" w:lineRule="exact"/>
              <w:jc w:val="center"/>
              <w:rPr>
                <w:rFonts w:ascii="方正仿宋简体" w:hAnsi="方正仿宋简体" w:eastAsia="方正仿宋简体" w:cs="方正仿宋简体"/>
                <w:bCs/>
                <w:sz w:val="24"/>
              </w:rPr>
            </w:pP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1224.78</w:t>
            </w: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960" w:type="dxa"/>
            <w:noWrap/>
            <w:vAlign w:val="center"/>
          </w:tcPr>
          <w:p>
            <w:pPr>
              <w:spacing w:line="560" w:lineRule="exact"/>
              <w:jc w:val="center"/>
              <w:rPr>
                <w:rFonts w:ascii="方正仿宋简体" w:hAnsi="方正仿宋简体" w:eastAsia="方正仿宋简体" w:cs="方正仿宋简体"/>
                <w:bCs/>
                <w:sz w:val="24"/>
              </w:rPr>
            </w:pPr>
          </w:p>
        </w:tc>
        <w:tc>
          <w:tcPr>
            <w:tcW w:w="900" w:type="dxa"/>
            <w:noWrap/>
            <w:vAlign w:val="center"/>
          </w:tcPr>
          <w:p>
            <w:pPr>
              <w:spacing w:line="560" w:lineRule="exact"/>
              <w:jc w:val="center"/>
              <w:rPr>
                <w:rFonts w:ascii="方正仿宋简体" w:hAnsi="方正仿宋简体" w:eastAsia="方正仿宋简体" w:cs="方正仿宋简体"/>
                <w:bCs/>
                <w:sz w:val="24"/>
              </w:rPr>
            </w:pPr>
          </w:p>
        </w:tc>
        <w:tc>
          <w:tcPr>
            <w:tcW w:w="135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859.99</w:t>
            </w:r>
          </w:p>
        </w:tc>
        <w:tc>
          <w:tcPr>
            <w:tcW w:w="1380" w:type="dxa"/>
            <w:noWrap/>
            <w:vAlign w:val="center"/>
          </w:tcPr>
          <w:p>
            <w:pPr>
              <w:spacing w:line="560" w:lineRule="exact"/>
              <w:ind w:firstLine="240" w:firstLineChars="1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1410" w:type="dxa"/>
            <w:noWrap/>
            <w:vAlign w:val="center"/>
          </w:tcPr>
          <w:p>
            <w:pPr>
              <w:spacing w:line="560" w:lineRule="exact"/>
              <w:jc w:val="center"/>
              <w:rPr>
                <w:rFonts w:ascii="方正仿宋简体" w:hAnsi="方正仿宋简体" w:eastAsia="方正仿宋简体" w:cs="方正仿宋简体"/>
                <w:bCs/>
                <w:sz w:val="24"/>
              </w:rPr>
            </w:pP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380" w:type="dxa"/>
            <w:noWrap/>
            <w:vAlign w:val="center"/>
          </w:tcPr>
          <w:p>
            <w:pPr>
              <w:spacing w:line="560" w:lineRule="exac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380" w:type="dxa"/>
            <w:noWrap/>
            <w:vAlign w:val="center"/>
          </w:tcPr>
          <w:p>
            <w:pPr>
              <w:spacing w:line="560" w:lineRule="exac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410" w:type="dxa"/>
            <w:noWrap/>
            <w:vAlign w:val="center"/>
          </w:tcPr>
          <w:p>
            <w:pPr>
              <w:spacing w:line="560" w:lineRule="exact"/>
              <w:ind w:firstLine="240" w:firstLineChars="1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仿宋" w:hAnsi="仿宋" w:eastAsia="仿宋" w:cs="仿宋"/>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8"/>
          <w:szCs w:val="22"/>
        </w:rPr>
      </w:pPr>
      <w:r>
        <w:rPr>
          <w:rFonts w:hint="eastAsia" w:ascii="方正仿宋简体" w:hAnsi="方正仿宋简体" w:eastAsia="方正仿宋简体" w:cs="方正仿宋简体"/>
          <w:bCs/>
          <w:sz w:val="28"/>
          <w:szCs w:val="22"/>
        </w:rPr>
        <w:t>附表1-4</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部门预算财政拨款收支总表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60"/>
        <w:gridCol w:w="98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478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收  入</w:t>
            </w:r>
          </w:p>
        </w:tc>
        <w:tc>
          <w:tcPr>
            <w:tcW w:w="8854" w:type="dxa"/>
            <w:gridSpan w:val="5"/>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金额</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一般公共预算财政拨款</w:t>
            </w:r>
          </w:p>
        </w:tc>
        <w:tc>
          <w:tcPr>
            <w:tcW w:w="9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政府性基金预算财政拨款</w:t>
            </w:r>
          </w:p>
        </w:tc>
        <w:tc>
          <w:tcPr>
            <w:tcW w:w="133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9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33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一、一般公共服务支出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1413.28</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二、外交支出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三、国防支出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四、公共安全支出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五、教育支出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六、科学技术支出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七、文化旅游体育与传媒支出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八、社会保障和就业支出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九、卫生健康支出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十、节能环保支出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十一、城乡社区支出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十二、农林水支出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十三、交通运输支出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十四、资源勘探工业信息等支出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十五、商业服务业等支出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十六、金融支出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十七、援助其他地区支出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十八、自然资源海洋气象等支出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十九、住房保障支出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二十、粮油物资储备支出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二十一、国有资本经营预算支出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二十二、灾害防治及应急管理支出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二十三、债务还本支出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二十四、债务付息支出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二十五、债务发行费用支出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二十六、其他支出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本年收入合计</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年初财政拨款结转和结余</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年末财政拨款结转和结余</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29</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31</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32</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总计</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总计</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985" w:type="dxa"/>
            <w:noWrap/>
            <w:vAlign w:val="center"/>
          </w:tcPr>
          <w:p>
            <w:pPr>
              <w:spacing w:line="560" w:lineRule="exact"/>
              <w:jc w:val="center"/>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bCs/>
          <w:sz w:val="24"/>
        </w:rPr>
      </w:pPr>
      <w:r>
        <w:rPr>
          <w:rFonts w:hint="eastAsia" w:ascii="方正仿宋简体" w:hAnsi="方正仿宋简体" w:eastAsia="方正仿宋简体" w:cs="方正仿宋简体"/>
          <w:bCs/>
          <w:sz w:val="28"/>
          <w:szCs w:val="22"/>
        </w:rPr>
        <w:t>附表1-5</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部门预算一般公共预算财政拨款支出表</w:t>
      </w: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                                    单位：万元</w:t>
      </w:r>
      <w:r>
        <w:rPr>
          <w:rFonts w:hint="eastAsia" w:ascii="方正仿宋简体" w:hAnsi="方正仿宋简体" w:eastAsia="方正仿宋简体" w:cs="方正仿宋简体"/>
          <w:bCs/>
          <w:sz w:val="24"/>
        </w:rPr>
        <w:tab/>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315" w:type="dxa"/>
            <w:gridSpan w:val="2"/>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51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4500" w:type="dxa"/>
            <w:gridSpan w:val="3"/>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153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0" w:hRule="atLeast"/>
          <w:tblHeader/>
          <w:jc w:val="center"/>
        </w:trPr>
        <w:tc>
          <w:tcPr>
            <w:tcW w:w="87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6315" w:type="dxa"/>
            <w:gridSpan w:val="2"/>
            <w:vMerge w:val="continue"/>
            <w:noWrap/>
            <w:vAlign w:val="center"/>
          </w:tcPr>
          <w:p>
            <w:pPr>
              <w:spacing w:line="560" w:lineRule="exact"/>
              <w:jc w:val="center"/>
              <w:rPr>
                <w:rFonts w:ascii="方正仿宋简体" w:hAnsi="方正仿宋简体" w:eastAsia="方正仿宋简体" w:cs="方正仿宋简体"/>
                <w:bCs/>
                <w:sz w:val="24"/>
              </w:rPr>
            </w:pPr>
          </w:p>
        </w:tc>
        <w:tc>
          <w:tcPr>
            <w:tcW w:w="1515"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56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小计</w:t>
            </w:r>
          </w:p>
        </w:tc>
        <w:tc>
          <w:tcPr>
            <w:tcW w:w="148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人员经费</w:t>
            </w:r>
          </w:p>
        </w:tc>
        <w:tc>
          <w:tcPr>
            <w:tcW w:w="145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公用经费</w:t>
            </w:r>
          </w:p>
        </w:tc>
        <w:tc>
          <w:tcPr>
            <w:tcW w:w="1534" w:type="dxa"/>
            <w:vMerge w:val="continue"/>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51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60"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48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45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34" w:type="dxa"/>
            <w:vMerge w:val="continue"/>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7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75" w:type="dxa"/>
            <w:noWrap/>
            <w:vAlign w:val="center"/>
          </w:tcPr>
          <w:p>
            <w:pPr>
              <w:spacing w:line="560" w:lineRule="exact"/>
              <w:jc w:val="center"/>
              <w:rPr>
                <w:rFonts w:ascii="方正仿宋简体" w:hAnsi="方正仿宋简体" w:eastAsia="方正仿宋简体" w:cs="方正仿宋简体"/>
                <w:bCs/>
                <w:sz w:val="24"/>
              </w:rPr>
            </w:pP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1224.78</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1182.81</w:t>
            </w:r>
          </w:p>
        </w:tc>
        <w:tc>
          <w:tcPr>
            <w:tcW w:w="1455" w:type="dxa"/>
            <w:noWrap/>
            <w:vAlign w:val="center"/>
          </w:tcPr>
          <w:p>
            <w:pPr>
              <w:tabs>
                <w:tab w:val="left" w:pos="447"/>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1778.08</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818.01</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c>
          <w:tcPr>
            <w:tcW w:w="15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553.30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515"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1778.08</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818.01</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859.98</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818.01</w:t>
            </w:r>
          </w:p>
        </w:tc>
        <w:tc>
          <w:tcPr>
            <w:tcW w:w="1455" w:type="dxa"/>
            <w:noWrap/>
          </w:tcPr>
          <w:p>
            <w:pPr>
              <w:spacing w:line="560" w:lineRule="exact"/>
              <w:ind w:firstLine="240" w:firstLineChars="100"/>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41.97</w:t>
            </w:r>
          </w:p>
        </w:tc>
        <w:tc>
          <w:tcPr>
            <w:tcW w:w="153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c>
          <w:tcPr>
            <w:tcW w:w="1560" w:type="dxa"/>
            <w:noWrap/>
            <w:vAlign w:val="center"/>
          </w:tcPr>
          <w:p>
            <w:pPr>
              <w:spacing w:line="560" w:lineRule="exact"/>
              <w:jc w:val="center"/>
              <w:rPr>
                <w:rFonts w:ascii="方正仿宋简体" w:hAnsi="方正仿宋简体" w:eastAsia="方正仿宋简体" w:cs="方正仿宋简体"/>
                <w:bCs/>
                <w:sz w:val="24"/>
              </w:rPr>
            </w:pPr>
          </w:p>
        </w:tc>
        <w:tc>
          <w:tcPr>
            <w:tcW w:w="1485" w:type="dxa"/>
            <w:noWrap/>
            <w:vAlign w:val="center"/>
          </w:tcPr>
          <w:p>
            <w:pPr>
              <w:spacing w:line="560" w:lineRule="exact"/>
              <w:jc w:val="center"/>
              <w:rPr>
                <w:rFonts w:ascii="方正仿宋简体" w:hAnsi="方正仿宋简体" w:eastAsia="方正仿宋简体" w:cs="方正仿宋简体"/>
                <w:bCs/>
                <w:sz w:val="24"/>
              </w:rPr>
            </w:pP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161.91</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124.17</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515" w:type="dxa"/>
            <w:noWrap/>
            <w:vAlign w:val="center"/>
          </w:tcPr>
          <w:p>
            <w:pPr>
              <w:spacing w:line="560" w:lineRule="exact"/>
              <w:jc w:val="center"/>
              <w:rPr>
                <w:rFonts w:ascii="方正仿宋简体" w:hAnsi="方正仿宋简体" w:eastAsia="方正仿宋简体" w:cs="方正仿宋简体"/>
                <w:bCs/>
                <w:sz w:val="24"/>
              </w:rPr>
            </w:pPr>
          </w:p>
        </w:tc>
        <w:tc>
          <w:tcPr>
            <w:tcW w:w="1560" w:type="dxa"/>
            <w:noWrap/>
            <w:vAlign w:val="center"/>
          </w:tcPr>
          <w:p>
            <w:pPr>
              <w:spacing w:line="560" w:lineRule="exact"/>
              <w:jc w:val="center"/>
              <w:rPr>
                <w:rFonts w:ascii="方正仿宋简体" w:hAnsi="方正仿宋简体" w:eastAsia="方正仿宋简体" w:cs="方正仿宋简体"/>
                <w:bCs/>
                <w:sz w:val="24"/>
              </w:rPr>
            </w:pPr>
          </w:p>
        </w:tc>
        <w:tc>
          <w:tcPr>
            <w:tcW w:w="1485" w:type="dxa"/>
            <w:noWrap/>
            <w:vAlign w:val="center"/>
          </w:tcPr>
          <w:p>
            <w:pPr>
              <w:spacing w:line="560" w:lineRule="exact"/>
              <w:jc w:val="center"/>
              <w:rPr>
                <w:rFonts w:ascii="方正仿宋简体" w:hAnsi="方正仿宋简体" w:eastAsia="方正仿宋简体" w:cs="方正仿宋简体"/>
                <w:bCs/>
                <w:sz w:val="24"/>
              </w:rPr>
            </w:pP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7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115.74</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8"/>
          <w:szCs w:val="22"/>
        </w:rPr>
      </w:pPr>
      <w:r>
        <w:rPr>
          <w:rFonts w:hint="eastAsia" w:ascii="方正仿宋简体" w:hAnsi="方正仿宋简体" w:eastAsia="方正仿宋简体" w:cs="方正仿宋简体"/>
          <w:bCs/>
          <w:sz w:val="28"/>
          <w:szCs w:val="22"/>
        </w:rPr>
        <w:t>附表1-6</w:t>
      </w:r>
    </w:p>
    <w:p>
      <w:pPr>
        <w:spacing w:line="560" w:lineRule="exact"/>
        <w:jc w:val="center"/>
        <w:rPr>
          <w:rFonts w:ascii="方正黑体简体" w:hAnsi="方正黑体简体" w:eastAsia="方正黑体简体" w:cs="方正黑体简体"/>
          <w:bCs/>
          <w:sz w:val="44"/>
          <w:szCs w:val="44"/>
        </w:rPr>
      </w:pPr>
      <w:r>
        <w:rPr>
          <w:rFonts w:hint="eastAsia" w:ascii="方正黑体简体" w:hAnsi="方正黑体简体" w:eastAsia="方正黑体简体" w:cs="方正黑体简体"/>
          <w:bCs/>
          <w:sz w:val="32"/>
          <w:szCs w:val="32"/>
        </w:rPr>
        <w:t>部门预算一般公共预算财政拨款基本支出表</w:t>
      </w:r>
    </w:p>
    <w:p>
      <w:pPr>
        <w:spacing w:line="560" w:lineRule="exact"/>
        <w:ind w:firstLine="240" w:firstLineChars="100"/>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16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7534" w:type="dxa"/>
            <w:gridSpan w:val="3"/>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经济分类科目编码</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人员经费</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15" w:type="dxa"/>
            <w:noWrap/>
            <w:vAlign w:val="center"/>
          </w:tcPr>
          <w:p>
            <w:pPr>
              <w:spacing w:line="560" w:lineRule="exact"/>
              <w:jc w:val="center"/>
              <w:rPr>
                <w:rFonts w:ascii="方正仿宋简体" w:hAnsi="方正仿宋简体" w:eastAsia="方正仿宋简体" w:cs="方正仿宋简体"/>
                <w:bCs/>
                <w:sz w:val="24"/>
              </w:rPr>
            </w:pPr>
          </w:p>
        </w:tc>
        <w:tc>
          <w:tcPr>
            <w:tcW w:w="4650" w:type="dxa"/>
            <w:noWrap/>
            <w:vAlign w:val="center"/>
          </w:tcPr>
          <w:p>
            <w:pPr>
              <w:spacing w:line="560" w:lineRule="exact"/>
              <w:ind w:firstLine="1200" w:firstLineChars="5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1224.78</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1182.81</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工资福利支出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1172.00</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1172.00</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基本工资</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542.29</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542.29</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津贴补贴</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127.42</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127.42</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奖金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7.02</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7.02</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绩效工资</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108.87</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108.87</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110.17</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110.17</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职业年金缴费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37.74</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30110</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职工基本医疗保险缴费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54.01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54.01</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7"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公务员医疗补助缴费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61.73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61.73</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其他社会保障缴费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87.15</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30199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其他工资福利支出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21.6</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21.6</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商品和服务支出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办公费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1.65</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30206</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电费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邮电费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1.34</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取暖费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4.00</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差旅费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维修（护）费</w:t>
            </w: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30215</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会议费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0.28</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30216</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培训费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0.28</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公务接待费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30228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工会经费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4.91</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30229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福利费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5.43</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1515"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30231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公务用车运行维护费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30239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其他交通费用</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14.22</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30299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其他商品和服务支出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0.90</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对个人和家庭的补助</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10.81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10.81</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退休费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9.61</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30304</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抚恤金</w:t>
            </w: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医疗费补助</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1.20</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1.20</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附表1-7</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部门预算政府基金预算财政拨款支出表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tcPr>
          <w:p>
            <w:pPr>
              <w:spacing w:line="560" w:lineRule="exact"/>
              <w:jc w:val="center"/>
              <w:rPr>
                <w:rFonts w:ascii="方正仿宋简体" w:hAnsi="方正仿宋简体" w:eastAsia="方正仿宋简体" w:cs="方正仿宋简体"/>
                <w:bCs/>
                <w:sz w:val="24"/>
              </w:rPr>
            </w:pPr>
          </w:p>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956" w:type="dxa"/>
            <w:gridSpan w:val="2"/>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2747"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473"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249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8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31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747"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73"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9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28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1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74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47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49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5956"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注：无政府基金预算财政拨款预算，空表列示。</w:t>
      </w:r>
    </w:p>
    <w:p>
      <w:pPr>
        <w:spacing w:line="560" w:lineRule="exact"/>
        <w:jc w:val="left"/>
        <w:rPr>
          <w:rFonts w:ascii="仿宋" w:hAnsi="仿宋" w:eastAsia="仿宋" w:cs="仿宋"/>
          <w:bCs/>
          <w:sz w:val="28"/>
        </w:rPr>
        <w:sectPr>
          <w:pgSz w:w="16839" w:h="11907" w:orient="landscape"/>
          <w:pgMar w:top="680" w:right="1020" w:bottom="1134" w:left="1020" w:header="851" w:footer="992" w:gutter="0"/>
          <w:cols w:space="720" w:num="1"/>
          <w:docGrid w:type="lines" w:linePitch="312" w:charSpace="0"/>
        </w:sectPr>
      </w:pPr>
    </w:p>
    <w:p>
      <w:pPr>
        <w:spacing w:line="560" w:lineRule="exact"/>
        <w:jc w:val="left"/>
        <w:rPr>
          <w:rFonts w:ascii="方正小标宋简体" w:hAnsi="方正小标宋简体" w:eastAsia="方正小标宋简体" w:cs="方正小标宋简体"/>
          <w:bCs/>
          <w:sz w:val="44"/>
          <w:szCs w:val="44"/>
        </w:rPr>
      </w:pPr>
      <w:r>
        <w:rPr>
          <w:rFonts w:hint="eastAsia" w:ascii="仿宋" w:hAnsi="仿宋" w:eastAsia="仿宋" w:cs="仿宋"/>
          <w:bCs/>
          <w:sz w:val="28"/>
          <w:szCs w:val="22"/>
        </w:rPr>
        <w:t>附表1-8</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部门预算国有资本经营预算财政拨款支出表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53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264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58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2659"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9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26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64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58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659"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29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6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65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8"/>
        </w:rPr>
        <w:sectPr>
          <w:footerReference r:id="rId6" w:type="default"/>
          <w:pgSz w:w="16840" w:h="11900" w:orient="landscape"/>
          <w:pgMar w:top="1304" w:right="1984" w:bottom="1304" w:left="1134" w:header="720" w:footer="720" w:gutter="0"/>
          <w:cols w:space="720" w:num="1"/>
        </w:sectPr>
      </w:pPr>
      <w:r>
        <w:rPr>
          <w:rFonts w:hint="eastAsia" w:ascii="方正仿宋简体" w:hAnsi="方正仿宋简体" w:eastAsia="方正仿宋简体" w:cs="方正仿宋简体"/>
          <w:bCs/>
          <w:sz w:val="24"/>
        </w:rPr>
        <w:t>注：无国有资本经营预算财政拨款预算，空表列示。</w:t>
      </w:r>
    </w:p>
    <w:p>
      <w:pPr>
        <w:spacing w:line="560" w:lineRule="exact"/>
        <w:rPr>
          <w:rFonts w:ascii="方正小标宋简体" w:hAnsi="方正小标宋简体" w:eastAsia="方正小标宋简体" w:cs="方正小标宋简体"/>
          <w:bCs/>
          <w:sz w:val="44"/>
          <w:szCs w:val="44"/>
        </w:rPr>
      </w:pPr>
      <w:r>
        <w:rPr>
          <w:rFonts w:hint="eastAsia" w:ascii="方正仿宋简体" w:hAnsi="方正仿宋简体" w:eastAsia="方正仿宋简体" w:cs="方正仿宋简体"/>
          <w:bCs/>
          <w:sz w:val="28"/>
          <w:szCs w:val="22"/>
        </w:rPr>
        <w:t>附表1-9</w:t>
      </w:r>
    </w:p>
    <w:p>
      <w:pPr>
        <w:spacing w:line="560" w:lineRule="exact"/>
        <w:jc w:val="center"/>
        <w:rPr>
          <w:rFonts w:ascii="方正黑体" w:hAnsi="方正黑体" w:eastAsia="方正黑体" w:cs="方正黑体"/>
          <w:bCs/>
          <w:sz w:val="32"/>
          <w:szCs w:val="32"/>
        </w:rPr>
      </w:pPr>
      <w:r>
        <w:rPr>
          <w:rFonts w:hint="eastAsia" w:ascii="方正黑体简体" w:hAnsi="方正黑体简体" w:eastAsia="方正黑体简体" w:cs="方正黑体简体"/>
          <w:bCs/>
          <w:sz w:val="32"/>
          <w:szCs w:val="32"/>
        </w:rPr>
        <w:t>部门预算财政拨款“三公”经费支出表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629 遵化市文化路街道办事处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395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9906" w:type="dxa"/>
            <w:gridSpan w:val="4"/>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395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一般公共预算       财政拨款</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政府性基金         预算拨款</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39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9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476" w:type="dxa"/>
            <w:noWrap/>
            <w:vAlign w:val="center"/>
          </w:tcPr>
          <w:p>
            <w:pPr>
              <w:spacing w:line="560" w:lineRule="exact"/>
              <w:jc w:val="center"/>
              <w:rPr>
                <w:rFonts w:hint="default" w:ascii="方正仿宋简体" w:hAnsi="方正仿宋简体" w:eastAsia="方正仿宋简体" w:cs="方正仿宋简体"/>
                <w:bCs/>
                <w:sz w:val="24"/>
                <w:lang w:val="en-US" w:eastAsia="zh-CN"/>
              </w:rPr>
            </w:pPr>
            <w:r>
              <w:rPr>
                <w:rFonts w:hint="eastAsia" w:ascii="方正仿宋简体" w:hAnsi="方正仿宋简体" w:eastAsia="方正仿宋简体" w:cs="方正仿宋简体"/>
                <w:bCs/>
                <w:sz w:val="24"/>
                <w:lang w:val="en-US" w:eastAsia="zh-CN"/>
              </w:rPr>
              <w:t>6.76</w:t>
            </w:r>
          </w:p>
        </w:tc>
        <w:tc>
          <w:tcPr>
            <w:tcW w:w="2476" w:type="dxa"/>
            <w:noWrap/>
            <w:vAlign w:val="center"/>
          </w:tcPr>
          <w:p>
            <w:pPr>
              <w:spacing w:line="560" w:lineRule="exact"/>
              <w:jc w:val="center"/>
              <w:rPr>
                <w:rFonts w:hint="default" w:ascii="方正仿宋简体" w:hAnsi="方正仿宋简体" w:eastAsia="方正仿宋简体" w:cs="方正仿宋简体"/>
                <w:bCs/>
                <w:sz w:val="24"/>
                <w:lang w:val="en-US" w:eastAsia="zh-CN"/>
              </w:rPr>
            </w:pPr>
            <w:r>
              <w:rPr>
                <w:rFonts w:hint="eastAsia" w:ascii="方正仿宋简体" w:hAnsi="方正仿宋简体" w:eastAsia="方正仿宋简体" w:cs="方正仿宋简体"/>
                <w:bCs/>
                <w:sz w:val="24"/>
                <w:lang w:val="en-US" w:eastAsia="zh-CN"/>
              </w:rPr>
              <w:t>6.76</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一、因公出国（境）费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0.00</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0.00</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二、公务用车购置及运维费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其中：公务用车购置费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0.00</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0.00</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公务用车运行维护费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三、公务接待费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center"/>
        <w:rPr>
          <w:rFonts w:ascii="方正仿宋简体" w:hAnsi="方正仿宋简体" w:eastAsia="方正仿宋简体" w:cs="方正仿宋简体"/>
          <w:bCs/>
          <w:sz w:val="32"/>
          <w:szCs w:val="32"/>
        </w:rPr>
      </w:pPr>
    </w:p>
    <w:p>
      <w:pPr>
        <w:widowControl/>
        <w:tabs>
          <w:tab w:val="left" w:pos="5552"/>
          <w:tab w:val="left" w:pos="7323"/>
          <w:tab w:val="left" w:pos="12218"/>
          <w:tab w:val="left" w:pos="14365"/>
          <w:tab w:val="left" w:pos="17759"/>
          <w:tab w:val="left" w:pos="19300"/>
          <w:tab w:val="left" w:pos="20220"/>
        </w:tabs>
        <w:spacing w:line="570" w:lineRule="exact"/>
        <w:jc w:val="center"/>
        <w:rPr>
          <w:rFonts w:ascii="黑体" w:hAnsi="Calibri" w:eastAsia="黑体"/>
          <w:b/>
          <w:sz w:val="44"/>
        </w:rPr>
        <w:sectPr>
          <w:footerReference r:id="rId7" w:type="default"/>
          <w:pgSz w:w="16840" w:h="11900" w:orient="landscape"/>
          <w:pgMar w:top="1304" w:right="1984" w:bottom="1304" w:left="1134" w:header="720" w:footer="720" w:gutter="0"/>
          <w:cols w:space="720" w:num="1"/>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遵化市文化路街道办事处部门2022年部门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rPr>
          <w:rFonts w:ascii="仿宋" w:hAnsi="仿宋" w:eastAsia="仿宋" w:cs="黑体"/>
          <w:color w:val="FFFFFF" w:themeColor="background1"/>
          <w:sz w:val="28"/>
          <w:szCs w:val="28"/>
        </w:rPr>
      </w:pPr>
    </w:p>
    <w:p>
      <w:pPr>
        <w:spacing w:line="570" w:lineRule="exact"/>
        <w:ind w:firstLine="640" w:firstLineChars="200"/>
        <w:rPr>
          <w:rFonts w:ascii="方正仿宋简体" w:hAnsi="仿宋" w:eastAsia="方正仿宋简体" w:cs="黑体"/>
          <w:color w:val="000000"/>
          <w:kern w:val="0"/>
          <w:sz w:val="32"/>
          <w:szCs w:val="32"/>
        </w:rPr>
      </w:pPr>
      <w:r>
        <w:rPr>
          <w:rFonts w:hint="eastAsia" w:ascii="方正仿宋简体" w:hAnsi="仿宋" w:eastAsia="方正仿宋简体" w:cs="黑体"/>
          <w:sz w:val="32"/>
          <w:szCs w:val="32"/>
        </w:rPr>
        <w:t>按照《</w:t>
      </w:r>
      <w:r>
        <w:rPr>
          <w:rFonts w:hint="eastAsia" w:ascii="方正仿宋简体" w:hAnsi="仿宋" w:eastAsia="方正仿宋简体" w:cs="黑体"/>
          <w:sz w:val="32"/>
          <w:szCs w:val="32"/>
          <w:lang w:val="en-US" w:eastAsia="zh-CN"/>
        </w:rPr>
        <w:t>中华人民共和国</w:t>
      </w:r>
      <w:bookmarkStart w:id="5" w:name="_GoBack"/>
      <w:bookmarkEnd w:id="5"/>
      <w:r>
        <w:rPr>
          <w:rFonts w:hint="eastAsia" w:ascii="方正仿宋简体" w:hAnsi="仿宋" w:eastAsia="方正仿宋简体" w:cs="黑体"/>
          <w:sz w:val="32"/>
          <w:szCs w:val="32"/>
        </w:rPr>
        <w:t>预算法》、《地方预决算公开操作规程》和《河北省省级预算公开办法》规定，现将遵化市文化路街道办事处2022年部门预算公开如下：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pStyle w:val="11"/>
        <w:spacing w:before="0" w:beforeAutospacing="0" w:after="0" w:afterAutospacing="0" w:line="570" w:lineRule="exact"/>
        <w:ind w:firstLine="645"/>
        <w:jc w:val="both"/>
        <w:rPr>
          <w:rFonts w:ascii="方正仿宋简体" w:hAnsi="仿宋"/>
          <w:sz w:val="32"/>
          <w:szCs w:val="32"/>
        </w:rPr>
      </w:pPr>
      <w:r>
        <w:rPr>
          <w:rFonts w:hint="eastAsia" w:ascii="方正仿宋简体" w:hAnsi="仿宋"/>
          <w:sz w:val="32"/>
          <w:szCs w:val="32"/>
        </w:rPr>
        <w:t>（1）宣传贯彻执行党的路线方针政策和党中央、上级党组织的决议。贯彻执行法律、法规、规章和上级人民代表大会及其常务委员会决议及上级政府的决定、命令，依法管理辖区公共事务。</w:t>
      </w:r>
    </w:p>
    <w:p>
      <w:pPr>
        <w:pStyle w:val="11"/>
        <w:spacing w:before="0" w:beforeAutospacing="0" w:after="0" w:afterAutospacing="0" w:line="570" w:lineRule="exact"/>
        <w:ind w:firstLine="645"/>
        <w:jc w:val="both"/>
        <w:rPr>
          <w:rFonts w:ascii="方正仿宋简体" w:hAnsi="仿宋"/>
          <w:sz w:val="32"/>
          <w:szCs w:val="32"/>
        </w:rPr>
      </w:pPr>
      <w:r>
        <w:rPr>
          <w:rFonts w:hint="eastAsia" w:ascii="方正仿宋简体" w:hAnsi="仿宋"/>
          <w:sz w:val="32"/>
          <w:szCs w:val="32"/>
        </w:rP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（3）负责办理上级人大常委会交办的监督、选举以及其他工作，做好人大代表工作，联系选民、反映群众意见和要求。</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4）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（5）街道党工委领导群团组织，加强指导和规范，支持和保证群团组织依照国家法律法规以及各自章程履行职责。坚持党管武装的根本原则和制度，协调各方力量，对街道人民武装工作实行统一领导。</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6）指导居民委员会等基层群众性自治组织建设，健全自治平台。组织动员社区居民、单位和社会力量参与社区治理，整合辖区内社会力量，形成社区共治合力，为社区发展服务。对社区工作者队伍进行教育管理。</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（7）按照管理权限，对街道机关及所属单位干部进行教育、培训、选拔、考核和监督，对上级政府职能部门派出机构的工作考核和主要负责同志任免提出意见。</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（8）组织维护辖区安全稳定，协调推动社会治安综合治理，做好应急管理、民族宗教工作，承担民兵预备役、征兵、退役军人服务、拥军优属、防范邪教等工作。</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（9）组织开展群众性文化、体育、科普活动，开展法治宣传和社会公德教育，推动社区公益事业发展。维护老年人、妇女、未成年人、残疾人等合法权益。</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（10）参与辖区设施规划、建设和验收，综合管理、统筹调度和考核督办涉及辖区的公共事务，按照有关规定统筹使用下沉到街道社区的人财物等资源。</w:t>
      </w:r>
    </w:p>
    <w:p>
      <w:pPr>
        <w:spacing w:line="570" w:lineRule="exact"/>
        <w:ind w:firstLine="640" w:firstLineChars="200"/>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（11）承办上级党委、人大、政府交办的其他事项。</w:t>
      </w:r>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（一）党政综合办公室</w:t>
      </w:r>
    </w:p>
    <w:p>
      <w:pPr>
        <w:pStyle w:val="11"/>
        <w:spacing w:before="0" w:beforeAutospacing="0" w:after="0" w:afterAutospacing="0" w:line="570" w:lineRule="exact"/>
        <w:ind w:firstLine="645"/>
        <w:rPr>
          <w:rFonts w:cs="Calibri"/>
          <w:sz w:val="32"/>
          <w:szCs w:val="32"/>
        </w:rPr>
      </w:pPr>
      <w:r>
        <w:rPr>
          <w:rFonts w:hint="eastAsia" w:cs="MS Mincho"/>
          <w:sz w:val="32"/>
          <w:szCs w:val="32"/>
        </w:rPr>
        <w:t>主要承担街道党工委、办事处日常事务等职责。负责机关综合协调、重要会务及决定事项的督查督办、公文运转、调查研究、综合文稿的起草及审核、保密机要、档案信息、政务公开、值班及后勤保障等工作；负责监督、检查和指导所属单位和辖区内</w:t>
      </w:r>
      <w:r>
        <w:rPr>
          <w:rFonts w:hint="eastAsia"/>
          <w:sz w:val="32"/>
          <w:szCs w:val="32"/>
        </w:rPr>
        <w:t>政</w:t>
      </w:r>
      <w:r>
        <w:rPr>
          <w:rFonts w:hint="eastAsia" w:cs="MS Mincho"/>
          <w:sz w:val="32"/>
          <w:szCs w:val="32"/>
        </w:rPr>
        <w:t>务公开工作；负责监督、检查和指导所属单位和辖区内</w:t>
      </w:r>
      <w:r>
        <w:rPr>
          <w:rFonts w:hint="eastAsia"/>
          <w:sz w:val="32"/>
          <w:szCs w:val="32"/>
        </w:rPr>
        <w:t>居委会</w:t>
      </w:r>
      <w:r>
        <w:rPr>
          <w:rFonts w:hint="eastAsia" w:cs="MS Mincho"/>
          <w:sz w:val="32"/>
          <w:szCs w:val="32"/>
        </w:rPr>
        <w:t>的档案管理工作；</w:t>
      </w:r>
      <w:r>
        <w:rPr>
          <w:rFonts w:hint="eastAsia" w:cs="方正仿宋简体"/>
          <w:sz w:val="32"/>
          <w:szCs w:val="32"/>
        </w:rPr>
        <w:t>负责法治建设工作；负责行政行为合法性审查、执法培训及资格管理、行政应复应诉、法律顾问事务等工作。负责内部审计工作；</w:t>
      </w:r>
      <w:r>
        <w:rPr>
          <w:rFonts w:hint="eastAsia" w:cs="MS Mincho"/>
          <w:sz w:val="32"/>
          <w:szCs w:val="32"/>
        </w:rPr>
        <w:t>负责财政预（决）算编制、预算执行和预算管理，统一管理本级各项政府性收支；负责国有资产和政府性债务管理，承担各项财政性资金监管工作。</w:t>
      </w:r>
      <w:r>
        <w:rPr>
          <w:rFonts w:hint="eastAsia" w:cs="方正仿宋简体"/>
          <w:sz w:val="32"/>
          <w:szCs w:val="32"/>
        </w:rPr>
        <w:t>完成党工委、办事处交办的其他工作任务。</w:t>
      </w:r>
    </w:p>
    <w:p>
      <w:pPr>
        <w:pStyle w:val="11"/>
        <w:spacing w:before="0" w:beforeAutospacing="0" w:after="0" w:afterAutospacing="0" w:line="570" w:lineRule="exact"/>
        <w:ind w:firstLine="645"/>
        <w:jc w:val="both"/>
        <w:rPr>
          <w:rFonts w:cs="方正仿宋简体"/>
          <w:sz w:val="32"/>
          <w:szCs w:val="32"/>
        </w:rPr>
      </w:pPr>
      <w:r>
        <w:rPr>
          <w:rFonts w:hint="eastAsia" w:cs="方正仿宋简体"/>
          <w:sz w:val="32"/>
          <w:szCs w:val="32"/>
        </w:rPr>
        <w:t>（二）党建工作办公室（人大工委办公室）</w:t>
      </w:r>
    </w:p>
    <w:p>
      <w:pPr>
        <w:pStyle w:val="11"/>
        <w:spacing w:before="0" w:beforeAutospacing="0" w:after="0" w:afterAutospacing="0" w:line="570" w:lineRule="exact"/>
        <w:ind w:firstLine="645"/>
        <w:rPr>
          <w:rFonts w:cs="MS Mincho"/>
          <w:sz w:val="32"/>
          <w:szCs w:val="32"/>
        </w:rPr>
      </w:pPr>
      <w:r>
        <w:rPr>
          <w:rFonts w:hint="eastAsia" w:cs="方正仿宋简体"/>
          <w:sz w:val="32"/>
          <w:szCs w:val="32"/>
        </w:rPr>
        <w:t>主要承担基层党组织建设以及党员的发展、教育、管理、监督和服务工作。负责非公有制企业和社会组织党建工作；完善党工委议事规则，建立基层党组织向党工委定期述职、报告工作制度，落实“双报到”“三会一课”等制度；负责建立健全党建联席会议和兼职委员制度，承担党建联席会议和“大工委”日常工作；负责推进全面从严治党，落实全面从严治党主体责任具体工作。负责党的政治思想、宣传、精神文明、党务公开、统一战线、民族宗教、人民武装有关工作；领导协调工会、共青团、妇联等群团组织工作；负责指导居民委员会的换届选举工作；指导居民委员会建立健全各项自治制度，并予以备案；按权限负责基层社区社会组织的分类指导和业务指导；负责组织实施社区“大党委”工作机制，建立社区党组织、居委会、业委会、物业服务企业、楼门长、综合服务站协调联动的社区治理架构，健全党建引领下的社区居委会、业主委员会、物业服务企业协调运行机制，推进“六位一体”社区治理模式，构建共建共治共享的城市基层治理新格局；负责贯彻执行党的群众工作方针政策，组织收集居民和单位的需求、诉求，向上级反映居民的要求、意见和建议；负责干部人事、机构编制、工资保险、离退休人员服务等工作；加强和规范对派驻机构的管理；按权限负责社区工作者的日常管理、考核培训等工作；做好辖区人才工作；负责人大、政协有关工作。完成党工委、办事处交办的其他工作任务。</w:t>
      </w:r>
    </w:p>
    <w:p>
      <w:pPr>
        <w:pStyle w:val="11"/>
        <w:spacing w:before="0" w:beforeAutospacing="0" w:after="0" w:afterAutospacing="0" w:line="570" w:lineRule="exact"/>
        <w:ind w:firstLine="645"/>
        <w:rPr>
          <w:rFonts w:cs="MS Mincho"/>
          <w:sz w:val="32"/>
          <w:szCs w:val="32"/>
        </w:rPr>
      </w:pPr>
      <w:r>
        <w:rPr>
          <w:rFonts w:hint="eastAsia" w:cs="MS Mincho"/>
          <w:sz w:val="32"/>
          <w:szCs w:val="32"/>
        </w:rPr>
        <w:t>（三）应急管理办公室（城市管理办公室）</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负责贯彻执行应急管理、安全生产、消防、防灾减灾救灾等方面的法律法规和政策规定。负责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居民委员会开展群众性的消防工作；负责辖区自然灾害救助相关工作，加强</w:t>
      </w:r>
      <w:r>
        <w:rPr>
          <w:rFonts w:cs="MS Mincho"/>
          <w:sz w:val="32"/>
          <w:szCs w:val="32"/>
        </w:rPr>
        <w:t>防灾减灾宣传教育</w:t>
      </w:r>
      <w:r>
        <w:rPr>
          <w:rFonts w:hint="eastAsia" w:cs="MS Mincho"/>
          <w:sz w:val="32"/>
          <w:szCs w:val="32"/>
        </w:rPr>
        <w:t>，建立健全自然灾害救助款物和捐赠款物的监督检查制度，并及时受理投诉和举报；按照职责分工</w:t>
      </w:r>
      <w:r>
        <w:rPr>
          <w:rFonts w:hint="eastAsia" w:cs="方正仿宋简体"/>
          <w:sz w:val="32"/>
          <w:szCs w:val="32"/>
        </w:rPr>
        <w:t>及时处理并上报有关单位和个人报告的农产品质量安全事故；按照权限</w:t>
      </w:r>
      <w:r>
        <w:rPr>
          <w:rFonts w:hint="eastAsia"/>
          <w:sz w:val="32"/>
          <w:szCs w:val="32"/>
        </w:rPr>
        <w:t>负责城市管理有关工作；按照职责分工负责辖区市容、环境卫生等管理责任；</w:t>
      </w:r>
      <w:r>
        <w:rPr>
          <w:rFonts w:hint="eastAsia" w:cs="方正仿宋简体"/>
          <w:sz w:val="32"/>
          <w:szCs w:val="32"/>
        </w:rPr>
        <w:t>依法组织群众协助做好本辖区动物疫病预防与控制工作，组织饲养动物的单位和个人做好强制免疫工作；负责公共场所病死畜禽收集处理和上报；按照权限</w:t>
      </w:r>
      <w:r>
        <w:rPr>
          <w:rFonts w:hint="eastAsia" w:cs="MS Mincho"/>
          <w:sz w:val="32"/>
          <w:szCs w:val="32"/>
        </w:rPr>
        <w:t>负责拟订辖区经济社会发展规划并组织实施，做好经济发展、优化营商环境等工作；</w:t>
      </w:r>
      <w:r>
        <w:rPr>
          <w:rFonts w:hint="eastAsia" w:cs="方正仿宋简体"/>
          <w:sz w:val="32"/>
          <w:szCs w:val="32"/>
        </w:rPr>
        <w:t>负责辖区人口、卫生健康、传染病防治、教育等社会事务相关工作。完成党工委、办事处交办的其他工作任务。</w:t>
      </w:r>
    </w:p>
    <w:p>
      <w:pPr>
        <w:pStyle w:val="11"/>
        <w:spacing w:before="0" w:beforeAutospacing="0" w:after="0" w:afterAutospacing="0" w:line="570" w:lineRule="exact"/>
        <w:ind w:firstLine="640" w:firstLineChars="200"/>
        <w:jc w:val="both"/>
        <w:rPr>
          <w:rFonts w:cs="MS Mincho"/>
          <w:sz w:val="32"/>
          <w:szCs w:val="32"/>
        </w:rPr>
      </w:pPr>
      <w:r>
        <w:rPr>
          <w:rFonts w:hint="eastAsia" w:cs="MS Mincho"/>
          <w:sz w:val="32"/>
          <w:szCs w:val="32"/>
        </w:rPr>
        <w:t>（四）自然资源和生态环境办公室（社区建设和物业监督管理办公室）。</w:t>
      </w:r>
    </w:p>
    <w:p>
      <w:pPr>
        <w:pStyle w:val="11"/>
        <w:spacing w:before="0" w:beforeAutospacing="0" w:after="0" w:afterAutospacing="0" w:line="570" w:lineRule="exact"/>
        <w:ind w:firstLine="640" w:firstLineChars="200"/>
        <w:jc w:val="both"/>
        <w:rPr>
          <w:rFonts w:cs="方正仿宋简体"/>
          <w:sz w:val="32"/>
          <w:szCs w:val="32"/>
        </w:rPr>
      </w:pPr>
      <w:r>
        <w:rPr>
          <w:rFonts w:hint="eastAsia" w:cs="MS Mincho"/>
          <w:sz w:val="32"/>
          <w:szCs w:val="32"/>
        </w:rPr>
        <w:t>贯彻执行自然资源、国土空间规划及测绘、生态环境保护等方面的法律法规和政策规定。按照权限</w:t>
      </w:r>
      <w:r>
        <w:rPr>
          <w:rFonts w:hint="eastAsia" w:cs="方正仿宋简体"/>
          <w:sz w:val="32"/>
          <w:szCs w:val="32"/>
        </w:rPr>
        <w:t>负责辖区的社区规划建设管理相关工作；</w:t>
      </w:r>
      <w:r>
        <w:rPr>
          <w:rFonts w:hint="eastAsia" w:cs="MS Mincho"/>
          <w:sz w:val="32"/>
          <w:szCs w:val="32"/>
        </w:rPr>
        <w:t>按照职责分工负责辖区水资源保护、水域岸线管理、水污染防治、水环境治理等相关工作；协助有关部门做好地下水相关管理和监督工作；</w:t>
      </w:r>
      <w:r>
        <w:rPr>
          <w:rFonts w:hint="eastAsia" w:cs="方正仿宋简体"/>
          <w:sz w:val="32"/>
          <w:szCs w:val="32"/>
        </w:rPr>
        <w:t>按权限组织开展大气污染防治、扬尘污染防治、禁止露天焚烧等工作；</w:t>
      </w:r>
      <w:r>
        <w:rPr>
          <w:rFonts w:hint="eastAsia" w:cs="MS Mincho"/>
          <w:sz w:val="32"/>
          <w:szCs w:val="32"/>
        </w:rPr>
        <w:t>按照职责分工做好“散乱污”企业综合整治工作；按照职责分工和相关预案开展突发性环境事件应急处置工作，按照有关规定向上级报告；按权限负责辖区自然资源保护和监管工作；动员和组织社会力量参与土地调查工作；组织开展环境综合整治、生态环境保护等工作；组织开展全民义务植树、古树名木保护工作；在上级城市绿化行政主管部门指导下，按照权限负责辖区内的绿化工作。</w:t>
      </w:r>
      <w:r>
        <w:rPr>
          <w:rFonts w:hint="eastAsia"/>
          <w:sz w:val="32"/>
          <w:szCs w:val="32"/>
        </w:rPr>
        <w:t>贯彻执行物业监督管理方面的法律法规和政策规定，负责协调指导辖区业主大会的成立和业主委员会的选举工作，指导监督业主大会和业主委员会依法履行职责；调解物业管理中的纠纷；协调物业管理与社区管理关系；</w:t>
      </w:r>
      <w:r>
        <w:rPr>
          <w:rFonts w:hint="eastAsia" w:cs="方正仿宋简体"/>
          <w:sz w:val="32"/>
          <w:szCs w:val="32"/>
        </w:rPr>
        <w:t>完成党工委、办事处交办的其他工作任务。</w:t>
      </w:r>
    </w:p>
    <w:p>
      <w:pPr>
        <w:pStyle w:val="11"/>
        <w:spacing w:before="0" w:beforeAutospacing="0" w:after="0" w:afterAutospacing="0" w:line="570" w:lineRule="exact"/>
        <w:ind w:firstLine="640" w:firstLineChars="200"/>
        <w:jc w:val="both"/>
        <w:rPr>
          <w:rFonts w:cs="MS Mincho"/>
          <w:sz w:val="32"/>
          <w:szCs w:val="32"/>
        </w:rPr>
      </w:pPr>
      <w:r>
        <w:rPr>
          <w:rFonts w:hint="eastAsia" w:ascii="方正黑体简体" w:hAnsi="方正黑体简体" w:eastAsia="方正黑体简体" w:cs="方正黑体简体"/>
          <w:sz w:val="32"/>
          <w:szCs w:val="32"/>
        </w:rPr>
        <w:t>第五条</w:t>
      </w:r>
      <w:r>
        <w:rPr>
          <w:rFonts w:hint="eastAsia"/>
          <w:sz w:val="32"/>
          <w:szCs w:val="32"/>
        </w:rPr>
        <w:t xml:space="preserve"> </w:t>
      </w:r>
      <w:r>
        <w:rPr>
          <w:rFonts w:hint="eastAsia" w:cs="MS Mincho"/>
          <w:sz w:val="32"/>
          <w:szCs w:val="32"/>
        </w:rPr>
        <w:t>事业工作机构，规格均相当于正股级：</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（一）综合行政执法队。为公益一类事业单位，</w:t>
      </w:r>
      <w:r>
        <w:rPr>
          <w:rFonts w:hint="eastAsia"/>
          <w:kern w:val="2"/>
          <w:sz w:val="32"/>
          <w:szCs w:val="32"/>
        </w:rPr>
        <w:t>核定财政性资金基本保证事业编制11名</w:t>
      </w:r>
      <w:r>
        <w:rPr>
          <w:rFonts w:hint="eastAsia" w:cs="MS Mincho"/>
          <w:sz w:val="32"/>
          <w:szCs w:val="32"/>
        </w:rPr>
        <w:t>，其中队长</w:t>
      </w:r>
      <w:r>
        <w:rPr>
          <w:rFonts w:cs="MS Mincho"/>
          <w:sz w:val="32"/>
          <w:szCs w:val="32"/>
        </w:rPr>
        <w:t>1</w:t>
      </w:r>
      <w:r>
        <w:rPr>
          <w:rFonts w:hint="eastAsia" w:cs="MS Mincho"/>
          <w:sz w:val="32"/>
          <w:szCs w:val="32"/>
        </w:rPr>
        <w:t>名，副队长2名。</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w:t>
      </w:r>
      <w:r>
        <w:rPr>
          <w:rFonts w:hint="eastAsia" w:cs="方正仿宋简体"/>
          <w:sz w:val="32"/>
          <w:szCs w:val="32"/>
        </w:rPr>
        <w:t>完成党工委、办事处交办的其他工作任务。</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（二）行政综合服务中心。为公益一类事业单位，</w:t>
      </w:r>
      <w:r>
        <w:rPr>
          <w:rFonts w:hint="eastAsia"/>
          <w:kern w:val="2"/>
          <w:sz w:val="32"/>
          <w:szCs w:val="32"/>
        </w:rPr>
        <w:t>核定财政性资金基本保证事业编制11名</w:t>
      </w:r>
      <w:r>
        <w:rPr>
          <w:rFonts w:hint="eastAsia" w:cs="MS Mincho"/>
          <w:sz w:val="32"/>
          <w:szCs w:val="32"/>
        </w:rPr>
        <w:t>，其中主任</w:t>
      </w:r>
      <w:r>
        <w:rPr>
          <w:rFonts w:cs="MS Mincho"/>
          <w:sz w:val="32"/>
          <w:szCs w:val="32"/>
        </w:rPr>
        <w:t>1</w:t>
      </w:r>
      <w:r>
        <w:rPr>
          <w:rFonts w:hint="eastAsia" w:cs="MS Mincho"/>
          <w:sz w:val="32"/>
          <w:szCs w:val="32"/>
        </w:rPr>
        <w:t>名，副主任2名。</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w:t>
      </w:r>
      <w:r>
        <w:rPr>
          <w:rFonts w:hint="eastAsia" w:cs="方正仿宋简体"/>
          <w:sz w:val="32"/>
          <w:szCs w:val="32"/>
        </w:rPr>
        <w:t>完成党工委、办事处交办的其他工作任务。</w:t>
      </w:r>
    </w:p>
    <w:p>
      <w:pPr>
        <w:pStyle w:val="11"/>
        <w:spacing w:before="0" w:beforeAutospacing="0" w:after="0" w:afterAutospacing="0" w:line="570" w:lineRule="exact"/>
        <w:ind w:firstLine="645"/>
        <w:rPr>
          <w:rFonts w:cs="MS Mincho"/>
          <w:sz w:val="32"/>
          <w:szCs w:val="32"/>
        </w:rPr>
      </w:pPr>
      <w:r>
        <w:rPr>
          <w:rFonts w:hint="eastAsia" w:cs="MS Mincho"/>
          <w:sz w:val="32"/>
          <w:szCs w:val="32"/>
        </w:rPr>
        <w:t>（三）综合指挥和信息化网络中心（社会治理办公室）。为公益一类事业单位，</w:t>
      </w:r>
      <w:r>
        <w:rPr>
          <w:rFonts w:hint="eastAsia"/>
          <w:kern w:val="2"/>
          <w:sz w:val="32"/>
          <w:szCs w:val="32"/>
        </w:rPr>
        <w:t>核定财政性资金基本保证事业编制3名</w:t>
      </w:r>
      <w:r>
        <w:rPr>
          <w:rFonts w:hint="eastAsia" w:cs="MS Mincho"/>
          <w:sz w:val="32"/>
          <w:szCs w:val="32"/>
        </w:rPr>
        <w:t>，其中主任</w:t>
      </w:r>
      <w:r>
        <w:rPr>
          <w:rFonts w:cs="MS Mincho"/>
          <w:sz w:val="32"/>
          <w:szCs w:val="32"/>
        </w:rPr>
        <w:t>1</w:t>
      </w:r>
      <w:r>
        <w:rPr>
          <w:rFonts w:hint="eastAsia" w:cs="MS Mincho"/>
          <w:sz w:val="32"/>
          <w:szCs w:val="32"/>
        </w:rPr>
        <w:t>名。</w:t>
      </w:r>
    </w:p>
    <w:p>
      <w:pPr>
        <w:pStyle w:val="11"/>
        <w:spacing w:before="0" w:beforeAutospacing="0" w:after="0" w:afterAutospacing="0" w:line="570" w:lineRule="exact"/>
        <w:ind w:firstLine="645"/>
        <w:rPr>
          <w:rFonts w:cs="MS Mincho"/>
          <w:sz w:val="32"/>
          <w:szCs w:val="32"/>
        </w:rPr>
      </w:pPr>
      <w:r>
        <w:rPr>
          <w:rFonts w:hint="eastAsia" w:cs="MS Mincho"/>
          <w:sz w:val="32"/>
          <w:szCs w:val="32"/>
        </w:rPr>
        <w:t>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w:t>
      </w:r>
      <w:r>
        <w:rPr>
          <w:rFonts w:hint="eastAsia" w:cs="方正仿宋简体"/>
          <w:sz w:val="32"/>
          <w:szCs w:val="32"/>
        </w:rPr>
        <w:t>完成党工委、办事处交办的其他工作任务。</w:t>
      </w:r>
    </w:p>
    <w:p>
      <w:pPr>
        <w:pStyle w:val="11"/>
        <w:spacing w:before="0" w:beforeAutospacing="0" w:after="0" w:afterAutospacing="0" w:line="570" w:lineRule="exact"/>
        <w:ind w:firstLine="645"/>
        <w:jc w:val="both"/>
        <w:rPr>
          <w:kern w:val="2"/>
          <w:sz w:val="32"/>
          <w:szCs w:val="32"/>
        </w:rPr>
      </w:pPr>
      <w:r>
        <w:rPr>
          <w:rFonts w:hint="eastAsia" w:cs="MS Mincho"/>
          <w:sz w:val="32"/>
          <w:szCs w:val="32"/>
        </w:rPr>
        <w:t>（四）退役军人服务站。</w:t>
      </w:r>
      <w:r>
        <w:rPr>
          <w:rFonts w:hint="eastAsia"/>
          <w:kern w:val="2"/>
          <w:sz w:val="32"/>
          <w:szCs w:val="32"/>
        </w:rPr>
        <w:t>为公益一类事业单位，核定财政性资金基本保证事业编制3名</w:t>
      </w:r>
      <w:r>
        <w:rPr>
          <w:rFonts w:hint="eastAsia" w:cs="MS Mincho"/>
          <w:sz w:val="32"/>
          <w:szCs w:val="32"/>
        </w:rPr>
        <w:t>，其中站长</w:t>
      </w:r>
      <w:r>
        <w:rPr>
          <w:rFonts w:cs="MS Mincho"/>
          <w:sz w:val="32"/>
          <w:szCs w:val="32"/>
        </w:rPr>
        <w:t>1</w:t>
      </w:r>
      <w:r>
        <w:rPr>
          <w:rFonts w:hint="eastAsia" w:cs="MS Mincho"/>
          <w:sz w:val="32"/>
          <w:szCs w:val="32"/>
        </w:rPr>
        <w:t>名</w:t>
      </w:r>
      <w:r>
        <w:rPr>
          <w:rFonts w:hint="eastAsia"/>
          <w:kern w:val="2"/>
          <w:sz w:val="32"/>
          <w:szCs w:val="32"/>
        </w:rPr>
        <w:t>。</w:t>
      </w:r>
    </w:p>
    <w:p>
      <w:pPr>
        <w:pStyle w:val="3"/>
        <w:spacing w:line="570" w:lineRule="exact"/>
        <w:rPr>
          <w:rFonts w:ascii="宋体" w:eastAsia="方正仿宋简体" w:cs="Times New Roman"/>
          <w:sz w:val="32"/>
          <w:szCs w:val="32"/>
        </w:rPr>
      </w:pPr>
      <w:r>
        <w:rPr>
          <w:rFonts w:eastAsia="方正仿宋简体" w:cs="方正仿宋简体"/>
          <w:sz w:val="32"/>
          <w:szCs w:val="32"/>
        </w:rPr>
        <w:t>负责</w:t>
      </w:r>
      <w:r>
        <w:rPr>
          <w:rFonts w:hint="eastAsia" w:eastAsia="方正仿宋简体" w:cs="方正仿宋简体"/>
          <w:sz w:val="32"/>
          <w:szCs w:val="32"/>
        </w:rPr>
        <w:t>贯彻</w:t>
      </w:r>
      <w:r>
        <w:rPr>
          <w:rFonts w:eastAsia="方正仿宋简体" w:cs="方正仿宋简体"/>
          <w:sz w:val="32"/>
          <w:szCs w:val="32"/>
        </w:rPr>
        <w:t>落实退役</w:t>
      </w:r>
      <w:r>
        <w:rPr>
          <w:rFonts w:hint="eastAsia" w:eastAsia="方正仿宋简体" w:cs="方正仿宋简体"/>
          <w:sz w:val="32"/>
          <w:szCs w:val="32"/>
        </w:rPr>
        <w:t>军人</w:t>
      </w:r>
      <w:r>
        <w:rPr>
          <w:rFonts w:eastAsia="方正仿宋简体" w:cs="方正仿宋简体"/>
          <w:sz w:val="32"/>
          <w:szCs w:val="32"/>
        </w:rPr>
        <w:t>相关</w:t>
      </w:r>
      <w:r>
        <w:rPr>
          <w:rFonts w:hint="eastAsia" w:eastAsia="方正仿宋简体" w:cs="方正仿宋简体"/>
          <w:sz w:val="32"/>
          <w:szCs w:val="32"/>
        </w:rPr>
        <w:t>法律规定和</w:t>
      </w:r>
      <w:r>
        <w:rPr>
          <w:rFonts w:eastAsia="方正仿宋简体" w:cs="方正仿宋简体"/>
          <w:sz w:val="32"/>
          <w:szCs w:val="32"/>
        </w:rPr>
        <w:t>政策；</w:t>
      </w:r>
      <w:r>
        <w:rPr>
          <w:rFonts w:hint="eastAsia" w:eastAsia="方正仿宋简体" w:cs="方正仿宋简体"/>
          <w:sz w:val="32"/>
          <w:szCs w:val="32"/>
        </w:rPr>
        <w:t>负责指导村退役军人服务工作；</w:t>
      </w:r>
      <w:r>
        <w:rPr>
          <w:rFonts w:eastAsia="方正仿宋简体" w:cs="方正仿宋简体"/>
          <w:sz w:val="32"/>
          <w:szCs w:val="32"/>
        </w:rPr>
        <w:t>收集录入</w:t>
      </w:r>
      <w:r>
        <w:rPr>
          <w:rFonts w:hint="eastAsia" w:eastAsia="方正仿宋简体" w:cs="方正仿宋简体"/>
          <w:sz w:val="32"/>
          <w:szCs w:val="32"/>
        </w:rPr>
        <w:t>辖区</w:t>
      </w:r>
      <w:r>
        <w:rPr>
          <w:rFonts w:eastAsia="方正仿宋简体" w:cs="方正仿宋简体"/>
          <w:sz w:val="32"/>
          <w:szCs w:val="32"/>
        </w:rPr>
        <w:t>退役</w:t>
      </w:r>
      <w:r>
        <w:rPr>
          <w:rFonts w:hint="eastAsia" w:eastAsia="方正仿宋简体" w:cs="方正仿宋简体"/>
          <w:sz w:val="32"/>
          <w:szCs w:val="32"/>
        </w:rPr>
        <w:t>军人</w:t>
      </w:r>
      <w:r>
        <w:rPr>
          <w:rFonts w:eastAsia="方正仿宋简体" w:cs="方正仿宋简体"/>
          <w:sz w:val="32"/>
          <w:szCs w:val="32"/>
        </w:rPr>
        <w:t>的身份信息、政策落实、主要诉求等情况；提供就业创业指导，咨询和服务；宣传退役</w:t>
      </w:r>
      <w:r>
        <w:rPr>
          <w:rFonts w:hint="eastAsia" w:eastAsia="方正仿宋简体" w:cs="方正仿宋简体"/>
          <w:sz w:val="32"/>
          <w:szCs w:val="32"/>
        </w:rPr>
        <w:t>军人</w:t>
      </w:r>
      <w:r>
        <w:rPr>
          <w:rFonts w:eastAsia="方正仿宋简体" w:cs="方正仿宋简体"/>
          <w:sz w:val="32"/>
          <w:szCs w:val="32"/>
        </w:rPr>
        <w:t>有关政策，培树就业创业先进典型；组织开展职业教育和免费培训；建立精准帮扶责任制，开展常态化走访慰问、帮扶解困、化解矛盾和思想政治工作；配合有关部门做好来信、来访工作</w:t>
      </w:r>
      <w:r>
        <w:rPr>
          <w:rFonts w:hint="eastAsia" w:eastAsia="方正仿宋简体" w:cs="方正仿宋简体"/>
          <w:sz w:val="32"/>
          <w:szCs w:val="32"/>
        </w:rPr>
        <w:t>；负责依照法定权限，做好本辖区拥军优属工作。</w:t>
      </w:r>
      <w:r>
        <w:rPr>
          <w:rFonts w:hint="eastAsia" w:ascii="宋体" w:eastAsia="方正仿宋简体" w:cs="Times New Roman"/>
          <w:sz w:val="32"/>
          <w:szCs w:val="32"/>
        </w:rPr>
        <w:t>完成党工委、办事处交办的其他工作任务。</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（五）综合文化服务站。为公益一类事业单位，</w:t>
      </w:r>
      <w:r>
        <w:rPr>
          <w:rFonts w:hint="eastAsia"/>
          <w:kern w:val="2"/>
          <w:sz w:val="32"/>
          <w:szCs w:val="32"/>
        </w:rPr>
        <w:t>核定财政性资金基本保证事业编制3名</w:t>
      </w:r>
      <w:r>
        <w:rPr>
          <w:rFonts w:hint="eastAsia" w:cs="MS Mincho"/>
          <w:sz w:val="32"/>
          <w:szCs w:val="32"/>
        </w:rPr>
        <w:t>，其中主任</w:t>
      </w:r>
      <w:r>
        <w:rPr>
          <w:rFonts w:cs="MS Mincho"/>
          <w:sz w:val="32"/>
          <w:szCs w:val="32"/>
        </w:rPr>
        <w:t>1</w:t>
      </w:r>
      <w:r>
        <w:rPr>
          <w:rFonts w:hint="eastAsia" w:cs="MS Mincho"/>
          <w:sz w:val="32"/>
          <w:szCs w:val="32"/>
        </w:rPr>
        <w:t>名。</w:t>
      </w:r>
    </w:p>
    <w:p>
      <w:pPr>
        <w:pStyle w:val="11"/>
        <w:spacing w:before="0" w:beforeAutospacing="0" w:after="0" w:afterAutospacing="0" w:line="570" w:lineRule="exact"/>
        <w:ind w:firstLine="645"/>
        <w:jc w:val="both"/>
        <w:rPr>
          <w:rFonts w:cs="MS Mincho"/>
          <w:sz w:val="32"/>
          <w:szCs w:val="32"/>
        </w:rPr>
      </w:pPr>
      <w:r>
        <w:rPr>
          <w:rFonts w:hint="eastAsia" w:cs="MS Mincho"/>
          <w:sz w:val="32"/>
          <w:szCs w:val="32"/>
        </w:rPr>
        <w:t>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w:t>
      </w:r>
      <w:r>
        <w:rPr>
          <w:rFonts w:hint="eastAsia" w:cs="方正仿宋简体"/>
          <w:sz w:val="32"/>
          <w:szCs w:val="32"/>
        </w:rPr>
        <w:t>完成党工委、办事处交办的其他工作任务。</w:t>
      </w:r>
    </w:p>
    <w:p>
      <w:pPr>
        <w:pStyle w:val="2"/>
        <w:ind w:firstLine="640"/>
        <w:rPr>
          <w:color w:val="EEECE1" w:themeColor="background2"/>
        </w:rPr>
      </w:pPr>
      <w:r>
        <w:rPr>
          <w:rFonts w:hint="eastAsia" w:ascii="方正仿宋简体" w:hAnsi="方正仿宋简体" w:eastAsia="方正仿宋简体" w:cs="方正仿宋简体"/>
          <w:sz w:val="32"/>
          <w:szCs w:val="32"/>
        </w:rPr>
        <w:t>遵化市</w:t>
      </w:r>
      <w:r>
        <w:rPr>
          <w:rFonts w:hint="eastAsia" w:ascii="方正仿宋简体" w:hAnsi="仿宋" w:eastAsia="方正仿宋简体" w:cs="黑体"/>
          <w:sz w:val="32"/>
          <w:szCs w:val="32"/>
        </w:rPr>
        <w:t>遵化市文化路街道办事处</w:t>
      </w:r>
      <w:r>
        <w:rPr>
          <w:rFonts w:hint="eastAsia" w:ascii="方正仿宋简体" w:hAnsi="方正仿宋简体" w:eastAsia="方正仿宋简体" w:cs="方正仿宋简体"/>
          <w:sz w:val="32"/>
          <w:szCs w:val="32"/>
        </w:rPr>
        <w:t>编制人数57名（行政编制20名、全额事业编制37名）。实有行政人数19名，全额事业人数36名。</w:t>
      </w:r>
    </w:p>
    <w:p>
      <w:pPr>
        <w:spacing w:line="570" w:lineRule="exact"/>
        <w:ind w:firstLine="639"/>
        <w:jc w:val="center"/>
        <w:rPr>
          <w:rFonts w:ascii="方正仿宋简体" w:hAnsi="仿宋" w:eastAsia="方正仿宋简体" w:cs="黑体"/>
          <w:b/>
          <w:sz w:val="32"/>
          <w:szCs w:val="32"/>
        </w:rPr>
      </w:pPr>
      <w:r>
        <w:rPr>
          <w:rFonts w:hint="eastAsia" w:ascii="方正仿宋简体" w:hAnsi="仿宋" w:eastAsia="方正仿宋简体" w:cs="黑体"/>
          <w:b/>
          <w:sz w:val="32"/>
          <w:szCs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19"/>
        <w:gridCol w:w="2071"/>
        <w:gridCol w:w="1919"/>
        <w:gridCol w:w="33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5419"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单位名称</w:t>
            </w:r>
          </w:p>
        </w:tc>
        <w:tc>
          <w:tcPr>
            <w:tcW w:w="2071"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单位性质</w:t>
            </w:r>
          </w:p>
        </w:tc>
        <w:tc>
          <w:tcPr>
            <w:tcW w:w="1919"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单位规格</w:t>
            </w:r>
          </w:p>
        </w:tc>
        <w:tc>
          <w:tcPr>
            <w:tcW w:w="3301" w:type="dxa"/>
            <w:vMerge w:val="restart"/>
            <w:noWrap/>
            <w:vAlign w:val="center"/>
          </w:tcPr>
          <w:p>
            <w:pPr>
              <w:spacing w:line="570" w:lineRule="exact"/>
              <w:jc w:val="center"/>
              <w:rPr>
                <w:rFonts w:ascii="方正仿宋简体" w:hAnsi="仿宋" w:eastAsia="方正仿宋简体" w:cs="黑体"/>
                <w:b/>
                <w:bCs/>
                <w:sz w:val="32"/>
                <w:szCs w:val="32"/>
              </w:rPr>
            </w:pPr>
            <w:r>
              <w:rPr>
                <w:rFonts w:hint="eastAsia" w:ascii="方正仿宋简体" w:hAnsi="仿宋" w:eastAsia="方正仿宋简体" w:cs="黑体"/>
                <w:b/>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5419" w:type="dxa"/>
            <w:vMerge w:val="continue"/>
            <w:noWrap/>
            <w:vAlign w:val="center"/>
          </w:tcPr>
          <w:p>
            <w:pPr>
              <w:spacing w:line="570" w:lineRule="exact"/>
              <w:jc w:val="left"/>
              <w:outlineLvl w:val="0"/>
              <w:rPr>
                <w:rFonts w:ascii="方正仿宋简体" w:hAnsi="仿宋" w:eastAsia="方正仿宋简体" w:cs="黑体"/>
                <w:sz w:val="32"/>
                <w:szCs w:val="32"/>
              </w:rPr>
            </w:pPr>
          </w:p>
        </w:tc>
        <w:tc>
          <w:tcPr>
            <w:tcW w:w="2071" w:type="dxa"/>
            <w:vMerge w:val="continue"/>
            <w:noWrap/>
            <w:vAlign w:val="center"/>
          </w:tcPr>
          <w:p>
            <w:pPr>
              <w:spacing w:line="570" w:lineRule="exact"/>
              <w:jc w:val="left"/>
              <w:outlineLvl w:val="0"/>
              <w:rPr>
                <w:rFonts w:ascii="方正仿宋简体" w:hAnsi="仿宋" w:eastAsia="方正仿宋简体" w:cs="黑体"/>
                <w:sz w:val="32"/>
                <w:szCs w:val="32"/>
              </w:rPr>
            </w:pPr>
          </w:p>
        </w:tc>
        <w:tc>
          <w:tcPr>
            <w:tcW w:w="1919" w:type="dxa"/>
            <w:vMerge w:val="continue"/>
            <w:noWrap/>
            <w:vAlign w:val="center"/>
          </w:tcPr>
          <w:p>
            <w:pPr>
              <w:spacing w:line="570" w:lineRule="exact"/>
              <w:jc w:val="left"/>
              <w:outlineLvl w:val="0"/>
              <w:rPr>
                <w:rFonts w:ascii="方正仿宋简体" w:hAnsi="仿宋" w:eastAsia="方正仿宋简体" w:cs="黑体"/>
                <w:sz w:val="32"/>
                <w:szCs w:val="32"/>
              </w:rPr>
            </w:pPr>
          </w:p>
        </w:tc>
        <w:tc>
          <w:tcPr>
            <w:tcW w:w="3301" w:type="dxa"/>
            <w:vMerge w:val="continue"/>
            <w:noWrap/>
            <w:vAlign w:val="center"/>
          </w:tcPr>
          <w:p>
            <w:pPr>
              <w:spacing w:line="570" w:lineRule="exact"/>
              <w:jc w:val="left"/>
              <w:outlineLvl w:val="0"/>
              <w:rPr>
                <w:rFonts w:ascii="方正仿宋简体" w:hAnsi="仿宋" w:eastAsia="方正仿宋简体" w:cs="黑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5419" w:type="dxa"/>
            <w:noWrap/>
            <w:vAlign w:val="center"/>
          </w:tcPr>
          <w:p>
            <w:pPr>
              <w:spacing w:line="570" w:lineRule="exact"/>
              <w:jc w:val="left"/>
              <w:rPr>
                <w:rFonts w:ascii="方正仿宋简体" w:hAnsi="仿宋" w:eastAsia="方正仿宋简体" w:cs="黑体"/>
                <w:sz w:val="32"/>
                <w:szCs w:val="32"/>
              </w:rPr>
            </w:pPr>
            <w:r>
              <w:rPr>
                <w:rFonts w:hint="eastAsia" w:ascii="方正仿宋简体" w:hAnsi="仿宋" w:eastAsia="方正仿宋简体" w:cs="黑体"/>
                <w:sz w:val="32"/>
                <w:szCs w:val="32"/>
              </w:rPr>
              <w:t>遵化市文化路街道办事处</w:t>
            </w:r>
          </w:p>
        </w:tc>
        <w:tc>
          <w:tcPr>
            <w:tcW w:w="2071" w:type="dxa"/>
            <w:noWrap/>
            <w:vAlign w:val="center"/>
          </w:tcPr>
          <w:p>
            <w:pPr>
              <w:spacing w:line="570" w:lineRule="exact"/>
              <w:jc w:val="center"/>
              <w:rPr>
                <w:rFonts w:ascii="方正仿宋简体" w:hAnsi="仿宋" w:eastAsia="方正仿宋简体" w:cs="黑体"/>
                <w:sz w:val="32"/>
                <w:szCs w:val="32"/>
              </w:rPr>
            </w:pPr>
            <w:r>
              <w:rPr>
                <w:rFonts w:hint="eastAsia" w:ascii="方正仿宋简体" w:hAnsi="仿宋" w:eastAsia="方正仿宋简体" w:cs="黑体"/>
                <w:sz w:val="32"/>
                <w:szCs w:val="32"/>
              </w:rPr>
              <w:t>行政</w:t>
            </w:r>
          </w:p>
        </w:tc>
        <w:tc>
          <w:tcPr>
            <w:tcW w:w="1919" w:type="dxa"/>
            <w:noWrap/>
            <w:vAlign w:val="center"/>
          </w:tcPr>
          <w:p>
            <w:pPr>
              <w:spacing w:line="570" w:lineRule="exact"/>
              <w:jc w:val="center"/>
              <w:rPr>
                <w:rFonts w:ascii="方正仿宋简体" w:hAnsi="仿宋" w:eastAsia="方正仿宋简体" w:cs="黑体"/>
                <w:sz w:val="32"/>
                <w:szCs w:val="32"/>
              </w:rPr>
            </w:pPr>
            <w:r>
              <w:rPr>
                <w:rFonts w:hint="eastAsia" w:ascii="方正仿宋简体" w:hAnsi="仿宋" w:eastAsia="方正仿宋简体" w:cs="黑体"/>
                <w:sz w:val="32"/>
                <w:szCs w:val="32"/>
              </w:rPr>
              <w:t>正科级</w:t>
            </w:r>
          </w:p>
        </w:tc>
        <w:tc>
          <w:tcPr>
            <w:tcW w:w="3301" w:type="dxa"/>
            <w:noWrap/>
            <w:vAlign w:val="center"/>
          </w:tcPr>
          <w:p>
            <w:pPr>
              <w:spacing w:line="570" w:lineRule="exact"/>
              <w:jc w:val="center"/>
              <w:rPr>
                <w:rFonts w:ascii="方正仿宋简体" w:hAnsi="仿宋" w:eastAsia="方正仿宋简体" w:cs="黑体"/>
                <w:sz w:val="32"/>
                <w:szCs w:val="32"/>
              </w:rPr>
            </w:pPr>
            <w:r>
              <w:rPr>
                <w:rFonts w:hint="eastAsia" w:ascii="方正仿宋简体" w:hAnsi="仿宋" w:eastAsia="方正仿宋简体" w:cs="黑体"/>
                <w:sz w:val="32"/>
                <w:szCs w:val="32"/>
              </w:rPr>
              <w:t>财政拨款</w:t>
            </w:r>
          </w:p>
        </w:tc>
      </w:tr>
    </w:tbl>
    <w:p>
      <w:pPr>
        <w:spacing w:line="560" w:lineRule="exact"/>
        <w:ind w:firstLine="640" w:firstLineChars="200"/>
        <w:jc w:val="left"/>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spacing w:line="570" w:lineRule="exact"/>
        <w:ind w:firstLine="720" w:firstLineChars="225"/>
        <w:rPr>
          <w:rFonts w:ascii="方正仿宋简体" w:hAnsi="仿宋" w:eastAsia="方正仿宋简体" w:cs="黑体"/>
          <w:sz w:val="32"/>
          <w:szCs w:val="32"/>
        </w:rPr>
      </w:pPr>
      <w:r>
        <w:rPr>
          <w:rFonts w:hint="eastAsia" w:ascii="方正仿宋简体" w:hAnsi="仿宋" w:eastAsia="方正仿宋简体" w:cs="黑体"/>
          <w:sz w:val="32"/>
          <w:szCs w:val="32"/>
        </w:rPr>
        <w:t>按照预算管理有关规定，目前我单位部门预算的编制实行综合预算制度，即全部收入和支出都反映在预算中。</w:t>
      </w:r>
    </w:p>
    <w:p>
      <w:pPr>
        <w:spacing w:line="570" w:lineRule="exact"/>
        <w:ind w:firstLine="640"/>
        <w:rPr>
          <w:rFonts w:ascii="方正仿宋简体" w:hAnsi="宋体" w:eastAsia="方正仿宋简体" w:cs="黑体"/>
          <w:b/>
          <w:sz w:val="32"/>
          <w:szCs w:val="32"/>
        </w:rPr>
      </w:pPr>
      <w:r>
        <w:rPr>
          <w:rFonts w:hint="eastAsia" w:ascii="方正仿宋简体" w:hAnsi="宋体" w:eastAsia="方正仿宋简体" w:cs="黑体"/>
          <w:b/>
          <w:sz w:val="32"/>
          <w:szCs w:val="32"/>
        </w:rPr>
        <w:t>1、收入说明</w:t>
      </w:r>
    </w:p>
    <w:p>
      <w:pPr>
        <w:spacing w:line="570" w:lineRule="exact"/>
        <w:ind w:firstLine="640"/>
        <w:rPr>
          <w:rFonts w:ascii="方正仿宋简体" w:hAnsi="仿宋" w:eastAsia="方正仿宋简体" w:cs="黑体"/>
          <w:sz w:val="32"/>
          <w:szCs w:val="32"/>
        </w:rPr>
      </w:pPr>
      <w:r>
        <w:rPr>
          <w:rFonts w:hint="eastAsia" w:ascii="方正仿宋简体" w:hAnsi="仿宋" w:eastAsia="方正仿宋简体" w:cs="黑体"/>
          <w:sz w:val="32"/>
          <w:szCs w:val="32"/>
        </w:rPr>
        <w:t>反映本部门当年全部收入。2022年预算收入1778.08万元，其中：一般公共预算拨款收入1778.08万元，基金预算收入0万元，财政专户核拨收入0万元，其他来源收入0万元。</w:t>
      </w:r>
    </w:p>
    <w:p>
      <w:pPr>
        <w:spacing w:line="570" w:lineRule="exact"/>
        <w:ind w:firstLine="640"/>
        <w:rPr>
          <w:rFonts w:ascii="方正仿宋简体" w:hAnsi="宋体" w:eastAsia="方正仿宋简体" w:cs="黑体"/>
          <w:b/>
          <w:sz w:val="32"/>
          <w:szCs w:val="32"/>
        </w:rPr>
      </w:pPr>
      <w:r>
        <w:rPr>
          <w:rFonts w:hint="eastAsia" w:ascii="方正仿宋简体" w:hAnsi="宋体" w:eastAsia="方正仿宋简体" w:cs="黑体"/>
          <w:b/>
          <w:sz w:val="32"/>
          <w:szCs w:val="32"/>
        </w:rPr>
        <w:t>2、支出说明</w:t>
      </w:r>
    </w:p>
    <w:p>
      <w:pPr>
        <w:pStyle w:val="26"/>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仿宋" w:eastAsia="方正仿宋简体" w:cs="黑体"/>
          <w:sz w:val="32"/>
          <w:szCs w:val="32"/>
        </w:rPr>
        <w:t>收支预算总表支出栏、基本支出表、项目支出表按经济分类和支出功能分类科目编制，反映遵化市文化路街道办事处2022年度部门预算中支出预算的总体情况。2022年支出预算1778.08万元，其中基本支出1224.78万元，包括人员经费1182.81万元和日常公用经费41.97万元；项目支出553.3万元</w:t>
      </w:r>
      <w:r>
        <w:rPr>
          <w:rFonts w:hint="eastAsia" w:ascii="方正仿宋简体" w:hAnsi="仿宋" w:eastAsia="方正仿宋简体" w:cs="黑体"/>
          <w:sz w:val="32"/>
          <w:szCs w:val="32"/>
          <w:lang w:eastAsia="zh-CN"/>
        </w:rPr>
        <w:t>，</w:t>
      </w:r>
      <w:r>
        <w:rPr>
          <w:rFonts w:hint="eastAsia" w:ascii="宋体" w:hAnsi="宋体" w:eastAsia="方正仿宋简体" w:cs="MS Mincho"/>
          <w:kern w:val="0"/>
          <w:sz w:val="32"/>
          <w:szCs w:val="32"/>
          <w:lang w:val="en-US" w:eastAsia="zh-CN" w:bidi="ar-SA"/>
        </w:rPr>
        <w:t>主要为洁净煤工作经费，军转家属生活补助及保险，居委会办公用房装修经费，日常维稳及宣传费用，社区党组织</w:t>
      </w:r>
      <w:r>
        <w:rPr>
          <w:rFonts w:hint="eastAsia" w:ascii="方正仿宋简体" w:hAnsi="方正仿宋简体" w:eastAsia="方正仿宋简体" w:cs="方正仿宋简体"/>
          <w:sz w:val="32"/>
          <w:szCs w:val="32"/>
          <w:lang w:val="en-US" w:eastAsia="zh-CN"/>
        </w:rPr>
        <w:t>服务群众经费，社区工作经费，疫情防控工作经费，老农经公寓污水管道修复资金等。</w:t>
      </w:r>
    </w:p>
    <w:p>
      <w:pPr>
        <w:spacing w:line="570" w:lineRule="exact"/>
        <w:ind w:firstLine="643" w:firstLineChars="200"/>
        <w:rPr>
          <w:rFonts w:ascii="方正仿宋简体" w:hAnsi="宋体" w:eastAsia="方正仿宋简体" w:cs="黑体"/>
          <w:b/>
          <w:sz w:val="32"/>
          <w:szCs w:val="32"/>
        </w:rPr>
      </w:pPr>
      <w:r>
        <w:rPr>
          <w:rFonts w:hint="eastAsia" w:ascii="方正仿宋简体" w:hAnsi="宋体" w:eastAsia="方正仿宋简体" w:cs="黑体"/>
          <w:b/>
          <w:sz w:val="32"/>
          <w:szCs w:val="32"/>
        </w:rPr>
        <w:t>3、比上年增减情况</w:t>
      </w:r>
    </w:p>
    <w:p>
      <w:pPr>
        <w:spacing w:line="570" w:lineRule="exact"/>
        <w:ind w:firstLine="640" w:firstLineChars="200"/>
        <w:rPr>
          <w:rFonts w:ascii="方正仿宋简体" w:hAnsi="仿宋" w:eastAsia="方正仿宋简体" w:cs="黑体"/>
          <w:sz w:val="32"/>
          <w:szCs w:val="32"/>
        </w:rPr>
      </w:pPr>
      <w:r>
        <w:rPr>
          <w:rFonts w:hint="eastAsia" w:ascii="方正仿宋简体" w:hAnsi="仿宋" w:eastAsia="方正仿宋简体" w:cs="黑体"/>
          <w:sz w:val="32"/>
          <w:szCs w:val="32"/>
        </w:rPr>
        <w:t>2022年预算收支安排1778.08万元，较2021年预算增加374.88万元，其中：基本支出增加474.24万元，主要为增加人员经费支出432.27万元；（人员经费增加的主要原因为抽调自收自支人员和招聘社区工作者人员的增加）；日常公用经费增加1.31万元（增加原因为在职人员的增加等因素）。项目支出减少58.7万元。</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仿宋" w:eastAsia="方正仿宋简体" w:cs="黑体"/>
          <w:sz w:val="32"/>
          <w:szCs w:val="32"/>
        </w:rPr>
      </w:pPr>
      <w:r>
        <w:rPr>
          <w:rFonts w:hint="eastAsia" w:ascii="方正仿宋简体" w:hAnsi="仿宋" w:eastAsia="方正仿宋简体"/>
          <w:sz w:val="32"/>
          <w:szCs w:val="32"/>
        </w:rPr>
        <w:t>2022</w:t>
      </w:r>
      <w:r>
        <w:rPr>
          <w:rFonts w:hint="eastAsia" w:ascii="方正仿宋简体" w:hAnsi="仿宋" w:eastAsia="方正仿宋简体" w:cs="方正仿宋_GBK"/>
          <w:sz w:val="32"/>
          <w:szCs w:val="32"/>
        </w:rPr>
        <w:t>年，我单位机关运行经费共计安排</w:t>
      </w:r>
      <w:r>
        <w:rPr>
          <w:rFonts w:hint="eastAsia" w:ascii="方正仿宋简体" w:hAnsi="仿宋" w:eastAsia="方正仿宋简体"/>
          <w:sz w:val="32"/>
          <w:szCs w:val="32"/>
        </w:rPr>
        <w:t>41.97</w:t>
      </w:r>
      <w:r>
        <w:rPr>
          <w:rFonts w:hint="eastAsia" w:ascii="方正仿宋简体" w:hAnsi="仿宋" w:eastAsia="方正仿宋简体" w:cs="方正仿宋_GBK"/>
          <w:sz w:val="32"/>
          <w:szCs w:val="32"/>
        </w:rPr>
        <w:t>万元，主要用于：</w:t>
      </w:r>
      <w:r>
        <w:rPr>
          <w:rFonts w:hint="eastAsia" w:ascii="方正仿宋简体" w:hAnsi="仿宋" w:eastAsia="方正仿宋简体" w:cs="黑体"/>
          <w:sz w:val="32"/>
          <w:szCs w:val="32"/>
        </w:rPr>
        <w:t>2022年机关办公费1.65万元，电费1.1万元，邮电费1.34万元，取暖费4万元，差旅费1.1万元，会议费0.28万元,培训费0.28万元, 公务用车运行维护费6.15万元，公务接待费0.61万元，离退休干部经费0.36万元，公车补贴费用14.22万元,其他业务费0.54万元，工会经费4.91万元，福利费5.43万元。</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仿宋" w:eastAsia="方正仿宋简体" w:cs="黑体"/>
          <w:sz w:val="32"/>
          <w:szCs w:val="32"/>
        </w:rPr>
      </w:pPr>
      <w:r>
        <w:rPr>
          <w:rFonts w:hint="eastAsia" w:ascii="方正仿宋简体" w:hAnsi="仿宋" w:eastAsia="方正仿宋简体" w:cs="黑体"/>
          <w:sz w:val="32"/>
          <w:szCs w:val="32"/>
        </w:rPr>
        <w:t>2022年我单位“三公”经费预算安排6.</w:t>
      </w:r>
      <w:r>
        <w:rPr>
          <w:rFonts w:hint="eastAsia" w:ascii="方正仿宋简体" w:hAnsi="仿宋" w:eastAsia="方正仿宋简体" w:cs="黑体"/>
          <w:sz w:val="32"/>
          <w:szCs w:val="32"/>
          <w:lang w:val="en-US" w:eastAsia="zh-CN"/>
        </w:rPr>
        <w:t>76</w:t>
      </w:r>
      <w:r>
        <w:rPr>
          <w:rFonts w:hint="eastAsia" w:ascii="方正仿宋简体" w:hAnsi="仿宋" w:eastAsia="方正仿宋简体" w:cs="黑体"/>
          <w:sz w:val="32"/>
          <w:szCs w:val="32"/>
        </w:rPr>
        <w:t xml:space="preserve">万元，比2021年增加0.7万元，原因为公务用车购置及运行费增加0.7万元。具体安排情况为： </w:t>
      </w:r>
    </w:p>
    <w:p>
      <w:pPr>
        <w:widowControl/>
        <w:tabs>
          <w:tab w:val="left" w:pos="5552"/>
          <w:tab w:val="left" w:pos="7323"/>
          <w:tab w:val="left" w:pos="12218"/>
          <w:tab w:val="left" w:pos="14365"/>
          <w:tab w:val="left" w:pos="17759"/>
          <w:tab w:val="left" w:pos="19300"/>
          <w:tab w:val="left" w:pos="20220"/>
        </w:tabs>
        <w:spacing w:line="570" w:lineRule="exact"/>
        <w:ind w:firstLine="470" w:firstLineChars="147"/>
        <w:jc w:val="left"/>
        <w:rPr>
          <w:rFonts w:ascii="方正仿宋简体" w:hAnsi="仿宋" w:eastAsia="方正仿宋简体" w:cs="黑体"/>
          <w:bCs/>
          <w:sz w:val="32"/>
          <w:szCs w:val="32"/>
        </w:rPr>
      </w:pPr>
      <w:r>
        <w:rPr>
          <w:rFonts w:hint="eastAsia" w:ascii="方正仿宋简体" w:hAnsi="仿宋" w:eastAsia="方正仿宋简体" w:cs="黑体"/>
          <w:bCs/>
          <w:sz w:val="32"/>
          <w:szCs w:val="32"/>
        </w:rPr>
        <w:t>（一）公务用车购置及运行费。共计安排6.15万元，比2021年增加0.7万元，原因为增加两辆执法用车保险费用。其中①公务用车购置安排0万元，与2021年持平，无增减变化。②公车运行维护经费安排6.15万元，比2021年增加0.7万元，原因为增加两辆执法用车保险费用。</w:t>
      </w:r>
    </w:p>
    <w:p>
      <w:pPr>
        <w:widowControl/>
        <w:tabs>
          <w:tab w:val="left" w:pos="5552"/>
          <w:tab w:val="left" w:pos="7323"/>
          <w:tab w:val="left" w:pos="12218"/>
          <w:tab w:val="left" w:pos="14365"/>
          <w:tab w:val="left" w:pos="17759"/>
          <w:tab w:val="left" w:pos="19300"/>
          <w:tab w:val="left" w:pos="20220"/>
        </w:tabs>
        <w:spacing w:line="570" w:lineRule="exact"/>
        <w:ind w:firstLine="470" w:firstLineChars="147"/>
        <w:jc w:val="left"/>
        <w:rPr>
          <w:rFonts w:ascii="方正仿宋简体" w:hAnsi="仿宋" w:eastAsia="方正仿宋简体" w:cs="黑体"/>
          <w:bCs/>
          <w:sz w:val="32"/>
          <w:szCs w:val="32"/>
        </w:rPr>
      </w:pPr>
      <w:r>
        <w:rPr>
          <w:rFonts w:hint="eastAsia" w:ascii="方正仿宋简体" w:hAnsi="仿宋" w:eastAsia="方正仿宋简体" w:cs="黑体"/>
          <w:bCs/>
          <w:sz w:val="32"/>
          <w:szCs w:val="32"/>
        </w:rPr>
        <w:t>（二）公务接待费。安排0.61万元，与2021年预算持平,</w:t>
      </w:r>
      <w:r>
        <w:rPr>
          <w:rFonts w:hint="eastAsia" w:ascii="宋体" w:hAnsi="宋体" w:eastAsia="方正仿宋简体" w:cs="MS Mincho"/>
          <w:kern w:val="0"/>
          <w:sz w:val="32"/>
          <w:szCs w:val="32"/>
          <w:lang w:val="en-US" w:eastAsia="uk-UA" w:bidi="ar-SA"/>
        </w:rPr>
        <w:t>按照</w:t>
      </w:r>
      <w:r>
        <w:rPr>
          <w:rFonts w:hint="eastAsia" w:ascii="宋体" w:hAnsi="宋体" w:eastAsia="方正仿宋简体" w:cs="MS Mincho"/>
          <w:kern w:val="0"/>
          <w:sz w:val="32"/>
          <w:szCs w:val="32"/>
          <w:lang w:val="en-US" w:eastAsia="zh-CN" w:bidi="ar-SA"/>
        </w:rPr>
        <w:t>统一定额标准计算，无增减变化</w:t>
      </w:r>
      <w:r>
        <w:rPr>
          <w:rFonts w:hint="eastAsia" w:ascii="宋体" w:hAnsi="宋体" w:eastAsia="方正仿宋简体" w:cs="MS Mincho"/>
          <w:kern w:val="0"/>
          <w:sz w:val="32"/>
          <w:szCs w:val="32"/>
          <w:lang w:val="en-US" w:eastAsia="uk-UA" w:bidi="ar-SA"/>
        </w:rPr>
        <w:t>。</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仿宋简体" w:cs="方正楷体简体"/>
          <w:kern w:val="0"/>
          <w:sz w:val="32"/>
          <w:szCs w:val="32"/>
          <w:lang w:val="en-US" w:eastAsia="zh-CN" w:bidi="ar-SA"/>
        </w:rPr>
      </w:pPr>
      <w:r>
        <w:rPr>
          <w:rFonts w:hint="eastAsia" w:ascii="方正仿宋简体" w:hAnsi="仿宋" w:eastAsia="方正仿宋简体" w:cs="黑体"/>
          <w:bCs/>
          <w:sz w:val="32"/>
          <w:szCs w:val="32"/>
        </w:rPr>
        <w:t>（三）因公出国（境）费安排0万元，与2021年持平，无增减变化。</w:t>
      </w:r>
      <w:r>
        <w:rPr>
          <w:rFonts w:hint="eastAsia" w:ascii="宋体" w:hAnsi="宋体" w:eastAsia="方正仿宋简体" w:cs="MS Mincho"/>
          <w:kern w:val="0"/>
          <w:sz w:val="32"/>
          <w:szCs w:val="32"/>
          <w:lang w:val="en-US" w:eastAsia="zh-CN" w:bidi="ar-SA"/>
        </w:rPr>
        <w:t>没有因公出国安排，所以未安排因公出国费。</w:t>
      </w:r>
    </w:p>
    <w:p>
      <w:pPr>
        <w:pStyle w:val="3"/>
        <w:ind w:left="0" w:leftChars="0" w:firstLine="640" w:firstLineChars="200"/>
        <w:rPr>
          <w:rFonts w:hint="eastAsia" w:ascii="方正黑体简体" w:hAnsi="方正黑体简体" w:eastAsia="方正黑体简体" w:cs="方正黑体简体"/>
          <w:sz w:val="32"/>
          <w:szCs w:val="32"/>
        </w:rPr>
      </w:pPr>
      <w:bookmarkStart w:id="2" w:name="_Toc68791549"/>
      <w:r>
        <w:rPr>
          <w:rFonts w:hint="eastAsia" w:ascii="方正黑体简体" w:hAnsi="方正黑体简体" w:eastAsia="方正黑体简体" w:cs="方正黑体简体"/>
          <w:sz w:val="32"/>
          <w:szCs w:val="32"/>
        </w:rPr>
        <w:t>五、预算绩效信息</w:t>
      </w:r>
      <w:bookmarkEnd w:id="2"/>
    </w:p>
    <w:p>
      <w:pPr>
        <w:pStyle w:val="3"/>
        <w:ind w:left="0" w:leftChars="0"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2021年，街道党工委、办事处将坚持以党的十九大精神为指导，以党建引领为主线，以“六位一体”为抓手，以“经济发展、民生改善、文明和谐、社会稳定”为目标，全面推进经济社会发展各项工作，提升街道社区治理现代化水平，守好维护稳定的第一防线，打造服务居民的第一平台，建设发展经济的第一环境，努力建设书香、文明、智慧、美丽街道。</w:t>
      </w:r>
    </w:p>
    <w:p>
      <w:pPr>
        <w:spacing w:line="57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1、强化党建，加强干部队伍管理，提升整体执政能力</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一是持续推进社区“六位一体”建设，夯实“六位一体”的物质基础，建立健全规章制度、人员配备等软件措施，进一步提升社区治理的现代化水平。二是以党建为引领协调推进各项工作持续向好开展，进一步推进党建工作的机制、制度和工作创新，切实解决困扰党建工作的难点问题，秉承思想、点面结合、协调推进，力争街道党建工作再上新台阶。</w:t>
      </w:r>
    </w:p>
    <w:p>
      <w:pPr>
        <w:spacing w:line="57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2、改善民生，加强社会管理创新，提升居民幸福指数</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大力加强社区建设，打造特色社区;着重培育和发展社会组织，制定社会组织发展扶持计划;认真落实各项惠民政策，通过整合和发掘社会资源、帮助低保家庭、困难群众、残疾等弱势群体不断提高生活水平;进一步完善公共就业服务体系，落实就业扶持政策;建立健全居家养老服务网络，拓展服务领域，大力推行居家养老服务的养老模式;大力开展群众性精神文明创建活动，丰富群众文化生活，繁荣社区文化;扎实开展科普示范社区创建工作，以开展科普宣传、科技培训、科学素质教育为街道社区的创建着力点，全面提高辖区居民的科学意识;广泛动员全社会各方面力量，以“老少共建文明社区”活动为载体，全力构筑学校、家庭、社会“三位一体”的未成年人思想道德建设体系。</w:t>
      </w:r>
    </w:p>
    <w:p>
      <w:pPr>
        <w:spacing w:line="57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3、寻求突破，推进网格化管理，提升街道管理水平</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加强环境卫生管理，开展“美好家园”行动;发挥街道综合管理联合执法办公室的作用，对重点地段和重点区域进行重点控制和整治，发现问题及时处理;抓好各社区的物业管理工作，定期召开由社区、业主代表、物业公司组成专题会议，明确责任，分析解决问题。继续推行网格化管理，对网格内各项资源进行整合，使网格管理真正见到成效。</w:t>
      </w:r>
    </w:p>
    <w:p>
      <w:pPr>
        <w:spacing w:line="57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4、践行宗旨，增强服务意识，提升服务发展能力</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一是全面提高为民服务的质量和水平，切实保障社会救助落到实处，对符合城镇低保标准条件的人，实现应保尽保。二是扎实做好保障性住房工作，为辖区符合条件的无房户争取住上保障性住房，切实解决居民民生问题。全力推动辖区老旧小区改造工作顺利实施，提升公共环境，营造宜居新亮点。三是扎实掌握辖区无业人员情况，充分结合就业政策，积极开展各项有利于困难人员就业的援助活动和引导推荐工作，力争千方百计促进辖区无业人员就业。</w:t>
      </w:r>
    </w:p>
    <w:p>
      <w:pPr>
        <w:spacing w:line="57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5、综合治理，增强维护稳定意识，提升矛盾化解能力</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一是深化排查调处机制，做好安全稳定工作。对辖区的热点难点问题做到底数清、情况明、发现得早、化解得了、控制得住、处理得好，快速有效地化解矛盾，把隐患消除在萌芽状态。二是加强综合治理，确保社区平安。进一步完善社会治安防控体系，落实社会治安长效管理机制，维护社区治安环境。三是妥善处理信访问题，合理解决群众诉求。规范信访登记，完善应急工作预案，有效处理突发事件，确保社会稳定。四是加大安全生产监管力度。严格落实安全生产责任制，抓好隐患整治工作落实，坚决遏制安全生产事故的发生。</w:t>
      </w:r>
    </w:p>
    <w:p>
      <w:pPr>
        <w:autoSpaceDE w:val="0"/>
        <w:autoSpaceDN w:val="0"/>
        <w:adjustRightInd w:val="0"/>
        <w:spacing w:line="570" w:lineRule="exact"/>
        <w:ind w:firstLine="472" w:firstLineChars="147"/>
        <w:jc w:val="left"/>
        <w:rPr>
          <w:rFonts w:ascii="方正仿宋简体" w:eastAsia="方正仿宋简体" w:cs="方正仿宋_GBK"/>
          <w:b/>
          <w:bCs/>
          <w:sz w:val="32"/>
          <w:szCs w:val="32"/>
        </w:rPr>
      </w:pPr>
    </w:p>
    <w:p>
      <w:pPr>
        <w:autoSpaceDE w:val="0"/>
        <w:autoSpaceDN w:val="0"/>
        <w:adjustRightInd w:val="0"/>
        <w:spacing w:line="570" w:lineRule="exact"/>
        <w:ind w:firstLine="472" w:firstLineChars="147"/>
        <w:jc w:val="left"/>
        <w:rPr>
          <w:rFonts w:eastAsia="方正仿宋_GBK" w:cs="方正仿宋_GBK"/>
          <w:b/>
          <w:bCs/>
          <w:sz w:val="32"/>
          <w:szCs w:val="32"/>
        </w:rPr>
      </w:pPr>
    </w:p>
    <w:p>
      <w:pPr>
        <w:autoSpaceDE w:val="0"/>
        <w:autoSpaceDN w:val="0"/>
        <w:adjustRightInd w:val="0"/>
        <w:ind w:firstLine="472" w:firstLineChars="147"/>
        <w:jc w:val="left"/>
        <w:rPr>
          <w:rFonts w:eastAsia="方正仿宋_GBK" w:cs="方正仿宋_GBK"/>
          <w:b/>
          <w:bCs/>
          <w:sz w:val="32"/>
          <w:szCs w:val="32"/>
        </w:rPr>
      </w:pPr>
    </w:p>
    <w:p>
      <w:pPr>
        <w:autoSpaceDE w:val="0"/>
        <w:autoSpaceDN w:val="0"/>
        <w:adjustRightInd w:val="0"/>
        <w:ind w:firstLine="472" w:firstLineChars="147"/>
        <w:jc w:val="left"/>
        <w:rPr>
          <w:rFonts w:eastAsia="方正仿宋_GBK" w:cs="方正仿宋_GBK"/>
          <w:b/>
          <w:bCs/>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rPr>
          <w:rFonts w:ascii="方正楷体简体" w:hAnsi="方正楷体简体" w:eastAsia="方正楷体简体" w:cs="方正楷体简体"/>
          <w:sz w:val="32"/>
          <w:szCs w:val="32"/>
        </w:rPr>
      </w:pP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1、文化路社区工作经费（文化路街道办）项目绩效目标表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1709"/>
        <w:gridCol w:w="1521"/>
        <w:gridCol w:w="3686"/>
        <w:gridCol w:w="442"/>
        <w:gridCol w:w="1895"/>
        <w:gridCol w:w="409"/>
        <w:gridCol w:w="593"/>
        <w:gridCol w:w="1527"/>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2480" w:type="pct"/>
            <w:gridSpan w:val="4"/>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13028121DCK58E9XTS8MG</w:t>
            </w:r>
          </w:p>
        </w:tc>
        <w:tc>
          <w:tcPr>
            <w:tcW w:w="639"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1491" w:type="pct"/>
            <w:gridSpan w:val="4"/>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文化路街道社区工作经费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70" w:type="pct"/>
            <w:gridSpan w:val="5"/>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2130" w:type="pct"/>
            <w:gridSpan w:val="5"/>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89"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4611" w:type="pct"/>
            <w:gridSpan w:val="9"/>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预算数90.2万元。其中：财政资金90.2万元，其他资金0万元。用于21个居委会办公开支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1089" w:type="pct"/>
            <w:gridSpan w:val="2"/>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1243"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124" w:type="pct"/>
            <w:gridSpan w:val="4"/>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1154" w:type="pct"/>
            <w:gridSpan w:val="2"/>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089" w:type="pct"/>
            <w:gridSpan w:val="2"/>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1243"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1124" w:type="pct"/>
            <w:gridSpan w:val="4"/>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1154" w:type="pct"/>
            <w:gridSpan w:val="2"/>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4034" w:type="pct"/>
            <w:gridSpan w:val="8"/>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严格按照各项办公经费管理办法，保障单位位各项公用经费及时、顺畅报销。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4034" w:type="pct"/>
            <w:gridSpan w:val="8"/>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加强预算监督，提高资金使用效益，保障单位工作顺利开展。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034" w:type="pct"/>
            <w:gridSpan w:val="8"/>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576"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513"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1391" w:type="pct"/>
            <w:gridSpan w:val="2"/>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63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853" w:type="pct"/>
            <w:gridSpan w:val="3"/>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63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13"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391" w:type="pct"/>
            <w:gridSpan w:val="2"/>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63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38"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200"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515"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63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576"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513"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1391" w:type="pct"/>
            <w:gridSpan w:val="2"/>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单位经费保障人数</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tcPr>
          <w:p>
            <w:pPr>
              <w:widowControl/>
              <w:ind w:right="270"/>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21</w:t>
            </w:r>
          </w:p>
        </w:tc>
        <w:tc>
          <w:tcPr>
            <w:tcW w:w="515"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21个居委会</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513"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审核金额</w:t>
            </w:r>
          </w:p>
        </w:tc>
        <w:tc>
          <w:tcPr>
            <w:tcW w:w="1391" w:type="pct"/>
            <w:gridSpan w:val="2"/>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按照办公经费管理办法审核经费开支</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40.00</w:t>
            </w:r>
          </w:p>
        </w:tc>
        <w:tc>
          <w:tcPr>
            <w:tcW w:w="515"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项目安排经费</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办公用品质量</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把关采购办公用品质优价廉</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经费使用情况</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按照审批程序及时报销公用经费、不拖延</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公用经费节约率</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率节约率=（预算金额-报销金额）/预算金额</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经费实际成本</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576"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513"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1391" w:type="pct"/>
            <w:gridSpan w:val="2"/>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提高办公效率</w:t>
            </w:r>
          </w:p>
        </w:tc>
        <w:tc>
          <w:tcPr>
            <w:tcW w:w="63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践行厉行节约</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经费使用效率整体提高</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提升公共服务水平</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保障机关运转对公共服务水平提升情况</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推动社区工作开展</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工作环境改善程度</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购买办公用品、专用材料等对工作环境的改善程度</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改善办公环境</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576"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513"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1391" w:type="pct"/>
            <w:gridSpan w:val="2"/>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受益人口满意度提高</w:t>
            </w:r>
          </w:p>
        </w:tc>
        <w:tc>
          <w:tcPr>
            <w:tcW w:w="63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513"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391" w:type="pct"/>
            <w:gridSpan w:val="2"/>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39"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38"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200" w:type="pct"/>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515"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39"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76"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513"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391" w:type="pct"/>
            <w:gridSpan w:val="2"/>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39"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38"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200" w:type="pct"/>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515"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39"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bl>
    <w:p>
      <w:pPr>
        <w:spacing w:line="580" w:lineRule="exact"/>
        <w:rPr>
          <w:rFonts w:ascii="方正仿宋简体" w:hAnsi="方正仿宋简体" w:eastAsia="方正仿宋简体" w:cs="方正仿宋简体"/>
          <w:sz w:val="32"/>
          <w:szCs w:val="32"/>
        </w:rPr>
      </w:pPr>
    </w:p>
    <w:p>
      <w:pPr>
        <w:spacing w:line="5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2、文化路街道日常维稳及宣传费用（文化路街道办）项目绩效目标表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3"/>
        <w:gridCol w:w="1567"/>
        <w:gridCol w:w="1573"/>
        <w:gridCol w:w="3799"/>
        <w:gridCol w:w="1880"/>
        <w:gridCol w:w="566"/>
        <w:gridCol w:w="549"/>
        <w:gridCol w:w="156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2339" w:type="pct"/>
            <w:gridSpan w:val="3"/>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13028121QGQD9O2KZGG40</w:t>
            </w:r>
          </w:p>
        </w:tc>
        <w:tc>
          <w:tcPr>
            <w:tcW w:w="634"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1667" w:type="pct"/>
            <w:gridSpan w:val="4"/>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文化路街道日常维稳及宣传费用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697" w:type="pct"/>
            <w:gridSpan w:val="4"/>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2302" w:type="pct"/>
            <w:gridSpan w:val="5"/>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58"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4641" w:type="pct"/>
            <w:gridSpan w:val="8"/>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预算数20万元。其中：财政资金20万元，其他资金0万元。用于街道维稳宣传等开支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1058" w:type="pct"/>
            <w:gridSpan w:val="2"/>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1281"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010" w:type="pct"/>
            <w:gridSpan w:val="3"/>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1291" w:type="pct"/>
            <w:gridSpan w:val="2"/>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058" w:type="pct"/>
            <w:gridSpan w:val="2"/>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1281"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1010" w:type="pct"/>
            <w:gridSpan w:val="3"/>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1291" w:type="pct"/>
            <w:gridSpan w:val="2"/>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4113" w:type="pct"/>
            <w:gridSpan w:val="7"/>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严格按照各项办公经费管理办法，保障单位各项公用经费及时、顺畅报销。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4113" w:type="pct"/>
            <w:gridSpan w:val="7"/>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加强预算监督，提高资金使用效益，保障单位工作顺利开展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113" w:type="pct"/>
            <w:gridSpan w:val="7"/>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52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529"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1281"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634"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905" w:type="pct"/>
            <w:gridSpan w:val="3"/>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762"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9"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281"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634"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91"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184"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529"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762"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528"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52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1281"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保障单位发放工资福利及缴纳保险的人数</w:t>
            </w:r>
          </w:p>
        </w:tc>
        <w:tc>
          <w:tcPr>
            <w:tcW w:w="634"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51.00</w:t>
            </w:r>
          </w:p>
        </w:tc>
        <w:tc>
          <w:tcPr>
            <w:tcW w:w="52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762"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审核金额</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按照办公经费管理办法审核经费开支</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20.00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审核金额</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工资发放金额占全年金额的比例</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文字描述</w:t>
            </w:r>
          </w:p>
        </w:tc>
        <w:tc>
          <w:tcPr>
            <w:tcW w:w="184" w:type="pct"/>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restar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528"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52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1281"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634"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29"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762" w:type="pct"/>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节约经费开支</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践行厉行节约反对浪费制度体系建设</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节约经费开支</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提升公共服务水平</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保障机关运转对公共服务水平提升情况</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提升公共服务水平</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工作环境改善程度</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购买办公用品、专用材料等对工作环境的改善程度</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工作环境改善程度</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trPr>
        <w:tc>
          <w:tcPr>
            <w:tcW w:w="358" w:type="pct"/>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528"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128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634"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91"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184" w:type="pct"/>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29"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762" w:type="pct"/>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bl>
    <w:p>
      <w:pPr>
        <w:spacing w:line="580" w:lineRule="exact"/>
        <w:rPr>
          <w:rFonts w:eastAsia="方正仿宋_GBK"/>
          <w:sz w:val="28"/>
          <w:szCs w:val="28"/>
        </w:rPr>
      </w:pPr>
    </w:p>
    <w:p>
      <w:pPr>
        <w:spacing w:line="580" w:lineRule="exact"/>
        <w:rPr>
          <w:rFonts w:eastAsia="方正仿宋_GBK"/>
          <w:sz w:val="28"/>
          <w:szCs w:val="28"/>
        </w:rPr>
      </w:pPr>
    </w:p>
    <w:p>
      <w:pPr>
        <w:spacing w:line="580" w:lineRule="exact"/>
        <w:jc w:val="center"/>
        <w:rPr>
          <w:rFonts w:eastAsia="方正仿宋_GBK"/>
          <w:sz w:val="32"/>
          <w:szCs w:val="32"/>
        </w:rPr>
      </w:pP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3、军转家属生活补助及保险资金绩效目标表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05"/>
        <w:gridCol w:w="1486"/>
        <w:gridCol w:w="2020"/>
        <w:gridCol w:w="409"/>
        <w:gridCol w:w="2862"/>
        <w:gridCol w:w="273"/>
        <w:gridCol w:w="1907"/>
        <w:gridCol w:w="406"/>
        <w:gridCol w:w="303"/>
        <w:gridCol w:w="380"/>
        <w:gridCol w:w="810"/>
        <w:gridCol w:w="1100"/>
        <w:gridCol w:w="18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tcBorders>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2377" w:type="pct"/>
            <w:gridSpan w:val="5"/>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13028121ZPBDGBGQ3K0XO</w:t>
            </w:r>
          </w:p>
        </w:tc>
        <w:tc>
          <w:tcPr>
            <w:tcW w:w="882" w:type="pct"/>
            <w:gridSpan w:val="3"/>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1402" w:type="pct"/>
            <w:gridSpan w:val="4"/>
            <w:tcBorders>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军转家属生活补助及保险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2716" w:type="pct"/>
            <w:gridSpan w:val="6"/>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2284" w:type="pct"/>
            <w:gridSpan w:val="7"/>
            <w:tcBorders>
              <w:top w:val="single" w:color="auto" w:sz="4" w:space="0"/>
              <w:left w:val="single" w:color="auto" w:sz="4" w:space="0"/>
              <w:bottom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339" w:type="pc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4661" w:type="pct"/>
            <w:gridSpan w:val="12"/>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预算数26.3万元。其中：财政资金26.3万元，其他资金0万元。用于3名军属工资及各项保险补贴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1320"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105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283"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1001" w:type="pct"/>
            <w:gridSpan w:val="2"/>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7"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073"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326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3959"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3089" w:type="dxa"/>
            <w:gridSpan w:val="2"/>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军属人员工资津贴补贴发放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军属人员各项保险缴纳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50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68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1103"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735"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1011"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630" w:type="pct"/>
            <w:vMerge w:val="restar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68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103"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735"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630" w:type="pct"/>
            <w:vMerge w:val="continue"/>
            <w:tcBorders>
              <w:top w:val="single" w:color="auto" w:sz="4" w:space="0"/>
              <w:left w:val="single" w:color="auto" w:sz="4" w:space="0"/>
              <w:bottom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3"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保障单位发放工资福利及缴纳保险的人数</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630" w:type="pct"/>
            <w:tcBorders>
              <w:top w:val="single" w:color="auto" w:sz="4" w:space="0"/>
              <w:left w:val="single" w:color="auto" w:sz="4" w:space="0"/>
              <w:bottom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全体人员年底考核合格率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单位人员年底考核合格率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全体人员年底考核合格率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工资发放金额占全年金额的比例</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文字描述</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630" w:type="pct"/>
            <w:tcBorders>
              <w:top w:val="single" w:color="auto" w:sz="4" w:space="0"/>
              <w:left w:val="single" w:color="auto" w:sz="4" w:space="0"/>
              <w:bottom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协调劳资关系</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提高职工工作积极性和劳动生产率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协调劳资关系</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环保意识增强</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环保意识明显提高（如减少开车次数、单位可自行增加相关指标）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环保意识增强</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单位人员满意度</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走访调查或以问卷形式征求满意度</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单位人员满意度</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bl>
    <w:p>
      <w:pPr>
        <w:spacing w:line="5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15"/>
          <w:szCs w:val="15"/>
        </w:rPr>
        <w:br w:type="page"/>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4、文化路社区党组织服务群众专项经费（文化路街道办）项目绩效目标表</w:t>
      </w:r>
    </w:p>
    <w:tbl>
      <w:tblPr>
        <w:tblStyle w:val="12"/>
        <w:tblW w:w="5000" w:type="pct"/>
        <w:tblInd w:w="0" w:type="dxa"/>
        <w:tblLayout w:type="fixed"/>
        <w:tblCellMar>
          <w:top w:w="0" w:type="dxa"/>
          <w:left w:w="0" w:type="dxa"/>
          <w:bottom w:w="0" w:type="dxa"/>
          <w:right w:w="0" w:type="dxa"/>
        </w:tblCellMar>
      </w:tblPr>
      <w:tblGrid>
        <w:gridCol w:w="980"/>
        <w:gridCol w:w="1069"/>
        <w:gridCol w:w="2145"/>
        <w:gridCol w:w="4930"/>
        <w:gridCol w:w="2311"/>
        <w:gridCol w:w="404"/>
        <w:gridCol w:w="675"/>
        <w:gridCol w:w="272"/>
        <w:gridCol w:w="456"/>
        <w:gridCol w:w="1170"/>
        <w:gridCol w:w="367"/>
        <w:gridCol w:w="50"/>
      </w:tblGrid>
      <w:tr>
        <w:tblPrEx>
          <w:tblCellMar>
            <w:top w:w="0" w:type="dxa"/>
            <w:left w:w="0" w:type="dxa"/>
            <w:bottom w:w="0" w:type="dxa"/>
            <w:right w:w="0" w:type="dxa"/>
          </w:tblCellMar>
        </w:tblPrEx>
        <w:trPr>
          <w:trHeight w:val="3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275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13028121IOW1ZV5RMUCSI</w:t>
            </w:r>
          </w:p>
        </w:tc>
        <w:tc>
          <w:tcPr>
            <w:tcW w:w="5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1373"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文化路社区党组织服务群众专项经费</w:t>
            </w:r>
          </w:p>
        </w:tc>
      </w:tr>
      <w:tr>
        <w:tblPrEx>
          <w:tblCellMar>
            <w:top w:w="0" w:type="dxa"/>
            <w:left w:w="0" w:type="dxa"/>
            <w:bottom w:w="0" w:type="dxa"/>
            <w:right w:w="0" w:type="dxa"/>
          </w:tblCellMar>
        </w:tblPrEx>
        <w:trPr>
          <w:trHeight w:val="300" w:hRule="atLeast"/>
        </w:trPr>
        <w:tc>
          <w:tcPr>
            <w:tcW w:w="3083"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1917" w:type="pct"/>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6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4668" w:type="pct"/>
            <w:gridSpan w:val="11"/>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预算数334万元。其中财政资金334万元，其他资金0万元。用于保洁人员及招聘人员的工资及保险</w:t>
            </w: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108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120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396"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979"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35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31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4878"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3021"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4306" w:type="pct"/>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街道保洁人员工资及保险</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4306" w:type="pct"/>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街道招聘人员工资及保险</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306" w:type="pct"/>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36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7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111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78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1147"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54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7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11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78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32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68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54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保障单位发放工资福利及缴纳保险的人数</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全体人员年底考核合格率</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单位人员年底考核合格率</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全体人员年底考核合格率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工资发放金额占全年金额的比例</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工资费用发放及时率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ind w:right="90"/>
              <w:jc w:val="righ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100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预算资金完成率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443"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协调劳资关系</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严格执行年初预算，有效防止超预算提高职工工作积极性和劳动生产率</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协调劳资关系</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ind w:right="360"/>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促进社会和谐稳定</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环保意识明显提高</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提高职工工作积极性和劳动生产率环保意识明显提高</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环保意识明显提高</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单位人员满意度</w:t>
            </w:r>
          </w:p>
        </w:tc>
        <w:tc>
          <w:tcPr>
            <w:tcW w:w="111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走访调查或以问卷形式征求满意度</w:t>
            </w:r>
          </w:p>
        </w:tc>
        <w:tc>
          <w:tcPr>
            <w:tcW w:w="7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单位人员满意度</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bl>
    <w:p>
      <w:pPr>
        <w:spacing w:line="580" w:lineRule="exact"/>
        <w:jc w:val="center"/>
        <w:rPr>
          <w:rFonts w:ascii="方正仿宋简体" w:hAnsi="方正仿宋简体" w:eastAsia="方正仿宋简体" w:cs="方正仿宋简体"/>
          <w:sz w:val="32"/>
          <w:szCs w:val="32"/>
        </w:rPr>
      </w:pP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5、文化路街道居委会办公用房装修资金（文化路街道办）项目绩效目标表</w:t>
      </w:r>
    </w:p>
    <w:tbl>
      <w:tblPr>
        <w:tblStyle w:val="12"/>
        <w:tblW w:w="5000" w:type="pct"/>
        <w:tblInd w:w="0" w:type="dxa"/>
        <w:tblLayout w:type="fixed"/>
        <w:tblCellMar>
          <w:top w:w="0" w:type="dxa"/>
          <w:left w:w="0" w:type="dxa"/>
          <w:bottom w:w="0" w:type="dxa"/>
          <w:right w:w="0" w:type="dxa"/>
        </w:tblCellMar>
      </w:tblPr>
      <w:tblGrid>
        <w:gridCol w:w="964"/>
        <w:gridCol w:w="1424"/>
        <w:gridCol w:w="1266"/>
        <w:gridCol w:w="175"/>
        <w:gridCol w:w="3681"/>
        <w:gridCol w:w="264"/>
        <w:gridCol w:w="1779"/>
        <w:gridCol w:w="18"/>
        <w:gridCol w:w="528"/>
        <w:gridCol w:w="679"/>
        <w:gridCol w:w="371"/>
        <w:gridCol w:w="836"/>
        <w:gridCol w:w="566"/>
        <w:gridCol w:w="2278"/>
      </w:tblGrid>
      <w:tr>
        <w:tblPrEx>
          <w:tblCellMar>
            <w:top w:w="0" w:type="dxa"/>
            <w:left w:w="0" w:type="dxa"/>
            <w:bottom w:w="0" w:type="dxa"/>
            <w:right w:w="0" w:type="dxa"/>
          </w:tblCellMar>
        </w:tblPrEx>
        <w:trPr>
          <w:trHeight w:val="300" w:hRule="atLeast"/>
        </w:trPr>
        <w:tc>
          <w:tcPr>
            <w:tcW w:w="3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2902"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13028121KUF5YW1T237RG</w:t>
            </w:r>
          </w:p>
        </w:tc>
        <w:tc>
          <w:tcPr>
            <w:tcW w:w="532"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124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文化路街道居委会办公用房装修资金</w:t>
            </w:r>
          </w:p>
        </w:tc>
      </w:tr>
      <w:tr>
        <w:tblPrEx>
          <w:tblCellMar>
            <w:top w:w="0" w:type="dxa"/>
            <w:left w:w="0" w:type="dxa"/>
            <w:bottom w:w="0" w:type="dxa"/>
            <w:right w:w="0" w:type="dxa"/>
          </w:tblCellMar>
        </w:tblPrEx>
        <w:trPr>
          <w:trHeight w:val="300" w:hRule="atLeast"/>
        </w:trPr>
        <w:tc>
          <w:tcPr>
            <w:tcW w:w="3227" w:type="pct"/>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1773"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600" w:hRule="atLeast"/>
        </w:trPr>
        <w:tc>
          <w:tcPr>
            <w:tcW w:w="3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4675" w:type="pct"/>
            <w:gridSpan w:val="1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预算数82.80万元。其中财政资金82.80万元，其他资金0万元。21个居委会办公用房装修资金</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90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1389"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420"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95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2799"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4286"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4382"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2959"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严格按照各项办公经费管理办法，保障单位位各项公用经费及时、顺畅报销。</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加强预算监督，提高资金使用效益，保障单位工作顺利开展。</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480"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486"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124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689"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1011"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768"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6"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24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689"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768"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单位经费保障人数</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保障人数</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审核金额</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按照办公经费管理办法审核经费开支</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258.00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审核金额</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办公用品质量</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把关采购办公用品质优价廉</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办公用品质量</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按照审批程序及时报销公用经费、不拖延</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费用报销及时性</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公用经费节约率</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率节约率=（预算金额-报销金额）/预算金额</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公用经费节约率</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严格执行年初预算，有效防止超预算</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年初预算执行情况</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节约经费开支</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践行厉行节约反对浪费制度体系建设</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节约经费开支</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提升公共服务水平</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保障机关运转对公共服务水平提升情况</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提升公共服务水平</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工作环境改善程度</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践行厉行节约反对浪费制度体系建设购买办公用品、专用材料等对工作环境的改善程度</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工作环境改善程度</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群众满意度</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方正仿宋简体" w:hAnsi="方正仿宋简体" w:eastAsia="方正仿宋简体" w:cs="方正仿宋简体"/>
                <w:color w:val="000000"/>
                <w:sz w:val="18"/>
                <w:szCs w:val="18"/>
              </w:rPr>
            </w:pP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方正仿宋简体" w:hAnsi="方正仿宋简体" w:eastAsia="方正仿宋简体" w:cs="方正仿宋简体"/>
                <w:color w:val="000000"/>
                <w:sz w:val="18"/>
                <w:szCs w:val="18"/>
              </w:rPr>
            </w:pPr>
          </w:p>
        </w:tc>
      </w:tr>
    </w:tbl>
    <w:p>
      <w:pPr>
        <w:spacing w:line="560" w:lineRule="exact"/>
        <w:rPr>
          <w:rFonts w:ascii="黑体" w:hAnsi="黑体" w:eastAsia="黑体" w:cs="黑体"/>
          <w:bCs/>
          <w:sz w:val="32"/>
          <w:szCs w:val="32"/>
        </w:rPr>
      </w:pPr>
    </w:p>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spacing w:line="560" w:lineRule="exact"/>
        <w:ind w:firstLine="899" w:firstLineChars="28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政府采购预算安排4.05万元 ，其中车辆设备维修和保险服务3万元，保险服务1.05万元，比2021年增加0.7万元，原因为增加两辆执法用车维修费用。</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p>
      <w:pPr>
        <w:spacing w:line="560" w:lineRule="exact"/>
        <w:ind w:firstLine="899" w:firstLineChars="281"/>
        <w:rPr>
          <w:rFonts w:ascii="方正仿宋简体" w:hAnsi="方正仿宋简体" w:eastAsia="方正仿宋简体" w:cs="方正仿宋简体"/>
          <w:sz w:val="32"/>
          <w:szCs w:val="32"/>
        </w:rPr>
      </w:pPr>
    </w:p>
    <w:tbl>
      <w:tblPr>
        <w:tblStyle w:val="12"/>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77"/>
        <w:gridCol w:w="846"/>
        <w:gridCol w:w="1951"/>
        <w:gridCol w:w="1478"/>
        <w:gridCol w:w="1005"/>
        <w:gridCol w:w="532"/>
        <w:gridCol w:w="532"/>
        <w:gridCol w:w="532"/>
        <w:gridCol w:w="532"/>
        <w:gridCol w:w="1478"/>
        <w:gridCol w:w="1163"/>
        <w:gridCol w:w="1163"/>
        <w:gridCol w:w="1163"/>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42" w:type="pct"/>
            <w:gridSpan w:val="7"/>
            <w:tcBorders>
              <w:top w:val="single" w:color="FFFFFF" w:sz="6" w:space="0"/>
              <w:left w:val="single" w:color="FFFFFF" w:sz="6" w:space="0"/>
              <w:right w:val="single" w:color="FFFFFF" w:sz="6" w:space="0"/>
            </w:tcBorders>
            <w:noWrap/>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151遵化市文化路街道</w:t>
            </w:r>
          </w:p>
        </w:tc>
        <w:tc>
          <w:tcPr>
            <w:tcW w:w="1757" w:type="pct"/>
            <w:gridSpan w:val="7"/>
            <w:tcBorders>
              <w:top w:val="single" w:color="FFFFFF" w:sz="6" w:space="0"/>
              <w:left w:val="single" w:color="FFFFFF" w:sz="6" w:space="0"/>
              <w:right w:val="single" w:color="FFFFFF" w:sz="6" w:space="0"/>
            </w:tcBorders>
            <w:noWrap/>
            <w:vAlign w:val="center"/>
          </w:tcPr>
          <w:p>
            <w:pPr>
              <w:spacing w:line="300" w:lineRule="exact"/>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21" w:type="pct"/>
            <w:gridSpan w:val="2"/>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893"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345"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278"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数量  单位</w:t>
            </w:r>
          </w:p>
        </w:tc>
        <w:tc>
          <w:tcPr>
            <w:tcW w:w="322"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280"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1757" w:type="pct"/>
            <w:gridSpan w:val="7"/>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8"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92"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预算资金</w:t>
            </w:r>
          </w:p>
        </w:tc>
        <w:tc>
          <w:tcPr>
            <w:tcW w:w="893"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45"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278"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22"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280"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56"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总计</w:t>
            </w:r>
          </w:p>
        </w:tc>
        <w:tc>
          <w:tcPr>
            <w:tcW w:w="1240" w:type="pct"/>
            <w:gridSpan w:val="5"/>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当年部门预算安排资金</w:t>
            </w:r>
          </w:p>
        </w:tc>
        <w:tc>
          <w:tcPr>
            <w:tcW w:w="161" w:type="pct"/>
            <w:vMerge w:val="restar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8"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292"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893"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45"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278"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22"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280"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56" w:type="pct"/>
            <w:vMerge w:val="continue"/>
            <w:noWrap/>
            <w:vAlign w:val="center"/>
          </w:tcPr>
          <w:p>
            <w:pPr>
              <w:spacing w:line="300" w:lineRule="exact"/>
              <w:jc w:val="left"/>
              <w:outlineLvl w:val="0"/>
              <w:rPr>
                <w:rFonts w:ascii="方正仿宋简体" w:hAnsi="方正仿宋简体" w:eastAsia="方正仿宋简体" w:cs="方正仿宋简体"/>
              </w:rPr>
            </w:pPr>
          </w:p>
        </w:tc>
        <w:tc>
          <w:tcPr>
            <w:tcW w:w="322"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334"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222"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159"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201"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其他来源收入</w:t>
            </w:r>
          </w:p>
        </w:tc>
        <w:tc>
          <w:tcPr>
            <w:tcW w:w="161" w:type="pct"/>
            <w:vMerge w:val="continue"/>
            <w:noWrap/>
            <w:vAlign w:val="center"/>
          </w:tcPr>
          <w:p>
            <w:pPr>
              <w:spacing w:line="300" w:lineRule="exact"/>
              <w:jc w:val="left"/>
              <w:outlineLvl w:val="0"/>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8"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29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893" w:type="pct"/>
            <w:noWrap/>
            <w:vAlign w:val="center"/>
          </w:tcPr>
          <w:p>
            <w:pPr>
              <w:spacing w:line="300" w:lineRule="exact"/>
              <w:jc w:val="left"/>
              <w:rPr>
                <w:rFonts w:ascii="方正仿宋简体" w:hAnsi="方正仿宋简体" w:eastAsia="方正仿宋简体" w:cs="方正仿宋简体"/>
              </w:rPr>
            </w:pPr>
          </w:p>
        </w:tc>
        <w:tc>
          <w:tcPr>
            <w:tcW w:w="345" w:type="pct"/>
            <w:noWrap/>
            <w:vAlign w:val="center"/>
          </w:tcPr>
          <w:p>
            <w:pPr>
              <w:spacing w:line="300" w:lineRule="exact"/>
              <w:jc w:val="left"/>
              <w:rPr>
                <w:rFonts w:ascii="方正仿宋简体" w:hAnsi="方正仿宋简体" w:eastAsia="方正仿宋简体" w:cs="方正仿宋简体"/>
              </w:rPr>
            </w:pPr>
          </w:p>
        </w:tc>
        <w:tc>
          <w:tcPr>
            <w:tcW w:w="278" w:type="pct"/>
            <w:noWrap/>
            <w:vAlign w:val="center"/>
          </w:tcPr>
          <w:p>
            <w:pPr>
              <w:spacing w:line="300" w:lineRule="exact"/>
              <w:jc w:val="left"/>
              <w:rPr>
                <w:rFonts w:ascii="方正仿宋简体" w:hAnsi="方正仿宋简体" w:eastAsia="方正仿宋简体" w:cs="方正仿宋简体"/>
              </w:rPr>
            </w:pPr>
          </w:p>
        </w:tc>
        <w:tc>
          <w:tcPr>
            <w:tcW w:w="322" w:type="pct"/>
            <w:noWrap/>
            <w:vAlign w:val="center"/>
          </w:tcPr>
          <w:p>
            <w:pPr>
              <w:spacing w:line="300" w:lineRule="exact"/>
              <w:jc w:val="right"/>
              <w:rPr>
                <w:rFonts w:ascii="方正仿宋简体" w:hAnsi="方正仿宋简体" w:eastAsia="方正仿宋简体" w:cs="方正仿宋简体"/>
              </w:rPr>
            </w:pPr>
          </w:p>
        </w:tc>
        <w:tc>
          <w:tcPr>
            <w:tcW w:w="280" w:type="pct"/>
            <w:noWrap/>
            <w:vAlign w:val="center"/>
          </w:tcPr>
          <w:p>
            <w:pPr>
              <w:spacing w:line="300" w:lineRule="exact"/>
              <w:jc w:val="right"/>
              <w:rPr>
                <w:rFonts w:ascii="方正仿宋简体" w:hAnsi="方正仿宋简体" w:eastAsia="方正仿宋简体" w:cs="方正仿宋简体"/>
              </w:rPr>
            </w:pPr>
          </w:p>
        </w:tc>
        <w:tc>
          <w:tcPr>
            <w:tcW w:w="356"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322"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334"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22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0</w:t>
            </w:r>
          </w:p>
        </w:tc>
        <w:tc>
          <w:tcPr>
            <w:tcW w:w="159"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0</w:t>
            </w:r>
          </w:p>
        </w:tc>
        <w:tc>
          <w:tcPr>
            <w:tcW w:w="201"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0</w:t>
            </w:r>
          </w:p>
        </w:tc>
        <w:tc>
          <w:tcPr>
            <w:tcW w:w="161" w:type="pct"/>
            <w:noWrap/>
            <w:vAlign w:val="center"/>
          </w:tcPr>
          <w:p>
            <w:pPr>
              <w:spacing w:line="300" w:lineRule="exact"/>
              <w:jc w:val="right"/>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8"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遵化市文化路街道</w:t>
            </w:r>
          </w:p>
        </w:tc>
        <w:tc>
          <w:tcPr>
            <w:tcW w:w="292" w:type="pct"/>
            <w:noWrap/>
            <w:vAlign w:val="center"/>
          </w:tcPr>
          <w:p>
            <w:pPr>
              <w:spacing w:line="300" w:lineRule="exact"/>
              <w:jc w:val="right"/>
              <w:rPr>
                <w:rFonts w:ascii="方正仿宋简体" w:hAnsi="方正仿宋简体" w:eastAsia="方正仿宋简体" w:cs="方正仿宋简体"/>
              </w:rPr>
            </w:pPr>
          </w:p>
        </w:tc>
        <w:tc>
          <w:tcPr>
            <w:tcW w:w="893" w:type="pct"/>
            <w:noWrap/>
            <w:vAlign w:val="center"/>
          </w:tcPr>
          <w:p>
            <w:pPr>
              <w:spacing w:line="300" w:lineRule="exact"/>
              <w:jc w:val="left"/>
              <w:rPr>
                <w:rFonts w:ascii="方正仿宋简体" w:hAnsi="方正仿宋简体" w:eastAsia="方正仿宋简体" w:cs="方正仿宋简体"/>
              </w:rPr>
            </w:pPr>
          </w:p>
        </w:tc>
        <w:tc>
          <w:tcPr>
            <w:tcW w:w="345" w:type="pct"/>
            <w:noWrap/>
            <w:vAlign w:val="center"/>
          </w:tcPr>
          <w:p>
            <w:pPr>
              <w:spacing w:line="300" w:lineRule="exact"/>
              <w:jc w:val="left"/>
              <w:rPr>
                <w:rFonts w:ascii="方正仿宋简体" w:hAnsi="方正仿宋简体" w:eastAsia="方正仿宋简体" w:cs="方正仿宋简体"/>
              </w:rPr>
            </w:pPr>
          </w:p>
        </w:tc>
        <w:tc>
          <w:tcPr>
            <w:tcW w:w="278" w:type="pct"/>
            <w:noWrap/>
            <w:vAlign w:val="center"/>
          </w:tcPr>
          <w:p>
            <w:pPr>
              <w:spacing w:line="300" w:lineRule="exact"/>
              <w:jc w:val="left"/>
              <w:rPr>
                <w:rFonts w:ascii="方正仿宋简体" w:hAnsi="方正仿宋简体" w:eastAsia="方正仿宋简体" w:cs="方正仿宋简体"/>
              </w:rPr>
            </w:pPr>
          </w:p>
        </w:tc>
        <w:tc>
          <w:tcPr>
            <w:tcW w:w="322" w:type="pct"/>
            <w:noWrap/>
            <w:vAlign w:val="center"/>
          </w:tcPr>
          <w:p>
            <w:pPr>
              <w:spacing w:line="300" w:lineRule="exact"/>
              <w:jc w:val="right"/>
              <w:rPr>
                <w:rFonts w:ascii="方正仿宋简体" w:hAnsi="方正仿宋简体" w:eastAsia="方正仿宋简体" w:cs="方正仿宋简体"/>
              </w:rPr>
            </w:pPr>
          </w:p>
        </w:tc>
        <w:tc>
          <w:tcPr>
            <w:tcW w:w="280" w:type="pct"/>
            <w:noWrap/>
            <w:vAlign w:val="center"/>
          </w:tcPr>
          <w:p>
            <w:pPr>
              <w:spacing w:line="300" w:lineRule="exact"/>
              <w:jc w:val="right"/>
              <w:rPr>
                <w:rFonts w:ascii="方正仿宋简体" w:hAnsi="方正仿宋简体" w:eastAsia="方正仿宋简体" w:cs="方正仿宋简体"/>
              </w:rPr>
            </w:pPr>
          </w:p>
        </w:tc>
        <w:tc>
          <w:tcPr>
            <w:tcW w:w="356"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322"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334"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4.05</w:t>
            </w:r>
          </w:p>
        </w:tc>
        <w:tc>
          <w:tcPr>
            <w:tcW w:w="222" w:type="pct"/>
            <w:noWrap/>
            <w:vAlign w:val="center"/>
          </w:tcPr>
          <w:p>
            <w:pPr>
              <w:spacing w:line="300" w:lineRule="exact"/>
              <w:jc w:val="right"/>
              <w:rPr>
                <w:rFonts w:ascii="方正仿宋简体" w:hAnsi="方正仿宋简体" w:eastAsia="方正仿宋简体" w:cs="方正仿宋简体"/>
              </w:rPr>
            </w:pPr>
          </w:p>
        </w:tc>
        <w:tc>
          <w:tcPr>
            <w:tcW w:w="159" w:type="pct"/>
            <w:noWrap/>
            <w:vAlign w:val="center"/>
          </w:tcPr>
          <w:p>
            <w:pPr>
              <w:spacing w:line="300" w:lineRule="exact"/>
              <w:jc w:val="right"/>
              <w:rPr>
                <w:rFonts w:ascii="方正仿宋简体" w:hAnsi="方正仿宋简体" w:eastAsia="方正仿宋简体" w:cs="方正仿宋简体"/>
              </w:rPr>
            </w:pPr>
          </w:p>
        </w:tc>
        <w:tc>
          <w:tcPr>
            <w:tcW w:w="201" w:type="pct"/>
            <w:noWrap/>
            <w:vAlign w:val="center"/>
          </w:tcPr>
          <w:p>
            <w:pPr>
              <w:spacing w:line="300" w:lineRule="exact"/>
              <w:jc w:val="right"/>
              <w:rPr>
                <w:rFonts w:ascii="方正仿宋简体" w:hAnsi="方正仿宋简体" w:eastAsia="方正仿宋简体" w:cs="方正仿宋简体"/>
              </w:rPr>
            </w:pPr>
          </w:p>
        </w:tc>
        <w:tc>
          <w:tcPr>
            <w:tcW w:w="161" w:type="pct"/>
            <w:noWrap/>
            <w:vAlign w:val="center"/>
          </w:tcPr>
          <w:p>
            <w:pPr>
              <w:spacing w:line="300" w:lineRule="exact"/>
              <w:jc w:val="right"/>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8" w:type="pct"/>
            <w:noWrap/>
            <w:vAlign w:val="center"/>
          </w:tcPr>
          <w:p>
            <w:pPr>
              <w:spacing w:line="300" w:lineRule="exact"/>
              <w:jc w:val="lef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rPr>
              <w:t>汽车维修费</w:t>
            </w:r>
          </w:p>
        </w:tc>
        <w:tc>
          <w:tcPr>
            <w:tcW w:w="29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893" w:type="pct"/>
            <w:noWrap/>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车辆设备维修和保养服务</w:t>
            </w:r>
          </w:p>
        </w:tc>
        <w:tc>
          <w:tcPr>
            <w:tcW w:w="345" w:type="pct"/>
            <w:noWrap/>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C0503</w:t>
            </w:r>
          </w:p>
        </w:tc>
        <w:tc>
          <w:tcPr>
            <w:tcW w:w="278" w:type="pct"/>
            <w:noWrap/>
            <w:vAlign w:val="center"/>
          </w:tcPr>
          <w:p>
            <w:pPr>
              <w:spacing w:line="300" w:lineRule="exact"/>
              <w:jc w:val="left"/>
              <w:rPr>
                <w:rFonts w:ascii="方正仿宋简体" w:hAnsi="方正仿宋简体" w:eastAsia="方正仿宋简体" w:cs="方正仿宋简体"/>
              </w:rPr>
            </w:pPr>
          </w:p>
        </w:tc>
        <w:tc>
          <w:tcPr>
            <w:tcW w:w="32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280" w:type="pct"/>
            <w:noWrap/>
          </w:tcPr>
          <w:p>
            <w:pPr>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56"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322"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334"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222" w:type="pct"/>
            <w:noWrap/>
            <w:vAlign w:val="center"/>
          </w:tcPr>
          <w:p>
            <w:pPr>
              <w:spacing w:line="300" w:lineRule="exact"/>
              <w:jc w:val="right"/>
              <w:rPr>
                <w:rFonts w:ascii="方正仿宋简体" w:hAnsi="方正仿宋简体" w:eastAsia="方正仿宋简体" w:cs="方正仿宋简体"/>
              </w:rPr>
            </w:pPr>
          </w:p>
        </w:tc>
        <w:tc>
          <w:tcPr>
            <w:tcW w:w="159" w:type="pct"/>
            <w:noWrap/>
            <w:vAlign w:val="center"/>
          </w:tcPr>
          <w:p>
            <w:pPr>
              <w:spacing w:line="300" w:lineRule="exact"/>
              <w:jc w:val="right"/>
              <w:rPr>
                <w:rFonts w:ascii="方正仿宋简体" w:hAnsi="方正仿宋简体" w:eastAsia="方正仿宋简体" w:cs="方正仿宋简体"/>
              </w:rPr>
            </w:pPr>
          </w:p>
        </w:tc>
        <w:tc>
          <w:tcPr>
            <w:tcW w:w="201" w:type="pct"/>
            <w:noWrap/>
            <w:vAlign w:val="center"/>
          </w:tcPr>
          <w:p>
            <w:pPr>
              <w:spacing w:line="300" w:lineRule="exact"/>
              <w:jc w:val="right"/>
              <w:rPr>
                <w:rFonts w:ascii="方正仿宋简体" w:hAnsi="方正仿宋简体" w:eastAsia="方正仿宋简体" w:cs="方正仿宋简体"/>
              </w:rPr>
            </w:pPr>
          </w:p>
        </w:tc>
        <w:tc>
          <w:tcPr>
            <w:tcW w:w="161" w:type="pct"/>
            <w:noWrap/>
            <w:vAlign w:val="center"/>
          </w:tcPr>
          <w:p>
            <w:pPr>
              <w:spacing w:line="300" w:lineRule="exact"/>
              <w:jc w:val="right"/>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8" w:type="pct"/>
            <w:noWrap/>
            <w:vAlign w:val="center"/>
          </w:tcPr>
          <w:p>
            <w:pPr>
              <w:spacing w:line="300" w:lineRule="exact"/>
              <w:jc w:val="lef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rPr>
              <w:t>汽车保险费</w:t>
            </w:r>
          </w:p>
        </w:tc>
        <w:tc>
          <w:tcPr>
            <w:tcW w:w="29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893" w:type="pct"/>
            <w:noWrap/>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保险费</w:t>
            </w:r>
          </w:p>
        </w:tc>
        <w:tc>
          <w:tcPr>
            <w:tcW w:w="345" w:type="pct"/>
            <w:noWrap/>
            <w:vAlign w:val="center"/>
          </w:tcPr>
          <w:p>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C1504</w:t>
            </w:r>
          </w:p>
        </w:tc>
        <w:tc>
          <w:tcPr>
            <w:tcW w:w="278" w:type="pct"/>
            <w:noWrap/>
            <w:vAlign w:val="center"/>
          </w:tcPr>
          <w:p>
            <w:pPr>
              <w:spacing w:line="300" w:lineRule="exact"/>
              <w:jc w:val="left"/>
              <w:rPr>
                <w:rFonts w:ascii="方正仿宋简体" w:hAnsi="方正仿宋简体" w:eastAsia="方正仿宋简体" w:cs="方正仿宋简体"/>
              </w:rPr>
            </w:pPr>
          </w:p>
        </w:tc>
        <w:tc>
          <w:tcPr>
            <w:tcW w:w="322"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280" w:type="pct"/>
            <w:noWrap/>
            <w:vAlign w:val="center"/>
          </w:tcPr>
          <w:p>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0.35</w:t>
            </w:r>
          </w:p>
        </w:tc>
        <w:tc>
          <w:tcPr>
            <w:tcW w:w="356" w:type="pct"/>
            <w:noWrap/>
            <w:vAlign w:val="center"/>
          </w:tcPr>
          <w:p>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322"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334" w:type="pct"/>
            <w:noWrap/>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222" w:type="pct"/>
            <w:noWrap/>
            <w:vAlign w:val="center"/>
          </w:tcPr>
          <w:p>
            <w:pPr>
              <w:spacing w:line="300" w:lineRule="exact"/>
              <w:jc w:val="right"/>
              <w:rPr>
                <w:rFonts w:ascii="方正仿宋简体" w:hAnsi="方正仿宋简体" w:eastAsia="方正仿宋简体" w:cs="方正仿宋简体"/>
              </w:rPr>
            </w:pPr>
          </w:p>
        </w:tc>
        <w:tc>
          <w:tcPr>
            <w:tcW w:w="159" w:type="pct"/>
            <w:noWrap/>
            <w:vAlign w:val="center"/>
          </w:tcPr>
          <w:p>
            <w:pPr>
              <w:spacing w:line="300" w:lineRule="exact"/>
              <w:jc w:val="right"/>
              <w:rPr>
                <w:rFonts w:ascii="方正仿宋简体" w:hAnsi="方正仿宋简体" w:eastAsia="方正仿宋简体" w:cs="方正仿宋简体"/>
              </w:rPr>
            </w:pPr>
          </w:p>
        </w:tc>
        <w:tc>
          <w:tcPr>
            <w:tcW w:w="201" w:type="pct"/>
            <w:noWrap/>
            <w:vAlign w:val="center"/>
          </w:tcPr>
          <w:p>
            <w:pPr>
              <w:spacing w:line="300" w:lineRule="exact"/>
              <w:jc w:val="right"/>
              <w:rPr>
                <w:rFonts w:ascii="方正仿宋简体" w:hAnsi="方正仿宋简体" w:eastAsia="方正仿宋简体" w:cs="方正仿宋简体"/>
              </w:rPr>
            </w:pPr>
          </w:p>
        </w:tc>
        <w:tc>
          <w:tcPr>
            <w:tcW w:w="161" w:type="pct"/>
            <w:noWrap/>
            <w:vAlign w:val="center"/>
          </w:tcPr>
          <w:p>
            <w:pPr>
              <w:spacing w:line="300" w:lineRule="exact"/>
              <w:jc w:val="right"/>
              <w:rPr>
                <w:rFonts w:ascii="方正仿宋简体" w:hAnsi="方正仿宋简体" w:eastAsia="方正仿宋简体" w:cs="方正仿宋简体"/>
              </w:rPr>
            </w:pPr>
          </w:p>
        </w:tc>
      </w:tr>
    </w:tbl>
    <w:p>
      <w:pPr>
        <w:tabs>
          <w:tab w:val="left" w:pos="7035"/>
        </w:tabs>
        <w:autoSpaceDE w:val="0"/>
        <w:autoSpaceDN w:val="0"/>
        <w:adjustRightInd w:val="0"/>
        <w:spacing w:line="560" w:lineRule="exact"/>
        <w:ind w:firstLine="899" w:firstLineChars="281"/>
        <w:jc w:val="left"/>
        <w:rPr>
          <w:rFonts w:ascii="黑体" w:hAnsi="黑体" w:eastAsia="黑体" w:cs="黑体"/>
          <w:sz w:val="32"/>
          <w:szCs w:val="32"/>
        </w:rPr>
      </w:pPr>
      <w:r>
        <w:rPr>
          <w:rFonts w:hint="eastAsia" w:ascii="黑体" w:hAnsi="黑体" w:eastAsia="黑体" w:cs="黑体"/>
          <w:sz w:val="32"/>
          <w:szCs w:val="32"/>
        </w:rPr>
        <w:t>七、国有资产信息情况</w:t>
      </w:r>
      <w:r>
        <w:rPr>
          <w:rFonts w:hint="eastAsia" w:ascii="黑体" w:hAnsi="黑体" w:eastAsia="黑体" w:cs="黑体"/>
          <w:sz w:val="32"/>
          <w:szCs w:val="32"/>
        </w:rPr>
        <w:tab/>
      </w:r>
    </w:p>
    <w:p>
      <w:pPr>
        <w:spacing w:line="560" w:lineRule="exact"/>
        <w:ind w:firstLine="912" w:firstLineChars="285"/>
        <w:rPr>
          <w:rFonts w:ascii="仿宋" w:hAnsi="仿宋" w:eastAsia="仿宋" w:cs="黑体"/>
          <w:sz w:val="32"/>
          <w:szCs w:val="32"/>
        </w:rPr>
      </w:pPr>
      <w:r>
        <w:rPr>
          <w:rFonts w:hint="eastAsia" w:ascii="仿宋" w:hAnsi="仿宋" w:eastAsia="仿宋" w:cs="黑体"/>
          <w:sz w:val="32"/>
          <w:szCs w:val="32"/>
        </w:rPr>
        <w:t>我单位上年末固定资产金额为267.92万元（详见下表）。</w:t>
      </w:r>
    </w:p>
    <w:p>
      <w:pPr>
        <w:spacing w:line="560" w:lineRule="exact"/>
        <w:ind w:firstLine="640"/>
        <w:rPr>
          <w:rFonts w:ascii="仿宋" w:hAnsi="仿宋" w:eastAsia="仿宋" w:cs="黑体"/>
          <w:sz w:val="32"/>
          <w:szCs w:val="32"/>
        </w:rPr>
      </w:pPr>
    </w:p>
    <w:tbl>
      <w:tblPr>
        <w:tblStyle w:val="12"/>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noWrap/>
            <w:vAlign w:val="center"/>
          </w:tcPr>
          <w:p>
            <w:pPr>
              <w:widowControl/>
              <w:spacing w:line="560" w:lineRule="exact"/>
              <w:ind w:left="218" w:leftChars="104" w:firstLine="231" w:firstLineChars="72"/>
              <w:jc w:val="center"/>
              <w:rPr>
                <w:rFonts w:ascii="仿宋" w:hAnsi="仿宋" w:eastAsia="仿宋" w:cs="黑体"/>
                <w:b/>
                <w:bCs/>
                <w:kern w:val="0"/>
                <w:sz w:val="32"/>
                <w:szCs w:val="32"/>
              </w:rPr>
            </w:pPr>
            <w:r>
              <w:rPr>
                <w:rFonts w:hint="eastAsia" w:ascii="仿宋" w:hAnsi="仿宋" w:eastAsia="仿宋" w:cs="黑体"/>
                <w:b/>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遵化市文化路街道办事处</w:t>
            </w:r>
          </w:p>
        </w:tc>
        <w:tc>
          <w:tcPr>
            <w:tcW w:w="5103" w:type="dxa"/>
            <w:tcBorders>
              <w:top w:val="nil"/>
              <w:left w:val="nil"/>
              <w:bottom w:val="nil"/>
              <w:right w:val="nil"/>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 w:hAnsi="仿宋" w:eastAsia="仿宋" w:cs="黑体"/>
                <w:b/>
                <w:bCs/>
                <w:kern w:val="0"/>
                <w:sz w:val="32"/>
                <w:szCs w:val="32"/>
              </w:rPr>
            </w:pPr>
            <w:r>
              <w:rPr>
                <w:rFonts w:hint="eastAsia" w:ascii="仿宋" w:hAnsi="仿宋" w:eastAsia="仿宋" w:cs="黑体"/>
                <w:b/>
                <w:bCs/>
                <w:kern w:val="0"/>
                <w:sz w:val="32"/>
                <w:szCs w:val="3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 w:hAnsi="仿宋" w:eastAsia="仿宋" w:cs="黑体"/>
                <w:b/>
                <w:bCs/>
                <w:kern w:val="0"/>
                <w:sz w:val="32"/>
                <w:szCs w:val="32"/>
              </w:rPr>
            </w:pPr>
            <w:r>
              <w:rPr>
                <w:rFonts w:hint="eastAsia" w:ascii="仿宋" w:hAnsi="仿宋" w:eastAsia="仿宋" w:cs="黑体"/>
                <w:b/>
                <w:bCs/>
                <w:kern w:val="0"/>
                <w:sz w:val="32"/>
                <w:szCs w:val="3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 w:hAnsi="仿宋" w:eastAsia="仿宋" w:cs="黑体"/>
                <w:b/>
                <w:bCs/>
                <w:kern w:val="0"/>
                <w:sz w:val="32"/>
                <w:szCs w:val="32"/>
              </w:rPr>
            </w:pPr>
            <w:r>
              <w:rPr>
                <w:rFonts w:hint="eastAsia" w:ascii="仿宋" w:hAnsi="仿宋" w:eastAsia="仿宋" w:cs="黑体"/>
                <w:b/>
                <w:bCs/>
                <w:kern w:val="0"/>
                <w:sz w:val="32"/>
                <w:szCs w:val="3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仿宋" w:hAnsi="仿宋" w:eastAsia="仿宋" w:cs="黑体"/>
                <w:kern w:val="0"/>
                <w:sz w:val="32"/>
                <w:szCs w:val="32"/>
              </w:rPr>
            </w:pPr>
            <w:r>
              <w:rPr>
                <w:rFonts w:hint="eastAsia" w:ascii="仿宋" w:hAnsi="仿宋" w:eastAsia="仿宋" w:cs="黑体"/>
                <w:kern w:val="0"/>
                <w:sz w:val="32"/>
                <w:szCs w:val="32"/>
              </w:rPr>
              <w:t>资产总额</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267.92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1、房屋（平方米）</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1296</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92.8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 xml:space="preserve">   其中：办公用房（平方米）</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1296</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92.8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2、车辆（台、辆）</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2</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28.67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3、单价在20万元以上的设备</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　</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仿宋" w:hAnsi="仿宋" w:eastAsia="仿宋" w:cs="黑体"/>
                <w:kern w:val="0"/>
                <w:sz w:val="32"/>
                <w:szCs w:val="32"/>
              </w:rPr>
            </w:pPr>
            <w:r>
              <w:rPr>
                <w:rFonts w:hint="eastAsia" w:ascii="仿宋" w:hAnsi="仿宋" w:eastAsia="仿宋" w:cs="黑体"/>
                <w:kern w:val="0"/>
                <w:sz w:val="32"/>
                <w:szCs w:val="32"/>
              </w:rPr>
              <w:t>4、其他固定资产</w:t>
            </w:r>
          </w:p>
        </w:tc>
        <w:tc>
          <w:tcPr>
            <w:tcW w:w="315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　701</w:t>
            </w:r>
          </w:p>
        </w:tc>
        <w:tc>
          <w:tcPr>
            <w:tcW w:w="510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黑体"/>
                <w:sz w:val="32"/>
                <w:szCs w:val="32"/>
              </w:rPr>
            </w:pPr>
            <w:r>
              <w:rPr>
                <w:rFonts w:hint="eastAsia" w:ascii="仿宋" w:hAnsi="仿宋" w:eastAsia="仿宋" w:cs="黑体"/>
                <w:sz w:val="32"/>
                <w:szCs w:val="32"/>
              </w:rPr>
              <w:t>146.45</w:t>
            </w:r>
          </w:p>
        </w:tc>
      </w:tr>
    </w:tbl>
    <w:p>
      <w:pPr>
        <w:spacing w:line="560" w:lineRule="exact"/>
        <w:ind w:firstLine="640" w:firstLineChars="200"/>
        <w:jc w:val="left"/>
        <w:rPr>
          <w:rFonts w:ascii="方正黑体简体" w:hAnsi="方正黑体简体" w:eastAsia="方正黑体简体" w:cs="方正黑体简体"/>
          <w:sz w:val="32"/>
          <w:szCs w:val="32"/>
        </w:rPr>
      </w:pPr>
      <w:bookmarkStart w:id="3" w:name="_Toc68791552"/>
      <w:r>
        <w:rPr>
          <w:rFonts w:hint="eastAsia" w:ascii="方正黑体简体" w:hAnsi="方正黑体简体" w:eastAsia="方正黑体简体" w:cs="方正黑体简体"/>
          <w:sz w:val="32"/>
          <w:szCs w:val="32"/>
        </w:rPr>
        <w:t>八、名词解释</w:t>
      </w:r>
      <w:bookmarkEnd w:id="3"/>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4" w:name="_Toc68791553"/>
      <w:r>
        <w:rPr>
          <w:rFonts w:hint="eastAsia" w:ascii="方正黑体简体" w:hAnsi="方正黑体简体" w:eastAsia="方正黑体简体" w:cs="方正黑体简体"/>
          <w:sz w:val="32"/>
          <w:szCs w:val="32"/>
        </w:rPr>
        <w:t>九、其他需要说明的事项</w:t>
      </w:r>
      <w:bookmarkEnd w:id="4"/>
    </w:p>
    <w:p>
      <w:pPr>
        <w:spacing w:line="560" w:lineRule="exact"/>
        <w:ind w:firstLine="640" w:firstLineChars="200"/>
        <w:jc w:val="left"/>
        <w:rPr>
          <w:rFonts w:ascii="方正仿宋简体" w:hAnsi="方正仿宋简体" w:eastAsia="方正仿宋简体" w:cs="方正仿宋简体"/>
          <w:sz w:val="32"/>
          <w:szCs w:val="32"/>
        </w:rPr>
        <w:sectPr>
          <w:footerReference r:id="rId8" w:type="default"/>
          <w:pgSz w:w="16839" w:h="11907" w:orient="landscape"/>
          <w:pgMar w:top="680" w:right="1020" w:bottom="680" w:left="1020" w:header="851" w:footer="992" w:gutter="0"/>
          <w:cols w:space="720" w:num="1"/>
          <w:docGrid w:type="lines" w:linePitch="312" w:charSpace="0"/>
        </w:sectPr>
      </w:pPr>
      <w:r>
        <w:rPr>
          <w:rFonts w:hint="eastAsia" w:ascii="方正仿宋简体" w:hAnsi="方正仿宋简体" w:eastAsia="方正仿宋简体" w:cs="方正仿宋简体"/>
          <w:sz w:val="32"/>
          <w:szCs w:val="32"/>
        </w:rPr>
        <w:t>本部门无其他需要说明的事项。</w:t>
      </w:r>
    </w:p>
    <w:p>
      <w:pPr>
        <w:rPr>
          <w:rFonts w:ascii="黑体" w:hAnsi="黑体" w:eastAsia="黑体" w:cs="黑体"/>
          <w:kern w:val="0"/>
          <w:sz w:val="28"/>
          <w:szCs w:val="28"/>
        </w:rPr>
      </w:pPr>
    </w:p>
    <w:sectPr>
      <w:headerReference r:id="rId9"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
    <w:altName w:val="黑体"/>
    <w:panose1 w:val="00000000000000000000"/>
    <w:charset w:val="86"/>
    <w:family w:val="auto"/>
    <w:pitch w:val="default"/>
    <w:sig w:usb0="00000000" w:usb1="0000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9" o:spid="_x0000_s102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8" o:spid="_x0000_s1028"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Calibri" w:hAnsi="Calibri"/>
        <w:sz w:val="18"/>
        <w:szCs w:val="18"/>
      </w:rPr>
    </w:pPr>
    <w:r>
      <w:rPr>
        <w:rFonts w:ascii="Calibri" w:hAnsi="Calibri"/>
        <w:sz w:val="18"/>
        <w:szCs w:val="18"/>
      </w:rPr>
      <w:pict>
        <v:shape id="文本框 1031"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path/>
          <v:fill on="f" focussize="0,0"/>
          <v:stroke on="f" joinstyle="miter"/>
          <v:imagedata o:title=""/>
          <o:lock v:ext="edit"/>
          <v:textbox inset="0mm,0mm,0mm,0mm" style="mso-fit-shape-to-text:t;">
            <w:txbxContent>
              <w:p>
                <w:pPr>
                  <w:snapToGrid w:val="0"/>
                  <w:jc w:val="left"/>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PAGE  \* MERGEFORMAT </w:instrText>
                </w:r>
                <w:r>
                  <w:rPr>
                    <w:rFonts w:ascii="Calibri" w:hAnsi="Calibri"/>
                    <w:sz w:val="18"/>
                    <w:szCs w:val="18"/>
                  </w:rPr>
                  <w:fldChar w:fldCharType="separate"/>
                </w:r>
                <w:r>
                  <w:rPr>
                    <w:rFonts w:ascii="Calibri" w:hAnsi="Calibri"/>
                    <w:sz w:val="18"/>
                    <w:szCs w:val="18"/>
                  </w:rPr>
                  <w:t>39</w:t>
                </w:r>
                <w:r>
                  <w:rPr>
                    <w:rFonts w:ascii="Calibri" w:hAnsi="Calibri"/>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MzNDE3OTJjODYwMmZjZWVmMDdiYzIxMjA0ZTRmMTIifQ=="/>
  </w:docVars>
  <w:rsids>
    <w:rsidRoot w:val="00172A27"/>
    <w:rsid w:val="00000D17"/>
    <w:rsid w:val="00000FB7"/>
    <w:rsid w:val="00001919"/>
    <w:rsid w:val="000117C1"/>
    <w:rsid w:val="00026DD9"/>
    <w:rsid w:val="0003079F"/>
    <w:rsid w:val="00034769"/>
    <w:rsid w:val="00043CC8"/>
    <w:rsid w:val="00047973"/>
    <w:rsid w:val="00051224"/>
    <w:rsid w:val="00052241"/>
    <w:rsid w:val="000575DB"/>
    <w:rsid w:val="00062B7E"/>
    <w:rsid w:val="00065712"/>
    <w:rsid w:val="00072AE0"/>
    <w:rsid w:val="0008082C"/>
    <w:rsid w:val="00080BCC"/>
    <w:rsid w:val="0008403B"/>
    <w:rsid w:val="0009452A"/>
    <w:rsid w:val="000A08FD"/>
    <w:rsid w:val="000A2E21"/>
    <w:rsid w:val="000C1BA8"/>
    <w:rsid w:val="000D3E99"/>
    <w:rsid w:val="000E13ED"/>
    <w:rsid w:val="000F2A69"/>
    <w:rsid w:val="000F4ADC"/>
    <w:rsid w:val="000F6680"/>
    <w:rsid w:val="000F7F15"/>
    <w:rsid w:val="00101081"/>
    <w:rsid w:val="0010525C"/>
    <w:rsid w:val="00111434"/>
    <w:rsid w:val="00113272"/>
    <w:rsid w:val="0011487C"/>
    <w:rsid w:val="00122597"/>
    <w:rsid w:val="00125A12"/>
    <w:rsid w:val="00125E2D"/>
    <w:rsid w:val="00130EC3"/>
    <w:rsid w:val="00134CAD"/>
    <w:rsid w:val="00141AEE"/>
    <w:rsid w:val="00141DAB"/>
    <w:rsid w:val="00155F55"/>
    <w:rsid w:val="00170AE5"/>
    <w:rsid w:val="00172A27"/>
    <w:rsid w:val="00182318"/>
    <w:rsid w:val="00186292"/>
    <w:rsid w:val="0019506C"/>
    <w:rsid w:val="0019736C"/>
    <w:rsid w:val="001A1D3E"/>
    <w:rsid w:val="001A52B2"/>
    <w:rsid w:val="001A69E4"/>
    <w:rsid w:val="001D3EA0"/>
    <w:rsid w:val="001E0E53"/>
    <w:rsid w:val="00203816"/>
    <w:rsid w:val="00203C69"/>
    <w:rsid w:val="002073D9"/>
    <w:rsid w:val="0022084B"/>
    <w:rsid w:val="00227580"/>
    <w:rsid w:val="00230C63"/>
    <w:rsid w:val="002374E2"/>
    <w:rsid w:val="00251F4B"/>
    <w:rsid w:val="00252419"/>
    <w:rsid w:val="002530E0"/>
    <w:rsid w:val="00254EEF"/>
    <w:rsid w:val="00260937"/>
    <w:rsid w:val="00262C61"/>
    <w:rsid w:val="00287CAA"/>
    <w:rsid w:val="00290C8B"/>
    <w:rsid w:val="002967D5"/>
    <w:rsid w:val="002A24D8"/>
    <w:rsid w:val="002A6821"/>
    <w:rsid w:val="002B0EAA"/>
    <w:rsid w:val="002C235C"/>
    <w:rsid w:val="002C50A7"/>
    <w:rsid w:val="002D2BAB"/>
    <w:rsid w:val="002E0E88"/>
    <w:rsid w:val="002F05FF"/>
    <w:rsid w:val="002F7519"/>
    <w:rsid w:val="002F7A3A"/>
    <w:rsid w:val="00314B82"/>
    <w:rsid w:val="00315F1A"/>
    <w:rsid w:val="003237D6"/>
    <w:rsid w:val="0032683A"/>
    <w:rsid w:val="003338C3"/>
    <w:rsid w:val="003462F2"/>
    <w:rsid w:val="0036681C"/>
    <w:rsid w:val="00367B6A"/>
    <w:rsid w:val="00370154"/>
    <w:rsid w:val="00385975"/>
    <w:rsid w:val="00393AEB"/>
    <w:rsid w:val="003961EA"/>
    <w:rsid w:val="00396366"/>
    <w:rsid w:val="003A1442"/>
    <w:rsid w:val="003A3AFC"/>
    <w:rsid w:val="003C1529"/>
    <w:rsid w:val="003C2201"/>
    <w:rsid w:val="003C3D28"/>
    <w:rsid w:val="003C6ABC"/>
    <w:rsid w:val="003D5222"/>
    <w:rsid w:val="003E3429"/>
    <w:rsid w:val="003F4D23"/>
    <w:rsid w:val="0040624F"/>
    <w:rsid w:val="00414121"/>
    <w:rsid w:val="00421786"/>
    <w:rsid w:val="00423176"/>
    <w:rsid w:val="00423E8E"/>
    <w:rsid w:val="00425285"/>
    <w:rsid w:val="00427F73"/>
    <w:rsid w:val="004301B9"/>
    <w:rsid w:val="00431430"/>
    <w:rsid w:val="00441040"/>
    <w:rsid w:val="00471E33"/>
    <w:rsid w:val="00477516"/>
    <w:rsid w:val="00477F31"/>
    <w:rsid w:val="00486DDC"/>
    <w:rsid w:val="00492AEA"/>
    <w:rsid w:val="00496C89"/>
    <w:rsid w:val="004A0698"/>
    <w:rsid w:val="004A0A93"/>
    <w:rsid w:val="004A63CB"/>
    <w:rsid w:val="004B1838"/>
    <w:rsid w:val="004B62C9"/>
    <w:rsid w:val="004C3589"/>
    <w:rsid w:val="004C7079"/>
    <w:rsid w:val="004E2D20"/>
    <w:rsid w:val="004E2EB0"/>
    <w:rsid w:val="004E3E72"/>
    <w:rsid w:val="004F5962"/>
    <w:rsid w:val="00500901"/>
    <w:rsid w:val="00506022"/>
    <w:rsid w:val="00513407"/>
    <w:rsid w:val="00526A78"/>
    <w:rsid w:val="00532013"/>
    <w:rsid w:val="00532F23"/>
    <w:rsid w:val="00533497"/>
    <w:rsid w:val="00547278"/>
    <w:rsid w:val="005677D5"/>
    <w:rsid w:val="00573442"/>
    <w:rsid w:val="0058122F"/>
    <w:rsid w:val="00584810"/>
    <w:rsid w:val="005901CC"/>
    <w:rsid w:val="00590D6B"/>
    <w:rsid w:val="005B29CF"/>
    <w:rsid w:val="005B3749"/>
    <w:rsid w:val="005C03DA"/>
    <w:rsid w:val="005C5427"/>
    <w:rsid w:val="005D6B07"/>
    <w:rsid w:val="005D7308"/>
    <w:rsid w:val="005E1735"/>
    <w:rsid w:val="0060221D"/>
    <w:rsid w:val="00623999"/>
    <w:rsid w:val="00626834"/>
    <w:rsid w:val="0063072F"/>
    <w:rsid w:val="00637084"/>
    <w:rsid w:val="00653124"/>
    <w:rsid w:val="00657DD3"/>
    <w:rsid w:val="006855B7"/>
    <w:rsid w:val="0069069B"/>
    <w:rsid w:val="00697340"/>
    <w:rsid w:val="006A514D"/>
    <w:rsid w:val="006A5E94"/>
    <w:rsid w:val="006C50CF"/>
    <w:rsid w:val="006E1FB1"/>
    <w:rsid w:val="006E2555"/>
    <w:rsid w:val="006E3F4F"/>
    <w:rsid w:val="006F3D36"/>
    <w:rsid w:val="0070106E"/>
    <w:rsid w:val="007037CE"/>
    <w:rsid w:val="00722A79"/>
    <w:rsid w:val="007418CB"/>
    <w:rsid w:val="00743C57"/>
    <w:rsid w:val="00746456"/>
    <w:rsid w:val="00751530"/>
    <w:rsid w:val="00770D3E"/>
    <w:rsid w:val="007718E8"/>
    <w:rsid w:val="007730FF"/>
    <w:rsid w:val="00774DF6"/>
    <w:rsid w:val="007823C7"/>
    <w:rsid w:val="00782C1E"/>
    <w:rsid w:val="00783B8F"/>
    <w:rsid w:val="00786AD0"/>
    <w:rsid w:val="007A20F4"/>
    <w:rsid w:val="007A6CE1"/>
    <w:rsid w:val="007B0C60"/>
    <w:rsid w:val="007B11BC"/>
    <w:rsid w:val="007D28E2"/>
    <w:rsid w:val="007E3C7F"/>
    <w:rsid w:val="007F0F59"/>
    <w:rsid w:val="007F1B66"/>
    <w:rsid w:val="008214D4"/>
    <w:rsid w:val="00836438"/>
    <w:rsid w:val="008435F0"/>
    <w:rsid w:val="008507A1"/>
    <w:rsid w:val="008517A0"/>
    <w:rsid w:val="00874AD6"/>
    <w:rsid w:val="0087560F"/>
    <w:rsid w:val="008854E2"/>
    <w:rsid w:val="00891161"/>
    <w:rsid w:val="00892A37"/>
    <w:rsid w:val="008A2DA8"/>
    <w:rsid w:val="008A658F"/>
    <w:rsid w:val="008B58CC"/>
    <w:rsid w:val="008C43AD"/>
    <w:rsid w:val="008C5636"/>
    <w:rsid w:val="008D3611"/>
    <w:rsid w:val="008D6104"/>
    <w:rsid w:val="008D7D27"/>
    <w:rsid w:val="00902068"/>
    <w:rsid w:val="00903C80"/>
    <w:rsid w:val="0090712C"/>
    <w:rsid w:val="0092649E"/>
    <w:rsid w:val="00950240"/>
    <w:rsid w:val="00950780"/>
    <w:rsid w:val="00955C22"/>
    <w:rsid w:val="00970AF4"/>
    <w:rsid w:val="00971142"/>
    <w:rsid w:val="009712C5"/>
    <w:rsid w:val="009754B6"/>
    <w:rsid w:val="0099432D"/>
    <w:rsid w:val="009A26DD"/>
    <w:rsid w:val="009A2E83"/>
    <w:rsid w:val="009A4D1A"/>
    <w:rsid w:val="009B04AF"/>
    <w:rsid w:val="009B3AE3"/>
    <w:rsid w:val="009C10AC"/>
    <w:rsid w:val="009D13B2"/>
    <w:rsid w:val="009E4D20"/>
    <w:rsid w:val="009F11A0"/>
    <w:rsid w:val="00A038FF"/>
    <w:rsid w:val="00A060EB"/>
    <w:rsid w:val="00A060FC"/>
    <w:rsid w:val="00A178AB"/>
    <w:rsid w:val="00A21583"/>
    <w:rsid w:val="00A3040A"/>
    <w:rsid w:val="00A32AE2"/>
    <w:rsid w:val="00A346A5"/>
    <w:rsid w:val="00A36F2D"/>
    <w:rsid w:val="00A509ED"/>
    <w:rsid w:val="00A662C3"/>
    <w:rsid w:val="00A66903"/>
    <w:rsid w:val="00A9252F"/>
    <w:rsid w:val="00A97CBA"/>
    <w:rsid w:val="00AC120D"/>
    <w:rsid w:val="00AC2342"/>
    <w:rsid w:val="00AD638E"/>
    <w:rsid w:val="00AE6630"/>
    <w:rsid w:val="00AF04BD"/>
    <w:rsid w:val="00B035AC"/>
    <w:rsid w:val="00B056AC"/>
    <w:rsid w:val="00B124BD"/>
    <w:rsid w:val="00B138E7"/>
    <w:rsid w:val="00B14F01"/>
    <w:rsid w:val="00B1517B"/>
    <w:rsid w:val="00B1606C"/>
    <w:rsid w:val="00B227DF"/>
    <w:rsid w:val="00B24471"/>
    <w:rsid w:val="00B25B38"/>
    <w:rsid w:val="00B26402"/>
    <w:rsid w:val="00B33350"/>
    <w:rsid w:val="00B63B93"/>
    <w:rsid w:val="00B65865"/>
    <w:rsid w:val="00B71265"/>
    <w:rsid w:val="00B7513D"/>
    <w:rsid w:val="00B813FB"/>
    <w:rsid w:val="00B929EE"/>
    <w:rsid w:val="00B9563A"/>
    <w:rsid w:val="00B967FC"/>
    <w:rsid w:val="00BA1B9E"/>
    <w:rsid w:val="00BA2A19"/>
    <w:rsid w:val="00BB7710"/>
    <w:rsid w:val="00BD37B5"/>
    <w:rsid w:val="00BD4B3A"/>
    <w:rsid w:val="00BD7813"/>
    <w:rsid w:val="00BE17B9"/>
    <w:rsid w:val="00BE31A7"/>
    <w:rsid w:val="00BF3FF1"/>
    <w:rsid w:val="00C01F85"/>
    <w:rsid w:val="00C04B93"/>
    <w:rsid w:val="00C22BFF"/>
    <w:rsid w:val="00C2570F"/>
    <w:rsid w:val="00C2713F"/>
    <w:rsid w:val="00C2764D"/>
    <w:rsid w:val="00C42732"/>
    <w:rsid w:val="00C53087"/>
    <w:rsid w:val="00C547FC"/>
    <w:rsid w:val="00C70F44"/>
    <w:rsid w:val="00C7299E"/>
    <w:rsid w:val="00C83ADB"/>
    <w:rsid w:val="00C90DDB"/>
    <w:rsid w:val="00C965D7"/>
    <w:rsid w:val="00CA3FD2"/>
    <w:rsid w:val="00CF512E"/>
    <w:rsid w:val="00D005FD"/>
    <w:rsid w:val="00D01064"/>
    <w:rsid w:val="00D01D36"/>
    <w:rsid w:val="00D148C1"/>
    <w:rsid w:val="00D23BA1"/>
    <w:rsid w:val="00D278A0"/>
    <w:rsid w:val="00D31AD3"/>
    <w:rsid w:val="00D33D1B"/>
    <w:rsid w:val="00D45E2A"/>
    <w:rsid w:val="00D52D46"/>
    <w:rsid w:val="00D53A73"/>
    <w:rsid w:val="00D6545C"/>
    <w:rsid w:val="00D67729"/>
    <w:rsid w:val="00D75239"/>
    <w:rsid w:val="00D828E6"/>
    <w:rsid w:val="00D91033"/>
    <w:rsid w:val="00D94680"/>
    <w:rsid w:val="00D974DF"/>
    <w:rsid w:val="00D97B21"/>
    <w:rsid w:val="00DA47F4"/>
    <w:rsid w:val="00DB205B"/>
    <w:rsid w:val="00DC6565"/>
    <w:rsid w:val="00DD6C51"/>
    <w:rsid w:val="00DD7F65"/>
    <w:rsid w:val="00DE6C96"/>
    <w:rsid w:val="00DF3031"/>
    <w:rsid w:val="00DF7492"/>
    <w:rsid w:val="00E00E8D"/>
    <w:rsid w:val="00E05F39"/>
    <w:rsid w:val="00E25AC1"/>
    <w:rsid w:val="00E44945"/>
    <w:rsid w:val="00E53920"/>
    <w:rsid w:val="00E6022E"/>
    <w:rsid w:val="00E640B8"/>
    <w:rsid w:val="00E776AD"/>
    <w:rsid w:val="00E842DA"/>
    <w:rsid w:val="00E87A95"/>
    <w:rsid w:val="00E916B9"/>
    <w:rsid w:val="00E97939"/>
    <w:rsid w:val="00ED0ADA"/>
    <w:rsid w:val="00ED0B00"/>
    <w:rsid w:val="00ED3234"/>
    <w:rsid w:val="00ED4222"/>
    <w:rsid w:val="00EE141E"/>
    <w:rsid w:val="00EE56C8"/>
    <w:rsid w:val="00EE7161"/>
    <w:rsid w:val="00EF03BE"/>
    <w:rsid w:val="00EF6FEF"/>
    <w:rsid w:val="00F053A2"/>
    <w:rsid w:val="00F1076E"/>
    <w:rsid w:val="00F1111A"/>
    <w:rsid w:val="00F12906"/>
    <w:rsid w:val="00F13667"/>
    <w:rsid w:val="00F171A7"/>
    <w:rsid w:val="00F34251"/>
    <w:rsid w:val="00F410D9"/>
    <w:rsid w:val="00F4161A"/>
    <w:rsid w:val="00F44B08"/>
    <w:rsid w:val="00F47D6A"/>
    <w:rsid w:val="00F749CF"/>
    <w:rsid w:val="00F77A8B"/>
    <w:rsid w:val="00F9049D"/>
    <w:rsid w:val="00F93230"/>
    <w:rsid w:val="00F94D09"/>
    <w:rsid w:val="00FA4205"/>
    <w:rsid w:val="00FB75DF"/>
    <w:rsid w:val="00FC44DC"/>
    <w:rsid w:val="00FC51F3"/>
    <w:rsid w:val="00FC7174"/>
    <w:rsid w:val="00FD0A2B"/>
    <w:rsid w:val="00FD2A41"/>
    <w:rsid w:val="00FD52AE"/>
    <w:rsid w:val="00FE229B"/>
    <w:rsid w:val="00FF00C1"/>
    <w:rsid w:val="00FF5DBF"/>
    <w:rsid w:val="0126619A"/>
    <w:rsid w:val="01543C57"/>
    <w:rsid w:val="018576C3"/>
    <w:rsid w:val="01C47920"/>
    <w:rsid w:val="02177954"/>
    <w:rsid w:val="027279A0"/>
    <w:rsid w:val="028B0413"/>
    <w:rsid w:val="035A1325"/>
    <w:rsid w:val="045A1585"/>
    <w:rsid w:val="061F030B"/>
    <w:rsid w:val="07462C47"/>
    <w:rsid w:val="07E11B70"/>
    <w:rsid w:val="08DD10DF"/>
    <w:rsid w:val="098D09B3"/>
    <w:rsid w:val="0A054D24"/>
    <w:rsid w:val="0A401392"/>
    <w:rsid w:val="0A623A94"/>
    <w:rsid w:val="0B61144B"/>
    <w:rsid w:val="0B9B5488"/>
    <w:rsid w:val="0BDB1584"/>
    <w:rsid w:val="0C250CC0"/>
    <w:rsid w:val="0F5E06EF"/>
    <w:rsid w:val="0F9B5CC8"/>
    <w:rsid w:val="0FB47C18"/>
    <w:rsid w:val="0FBE68D7"/>
    <w:rsid w:val="10115765"/>
    <w:rsid w:val="104E3B3C"/>
    <w:rsid w:val="10C05CFF"/>
    <w:rsid w:val="10EC4483"/>
    <w:rsid w:val="116064CA"/>
    <w:rsid w:val="11C820EE"/>
    <w:rsid w:val="134F12E3"/>
    <w:rsid w:val="136127DF"/>
    <w:rsid w:val="13AB4620"/>
    <w:rsid w:val="13E92D48"/>
    <w:rsid w:val="140D759B"/>
    <w:rsid w:val="14263231"/>
    <w:rsid w:val="144C3C46"/>
    <w:rsid w:val="14B840E6"/>
    <w:rsid w:val="158F3FC8"/>
    <w:rsid w:val="15B32ECE"/>
    <w:rsid w:val="15D02D06"/>
    <w:rsid w:val="16152854"/>
    <w:rsid w:val="16754C77"/>
    <w:rsid w:val="17345C65"/>
    <w:rsid w:val="17B648CC"/>
    <w:rsid w:val="17CB1C13"/>
    <w:rsid w:val="18443808"/>
    <w:rsid w:val="18C10887"/>
    <w:rsid w:val="18E14570"/>
    <w:rsid w:val="18F20FDA"/>
    <w:rsid w:val="1955359F"/>
    <w:rsid w:val="19C94D0D"/>
    <w:rsid w:val="1B031644"/>
    <w:rsid w:val="1B3C0228"/>
    <w:rsid w:val="1B3F3113"/>
    <w:rsid w:val="1DB96EC4"/>
    <w:rsid w:val="1EEA1199"/>
    <w:rsid w:val="1F834E92"/>
    <w:rsid w:val="1FEF7E11"/>
    <w:rsid w:val="208E4770"/>
    <w:rsid w:val="209F0FCA"/>
    <w:rsid w:val="20B75BED"/>
    <w:rsid w:val="223E2867"/>
    <w:rsid w:val="22C27AF0"/>
    <w:rsid w:val="22D74273"/>
    <w:rsid w:val="23055A77"/>
    <w:rsid w:val="240A596A"/>
    <w:rsid w:val="242447D9"/>
    <w:rsid w:val="24B04D43"/>
    <w:rsid w:val="24B556CE"/>
    <w:rsid w:val="25265F44"/>
    <w:rsid w:val="2556533A"/>
    <w:rsid w:val="258F5240"/>
    <w:rsid w:val="26360D61"/>
    <w:rsid w:val="27273875"/>
    <w:rsid w:val="2736186B"/>
    <w:rsid w:val="2773193F"/>
    <w:rsid w:val="281D1523"/>
    <w:rsid w:val="281E7C85"/>
    <w:rsid w:val="28991DCC"/>
    <w:rsid w:val="29DA08EE"/>
    <w:rsid w:val="29E4058E"/>
    <w:rsid w:val="2A5D2B55"/>
    <w:rsid w:val="2A625279"/>
    <w:rsid w:val="2BF16A1B"/>
    <w:rsid w:val="2C37112D"/>
    <w:rsid w:val="2C3945F6"/>
    <w:rsid w:val="2C41499A"/>
    <w:rsid w:val="2C6573B8"/>
    <w:rsid w:val="2C717722"/>
    <w:rsid w:val="2D18707B"/>
    <w:rsid w:val="2DB23E24"/>
    <w:rsid w:val="2DF954F7"/>
    <w:rsid w:val="2E5D52F2"/>
    <w:rsid w:val="2E9372BE"/>
    <w:rsid w:val="2EB123A9"/>
    <w:rsid w:val="2EE154C2"/>
    <w:rsid w:val="2EFB7425"/>
    <w:rsid w:val="2F300DFB"/>
    <w:rsid w:val="2F611CBB"/>
    <w:rsid w:val="2F8F5CD7"/>
    <w:rsid w:val="2F9E23BE"/>
    <w:rsid w:val="30717AD3"/>
    <w:rsid w:val="308C45AB"/>
    <w:rsid w:val="312C5F91"/>
    <w:rsid w:val="314056A1"/>
    <w:rsid w:val="31484EC0"/>
    <w:rsid w:val="31A72D2E"/>
    <w:rsid w:val="320906F8"/>
    <w:rsid w:val="328130B6"/>
    <w:rsid w:val="33761F33"/>
    <w:rsid w:val="340D7B12"/>
    <w:rsid w:val="346074C2"/>
    <w:rsid w:val="348A45CF"/>
    <w:rsid w:val="35133FD9"/>
    <w:rsid w:val="36363AC3"/>
    <w:rsid w:val="36D273F9"/>
    <w:rsid w:val="387D5266"/>
    <w:rsid w:val="3881462B"/>
    <w:rsid w:val="38D7080F"/>
    <w:rsid w:val="395229F1"/>
    <w:rsid w:val="396629B0"/>
    <w:rsid w:val="3A013EBC"/>
    <w:rsid w:val="3A156D80"/>
    <w:rsid w:val="3A167E91"/>
    <w:rsid w:val="3A3677C7"/>
    <w:rsid w:val="3A803451"/>
    <w:rsid w:val="3A8A2A69"/>
    <w:rsid w:val="3B8F5B11"/>
    <w:rsid w:val="3BC441CF"/>
    <w:rsid w:val="3C0720C4"/>
    <w:rsid w:val="3C7E2D8C"/>
    <w:rsid w:val="3DBC3E6F"/>
    <w:rsid w:val="3DE63468"/>
    <w:rsid w:val="3E563845"/>
    <w:rsid w:val="3ECA5ED8"/>
    <w:rsid w:val="3ED254CE"/>
    <w:rsid w:val="3F4F0FDF"/>
    <w:rsid w:val="3F8A03E9"/>
    <w:rsid w:val="3FCE40F3"/>
    <w:rsid w:val="40051C6C"/>
    <w:rsid w:val="40FC724C"/>
    <w:rsid w:val="41F30B67"/>
    <w:rsid w:val="42CE4DEE"/>
    <w:rsid w:val="4337334A"/>
    <w:rsid w:val="437410FC"/>
    <w:rsid w:val="438F3C13"/>
    <w:rsid w:val="43F1150E"/>
    <w:rsid w:val="46B11DA3"/>
    <w:rsid w:val="47183355"/>
    <w:rsid w:val="4A1E4708"/>
    <w:rsid w:val="4A69564B"/>
    <w:rsid w:val="4A6F7720"/>
    <w:rsid w:val="4A935840"/>
    <w:rsid w:val="4A9C614F"/>
    <w:rsid w:val="4BCF3697"/>
    <w:rsid w:val="4D20220D"/>
    <w:rsid w:val="4D423169"/>
    <w:rsid w:val="4E254292"/>
    <w:rsid w:val="4E637CF4"/>
    <w:rsid w:val="4EA529C9"/>
    <w:rsid w:val="50250266"/>
    <w:rsid w:val="50B8452D"/>
    <w:rsid w:val="51EE2D97"/>
    <w:rsid w:val="51F91E22"/>
    <w:rsid w:val="524469B5"/>
    <w:rsid w:val="527E5A0B"/>
    <w:rsid w:val="52FE6B4C"/>
    <w:rsid w:val="54A454D1"/>
    <w:rsid w:val="550F3292"/>
    <w:rsid w:val="557E0A15"/>
    <w:rsid w:val="55B05FE2"/>
    <w:rsid w:val="56941F33"/>
    <w:rsid w:val="570B2626"/>
    <w:rsid w:val="59DA2F50"/>
    <w:rsid w:val="5A7A2F5C"/>
    <w:rsid w:val="5AF0453E"/>
    <w:rsid w:val="5BA02E96"/>
    <w:rsid w:val="5BBB79E7"/>
    <w:rsid w:val="5C251615"/>
    <w:rsid w:val="5C985DEF"/>
    <w:rsid w:val="5D8A5BAC"/>
    <w:rsid w:val="5E540A3C"/>
    <w:rsid w:val="5F1514A5"/>
    <w:rsid w:val="5FAB7C5C"/>
    <w:rsid w:val="60E139CB"/>
    <w:rsid w:val="60E311BE"/>
    <w:rsid w:val="618172C6"/>
    <w:rsid w:val="62750FEE"/>
    <w:rsid w:val="62A3501A"/>
    <w:rsid w:val="6341653F"/>
    <w:rsid w:val="63DB01CC"/>
    <w:rsid w:val="64636C3A"/>
    <w:rsid w:val="647978FF"/>
    <w:rsid w:val="650737D7"/>
    <w:rsid w:val="669A761F"/>
    <w:rsid w:val="67D222A8"/>
    <w:rsid w:val="67D31EFE"/>
    <w:rsid w:val="68092DB0"/>
    <w:rsid w:val="6850593E"/>
    <w:rsid w:val="69CC666D"/>
    <w:rsid w:val="6A7B548F"/>
    <w:rsid w:val="6B686EC7"/>
    <w:rsid w:val="6BA069EA"/>
    <w:rsid w:val="6DD613D1"/>
    <w:rsid w:val="6DD91D88"/>
    <w:rsid w:val="6EA062D5"/>
    <w:rsid w:val="6ED015A5"/>
    <w:rsid w:val="6EDA67C5"/>
    <w:rsid w:val="6EFD0907"/>
    <w:rsid w:val="701115E3"/>
    <w:rsid w:val="70563AB5"/>
    <w:rsid w:val="709B2774"/>
    <w:rsid w:val="71866592"/>
    <w:rsid w:val="71D21478"/>
    <w:rsid w:val="729771A1"/>
    <w:rsid w:val="73972459"/>
    <w:rsid w:val="73EC5C90"/>
    <w:rsid w:val="747577DC"/>
    <w:rsid w:val="75226272"/>
    <w:rsid w:val="757B185E"/>
    <w:rsid w:val="75B60A9C"/>
    <w:rsid w:val="75CA3070"/>
    <w:rsid w:val="7621652A"/>
    <w:rsid w:val="7668607D"/>
    <w:rsid w:val="76C83A48"/>
    <w:rsid w:val="76E303D8"/>
    <w:rsid w:val="76F004FA"/>
    <w:rsid w:val="77F938BB"/>
    <w:rsid w:val="78722E21"/>
    <w:rsid w:val="79FE4D40"/>
    <w:rsid w:val="7A340F22"/>
    <w:rsid w:val="7B590514"/>
    <w:rsid w:val="7CC6249B"/>
    <w:rsid w:val="7D6C641E"/>
    <w:rsid w:val="7D6E50BD"/>
    <w:rsid w:val="7E44620D"/>
    <w:rsid w:val="7ECD08EF"/>
    <w:rsid w:val="7FCA41FE"/>
    <w:rsid w:val="7FF3158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
    <w:pPr>
      <w:keepNext/>
      <w:keepLines/>
      <w:widowControl w:val="0"/>
      <w:spacing w:line="576" w:lineRule="auto"/>
      <w:jc w:val="center"/>
      <w:outlineLvl w:val="0"/>
    </w:pPr>
    <w:rPr>
      <w:rFonts w:ascii="Times New Roman" w:hAnsi="Times New Roman" w:eastAsia="方正黑体简体" w:cs="Times New Roman"/>
      <w:b/>
      <w:kern w:val="44"/>
      <w:sz w:val="32"/>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3"/>
    <w:qFormat/>
    <w:uiPriority w:val="0"/>
    <w:pPr>
      <w:widowControl w:val="0"/>
      <w:snapToGrid w:val="0"/>
      <w:spacing w:line="324" w:lineRule="auto"/>
      <w:ind w:firstLine="200" w:firstLineChars="200"/>
    </w:pPr>
    <w:rPr>
      <w:rFonts w:ascii="Times New Roman" w:hAnsi="Times New Roman" w:eastAsia="宋体" w:cs="宋体"/>
      <w:snapToGrid w:val="0"/>
      <w:sz w:val="21"/>
      <w:szCs w:val="22"/>
      <w:lang w:val="en-US" w:eastAsia="zh-CN" w:bidi="ar-SA"/>
    </w:rPr>
  </w:style>
  <w:style w:type="paragraph" w:customStyle="1" w:styleId="3">
    <w:name w:val="样式 样式 正文缩进正文（首行缩进两字）正文2 + 首行缩进:  2 字符 + 首行缩进:  2 字符"/>
    <w:qFormat/>
    <w:uiPriority w:val="0"/>
    <w:pPr>
      <w:widowControl w:val="0"/>
      <w:snapToGrid w:val="0"/>
      <w:spacing w:line="324" w:lineRule="auto"/>
      <w:ind w:firstLine="600"/>
      <w:jc w:val="both"/>
    </w:pPr>
    <w:rPr>
      <w:rFonts w:ascii="Times New Roman" w:hAnsi="Times New Roman" w:eastAsia="宋体" w:cs="宋体"/>
      <w:kern w:val="2"/>
      <w:sz w:val="28"/>
      <w:lang w:val="en-US" w:eastAsia="zh-CN" w:bidi="ar-SA"/>
    </w:rPr>
  </w:style>
  <w:style w:type="paragraph" w:styleId="5">
    <w:name w:val="toc 3"/>
    <w:basedOn w:val="1"/>
    <w:next w:val="1"/>
    <w:unhideWhenUsed/>
    <w:qFormat/>
    <w:uiPriority w:val="39"/>
    <w:pPr>
      <w:ind w:left="840" w:leftChars="400"/>
    </w:pPr>
  </w:style>
  <w:style w:type="paragraph" w:styleId="6">
    <w:name w:val="Balloon Text"/>
    <w:basedOn w:val="1"/>
    <w:link w:val="23"/>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unhideWhenUsed/>
    <w:qFormat/>
    <w:uiPriority w:val="39"/>
    <w:pPr>
      <w:ind w:left="1260" w:leftChars="600"/>
    </w:pPr>
  </w:style>
  <w:style w:type="paragraph" w:styleId="10">
    <w:name w:val="toc 2"/>
    <w:basedOn w:val="1"/>
    <w:next w:val="1"/>
    <w:unhideWhenUsed/>
    <w:qFormat/>
    <w:uiPriority w:val="39"/>
    <w:pPr>
      <w:ind w:left="420" w:leftChars="200"/>
    </w:pPr>
  </w:style>
  <w:style w:type="paragraph" w:styleId="11">
    <w:name w:val="Normal (Web)"/>
    <w:basedOn w:val="1"/>
    <w:qFormat/>
    <w:uiPriority w:val="0"/>
    <w:pPr>
      <w:spacing w:before="100" w:beforeAutospacing="1" w:after="100" w:afterAutospacing="1"/>
      <w:jc w:val="left"/>
    </w:pPr>
    <w:rPr>
      <w:rFonts w:ascii="宋体" w:hAnsi="宋体" w:eastAsia="方正仿宋简体"/>
      <w:kern w:val="0"/>
      <w:sz w:val="24"/>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qFormat/>
    <w:uiPriority w:val="0"/>
  </w:style>
  <w:style w:type="character" w:styleId="16">
    <w:name w:val="FollowedHyperlink"/>
    <w:qFormat/>
    <w:uiPriority w:val="0"/>
    <w:rPr>
      <w:color w:val="800080"/>
      <w:u w:val="none"/>
    </w:rPr>
  </w:style>
  <w:style w:type="character" w:styleId="17">
    <w:name w:val="Hyperlink"/>
    <w:basedOn w:val="14"/>
    <w:uiPriority w:val="0"/>
    <w:rPr>
      <w:color w:val="0000FF"/>
      <w:u w:val="none"/>
    </w:rPr>
  </w:style>
  <w:style w:type="character" w:customStyle="1" w:styleId="18">
    <w:name w:val="页脚 Char"/>
    <w:basedOn w:val="14"/>
    <w:link w:val="7"/>
    <w:uiPriority w:val="0"/>
    <w:rPr>
      <w:kern w:val="2"/>
      <w:sz w:val="18"/>
      <w:szCs w:val="18"/>
    </w:rPr>
  </w:style>
  <w:style w:type="character" w:customStyle="1" w:styleId="19">
    <w:name w:val="页眉 Char"/>
    <w:basedOn w:val="14"/>
    <w:link w:val="8"/>
    <w:qFormat/>
    <w:uiPriority w:val="0"/>
    <w:rPr>
      <w:kern w:val="2"/>
      <w:sz w:val="18"/>
      <w:szCs w:val="18"/>
    </w:rPr>
  </w:style>
  <w:style w:type="character" w:customStyle="1" w:styleId="20">
    <w:name w:val="font41"/>
    <w:uiPriority w:val="0"/>
    <w:rPr>
      <w:rFonts w:hint="eastAsia" w:ascii="宋体" w:hAnsi="宋体" w:eastAsia="宋体" w:cs="宋体"/>
      <w:b/>
      <w:color w:val="000000"/>
      <w:sz w:val="20"/>
      <w:szCs w:val="20"/>
      <w:u w:val="none"/>
    </w:rPr>
  </w:style>
  <w:style w:type="character" w:customStyle="1" w:styleId="21">
    <w:name w:val="批注框文本 Char"/>
    <w:uiPriority w:val="0"/>
    <w:rPr>
      <w:kern w:val="2"/>
      <w:sz w:val="18"/>
      <w:szCs w:val="18"/>
    </w:rPr>
  </w:style>
  <w:style w:type="character" w:customStyle="1" w:styleId="22">
    <w:name w:val="font21"/>
    <w:basedOn w:val="14"/>
    <w:qFormat/>
    <w:uiPriority w:val="0"/>
    <w:rPr>
      <w:rFonts w:hint="eastAsia" w:ascii="宋体" w:hAnsi="宋体" w:eastAsia="宋体" w:cs="宋体"/>
      <w:color w:val="000000"/>
      <w:sz w:val="20"/>
      <w:szCs w:val="20"/>
      <w:u w:val="none"/>
    </w:rPr>
  </w:style>
  <w:style w:type="character" w:customStyle="1" w:styleId="23">
    <w:name w:val="批注框文本 Char1"/>
    <w:basedOn w:val="14"/>
    <w:link w:val="6"/>
    <w:semiHidden/>
    <w:uiPriority w:val="99"/>
    <w:rPr>
      <w:kern w:val="2"/>
      <w:sz w:val="18"/>
      <w:szCs w:val="18"/>
    </w:rPr>
  </w:style>
  <w:style w:type="paragraph" w:customStyle="1" w:styleId="24">
    <w:name w:val="单元格样式3"/>
    <w:basedOn w:val="1"/>
    <w:qFormat/>
    <w:uiPriority w:val="0"/>
    <w:pPr>
      <w:jc w:val="center"/>
    </w:pPr>
    <w:rPr>
      <w:rFonts w:ascii="方正书宋_GBK" w:hAnsi="方正书宋_GBK" w:eastAsia="方正书宋_GBK" w:cs="方正书宋_GBK"/>
    </w:rPr>
  </w:style>
  <w:style w:type="paragraph" w:customStyle="1" w:styleId="25">
    <w:name w:val="Char"/>
    <w:basedOn w:val="1"/>
    <w:uiPriority w:val="0"/>
    <w:pPr>
      <w:spacing w:line="360" w:lineRule="auto"/>
    </w:pPr>
    <w:rPr>
      <w:szCs w:val="20"/>
    </w:rPr>
  </w:style>
  <w:style w:type="paragraph" w:customStyle="1" w:styleId="2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C6915-DDBC-4882-A45D-06768DD9578F}">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43</Pages>
  <Words>14540</Words>
  <Characters>16681</Characters>
  <Lines>145</Lines>
  <Paragraphs>41</Paragraphs>
  <TotalTime>0</TotalTime>
  <ScaleCrop>false</ScaleCrop>
  <LinksUpToDate>false</LinksUpToDate>
  <CharactersWithSpaces>17283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2022-04-04T07:09:00Z</dcterms:created>
  <dc:creator>Microsoft</dc:creator>
  <cp:lastModifiedBy>柠檬草</cp:lastModifiedBy>
  <cp:lastPrinted>2018-02-27T05:34:00Z</cp:lastPrinted>
  <dcterms:modified xsi:type="dcterms:W3CDTF">2024-03-24T07:13:24Z</dcterms:modified>
  <dc:title>***镇人民政府2016年度预算情况说明</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A5CEE9A8D73344C2910A44943695802C</vt:lpwstr>
  </property>
</Properties>
</file>