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000000"/>
          <w:sz w:val="72"/>
        </w:rPr>
      </w:pPr>
    </w:p>
    <w:p>
      <w:pPr>
        <w:jc w:val="center"/>
        <w:rPr>
          <w:rFonts w:ascii="宋体" w:hAnsi="宋体" w:cs="宋体"/>
          <w:b/>
          <w:color w:val="000000"/>
          <w:sz w:val="72"/>
        </w:rPr>
      </w:pPr>
      <w:r>
        <w:rPr>
          <w:rFonts w:hint="eastAsia" w:ascii="宋体" w:hAnsi="宋体" w:cs="宋体"/>
          <w:b/>
          <w:color w:val="000000"/>
          <w:sz w:val="72"/>
        </w:rPr>
        <w:t>2020年遵化市文化路街道办事处绩效文本</w:t>
      </w:r>
    </w:p>
    <w:p>
      <w:pPr>
        <w:jc w:val="center"/>
        <w:rPr>
          <w:rFonts w:ascii="宋体" w:hAnsi="宋体" w:cs="宋体"/>
          <w:b/>
          <w:color w:val="000000"/>
          <w:sz w:val="72"/>
        </w:rPr>
      </w:pPr>
      <w:r>
        <w:rPr>
          <w:rFonts w:hint="eastAsia" w:ascii="宋体" w:hAnsi="宋体" w:cs="宋体"/>
          <w:b/>
          <w:color w:val="000000"/>
          <w:sz w:val="72"/>
        </w:rPr>
        <w:t>（草案）</w:t>
      </w:r>
    </w:p>
    <w:p>
      <w:pPr>
        <w:jc w:val="center"/>
        <w:rPr>
          <w:rFonts w:ascii="楷体" w:hAnsi="楷体" w:eastAsia="楷体" w:cs="楷体"/>
          <w:b/>
          <w:color w:val="000000"/>
          <w:sz w:val="52"/>
        </w:rPr>
      </w:pPr>
    </w:p>
    <w:p>
      <w:pPr>
        <w:jc w:val="center"/>
        <w:rPr>
          <w:rFonts w:ascii="楷体" w:hAnsi="楷体" w:eastAsia="楷体" w:cs="楷体"/>
          <w:b/>
          <w:color w:val="000000"/>
          <w:sz w:val="52"/>
        </w:rPr>
      </w:pPr>
    </w:p>
    <w:p>
      <w:pPr>
        <w:jc w:val="center"/>
        <w:rPr>
          <w:rFonts w:ascii="楷体" w:hAnsi="楷体" w:eastAsia="楷体" w:cs="楷体"/>
          <w:b/>
          <w:color w:val="000000"/>
          <w:sz w:val="52"/>
        </w:rPr>
      </w:pPr>
    </w:p>
    <w:p>
      <w:pPr>
        <w:jc w:val="center"/>
        <w:rPr>
          <w:rFonts w:ascii="楷体" w:hAnsi="楷体" w:eastAsia="楷体" w:cs="楷体"/>
          <w:b/>
          <w:color w:val="000000"/>
          <w:sz w:val="52"/>
        </w:rPr>
      </w:pPr>
    </w:p>
    <w:p>
      <w:pPr>
        <w:jc w:val="center"/>
        <w:rPr>
          <w:rFonts w:ascii="楷体" w:hAnsi="楷体" w:eastAsia="楷体" w:cs="楷体"/>
          <w:b/>
          <w:color w:val="000000"/>
          <w:sz w:val="52"/>
        </w:rPr>
      </w:pPr>
    </w:p>
    <w:p>
      <w:pPr>
        <w:jc w:val="center"/>
        <w:rPr>
          <w:rFonts w:ascii="楷体" w:hAnsi="楷体" w:eastAsia="楷体" w:cs="楷体"/>
          <w:b/>
          <w:color w:val="000000"/>
          <w:sz w:val="52"/>
        </w:rPr>
      </w:pPr>
    </w:p>
    <w:p>
      <w:pPr>
        <w:jc w:val="center"/>
        <w:rPr>
          <w:rFonts w:ascii="楷体" w:hAnsi="楷体" w:eastAsia="楷体" w:cs="楷体"/>
          <w:b/>
          <w:color w:val="000000"/>
          <w:sz w:val="52"/>
        </w:rPr>
      </w:pPr>
      <w:r>
        <w:rPr>
          <w:rFonts w:hint="eastAsia" w:ascii="楷体" w:hAnsi="楷体" w:eastAsia="楷体" w:cs="楷体"/>
          <w:b/>
          <w:color w:val="000000"/>
          <w:sz w:val="52"/>
        </w:rPr>
        <w:t>文化路街道办事处编制</w:t>
      </w:r>
    </w:p>
    <w:p>
      <w:pPr>
        <w:jc w:val="center"/>
        <w:sectPr>
          <w:pgSz w:w="11906" w:h="16838"/>
          <w:pgMar w:top="1440" w:right="1800" w:bottom="1440" w:left="1800" w:header="851" w:footer="992" w:gutter="0"/>
          <w:cols w:space="720" w:num="1"/>
          <w:docGrid w:type="lines" w:linePitch="312" w:charSpace="0"/>
        </w:sectPr>
      </w:pPr>
      <w:r>
        <w:rPr>
          <w:rFonts w:hint="eastAsia" w:ascii="楷体" w:hAnsi="楷体" w:eastAsia="楷体" w:cs="楷体"/>
          <w:b/>
          <w:color w:val="000000"/>
          <w:sz w:val="52"/>
        </w:rPr>
        <w:t>遵化市财政局审核</w:t>
      </w:r>
    </w:p>
    <w:p>
      <w:pPr>
        <w:jc w:val="center"/>
        <w:rPr>
          <w:rFonts w:ascii="宋体" w:hAnsi="宋体" w:cs="宋体"/>
          <w:b/>
          <w:color w:val="000000"/>
          <w:sz w:val="32"/>
        </w:rPr>
      </w:pPr>
      <w:r>
        <w:rPr>
          <w:rFonts w:hint="eastAsia" w:ascii="宋体" w:hAnsi="宋体" w:cs="宋体"/>
          <w:b/>
          <w:color w:val="000000"/>
          <w:sz w:val="32"/>
        </w:rPr>
        <w:t>目录</w:t>
      </w:r>
    </w:p>
    <w:p>
      <w:pPr>
        <w:pStyle w:val="7"/>
        <w:tabs>
          <w:tab w:val="right" w:leader="dot" w:pos="8306"/>
        </w:tabs>
        <w:rPr>
          <w:rFonts w:ascii="宋体" w:hAnsi="宋体" w:cs="宋体"/>
          <w:b/>
          <w:color w:val="000000"/>
          <w:sz w:val="32"/>
        </w:rPr>
      </w:pPr>
      <w:r>
        <w:rPr>
          <w:rFonts w:hint="eastAsia" w:ascii="宋体" w:hAnsi="宋体" w:cs="宋体"/>
          <w:b/>
          <w:color w:val="000000"/>
          <w:sz w:val="32"/>
        </w:rPr>
        <w:fldChar w:fldCharType="begin"/>
      </w:r>
      <w:r>
        <w:rPr>
          <w:rFonts w:hint="eastAsia" w:ascii="宋体" w:hAnsi="宋体" w:cs="宋体"/>
          <w:b/>
          <w:color w:val="000000"/>
          <w:sz w:val="32"/>
        </w:rPr>
        <w:instrText xml:space="preserve">TOC \o "1-3" \h \u </w:instrText>
      </w:r>
      <w:r>
        <w:rPr>
          <w:rFonts w:hint="eastAsia" w:ascii="宋体" w:hAnsi="宋体" w:cs="宋体"/>
          <w:b/>
          <w:color w:val="000000"/>
          <w:sz w:val="32"/>
        </w:rPr>
        <w:fldChar w:fldCharType="separate"/>
      </w:r>
      <w:r>
        <w:fldChar w:fldCharType="begin"/>
      </w:r>
      <w:r>
        <w:instrText xml:space="preserve"> HYPERLINK \l "_Toc531" </w:instrText>
      </w:r>
      <w:r>
        <w:fldChar w:fldCharType="separate"/>
      </w:r>
      <w:r>
        <w:rPr>
          <w:rFonts w:hint="eastAsia" w:ascii="宋体" w:hAnsi="宋体" w:cs="宋体"/>
          <w:b/>
          <w:color w:val="000000"/>
          <w:sz w:val="32"/>
        </w:rPr>
        <w:t>部门总体绩效目标及保障措施</w:t>
      </w:r>
      <w:r>
        <w:rPr>
          <w:rFonts w:hint="eastAsia" w:ascii="宋体" w:hAnsi="宋体" w:cs="宋体"/>
          <w:b/>
          <w:color w:val="000000"/>
          <w:sz w:val="32"/>
        </w:rPr>
        <w:tab/>
      </w:r>
      <w:r>
        <w:rPr>
          <w:rFonts w:hint="eastAsia" w:ascii="宋体" w:hAnsi="宋体" w:cs="宋体"/>
          <w:b/>
          <w:color w:val="000000"/>
          <w:sz w:val="32"/>
        </w:rPr>
        <w:fldChar w:fldCharType="begin"/>
      </w:r>
      <w:r>
        <w:rPr>
          <w:rFonts w:hint="eastAsia" w:ascii="宋体" w:hAnsi="宋体" w:cs="宋体"/>
          <w:b/>
          <w:color w:val="000000"/>
          <w:sz w:val="32"/>
        </w:rPr>
        <w:instrText xml:space="preserve"> PAGEREF _Toc531 </w:instrText>
      </w:r>
      <w:r>
        <w:rPr>
          <w:rFonts w:hint="eastAsia" w:ascii="宋体" w:hAnsi="宋体" w:cs="宋体"/>
          <w:b/>
          <w:color w:val="000000"/>
          <w:sz w:val="32"/>
        </w:rPr>
        <w:fldChar w:fldCharType="separate"/>
      </w:r>
      <w:r>
        <w:rPr>
          <w:rFonts w:hint="eastAsia" w:ascii="宋体" w:hAnsi="宋体" w:cs="宋体"/>
          <w:b/>
          <w:color w:val="000000"/>
          <w:sz w:val="32"/>
        </w:rPr>
        <w:t>1</w:t>
      </w:r>
      <w:r>
        <w:rPr>
          <w:rFonts w:hint="eastAsia" w:ascii="宋体" w:hAnsi="宋体" w:cs="宋体"/>
          <w:b/>
          <w:color w:val="000000"/>
          <w:sz w:val="32"/>
        </w:rPr>
        <w:fldChar w:fldCharType="end"/>
      </w:r>
      <w:r>
        <w:rPr>
          <w:rFonts w:hint="eastAsia" w:ascii="宋体" w:hAnsi="宋体" w:cs="宋体"/>
          <w:b/>
          <w:color w:val="000000"/>
          <w:sz w:val="32"/>
        </w:rPr>
        <w:fldChar w:fldCharType="end"/>
      </w:r>
    </w:p>
    <w:p>
      <w:pPr>
        <w:pStyle w:val="7"/>
        <w:tabs>
          <w:tab w:val="right" w:leader="dot" w:pos="8306"/>
        </w:tabs>
        <w:rPr>
          <w:rFonts w:ascii="宋体" w:hAnsi="宋体" w:cs="宋体"/>
          <w:b/>
          <w:color w:val="000000"/>
          <w:sz w:val="32"/>
        </w:rPr>
      </w:pPr>
      <w:r>
        <w:fldChar w:fldCharType="begin"/>
      </w:r>
      <w:r>
        <w:instrText xml:space="preserve"> HYPERLINK \l "_Toc25096" </w:instrText>
      </w:r>
      <w:r>
        <w:fldChar w:fldCharType="separate"/>
      </w:r>
      <w:r>
        <w:rPr>
          <w:rFonts w:hint="eastAsia" w:ascii="宋体" w:hAnsi="宋体" w:cs="宋体"/>
          <w:b/>
          <w:color w:val="000000"/>
          <w:sz w:val="32"/>
        </w:rPr>
        <w:t>预算项目绩效表</w:t>
      </w:r>
      <w:r>
        <w:rPr>
          <w:rFonts w:hint="eastAsia" w:ascii="宋体" w:hAnsi="宋体" w:cs="宋体"/>
          <w:b/>
          <w:color w:val="000000"/>
          <w:sz w:val="32"/>
        </w:rPr>
        <w:tab/>
      </w:r>
      <w:r>
        <w:rPr>
          <w:rFonts w:hint="eastAsia" w:ascii="宋体" w:hAnsi="宋体" w:cs="宋体"/>
          <w:b/>
          <w:color w:val="000000"/>
          <w:sz w:val="32"/>
        </w:rPr>
        <w:t>10</w:t>
      </w:r>
      <w:r>
        <w:rPr>
          <w:rFonts w:hint="eastAsia" w:ascii="宋体" w:hAnsi="宋体" w:cs="宋体"/>
          <w:b/>
          <w:color w:val="000000"/>
          <w:sz w:val="32"/>
        </w:rPr>
        <w:fldChar w:fldCharType="end"/>
      </w:r>
    </w:p>
    <w:p>
      <w:pPr>
        <w:pStyle w:val="7"/>
        <w:tabs>
          <w:tab w:val="right" w:leader="dot" w:pos="8306"/>
        </w:tabs>
        <w:rPr>
          <w:rFonts w:ascii="宋体" w:hAnsi="宋体" w:cs="宋体"/>
          <w:b/>
          <w:color w:val="000000"/>
          <w:sz w:val="32"/>
        </w:rPr>
      </w:pPr>
    </w:p>
    <w:p>
      <w:pPr>
        <w:jc w:val="center"/>
        <w:sectPr>
          <w:pgSz w:w="11906" w:h="16838"/>
          <w:pgMar w:top="1440" w:right="1800" w:bottom="1440" w:left="1800" w:header="851" w:footer="992" w:gutter="0"/>
          <w:cols w:space="720" w:num="1"/>
          <w:docGrid w:type="lines" w:linePitch="312" w:charSpace="0"/>
        </w:sectPr>
      </w:pPr>
      <w:r>
        <w:rPr>
          <w:rFonts w:hint="eastAsia" w:ascii="宋体" w:hAnsi="宋体" w:cs="宋体"/>
          <w:b/>
          <w:color w:val="000000"/>
          <w:sz w:val="32"/>
        </w:rPr>
        <w:fldChar w:fldCharType="end"/>
      </w:r>
    </w:p>
    <w:p>
      <w:pPr>
        <w:ind w:firstLine="880" w:firstLineChars="200"/>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第一部分</w:t>
      </w:r>
    </w:p>
    <w:p>
      <w:pPr>
        <w:ind w:firstLine="880" w:firstLineChars="200"/>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部门总体绩效目标及保障措施</w:t>
      </w:r>
    </w:p>
    <w:p>
      <w:pPr>
        <w:spacing w:line="560" w:lineRule="exact"/>
        <w:ind w:firstLine="723" w:firstLineChars="225"/>
        <w:rPr>
          <w:rFonts w:ascii="黑体" w:hAnsi="黑体" w:eastAsia="黑体"/>
          <w:b/>
          <w:sz w:val="32"/>
          <w:szCs w:val="32"/>
        </w:rPr>
      </w:pPr>
      <w:r>
        <w:rPr>
          <w:rFonts w:hint="eastAsia" w:ascii="黑体" w:hAnsi="黑体" w:eastAsia="黑体"/>
          <w:b/>
          <w:sz w:val="32"/>
          <w:szCs w:val="32"/>
        </w:rPr>
        <w:t>一、大力推进项目建设</w:t>
      </w:r>
    </w:p>
    <w:p>
      <w:pPr>
        <w:spacing w:line="560" w:lineRule="exact"/>
        <w:ind w:firstLine="720" w:firstLineChars="225"/>
        <w:rPr>
          <w:rFonts w:ascii="仿宋" w:hAnsi="仿宋" w:eastAsia="仿宋"/>
          <w:sz w:val="32"/>
          <w:szCs w:val="32"/>
        </w:rPr>
      </w:pPr>
      <w:r>
        <w:rPr>
          <w:rFonts w:hint="eastAsia" w:ascii="仿宋" w:hAnsi="仿宋" w:eastAsia="仿宋"/>
          <w:sz w:val="32"/>
          <w:szCs w:val="32"/>
        </w:rPr>
        <w:t>一是全力加强招商引资，进一步落实全员招商制度，广泛搜集招商信息，积极开展外联洽谈，完成新增两个五千万元项目的招商任务。</w:t>
      </w:r>
    </w:p>
    <w:p>
      <w:pPr>
        <w:spacing w:line="560" w:lineRule="exact"/>
        <w:ind w:firstLine="720" w:firstLineChars="225"/>
        <w:rPr>
          <w:rFonts w:ascii="仿宋" w:hAnsi="仿宋" w:eastAsia="仿宋"/>
          <w:sz w:val="32"/>
          <w:szCs w:val="32"/>
        </w:rPr>
      </w:pPr>
      <w:r>
        <w:rPr>
          <w:rFonts w:hint="eastAsia" w:ascii="仿宋" w:hAnsi="仿宋" w:eastAsia="仿宋"/>
          <w:sz w:val="32"/>
          <w:szCs w:val="32"/>
        </w:rPr>
        <w:t>二是全力推进项目建设，进一步落实重点项目分包制度，细化项目建设服务小组，从签约到落地实施全过程服务，促进现在宝瑞真空镀膜、森坤建材和金信华恒与红冶国能合作项目早日落地开工。同时，搞好第四中学、鸿儒雅苑等在建项目的服务工作，确保顺利施工，早日达产。</w:t>
      </w:r>
    </w:p>
    <w:p>
      <w:pPr>
        <w:spacing w:line="560" w:lineRule="exact"/>
        <w:ind w:firstLine="720" w:firstLineChars="225"/>
        <w:rPr>
          <w:rFonts w:ascii="仿宋" w:hAnsi="仿宋" w:eastAsia="仿宋"/>
          <w:sz w:val="32"/>
          <w:szCs w:val="32"/>
        </w:rPr>
      </w:pPr>
      <w:r>
        <w:rPr>
          <w:rFonts w:hint="eastAsia" w:ascii="仿宋" w:hAnsi="仿宋" w:eastAsia="仿宋"/>
          <w:sz w:val="32"/>
          <w:szCs w:val="32"/>
        </w:rPr>
        <w:t>三是做好服务企业工作，建立领导干部联系企业工作制度，定期开展入企业调研，及时了解企业发展过程中遇到的困难，帮助解决实际问题，积极争取奖补政策。</w:t>
      </w:r>
    </w:p>
    <w:p>
      <w:pPr>
        <w:spacing w:line="560" w:lineRule="exact"/>
        <w:ind w:firstLine="720" w:firstLineChars="225"/>
        <w:rPr>
          <w:rFonts w:ascii="仿宋" w:hAnsi="仿宋" w:eastAsia="仿宋"/>
          <w:sz w:val="32"/>
          <w:szCs w:val="32"/>
        </w:rPr>
      </w:pPr>
      <w:r>
        <w:rPr>
          <w:rFonts w:hint="eastAsia" w:ascii="仿宋" w:hAnsi="仿宋" w:eastAsia="仿宋"/>
          <w:sz w:val="32"/>
          <w:szCs w:val="32"/>
        </w:rPr>
        <w:t>四是加强主要经济指标工作，细致开展税源调查，稳旧拓新，不断增加税源；积极组织项目企业入库，按时上报固投数据，确保完成全年财税收入任务和固定资产投资任务。</w:t>
      </w:r>
    </w:p>
    <w:p>
      <w:pPr>
        <w:spacing w:line="560" w:lineRule="exact"/>
        <w:ind w:firstLine="723" w:firstLineChars="225"/>
        <w:rPr>
          <w:rFonts w:ascii="黑体" w:hAnsi="黑体" w:eastAsia="黑体"/>
          <w:b/>
          <w:sz w:val="32"/>
          <w:szCs w:val="32"/>
        </w:rPr>
      </w:pPr>
      <w:r>
        <w:rPr>
          <w:rFonts w:hint="eastAsia" w:ascii="黑体" w:hAnsi="黑体" w:eastAsia="黑体"/>
          <w:b/>
          <w:sz w:val="32"/>
          <w:szCs w:val="32"/>
        </w:rPr>
        <w:t>二、大力推进社会建设</w:t>
      </w:r>
    </w:p>
    <w:p>
      <w:pPr>
        <w:spacing w:line="560" w:lineRule="exact"/>
        <w:ind w:firstLine="723" w:firstLineChars="225"/>
        <w:rPr>
          <w:rFonts w:ascii="仿宋" w:hAnsi="仿宋" w:eastAsia="仿宋"/>
          <w:b/>
          <w:sz w:val="32"/>
          <w:szCs w:val="32"/>
        </w:rPr>
      </w:pPr>
      <w:r>
        <w:rPr>
          <w:rFonts w:hint="eastAsia" w:ascii="仿宋" w:hAnsi="仿宋" w:eastAsia="仿宋"/>
          <w:b/>
          <w:sz w:val="32"/>
          <w:szCs w:val="32"/>
        </w:rPr>
        <w:t>（一）开展平安和谐街道</w:t>
      </w:r>
    </w:p>
    <w:p>
      <w:pPr>
        <w:ind w:firstLine="640" w:firstLineChars="200"/>
        <w:jc w:val="left"/>
        <w:rPr>
          <w:rFonts w:ascii="仿宋" w:hAnsi="仿宋" w:eastAsia="仿宋" w:cs="宋体"/>
          <w:kern w:val="0"/>
          <w:sz w:val="32"/>
          <w:szCs w:val="32"/>
          <w:lang w:val="zh-CN"/>
        </w:rPr>
      </w:pPr>
      <w:r>
        <w:rPr>
          <w:rFonts w:hint="eastAsia" w:ascii="仿宋" w:hAnsi="仿宋" w:eastAsia="仿宋" w:cs="Calibri"/>
          <w:kern w:val="0"/>
          <w:sz w:val="32"/>
          <w:szCs w:val="32"/>
        </w:rPr>
        <w:t>一是坚决维护国家安全。组织开展好全民国家安全教育日常相关活动；</w:t>
      </w:r>
      <w:r>
        <w:rPr>
          <w:rFonts w:hint="eastAsia" w:ascii="仿宋" w:hAnsi="仿宋" w:eastAsia="仿宋" w:cs="宋体"/>
          <w:kern w:val="0"/>
          <w:sz w:val="32"/>
          <w:szCs w:val="32"/>
          <w:lang w:val="zh-CN"/>
        </w:rPr>
        <w:t>做好“法轮功”等邪教组织稳控排查，力争不出现新的邪教分子和不稳定人员，积极做好原有人员转化帮教,结合有关部门好解脱工作；加强辖区巡查力度，及时清理反标反宣品。二是加快社会治安综合治理智能化建设，</w:t>
      </w:r>
      <w:r>
        <w:rPr>
          <w:rFonts w:hint="eastAsia" w:ascii="仿宋" w:hAnsi="仿宋" w:eastAsia="仿宋" w:cs="Times New Roman"/>
          <w:sz w:val="32"/>
          <w:szCs w:val="32"/>
        </w:rPr>
        <w:t>实现“雪亮工程”视频监控有效覆盖，进一步完善海金、龙源社区综治中心示范点，进一步推进河北省社会治安综合治理信息系统数据录入工作,积极利用好全国社会治安综合治理视联网平台。三是扎实开展社会矛盾排查化解，</w:t>
      </w:r>
      <w:r>
        <w:rPr>
          <w:rFonts w:hint="eastAsia" w:ascii="仿宋" w:hAnsi="仿宋" w:eastAsia="仿宋" w:cs="宋体"/>
          <w:kern w:val="0"/>
          <w:sz w:val="32"/>
          <w:szCs w:val="32"/>
          <w:lang w:val="zh-CN"/>
        </w:rPr>
        <w:t>进一步加大矛盾纠纷排查调处力度，结合信访办等相关部门，做好矛盾纠纷排查调处工作台账周报和月报，做到底数清，信息畅通；为有效防范化解影响社会安定的突出问题，确保“两会”期间社会大局稳定，在辖区内集中开展矛盾问题排查调处和社会治安重点地区突出治安问题排查整治专项活动。四是深入开展扫黑除恶专项斗争，在辖区内加大扫黑除恶专项斗争的宣传力度，细致摸排，深挖线索，全力做好扫黑除恶专项斗争。开展街道党工委书记与社区党支部书记和所站长每半年一次的层层谈话工作。五是加强重点领域和重点人员的监管，开展严重肇事肇祸精神病人摸排，及时进行动态管理，加强对肇事肇祸精神病人监管，及时做好监护人以奖代补的发放工作。</w:t>
      </w:r>
      <w:r>
        <w:rPr>
          <w:rFonts w:ascii="仿宋" w:hAnsi="仿宋" w:eastAsia="仿宋" w:cs="宋体"/>
          <w:kern w:val="0"/>
          <w:sz w:val="32"/>
          <w:szCs w:val="32"/>
          <w:lang w:val="zh-CN"/>
        </w:rPr>
        <w:t xml:space="preserve"> </w:t>
      </w:r>
      <w:r>
        <w:rPr>
          <w:rFonts w:hint="eastAsia" w:ascii="仿宋" w:hAnsi="仿宋" w:eastAsia="仿宋" w:cs="宋体"/>
          <w:kern w:val="0"/>
          <w:sz w:val="32"/>
          <w:szCs w:val="32"/>
          <w:lang w:val="zh-CN"/>
        </w:rPr>
        <w:t>六是加强社会治安防控，加强对校园周边安全隐患的排查治理。对特殊人群逐一落实责任,决不能漏管失控。七是加强禁种铲毒工作，开展主题禁毒宣传活动，悬挂条幅，向辖区居民发放宣传资料普及毒品的种类、危害和如何预防毒品侵蚀等禁毒知识；结合创建禁毒示范城市，加大毒品危害宣传，做好禁种铲毒工作；完善社区戒毒工作，加强对社区戒毒人员的日常监管。八是积极推进治安保险工作，协调保险公司做好报险居民的赔付。</w:t>
      </w:r>
    </w:p>
    <w:p>
      <w:pPr>
        <w:autoSpaceDE w:val="0"/>
        <w:autoSpaceDN w:val="0"/>
        <w:adjustRightInd w:val="0"/>
        <w:ind w:firstLine="480" w:firstLineChars="150"/>
        <w:rPr>
          <w:rFonts w:ascii="仿宋" w:hAnsi="仿宋" w:eastAsia="仿宋" w:cs="宋体"/>
          <w:kern w:val="0"/>
          <w:sz w:val="32"/>
          <w:szCs w:val="32"/>
          <w:lang w:val="zh-CN"/>
        </w:rPr>
      </w:pPr>
      <w:r>
        <w:rPr>
          <w:rFonts w:hint="eastAsia" w:ascii="仿宋" w:hAnsi="仿宋" w:eastAsia="仿宋" w:cs="宋体"/>
          <w:kern w:val="0"/>
          <w:sz w:val="32"/>
          <w:szCs w:val="32"/>
          <w:lang w:val="zh-CN"/>
        </w:rPr>
        <w:t>（二）开展安全稳定街道建设</w:t>
      </w:r>
    </w:p>
    <w:p>
      <w:pPr>
        <w:spacing w:line="560" w:lineRule="exact"/>
        <w:ind w:firstLine="640" w:firstLineChars="200"/>
        <w:rPr>
          <w:rFonts w:ascii="仿宋" w:hAnsi="仿宋" w:eastAsia="仿宋"/>
          <w:sz w:val="44"/>
          <w:szCs w:val="44"/>
        </w:rPr>
      </w:pPr>
      <w:r>
        <w:rPr>
          <w:rFonts w:hint="eastAsia" w:ascii="仿宋" w:hAnsi="仿宋" w:eastAsia="仿宋"/>
          <w:sz w:val="32"/>
          <w:szCs w:val="32"/>
        </w:rPr>
        <w:t>一是按照“党政同责，一岗双责、齐抓共管”的原则，落实领导干部依法履行安全生产综合监管职责，层层压实责任，实现以上率下，扎实推进我街道安全生产责任体系建设。二是逐级签订安全生产目标管理责任书。明确属地监管职责，实现安全生产“关口前移，重心下移”，确保全街道</w:t>
      </w:r>
      <w:r>
        <w:rPr>
          <w:rFonts w:hint="eastAsia" w:ascii="仿宋" w:hAnsi="仿宋" w:eastAsia="仿宋"/>
          <w:color w:val="333333"/>
          <w:sz w:val="32"/>
          <w:szCs w:val="32"/>
        </w:rPr>
        <w:t>安全生产形势稳定。三是</w:t>
      </w:r>
      <w:r>
        <w:rPr>
          <w:rFonts w:hint="eastAsia" w:ascii="仿宋" w:hAnsi="仿宋" w:eastAsia="仿宋"/>
          <w:sz w:val="32"/>
          <w:szCs w:val="32"/>
        </w:rPr>
        <w:t>广泛宣传，营造氛围，加强安全生产公益广告宣传，以公园、广场、居民密集区、主路两侧为宣传主阵地，悬挂宣传条幅，展板，发放宣传资料，营造全民参与的深厚氛围；开展送安全进社区活动，联合市安监局、公安局、消防大队、电力公司、燃气公司等单位，开展送安全进社区活动，普及安全常识，提高居民的安全意识和自救互救能力。四是深入排查，消除隐患，加强重点区域、重点部位、重点人群的安全隐患排查整治工作。协助公安、住建、消防、质监等相关单位，做好烟花爆竹、电梯、燃气、消防等的安全检查和隐患排查；做好日常安全隐患排查。时刻牢记安全无小事，加强对各社区和物业管理单位的安全督导检查，实行安全日巡查，周上报，确保居民安全用电、用火，杜绝各类事故发生。</w:t>
      </w:r>
    </w:p>
    <w:p>
      <w:pPr>
        <w:spacing w:line="560" w:lineRule="exact"/>
        <w:ind w:firstLine="720" w:firstLineChars="225"/>
        <w:rPr>
          <w:rFonts w:ascii="黑体" w:hAnsi="黑体" w:eastAsia="黑体"/>
          <w:sz w:val="32"/>
          <w:szCs w:val="32"/>
        </w:rPr>
      </w:pPr>
      <w:r>
        <w:rPr>
          <w:rFonts w:hint="eastAsia" w:ascii="黑体" w:hAnsi="黑体" w:eastAsia="黑体"/>
          <w:sz w:val="32"/>
          <w:szCs w:val="32"/>
        </w:rPr>
        <w:t>三、大力推进民生改善</w:t>
      </w:r>
    </w:p>
    <w:p>
      <w:pPr>
        <w:spacing w:line="560" w:lineRule="exact"/>
        <w:ind w:firstLine="723" w:firstLineChars="225"/>
        <w:rPr>
          <w:rFonts w:ascii="仿宋" w:hAnsi="仿宋" w:eastAsia="仿宋"/>
          <w:b/>
          <w:sz w:val="32"/>
          <w:szCs w:val="32"/>
        </w:rPr>
      </w:pPr>
      <w:r>
        <w:rPr>
          <w:rFonts w:hint="eastAsia" w:ascii="仿宋" w:hAnsi="仿宋" w:eastAsia="仿宋"/>
          <w:b/>
          <w:sz w:val="32"/>
          <w:szCs w:val="32"/>
        </w:rPr>
        <w:t>（一）加强弱势群众救助</w:t>
      </w:r>
    </w:p>
    <w:p>
      <w:pPr>
        <w:spacing w:line="560" w:lineRule="exact"/>
        <w:ind w:firstLine="720" w:firstLineChars="225"/>
        <w:rPr>
          <w:rFonts w:ascii="仿宋" w:hAnsi="仿宋" w:eastAsia="仿宋"/>
          <w:sz w:val="32"/>
          <w:szCs w:val="32"/>
        </w:rPr>
      </w:pPr>
      <w:r>
        <w:rPr>
          <w:rFonts w:hint="eastAsia" w:ascii="仿宋" w:hAnsi="仿宋" w:eastAsia="仿宋"/>
          <w:sz w:val="32"/>
          <w:szCs w:val="32"/>
        </w:rPr>
        <w:t>一是扎实开展低保工作，利用春节后2个月的时间集中对63户低保户进行入户核实，做好低保的动态管理，按季度走访入户，每月做好低保和救助两个系统的维护和调整。同时，开展低保户及一般贫困户的临时救助、节日救助等救济工作，帮助解决困难。二是加强老龄人口统计和服务，及时对80周以上高龄老人进行核查登统上报，按政策重阳节前后发放高龄老人生活补贴。三是加强残疾人服务工作，按要求组织好残疾人职业技能培训，及时做好残疾人换证工作。四是按时</w:t>
      </w:r>
      <w:r>
        <w:rPr>
          <w:rFonts w:hint="eastAsia" w:ascii="仿宋" w:hAnsi="仿宋" w:eastAsia="仿宋" w:cs="Times New Roman"/>
          <w:sz w:val="32"/>
          <w:szCs w:val="32"/>
        </w:rPr>
        <w:t>完成保障性住房申请、入户核查和资料初审工作，配合住建局对79户已入住保障性住房的住户集中核查并组档上报。</w:t>
      </w:r>
    </w:p>
    <w:p>
      <w:pPr>
        <w:spacing w:line="560" w:lineRule="exact"/>
        <w:ind w:firstLine="720" w:firstLineChars="225"/>
        <w:rPr>
          <w:rFonts w:ascii="仿宋" w:hAnsi="仿宋" w:eastAsia="仿宋"/>
          <w:sz w:val="32"/>
          <w:szCs w:val="32"/>
        </w:rPr>
      </w:pPr>
      <w:r>
        <w:rPr>
          <w:rFonts w:hint="eastAsia" w:ascii="仿宋" w:hAnsi="仿宋" w:eastAsia="仿宋"/>
          <w:sz w:val="32"/>
          <w:szCs w:val="32"/>
        </w:rPr>
        <w:t>（二）加强劳动保障服务</w:t>
      </w:r>
    </w:p>
    <w:p>
      <w:pPr>
        <w:spacing w:line="560" w:lineRule="exact"/>
        <w:ind w:firstLine="720" w:firstLineChars="225"/>
        <w:rPr>
          <w:rFonts w:ascii="仿宋" w:hAnsi="仿宋" w:eastAsia="仿宋"/>
          <w:sz w:val="32"/>
          <w:szCs w:val="32"/>
        </w:rPr>
      </w:pPr>
      <w:r>
        <w:rPr>
          <w:rFonts w:hint="eastAsia" w:ascii="仿宋" w:hAnsi="仿宋" w:eastAsia="仿宋"/>
          <w:sz w:val="32"/>
          <w:szCs w:val="32"/>
        </w:rPr>
        <w:t>一是做好日常下岗失业人员《就业创业证》申领办理服务；二是按程序按时限完成就业困难人员认定；三是及时为本单位公益岗位人员申请各项保险和岗位补贴，20日前缴纳养老、失业、医疗和工伤保险；四是按时限为灵活就业人员办理社会保险补贴申领手续；五是随时协助高校毕业生申请创业补贴金；六是为异地退休人员做好协助认证工作；七是按程序为居民申请办理小额贷款补贴。</w:t>
      </w:r>
    </w:p>
    <w:p>
      <w:pPr>
        <w:spacing w:line="560" w:lineRule="exact"/>
        <w:ind w:firstLine="723" w:firstLineChars="225"/>
        <w:rPr>
          <w:rFonts w:ascii="仿宋" w:hAnsi="仿宋" w:eastAsia="仿宋"/>
          <w:b/>
          <w:sz w:val="32"/>
          <w:szCs w:val="32"/>
        </w:rPr>
      </w:pPr>
      <w:r>
        <w:rPr>
          <w:rFonts w:hint="eastAsia" w:ascii="仿宋" w:hAnsi="仿宋" w:eastAsia="仿宋"/>
          <w:b/>
          <w:sz w:val="32"/>
          <w:szCs w:val="32"/>
        </w:rPr>
        <w:t>（三</w:t>
      </w:r>
      <w:r>
        <w:rPr>
          <w:rFonts w:ascii="仿宋" w:hAnsi="仿宋" w:eastAsia="仿宋"/>
          <w:b/>
          <w:sz w:val="32"/>
          <w:szCs w:val="32"/>
        </w:rPr>
        <w:t>）</w:t>
      </w:r>
      <w:r>
        <w:rPr>
          <w:rFonts w:hint="eastAsia" w:ascii="仿宋" w:hAnsi="仿宋" w:eastAsia="仿宋"/>
          <w:b/>
          <w:sz w:val="32"/>
          <w:szCs w:val="32"/>
        </w:rPr>
        <w:t>加强社会保险服务</w:t>
      </w:r>
    </w:p>
    <w:p>
      <w:pPr>
        <w:spacing w:line="560" w:lineRule="exact"/>
        <w:ind w:firstLine="720" w:firstLineChars="225"/>
        <w:rPr>
          <w:rFonts w:ascii="仿宋" w:hAnsi="仿宋" w:eastAsia="仿宋"/>
          <w:sz w:val="32"/>
          <w:szCs w:val="32"/>
        </w:rPr>
      </w:pPr>
      <w:r>
        <w:rPr>
          <w:rFonts w:hint="eastAsia" w:ascii="仿宋" w:hAnsi="仿宋" w:eastAsia="仿宋"/>
          <w:sz w:val="32"/>
          <w:szCs w:val="32"/>
        </w:rPr>
        <w:t>一是按月为参加居民养老保险的到龄居民办理养老金领取手续，7月份开始为居民办理城乡居民养老保险新参保和续保手续；二是按时为无业居民办理职工养老保险；三是按月为已参加城乡养老保险的居民办理待遇核定及火化厂回单的比对业务；四是推进医疗保险收缴，按时为居民办理医疗保险缴费和业务变更工作，每月1－20日办理新生儿医保业务。</w:t>
      </w:r>
    </w:p>
    <w:p>
      <w:pPr>
        <w:spacing w:line="560" w:lineRule="exact"/>
        <w:ind w:firstLine="723" w:firstLineChars="225"/>
        <w:rPr>
          <w:rFonts w:ascii="仿宋" w:hAnsi="仿宋" w:eastAsia="仿宋"/>
          <w:b/>
          <w:sz w:val="32"/>
          <w:szCs w:val="32"/>
        </w:rPr>
      </w:pPr>
      <w:r>
        <w:rPr>
          <w:rFonts w:hint="eastAsia" w:ascii="仿宋" w:hAnsi="仿宋" w:eastAsia="仿宋"/>
          <w:b/>
          <w:sz w:val="32"/>
          <w:szCs w:val="32"/>
        </w:rPr>
        <w:t>（四）加强文明城市创建</w:t>
      </w:r>
    </w:p>
    <w:p>
      <w:pPr>
        <w:spacing w:line="560" w:lineRule="exact"/>
        <w:ind w:firstLine="720" w:firstLineChars="225"/>
        <w:rPr>
          <w:rFonts w:ascii="仿宋" w:hAnsi="仿宋" w:eastAsia="仿宋"/>
          <w:sz w:val="32"/>
          <w:szCs w:val="32"/>
        </w:rPr>
      </w:pPr>
      <w:r>
        <w:rPr>
          <w:rFonts w:hint="eastAsia" w:ascii="仿宋" w:hAnsi="仿宋" w:eastAsia="仿宋"/>
          <w:sz w:val="32"/>
          <w:szCs w:val="32"/>
        </w:rPr>
        <w:t>在全国文明城市创建工作中，2020年，文化路街道将以“让社区更美丽、让市民更幸福、让社会更和谐”为目标，进一步完善硬件基础设施，持续开展社区小区综合整治提升行动，丰富创建内涵，建立长效机制，做到常态创建，打造优美环境、优良秩序、优质服务。</w:t>
      </w:r>
    </w:p>
    <w:p>
      <w:pPr>
        <w:spacing w:line="560" w:lineRule="exact"/>
        <w:ind w:firstLine="723" w:firstLineChars="225"/>
        <w:rPr>
          <w:rFonts w:ascii="仿宋" w:hAnsi="仿宋" w:eastAsia="仿宋"/>
          <w:b/>
          <w:sz w:val="32"/>
          <w:szCs w:val="32"/>
        </w:rPr>
      </w:pPr>
      <w:r>
        <w:rPr>
          <w:rFonts w:hint="eastAsia" w:ascii="仿宋" w:hAnsi="仿宋" w:eastAsia="仿宋"/>
          <w:b/>
          <w:sz w:val="32"/>
          <w:szCs w:val="32"/>
        </w:rPr>
        <w:t>（五）加强便民服务工作</w:t>
      </w:r>
    </w:p>
    <w:p>
      <w:pPr>
        <w:spacing w:line="560" w:lineRule="exact"/>
        <w:ind w:firstLine="720" w:firstLineChars="225"/>
        <w:rPr>
          <w:rFonts w:ascii="仿宋" w:hAnsi="仿宋" w:eastAsia="仿宋"/>
          <w:sz w:val="32"/>
          <w:szCs w:val="32"/>
        </w:rPr>
      </w:pPr>
      <w:r>
        <w:rPr>
          <w:rFonts w:hint="eastAsia" w:ascii="仿宋" w:hAnsi="仿宋" w:eastAsia="仿宋"/>
          <w:sz w:val="32"/>
          <w:szCs w:val="32"/>
        </w:rPr>
        <w:t>协助住建局对人民银行家属楼、地税家属院进行老旧小区改造提升，改善居民居住条件；全力推进业主委员会选举工作，2020年计划选举业主委员会5个，推进居民自治工作；全力推进不动产权证办理，对建设主体灭失的小区由街道组织业主办理不动产权证。</w:t>
      </w:r>
    </w:p>
    <w:p>
      <w:pPr>
        <w:spacing w:line="560" w:lineRule="exact"/>
        <w:ind w:firstLine="720" w:firstLineChars="225"/>
        <w:rPr>
          <w:rFonts w:ascii="黑体" w:hAnsi="黑体" w:eastAsia="黑体"/>
          <w:sz w:val="32"/>
          <w:szCs w:val="32"/>
        </w:rPr>
      </w:pPr>
      <w:r>
        <w:rPr>
          <w:rFonts w:hint="eastAsia" w:ascii="黑体" w:hAnsi="黑体" w:eastAsia="黑体"/>
          <w:sz w:val="32"/>
          <w:szCs w:val="32"/>
        </w:rPr>
        <w:t>四、大力推进社会事业</w:t>
      </w:r>
    </w:p>
    <w:p>
      <w:pPr>
        <w:autoSpaceDE w:val="0"/>
        <w:autoSpaceDN w:val="0"/>
        <w:adjustRightInd w:val="0"/>
        <w:ind w:firstLine="482" w:firstLineChars="150"/>
        <w:rPr>
          <w:rFonts w:ascii="仿宋" w:hAnsi="仿宋" w:eastAsia="仿宋" w:cs="宋体"/>
          <w:b/>
          <w:kern w:val="0"/>
          <w:sz w:val="32"/>
          <w:szCs w:val="32"/>
          <w:lang w:val="zh-CN"/>
        </w:rPr>
      </w:pPr>
      <w:r>
        <w:rPr>
          <w:rFonts w:hint="eastAsia" w:ascii="仿宋" w:hAnsi="仿宋" w:eastAsia="仿宋" w:cs="宋体"/>
          <w:b/>
          <w:kern w:val="0"/>
          <w:sz w:val="32"/>
          <w:szCs w:val="32"/>
          <w:lang w:val="zh-CN"/>
        </w:rPr>
        <w:t>（一）开展环保街道建设</w:t>
      </w:r>
    </w:p>
    <w:p>
      <w:pPr>
        <w:pStyle w:val="8"/>
        <w:shd w:val="clear" w:color="auto" w:fill="FFFFFF"/>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color w:val="333333"/>
          <w:sz w:val="32"/>
          <w:szCs w:val="32"/>
        </w:rPr>
        <w:t>为认真贯彻落实市委、市政府关于强力推进生态环保大气污染综合治理的意见要求，</w:t>
      </w:r>
      <w:r>
        <w:rPr>
          <w:rFonts w:hint="eastAsia" w:ascii="仿宋" w:hAnsi="仿宋" w:eastAsia="仿宋"/>
          <w:color w:val="333333"/>
          <w:sz w:val="32"/>
          <w:szCs w:val="32"/>
          <w:shd w:val="clear" w:color="auto" w:fill="FFFFFF"/>
        </w:rPr>
        <w:t>按照“党政同责，一岗双责”的责任要求，</w:t>
      </w:r>
      <w:r>
        <w:rPr>
          <w:rFonts w:hint="eastAsia" w:ascii="仿宋" w:hAnsi="仿宋" w:eastAsia="仿宋"/>
          <w:color w:val="333333"/>
          <w:sz w:val="32"/>
          <w:szCs w:val="32"/>
        </w:rPr>
        <w:t>确保全市大气环境质量持续好转。</w:t>
      </w:r>
      <w:r>
        <w:rPr>
          <w:rFonts w:hint="eastAsia" w:ascii="仿宋" w:hAnsi="仿宋" w:eastAsia="仿宋"/>
          <w:sz w:val="32"/>
          <w:szCs w:val="32"/>
        </w:rPr>
        <w:t>一是加强组织领导，制定《文化路街道大气污染防治方案》与《文化路街道重污染天气应急预案》，成立文化路街道大气污染防治工作领导小组，由街道主要领导任组长，分管领导任副组长，街道环保办、环卫办、城管中队、安监办人员为成员。二是严格控制辖区垃圾焚烧，认真落实网格化管理，由环保办牵头，由各社区工作人员、社区小组长、各片保洁员对所管辖区巡查，及时制止焚烧垃圾等污染环境行为。三是加大宣传力度，坚持以宣传为先导，持续组织开展形式多样的系列环保宣传活动，结合街道阶段性专项工作，走家入户进行广泛宣传，促进大气污染防治工作深入人心，从而提高居民对环境保护的整体意识。四是积极推行辖区内散煤户集中供热和大力推广洁净型煤和节能型炉具，降低燃煤污染，改善空气质量，减少雾霾天气。</w:t>
      </w:r>
    </w:p>
    <w:p>
      <w:pPr>
        <w:spacing w:line="560" w:lineRule="exact"/>
        <w:ind w:firstLine="723" w:firstLineChars="225"/>
        <w:rPr>
          <w:rFonts w:ascii="仿宋" w:hAnsi="仿宋" w:eastAsia="仿宋"/>
          <w:b/>
          <w:sz w:val="32"/>
          <w:szCs w:val="32"/>
        </w:rPr>
      </w:pPr>
      <w:r>
        <w:rPr>
          <w:rFonts w:hint="eastAsia" w:ascii="仿宋" w:hAnsi="仿宋" w:eastAsia="仿宋"/>
          <w:b/>
          <w:sz w:val="32"/>
          <w:szCs w:val="32"/>
        </w:rPr>
        <w:t>（二）开展整洁街道建设</w:t>
      </w:r>
    </w:p>
    <w:p>
      <w:pPr>
        <w:spacing w:line="560" w:lineRule="exact"/>
        <w:ind w:firstLine="720" w:firstLineChars="225"/>
        <w:rPr>
          <w:rFonts w:ascii="仿宋" w:hAnsi="仿宋" w:eastAsia="仿宋" w:cs="宋体"/>
          <w:kern w:val="0"/>
          <w:sz w:val="32"/>
          <w:szCs w:val="32"/>
        </w:rPr>
      </w:pPr>
      <w:r>
        <w:rPr>
          <w:rFonts w:hint="eastAsia" w:ascii="仿宋" w:hAnsi="仿宋" w:eastAsia="仿宋" w:cs="宋体"/>
          <w:kern w:val="0"/>
          <w:sz w:val="32"/>
          <w:szCs w:val="32"/>
        </w:rPr>
        <w:t>一是监督管辖范围内的违法、违规、无手续或手续不全的私搭乱建等违规现象。二是加强城管整治力度，注重违章细节的处置，把违章现象化解在萌芽状态，疏、堵结合。三是加大摊点乱摆、垃圾乱扔、车辆乱停、杂物乱堆、广告乱设等现象的监察管理力度，荣锦花园东胡同和学院路两条背街小巷全面整治清理。四是进一步完善保洁员考核制度，针对迟到早退、清扫不彻底等现象，制定了相应的管理办法和奖惩制度。五是加强日常管理，在保洁上做好常规清扫保洁的同时，主要是对路口、路面、树坑、便道、路牙、绿化带等进行管控和清扫。六是加强宣传教育力度，努力提高社区内居民的文明素养，不断增强居民群众维护街道环境秩序的责任意识，及时公开曝光</w:t>
      </w:r>
      <w:r>
        <w:rPr>
          <w:rFonts w:ascii="仿宋" w:hAnsi="仿宋" w:eastAsia="仿宋" w:cs="宋体"/>
          <w:kern w:val="0"/>
          <w:sz w:val="32"/>
          <w:szCs w:val="32"/>
        </w:rPr>
        <w:t>——</w:t>
      </w:r>
      <w:r>
        <w:rPr>
          <w:rFonts w:hint="eastAsia" w:ascii="仿宋" w:hAnsi="仿宋" w:eastAsia="仿宋" w:cs="宋体"/>
          <w:kern w:val="0"/>
          <w:sz w:val="32"/>
          <w:szCs w:val="32"/>
        </w:rPr>
        <w:t>摊点乱摆、垃圾乱扔、车辆乱停、杂物乱堆、广告乱设的现象，为做好保洁营造良好氛围。</w:t>
      </w:r>
    </w:p>
    <w:p>
      <w:pPr>
        <w:spacing w:line="560" w:lineRule="exact"/>
        <w:ind w:firstLine="723" w:firstLineChars="225"/>
        <w:rPr>
          <w:rFonts w:ascii="仿宋" w:hAnsi="仿宋" w:eastAsia="仿宋" w:cs="宋体"/>
          <w:b/>
          <w:kern w:val="0"/>
          <w:sz w:val="32"/>
          <w:szCs w:val="32"/>
        </w:rPr>
      </w:pPr>
      <w:r>
        <w:rPr>
          <w:rFonts w:hint="eastAsia" w:ascii="仿宋" w:hAnsi="仿宋" w:eastAsia="仿宋" w:cs="宋体"/>
          <w:b/>
          <w:kern w:val="0"/>
          <w:sz w:val="32"/>
          <w:szCs w:val="32"/>
        </w:rPr>
        <w:t>（三）开展健康街道建设</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一是以海金社区省级慢性病示范区的创建为契机推进文化路辖区余下的20个居委会的慢性病工作。二是进一步推进3个流动人口卫生计生服务“均等化”工作试点，以保障流动人口的发展权益。三是为辖区内9854名育龄妇女免费查体2次。四是关怀、关注24户“失独”“残独”家庭并随时掌握他们的生活状况和需求。五是每季度邀请市妇幼保健院的妇产科主治医师为孕产妇进行产前、产后知识讲座。六是利用母亲节、5.29协会日和9.26世界人口日为契机进入社区和城区繁华地段进行卫生和计划生育宣传解疑活动，以提高居民卫生计生知识知晓率。</w:t>
      </w:r>
    </w:p>
    <w:p>
      <w:pPr>
        <w:spacing w:line="560" w:lineRule="exact"/>
        <w:ind w:firstLine="720" w:firstLineChars="225"/>
        <w:rPr>
          <w:rFonts w:ascii="黑体" w:hAnsi="黑体" w:eastAsia="黑体"/>
          <w:sz w:val="32"/>
          <w:szCs w:val="32"/>
        </w:rPr>
      </w:pPr>
      <w:r>
        <w:rPr>
          <w:rFonts w:hint="eastAsia" w:ascii="黑体" w:hAnsi="黑体" w:eastAsia="黑体"/>
          <w:sz w:val="32"/>
          <w:szCs w:val="32"/>
        </w:rPr>
        <w:t>五、大力推进组织建设</w:t>
      </w:r>
    </w:p>
    <w:p>
      <w:pPr>
        <w:spacing w:line="560" w:lineRule="exact"/>
        <w:ind w:firstLine="720" w:firstLineChars="225"/>
        <w:rPr>
          <w:rFonts w:ascii="仿宋" w:hAnsi="仿宋" w:eastAsia="仿宋"/>
          <w:sz w:val="32"/>
          <w:szCs w:val="32"/>
        </w:rPr>
      </w:pPr>
      <w:r>
        <w:rPr>
          <w:rFonts w:hint="eastAsia" w:ascii="仿宋" w:hAnsi="仿宋" w:eastAsia="仿宋"/>
          <w:sz w:val="32"/>
          <w:szCs w:val="32"/>
        </w:rPr>
        <w:t>一是建机制，凝聚党建合力。进一步健全党工委书记抓全面，分管副职抓具体，包片领导、包居干部和社区党支部书记抓落实的全员抓党建机制，强化党工委书记与班子成员、社区党支部书记定期谈心制度，进而增强街居干部抓党建责任意识，凝聚抓党建合力。</w:t>
      </w:r>
    </w:p>
    <w:p>
      <w:pPr>
        <w:spacing w:line="560" w:lineRule="exact"/>
        <w:ind w:firstLine="720" w:firstLineChars="225"/>
        <w:rPr>
          <w:rFonts w:ascii="仿宋" w:hAnsi="仿宋" w:eastAsia="仿宋"/>
          <w:sz w:val="32"/>
          <w:szCs w:val="32"/>
        </w:rPr>
      </w:pPr>
      <w:r>
        <w:rPr>
          <w:rFonts w:hint="eastAsia" w:ascii="仿宋" w:hAnsi="仿宋" w:eastAsia="仿宋"/>
          <w:sz w:val="32"/>
          <w:szCs w:val="32"/>
        </w:rPr>
        <w:t>二是搞创新，强化党员管理。推动“两学一做”学习教育常态化</w:t>
      </w:r>
      <w:r>
        <w:rPr>
          <w:rFonts w:hint="eastAsia" w:ascii="仿宋" w:hAnsi="仿宋" w:eastAsia="仿宋"/>
          <w:sz w:val="32"/>
          <w:szCs w:val="32"/>
          <w:lang w:val="en-US" w:eastAsia="zh-CN"/>
        </w:rPr>
        <w:t>制度化</w:t>
      </w:r>
      <w:bookmarkStart w:id="0" w:name="_GoBack"/>
      <w:bookmarkEnd w:id="0"/>
      <w:r>
        <w:rPr>
          <w:rFonts w:hint="eastAsia" w:ascii="仿宋" w:hAnsi="仿宋" w:eastAsia="仿宋"/>
          <w:sz w:val="32"/>
          <w:szCs w:val="32"/>
        </w:rPr>
        <w:t xml:space="preserve">，利用“七点半微信课堂”，每晚七点半向全体党员推送党建知识和工作亮点；探索实行了党员“1+N”联系制度、流动党员外出报备和返乡汇报制度等，强化流动党员和外出务工党员的管理；在加强党员“志愿者队伍”建设的基础上，引导党员骨干带领更多社区居民加入志愿者队伍，建立社区“大居民”志愿者服务队伍。 </w:t>
      </w:r>
    </w:p>
    <w:p>
      <w:pPr>
        <w:spacing w:line="560" w:lineRule="exact"/>
        <w:ind w:firstLine="720" w:firstLineChars="225"/>
        <w:rPr>
          <w:rFonts w:ascii="仿宋" w:hAnsi="仿宋" w:eastAsia="仿宋"/>
          <w:sz w:val="32"/>
          <w:szCs w:val="32"/>
        </w:rPr>
      </w:pPr>
      <w:r>
        <w:rPr>
          <w:rFonts w:hint="eastAsia" w:ascii="仿宋" w:hAnsi="仿宋" w:eastAsia="仿宋"/>
          <w:sz w:val="32"/>
          <w:szCs w:val="32"/>
        </w:rPr>
        <w:t>三是抓提升，推进阵地建设。积极打造海南、文柏等社区党建示范点，积极创建社区支部搭台、党员干部带头、私营企业主赞助、社区居民共同参与的党建示范模式。</w:t>
      </w:r>
    </w:p>
    <w:p>
      <w:pPr>
        <w:spacing w:line="560" w:lineRule="exact"/>
        <w:ind w:firstLine="720" w:firstLineChars="225"/>
        <w:rPr>
          <w:rFonts w:ascii="仿宋" w:hAnsi="仿宋" w:eastAsia="仿宋"/>
          <w:sz w:val="32"/>
          <w:szCs w:val="32"/>
        </w:rPr>
      </w:pPr>
      <w:r>
        <w:rPr>
          <w:rFonts w:hint="eastAsia" w:ascii="仿宋" w:hAnsi="仿宋" w:eastAsia="仿宋"/>
          <w:sz w:val="32"/>
          <w:szCs w:val="32"/>
        </w:rPr>
        <w:t>四是强服务，树立为民形象。建立社区支部、党员考核机制，激发社区支部、党员发挥为民服务作用。加强廉政文化建设，大力倡导清廉家风、清明党风、清淳民风，形成风清气正的良好环境。公开社区支部服务电话提供咨询服务；搭建党员志愿服务平台，组织端午送棕、环境治理、送学上门等志愿服务活动，引导社区党员、基层报到党组织、在职党员积极参与社区治安维稳、卫生改善、文明城创建等方面做出榜样，在解决居民反映的热点、难点问题上多做贡献，树立街道党组织的良好形象。</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880" w:firstLineChars="200"/>
        <w:jc w:val="center"/>
        <w:rPr>
          <w:rFonts w:cs="仿宋" w:asciiTheme="majorEastAsia" w:hAnsiTheme="majorEastAsia" w:eastAsiaTheme="majorEastAsia"/>
          <w:sz w:val="44"/>
          <w:szCs w:val="44"/>
        </w:rPr>
      </w:pPr>
    </w:p>
    <w:p>
      <w:pPr>
        <w:spacing w:line="560" w:lineRule="exact"/>
        <w:ind w:firstLine="880" w:firstLineChars="200"/>
        <w:jc w:val="center"/>
        <w:rPr>
          <w:rFonts w:cs="仿宋" w:asciiTheme="majorEastAsia" w:hAnsiTheme="majorEastAsia" w:eastAsiaTheme="majorEastAsia"/>
          <w:sz w:val="44"/>
          <w:szCs w:val="44"/>
        </w:rPr>
      </w:pPr>
    </w:p>
    <w:p>
      <w:pPr>
        <w:spacing w:line="560" w:lineRule="exact"/>
        <w:ind w:firstLine="880" w:firstLineChars="200"/>
        <w:jc w:val="center"/>
        <w:rPr>
          <w:rFonts w:cs="仿宋" w:asciiTheme="majorEastAsia" w:hAnsiTheme="majorEastAsia" w:eastAsiaTheme="majorEastAsia"/>
          <w:sz w:val="44"/>
          <w:szCs w:val="44"/>
        </w:rPr>
      </w:pPr>
      <w:r>
        <w:rPr>
          <w:rFonts w:hint="eastAsia" w:cs="仿宋" w:asciiTheme="majorEastAsia" w:hAnsiTheme="majorEastAsia" w:eastAsiaTheme="majorEastAsia"/>
          <w:sz w:val="44"/>
          <w:szCs w:val="44"/>
        </w:rPr>
        <w:t>第二部分</w:t>
      </w:r>
    </w:p>
    <w:p>
      <w:pPr>
        <w:spacing w:line="560" w:lineRule="exact"/>
        <w:ind w:firstLine="880" w:firstLineChars="200"/>
        <w:jc w:val="center"/>
        <w:rPr>
          <w:rFonts w:cs="仿宋" w:asciiTheme="majorEastAsia" w:hAnsiTheme="majorEastAsia" w:eastAsiaTheme="majorEastAsia"/>
          <w:sz w:val="44"/>
          <w:szCs w:val="44"/>
        </w:rPr>
      </w:pPr>
      <w:r>
        <w:rPr>
          <w:rFonts w:hint="eastAsia" w:cs="仿宋" w:asciiTheme="majorEastAsia" w:hAnsiTheme="majorEastAsia" w:eastAsiaTheme="majorEastAsia"/>
          <w:sz w:val="44"/>
          <w:szCs w:val="44"/>
        </w:rPr>
        <w:t>预算项目绩效表</w:t>
      </w:r>
    </w:p>
    <w:p>
      <w:pPr>
        <w:spacing w:line="560" w:lineRule="exact"/>
        <w:ind w:firstLine="643" w:firstLineChars="200"/>
        <w:rPr>
          <w:rFonts w:ascii="仿宋" w:hAnsi="仿宋" w:eastAsia="仿宋"/>
          <w:b/>
          <w:bCs/>
          <w:sz w:val="32"/>
          <w:szCs w:val="32"/>
        </w:rPr>
      </w:pPr>
    </w:p>
    <w:tbl>
      <w:tblPr>
        <w:tblStyle w:val="10"/>
        <w:tblW w:w="146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457"/>
        <w:gridCol w:w="1695"/>
        <w:gridCol w:w="2241"/>
        <w:gridCol w:w="1067"/>
        <w:gridCol w:w="1693"/>
        <w:gridCol w:w="1121"/>
        <w:gridCol w:w="2614"/>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620" w:type="dxa"/>
            <w:gridSpan w:val="9"/>
            <w:tcBorders>
              <w:top w:val="nil"/>
              <w:left w:val="nil"/>
              <w:bottom w:val="single" w:color="auto" w:sz="4" w:space="0"/>
              <w:right w:val="nil"/>
            </w:tcBorders>
            <w:shd w:val="clear" w:color="000000" w:fill="E4ECF7"/>
            <w:vAlign w:val="center"/>
          </w:tcPr>
          <w:p>
            <w:pPr>
              <w:widowControl/>
              <w:jc w:val="center"/>
              <w:rPr>
                <w:rFonts w:ascii="宋体" w:hAnsi="宋体" w:cs="宋体"/>
                <w:kern w:val="0"/>
                <w:sz w:val="32"/>
                <w:szCs w:val="32"/>
              </w:rPr>
            </w:pPr>
            <w:r>
              <w:rPr>
                <w:rFonts w:hint="eastAsia" w:ascii="宋体" w:hAnsi="宋体" w:cs="宋体"/>
                <w:kern w:val="0"/>
                <w:sz w:val="32"/>
                <w:szCs w:val="32"/>
              </w:rPr>
              <w:t>1、文化路锅炉改造维修经费预算项目绩效表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91" w:type="dxa"/>
            <w:tcBorders>
              <w:top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2.00</w:t>
            </w:r>
          </w:p>
        </w:tc>
        <w:tc>
          <w:tcPr>
            <w:tcW w:w="1457" w:type="dxa"/>
            <w:tcBorders>
              <w:top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3936" w:type="dxa"/>
            <w:gridSpan w:val="2"/>
            <w:tcBorders>
              <w:top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434-5801-YXN-G2E7</w:t>
            </w:r>
          </w:p>
        </w:tc>
        <w:tc>
          <w:tcPr>
            <w:tcW w:w="1067" w:type="dxa"/>
            <w:tcBorders>
              <w:top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7669" w:type="dxa"/>
            <w:gridSpan w:val="4"/>
            <w:tcBorders>
              <w:top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文化路锅炉改造维修经费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3.00</w:t>
            </w:r>
          </w:p>
        </w:tc>
        <w:tc>
          <w:tcPr>
            <w:tcW w:w="5393" w:type="dxa"/>
            <w:gridSpan w:val="3"/>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8736" w:type="dxa"/>
            <w:gridSpan w:val="5"/>
            <w:shd w:val="clear" w:color="auto" w:fill="auto"/>
            <w:noWrap/>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4.00</w:t>
            </w:r>
          </w:p>
        </w:tc>
        <w:tc>
          <w:tcPr>
            <w:tcW w:w="1457"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12672" w:type="dxa"/>
            <w:gridSpan w:val="7"/>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2018年以来随着国家环保政策的日渐受尽和清洁能源供热设备更新换代，我单位使用的清洁能源电力提供办公区域的冬季供热，急需与城区热网进行并网改造,共需资金15.21万元。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5.00</w:t>
            </w:r>
          </w:p>
        </w:tc>
        <w:tc>
          <w:tcPr>
            <w:tcW w:w="1457" w:type="dxa"/>
            <w:vMerge w:val="restar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3936" w:type="dxa"/>
            <w:gridSpan w:val="2"/>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067"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814" w:type="dxa"/>
            <w:gridSpan w:val="2"/>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4855" w:type="dxa"/>
            <w:gridSpan w:val="2"/>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6.00</w:t>
            </w:r>
          </w:p>
        </w:tc>
        <w:tc>
          <w:tcPr>
            <w:tcW w:w="1457" w:type="dxa"/>
            <w:vMerge w:val="continue"/>
            <w:vAlign w:val="center"/>
          </w:tcPr>
          <w:p>
            <w:pPr>
              <w:widowControl/>
              <w:jc w:val="left"/>
              <w:rPr>
                <w:rFonts w:ascii="宋体" w:hAnsi="宋体" w:cs="宋体"/>
                <w:b/>
                <w:bCs/>
                <w:kern w:val="0"/>
                <w:sz w:val="18"/>
                <w:szCs w:val="18"/>
              </w:rPr>
            </w:pPr>
          </w:p>
        </w:tc>
        <w:tc>
          <w:tcPr>
            <w:tcW w:w="3936" w:type="dxa"/>
            <w:gridSpan w:val="2"/>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30.00</w:t>
            </w:r>
          </w:p>
        </w:tc>
        <w:tc>
          <w:tcPr>
            <w:tcW w:w="1067"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60.00</w:t>
            </w:r>
          </w:p>
        </w:tc>
        <w:tc>
          <w:tcPr>
            <w:tcW w:w="2814" w:type="dxa"/>
            <w:gridSpan w:val="2"/>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90.00</w:t>
            </w:r>
          </w:p>
        </w:tc>
        <w:tc>
          <w:tcPr>
            <w:tcW w:w="4855" w:type="dxa"/>
            <w:gridSpan w:val="2"/>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7.00</w:t>
            </w:r>
          </w:p>
        </w:tc>
        <w:tc>
          <w:tcPr>
            <w:tcW w:w="1457" w:type="dxa"/>
            <w:vMerge w:val="restart"/>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1695"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目标1</w:t>
            </w:r>
          </w:p>
        </w:tc>
        <w:tc>
          <w:tcPr>
            <w:tcW w:w="10977" w:type="dxa"/>
            <w:gridSpan w:val="6"/>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2016年11月我单位按上级文件精神，对原有燃煤锅炉进行了拆除，因当时城区热网未铺设到办事处，便改为用清洁能源电力提供办公区域的冬季供热。今年以来2018年以来随着国家环保政策的日渐收紧和清洁能源供热设备更新换代，我单位使用的清洁能源电力提供办公区域的冬季供热，已出现诸多问题直接影响目前供暖，用电取暖成本很高,电取暖设施在使用过程中老化程度加速，不能保证正常供暖，本着立足长远考虑，急需与城区热网进行并网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8.00</w:t>
            </w:r>
          </w:p>
        </w:tc>
        <w:tc>
          <w:tcPr>
            <w:tcW w:w="1457" w:type="dxa"/>
            <w:vMerge w:val="continue"/>
            <w:vAlign w:val="center"/>
          </w:tcPr>
          <w:p>
            <w:pPr>
              <w:widowControl/>
              <w:jc w:val="left"/>
              <w:rPr>
                <w:rFonts w:ascii="宋体" w:hAnsi="宋体" w:cs="宋体"/>
                <w:b/>
                <w:bCs/>
                <w:kern w:val="0"/>
                <w:sz w:val="18"/>
                <w:szCs w:val="18"/>
              </w:rPr>
            </w:pPr>
          </w:p>
        </w:tc>
        <w:tc>
          <w:tcPr>
            <w:tcW w:w="1695"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目标2</w:t>
            </w:r>
          </w:p>
        </w:tc>
        <w:tc>
          <w:tcPr>
            <w:tcW w:w="10977" w:type="dxa"/>
            <w:gridSpan w:val="6"/>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2016年11月我单位按上级文件精神，对原有燃煤锅炉进行了拆除，因当时城区热网未铺设到办事处，便改为用清洁能源电力提供办公区域的冬季供热。今年以来2018年以来随着国家环保政策的日渐收紧和清洁能源供热设备更新换代，我单位使用的清洁能源电力提供办公区域的冬季供热，已出现诸多问题直接影响目前供暖，用电取暖成本很高,电取暖设施在使用过程中老化程度加速，不能保证正常供暖，本着立足长远考虑，急需与城区热网进行并网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9.00</w:t>
            </w:r>
          </w:p>
        </w:tc>
        <w:tc>
          <w:tcPr>
            <w:tcW w:w="1457" w:type="dxa"/>
            <w:vMerge w:val="restart"/>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695" w:type="dxa"/>
            <w:vMerge w:val="restart"/>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2241" w:type="dxa"/>
            <w:vMerge w:val="restar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067" w:type="dxa"/>
            <w:vMerge w:val="restar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5428" w:type="dxa"/>
            <w:gridSpan w:val="3"/>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2241" w:type="dxa"/>
            <w:vMerge w:val="restar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w:t>
            </w:r>
          </w:p>
        </w:tc>
        <w:tc>
          <w:tcPr>
            <w:tcW w:w="1457" w:type="dxa"/>
            <w:vMerge w:val="continue"/>
            <w:vAlign w:val="center"/>
          </w:tcPr>
          <w:p>
            <w:pPr>
              <w:widowControl/>
              <w:jc w:val="left"/>
              <w:rPr>
                <w:rFonts w:ascii="宋体" w:hAnsi="宋体" w:cs="宋体"/>
                <w:b/>
                <w:bCs/>
                <w:kern w:val="0"/>
                <w:sz w:val="18"/>
                <w:szCs w:val="18"/>
              </w:rPr>
            </w:pPr>
          </w:p>
        </w:tc>
        <w:tc>
          <w:tcPr>
            <w:tcW w:w="1695" w:type="dxa"/>
            <w:vMerge w:val="continue"/>
            <w:vAlign w:val="center"/>
          </w:tcPr>
          <w:p>
            <w:pPr>
              <w:widowControl/>
              <w:jc w:val="left"/>
              <w:rPr>
                <w:rFonts w:ascii="宋体" w:hAnsi="宋体" w:cs="宋体"/>
                <w:b/>
                <w:bCs/>
                <w:kern w:val="0"/>
                <w:sz w:val="18"/>
                <w:szCs w:val="18"/>
              </w:rPr>
            </w:pPr>
          </w:p>
        </w:tc>
        <w:tc>
          <w:tcPr>
            <w:tcW w:w="2241" w:type="dxa"/>
            <w:vMerge w:val="continue"/>
            <w:vAlign w:val="center"/>
          </w:tcPr>
          <w:p>
            <w:pPr>
              <w:widowControl/>
              <w:jc w:val="left"/>
              <w:rPr>
                <w:rFonts w:ascii="宋体" w:hAnsi="宋体" w:cs="宋体"/>
                <w:b/>
                <w:bCs/>
                <w:kern w:val="0"/>
                <w:sz w:val="18"/>
                <w:szCs w:val="18"/>
              </w:rPr>
            </w:pPr>
          </w:p>
        </w:tc>
        <w:tc>
          <w:tcPr>
            <w:tcW w:w="1067" w:type="dxa"/>
            <w:vMerge w:val="continue"/>
            <w:vAlign w:val="center"/>
          </w:tcPr>
          <w:p>
            <w:pPr>
              <w:widowControl/>
              <w:jc w:val="left"/>
              <w:rPr>
                <w:rFonts w:ascii="宋体" w:hAnsi="宋体" w:cs="宋体"/>
                <w:b/>
                <w:bCs/>
                <w:kern w:val="0"/>
                <w:sz w:val="18"/>
                <w:szCs w:val="18"/>
              </w:rPr>
            </w:pPr>
          </w:p>
        </w:tc>
        <w:tc>
          <w:tcPr>
            <w:tcW w:w="1693"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21"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2614"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2241" w:type="dxa"/>
            <w:vMerge w:val="continue"/>
            <w:vAlign w:val="center"/>
          </w:tcPr>
          <w:p>
            <w:pPr>
              <w:widowControl/>
              <w:jc w:val="left"/>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11.00</w:t>
            </w:r>
          </w:p>
        </w:tc>
        <w:tc>
          <w:tcPr>
            <w:tcW w:w="1457" w:type="dxa"/>
            <w:vMerge w:val="restart"/>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1695"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配套设施完成率（%）</w:t>
            </w:r>
          </w:p>
        </w:tc>
        <w:tc>
          <w:tcPr>
            <w:tcW w:w="1067"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实际完成配套设施量占计划完成配套设施量的比率 </w:t>
            </w:r>
          </w:p>
        </w:tc>
        <w:tc>
          <w:tcPr>
            <w:tcW w:w="1693"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21"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95.00</w:t>
            </w:r>
          </w:p>
        </w:tc>
        <w:tc>
          <w:tcPr>
            <w:tcW w:w="2614"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%百分比</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遵化市机构编制委员会文件遵机编字【2013】8号遵化市机构编制委员会关于遵化市华明路和文化路两个街道办事处机构编制等有关问题的意见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12.00</w:t>
            </w:r>
          </w:p>
        </w:tc>
        <w:tc>
          <w:tcPr>
            <w:tcW w:w="1457" w:type="dxa"/>
            <w:vMerge w:val="continue"/>
            <w:vAlign w:val="center"/>
          </w:tcPr>
          <w:p>
            <w:pPr>
              <w:widowControl/>
              <w:jc w:val="left"/>
              <w:rPr>
                <w:rFonts w:ascii="宋体" w:hAnsi="宋体" w:cs="宋体"/>
                <w:b/>
                <w:bCs/>
                <w:kern w:val="0"/>
                <w:sz w:val="18"/>
                <w:szCs w:val="18"/>
              </w:rPr>
            </w:pPr>
          </w:p>
        </w:tc>
        <w:tc>
          <w:tcPr>
            <w:tcW w:w="1695"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配套设施完成率（%）</w:t>
            </w:r>
          </w:p>
        </w:tc>
        <w:tc>
          <w:tcPr>
            <w:tcW w:w="1067"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实际完成配套设施量占计划完成配套设施量的比率 </w:t>
            </w:r>
          </w:p>
        </w:tc>
        <w:tc>
          <w:tcPr>
            <w:tcW w:w="1693"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21"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95.00</w:t>
            </w:r>
          </w:p>
        </w:tc>
        <w:tc>
          <w:tcPr>
            <w:tcW w:w="2614"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%百分比</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遵化市机构编制委员会文件遵机编字【2013】8号遵化市机构编制委员会关于遵化市华明路和文化路两个街道办事处机构编制等有关问题的意见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13.00</w:t>
            </w:r>
          </w:p>
        </w:tc>
        <w:tc>
          <w:tcPr>
            <w:tcW w:w="1457" w:type="dxa"/>
            <w:vMerge w:val="continue"/>
            <w:vAlign w:val="center"/>
          </w:tcPr>
          <w:p>
            <w:pPr>
              <w:widowControl/>
              <w:jc w:val="left"/>
              <w:rPr>
                <w:rFonts w:ascii="宋体" w:hAnsi="宋体" w:cs="宋体"/>
                <w:b/>
                <w:bCs/>
                <w:kern w:val="0"/>
                <w:sz w:val="18"/>
                <w:szCs w:val="18"/>
              </w:rPr>
            </w:pPr>
          </w:p>
        </w:tc>
        <w:tc>
          <w:tcPr>
            <w:tcW w:w="1695"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配套设施完成率（%）</w:t>
            </w:r>
          </w:p>
        </w:tc>
        <w:tc>
          <w:tcPr>
            <w:tcW w:w="1067"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实际完成配套设施量占计划完成配套设施量的比率 </w:t>
            </w:r>
          </w:p>
        </w:tc>
        <w:tc>
          <w:tcPr>
            <w:tcW w:w="1693"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21"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95.00</w:t>
            </w:r>
          </w:p>
        </w:tc>
        <w:tc>
          <w:tcPr>
            <w:tcW w:w="2614"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%百分比</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遵化市机构编制委员会文件遵机编字【2013】8号遵化市机构编制委员会关于遵化市华明路和文化路两个街道办事处机构编制等有关问题的意见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14.00</w:t>
            </w:r>
          </w:p>
        </w:tc>
        <w:tc>
          <w:tcPr>
            <w:tcW w:w="1457" w:type="dxa"/>
            <w:vMerge w:val="restart"/>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1695"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工程完工率（%）</w:t>
            </w:r>
          </w:p>
        </w:tc>
        <w:tc>
          <w:tcPr>
            <w:tcW w:w="1067"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工程施工进度工作量占工程完工总量的比率</w:t>
            </w:r>
          </w:p>
        </w:tc>
        <w:tc>
          <w:tcPr>
            <w:tcW w:w="1693"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21"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95.00</w:t>
            </w:r>
          </w:p>
        </w:tc>
        <w:tc>
          <w:tcPr>
            <w:tcW w:w="2614"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%百分比</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遵化市机构编制委员会文件遵机编字【2013】8号遵化市机构编制委员会关于遵化市华明路和文化路两个街道办事处机构编制等有关问题的意见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15.00</w:t>
            </w:r>
          </w:p>
        </w:tc>
        <w:tc>
          <w:tcPr>
            <w:tcW w:w="1457" w:type="dxa"/>
            <w:vMerge w:val="continue"/>
            <w:vAlign w:val="center"/>
          </w:tcPr>
          <w:p>
            <w:pPr>
              <w:widowControl/>
              <w:jc w:val="left"/>
              <w:rPr>
                <w:rFonts w:ascii="宋体" w:hAnsi="宋体" w:cs="宋体"/>
                <w:b/>
                <w:bCs/>
                <w:kern w:val="0"/>
                <w:sz w:val="18"/>
                <w:szCs w:val="18"/>
              </w:rPr>
            </w:pPr>
          </w:p>
        </w:tc>
        <w:tc>
          <w:tcPr>
            <w:tcW w:w="1695"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工程完工率（%）</w:t>
            </w:r>
          </w:p>
        </w:tc>
        <w:tc>
          <w:tcPr>
            <w:tcW w:w="1067"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工程施工进度工作量占工程完工总量的比率</w:t>
            </w:r>
          </w:p>
        </w:tc>
        <w:tc>
          <w:tcPr>
            <w:tcW w:w="1693"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21"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95.00</w:t>
            </w:r>
          </w:p>
        </w:tc>
        <w:tc>
          <w:tcPr>
            <w:tcW w:w="2614"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%百分比</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遵化市机构编制委员会文件遵机编字【2013】8号遵化市机构编制委员会关于遵化市华明路和文化路两个街道办事处机构编制等有关问题的意见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16.00</w:t>
            </w:r>
          </w:p>
        </w:tc>
        <w:tc>
          <w:tcPr>
            <w:tcW w:w="1457" w:type="dxa"/>
            <w:vMerge w:val="continue"/>
            <w:vAlign w:val="center"/>
          </w:tcPr>
          <w:p>
            <w:pPr>
              <w:widowControl/>
              <w:jc w:val="left"/>
              <w:rPr>
                <w:rFonts w:ascii="宋体" w:hAnsi="宋体" w:cs="宋体"/>
                <w:b/>
                <w:bCs/>
                <w:kern w:val="0"/>
                <w:sz w:val="18"/>
                <w:szCs w:val="18"/>
              </w:rPr>
            </w:pPr>
          </w:p>
        </w:tc>
        <w:tc>
          <w:tcPr>
            <w:tcW w:w="1695"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工程完工率（%）</w:t>
            </w:r>
          </w:p>
        </w:tc>
        <w:tc>
          <w:tcPr>
            <w:tcW w:w="1067"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工程施工进度工作量占工程完工总量的比率</w:t>
            </w:r>
          </w:p>
        </w:tc>
        <w:tc>
          <w:tcPr>
            <w:tcW w:w="1693"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21"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95.00</w:t>
            </w:r>
          </w:p>
        </w:tc>
        <w:tc>
          <w:tcPr>
            <w:tcW w:w="2614"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%百分比</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遵化市机构编制委员会文件遵机编字【2013】8号遵化市机构编制委员会关于遵化市华明路和文化路两个街道办事处机构编制等有关问题的意见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17.00</w:t>
            </w:r>
          </w:p>
        </w:tc>
        <w:tc>
          <w:tcPr>
            <w:tcW w:w="1457" w:type="dxa"/>
            <w:vMerge w:val="restart"/>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169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基础设施完好率（%）</w:t>
            </w:r>
          </w:p>
        </w:tc>
        <w:tc>
          <w:tcPr>
            <w:tcW w:w="1067"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通过维护改造，消除安全隐患的项数或情况</w:t>
            </w:r>
          </w:p>
        </w:tc>
        <w:tc>
          <w:tcPr>
            <w:tcW w:w="1693"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21"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95.00</w:t>
            </w:r>
          </w:p>
        </w:tc>
        <w:tc>
          <w:tcPr>
            <w:tcW w:w="2614"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%百分比</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遵化市机构编制委员会文件遵机编字【2013】8号遵化市机构编制委员会关于遵化市华明路和文化路两个街道办事处机构编制等有关问题的意见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18.00</w:t>
            </w:r>
          </w:p>
        </w:tc>
        <w:tc>
          <w:tcPr>
            <w:tcW w:w="1457" w:type="dxa"/>
            <w:vMerge w:val="continue"/>
            <w:vAlign w:val="center"/>
          </w:tcPr>
          <w:p>
            <w:pPr>
              <w:widowControl/>
              <w:jc w:val="left"/>
              <w:rPr>
                <w:rFonts w:ascii="宋体" w:hAnsi="宋体" w:cs="宋体"/>
                <w:b/>
                <w:bCs/>
                <w:kern w:val="0"/>
                <w:sz w:val="18"/>
                <w:szCs w:val="18"/>
              </w:rPr>
            </w:pPr>
          </w:p>
        </w:tc>
        <w:tc>
          <w:tcPr>
            <w:tcW w:w="1695"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基础设施完好率（%）</w:t>
            </w:r>
          </w:p>
        </w:tc>
        <w:tc>
          <w:tcPr>
            <w:tcW w:w="1067"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通过维护改造，消除安全隐患的项数或情况</w:t>
            </w:r>
          </w:p>
        </w:tc>
        <w:tc>
          <w:tcPr>
            <w:tcW w:w="1693"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21"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95.00</w:t>
            </w:r>
          </w:p>
        </w:tc>
        <w:tc>
          <w:tcPr>
            <w:tcW w:w="2614"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%百分比</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遵化市机构编制委员会文件遵机编字【2013】8号遵化市机构编制委员会关于遵化市华明路和文化路两个街道办事处机构编制等有关问题的意见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19.00</w:t>
            </w:r>
          </w:p>
        </w:tc>
        <w:tc>
          <w:tcPr>
            <w:tcW w:w="1457" w:type="dxa"/>
            <w:vMerge w:val="continue"/>
            <w:vAlign w:val="center"/>
          </w:tcPr>
          <w:p>
            <w:pPr>
              <w:widowControl/>
              <w:jc w:val="left"/>
              <w:rPr>
                <w:rFonts w:ascii="宋体" w:hAnsi="宋体" w:cs="宋体"/>
                <w:b/>
                <w:bCs/>
                <w:kern w:val="0"/>
                <w:sz w:val="18"/>
                <w:szCs w:val="18"/>
              </w:rPr>
            </w:pPr>
          </w:p>
        </w:tc>
        <w:tc>
          <w:tcPr>
            <w:tcW w:w="1695"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基础设施完好率（%）</w:t>
            </w:r>
          </w:p>
        </w:tc>
        <w:tc>
          <w:tcPr>
            <w:tcW w:w="1067"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通过维护改造，消除安全隐患的项数或情况</w:t>
            </w:r>
          </w:p>
        </w:tc>
        <w:tc>
          <w:tcPr>
            <w:tcW w:w="1693"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21"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95.00</w:t>
            </w:r>
          </w:p>
        </w:tc>
        <w:tc>
          <w:tcPr>
            <w:tcW w:w="2614"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%百分比</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遵化市机构编制委员会文件遵机编字【2013】8号遵化市机构编制委员会关于遵化市华明路和文化路两个街道办事处机构编制等有关问题的意见</w:t>
            </w:r>
          </w:p>
        </w:tc>
      </w:tr>
    </w:tbl>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tbl>
      <w:tblPr>
        <w:tblStyle w:val="10"/>
        <w:tblW w:w="146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457"/>
        <w:gridCol w:w="1695"/>
        <w:gridCol w:w="2241"/>
        <w:gridCol w:w="1067"/>
        <w:gridCol w:w="1693"/>
        <w:gridCol w:w="1121"/>
        <w:gridCol w:w="2614"/>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620" w:type="dxa"/>
            <w:gridSpan w:val="9"/>
            <w:tcBorders>
              <w:top w:val="nil"/>
              <w:left w:val="nil"/>
              <w:bottom w:val="single" w:color="auto" w:sz="4" w:space="0"/>
              <w:right w:val="nil"/>
            </w:tcBorders>
            <w:shd w:val="clear" w:color="000000" w:fill="E4ECF7"/>
            <w:vAlign w:val="center"/>
          </w:tcPr>
          <w:p>
            <w:pPr>
              <w:widowControl/>
              <w:jc w:val="center"/>
              <w:rPr>
                <w:rFonts w:ascii="宋体" w:hAnsi="宋体" w:cs="宋体"/>
                <w:kern w:val="0"/>
                <w:sz w:val="32"/>
                <w:szCs w:val="32"/>
              </w:rPr>
            </w:pPr>
            <w:r>
              <w:rPr>
                <w:rFonts w:hint="eastAsia" w:ascii="宋体" w:hAnsi="宋体" w:cs="宋体"/>
                <w:kern w:val="0"/>
                <w:sz w:val="32"/>
                <w:szCs w:val="32"/>
              </w:rPr>
              <w:t>2、文化路居委会办公用房租赁费等预算项目绩效表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91" w:type="dxa"/>
            <w:tcBorders>
              <w:top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2.00</w:t>
            </w:r>
          </w:p>
        </w:tc>
        <w:tc>
          <w:tcPr>
            <w:tcW w:w="1457" w:type="dxa"/>
            <w:tcBorders>
              <w:top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3936" w:type="dxa"/>
            <w:gridSpan w:val="2"/>
            <w:tcBorders>
              <w:top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434-6609-YXN-5AS6</w:t>
            </w:r>
          </w:p>
        </w:tc>
        <w:tc>
          <w:tcPr>
            <w:tcW w:w="1067" w:type="dxa"/>
            <w:tcBorders>
              <w:top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7669" w:type="dxa"/>
            <w:gridSpan w:val="4"/>
            <w:tcBorders>
              <w:top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文化路居委会办公用房租赁费等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3.00</w:t>
            </w:r>
          </w:p>
        </w:tc>
        <w:tc>
          <w:tcPr>
            <w:tcW w:w="5393" w:type="dxa"/>
            <w:gridSpan w:val="3"/>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8736" w:type="dxa"/>
            <w:gridSpan w:val="5"/>
            <w:shd w:val="clear" w:color="auto" w:fill="auto"/>
            <w:noWrap/>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4.00</w:t>
            </w:r>
          </w:p>
        </w:tc>
        <w:tc>
          <w:tcPr>
            <w:tcW w:w="1457"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12672" w:type="dxa"/>
            <w:gridSpan w:val="7"/>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2002年上级部门批准成立了文化路街道办事处，随后批准成立了21个居委会。居委会负责贯彻执行上级党委政府的政策、决议和指示；调解民间纠纷，参与外来人口管理，维护社会稳定；组织居民开展健康文明的文化教育和体育活动，提高居民素质等其他各项工作。为了完成各项工作，改善办公条件，各居委会租赁了办公用房需支付55万，取暖费7.95万，共需支付租赁费62.95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5.00</w:t>
            </w:r>
          </w:p>
        </w:tc>
        <w:tc>
          <w:tcPr>
            <w:tcW w:w="1457" w:type="dxa"/>
            <w:vMerge w:val="restar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3936" w:type="dxa"/>
            <w:gridSpan w:val="2"/>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067"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814" w:type="dxa"/>
            <w:gridSpan w:val="2"/>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4855" w:type="dxa"/>
            <w:gridSpan w:val="2"/>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6.00</w:t>
            </w:r>
          </w:p>
        </w:tc>
        <w:tc>
          <w:tcPr>
            <w:tcW w:w="1457" w:type="dxa"/>
            <w:vMerge w:val="continue"/>
            <w:vAlign w:val="center"/>
          </w:tcPr>
          <w:p>
            <w:pPr>
              <w:widowControl/>
              <w:jc w:val="left"/>
              <w:rPr>
                <w:rFonts w:ascii="宋体" w:hAnsi="宋体" w:cs="宋体"/>
                <w:b/>
                <w:bCs/>
                <w:kern w:val="0"/>
                <w:sz w:val="18"/>
                <w:szCs w:val="18"/>
              </w:rPr>
            </w:pPr>
          </w:p>
        </w:tc>
        <w:tc>
          <w:tcPr>
            <w:tcW w:w="3936" w:type="dxa"/>
            <w:gridSpan w:val="2"/>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30.00</w:t>
            </w:r>
          </w:p>
        </w:tc>
        <w:tc>
          <w:tcPr>
            <w:tcW w:w="1067"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60.00</w:t>
            </w:r>
          </w:p>
        </w:tc>
        <w:tc>
          <w:tcPr>
            <w:tcW w:w="2814" w:type="dxa"/>
            <w:gridSpan w:val="2"/>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90.00</w:t>
            </w:r>
          </w:p>
        </w:tc>
        <w:tc>
          <w:tcPr>
            <w:tcW w:w="4855" w:type="dxa"/>
            <w:gridSpan w:val="2"/>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7.00</w:t>
            </w:r>
          </w:p>
        </w:tc>
        <w:tc>
          <w:tcPr>
            <w:tcW w:w="1457" w:type="dxa"/>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1695"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目标1</w:t>
            </w:r>
          </w:p>
        </w:tc>
        <w:tc>
          <w:tcPr>
            <w:tcW w:w="10977" w:type="dxa"/>
            <w:gridSpan w:val="6"/>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贯彻落实党在社区的路线方针政策情况，维护居民的合法权益，教育居民履行依法应尽的义务，爱护公共财产，开展多种形式的社会主义精神文明建设活动；办理本居住地居民的公共事务的公益事业；调解民间纠纷；协助维护社会治安；做好计划生育、优抚救济等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8.00</w:t>
            </w:r>
          </w:p>
        </w:tc>
        <w:tc>
          <w:tcPr>
            <w:tcW w:w="1457" w:type="dxa"/>
            <w:vMerge w:val="restart"/>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695" w:type="dxa"/>
            <w:vMerge w:val="restart"/>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2241" w:type="dxa"/>
            <w:vMerge w:val="restar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067" w:type="dxa"/>
            <w:vMerge w:val="restar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5428" w:type="dxa"/>
            <w:gridSpan w:val="3"/>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2241" w:type="dxa"/>
            <w:vMerge w:val="restar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9.00</w:t>
            </w:r>
          </w:p>
        </w:tc>
        <w:tc>
          <w:tcPr>
            <w:tcW w:w="1457" w:type="dxa"/>
            <w:vMerge w:val="continue"/>
            <w:vAlign w:val="center"/>
          </w:tcPr>
          <w:p>
            <w:pPr>
              <w:widowControl/>
              <w:jc w:val="left"/>
              <w:rPr>
                <w:rFonts w:ascii="宋体" w:hAnsi="宋体" w:cs="宋体"/>
                <w:b/>
                <w:bCs/>
                <w:kern w:val="0"/>
                <w:sz w:val="18"/>
                <w:szCs w:val="18"/>
              </w:rPr>
            </w:pPr>
          </w:p>
        </w:tc>
        <w:tc>
          <w:tcPr>
            <w:tcW w:w="1695" w:type="dxa"/>
            <w:vMerge w:val="continue"/>
            <w:vAlign w:val="center"/>
          </w:tcPr>
          <w:p>
            <w:pPr>
              <w:widowControl/>
              <w:jc w:val="left"/>
              <w:rPr>
                <w:rFonts w:ascii="宋体" w:hAnsi="宋体" w:cs="宋体"/>
                <w:b/>
                <w:bCs/>
                <w:kern w:val="0"/>
                <w:sz w:val="18"/>
                <w:szCs w:val="18"/>
              </w:rPr>
            </w:pPr>
          </w:p>
        </w:tc>
        <w:tc>
          <w:tcPr>
            <w:tcW w:w="2241" w:type="dxa"/>
            <w:vMerge w:val="continue"/>
            <w:vAlign w:val="center"/>
          </w:tcPr>
          <w:p>
            <w:pPr>
              <w:widowControl/>
              <w:jc w:val="left"/>
              <w:rPr>
                <w:rFonts w:ascii="宋体" w:hAnsi="宋体" w:cs="宋体"/>
                <w:b/>
                <w:bCs/>
                <w:kern w:val="0"/>
                <w:sz w:val="18"/>
                <w:szCs w:val="18"/>
              </w:rPr>
            </w:pPr>
          </w:p>
        </w:tc>
        <w:tc>
          <w:tcPr>
            <w:tcW w:w="1067" w:type="dxa"/>
            <w:vMerge w:val="continue"/>
            <w:vAlign w:val="center"/>
          </w:tcPr>
          <w:p>
            <w:pPr>
              <w:widowControl/>
              <w:jc w:val="left"/>
              <w:rPr>
                <w:rFonts w:ascii="宋体" w:hAnsi="宋体" w:cs="宋体"/>
                <w:b/>
                <w:bCs/>
                <w:kern w:val="0"/>
                <w:sz w:val="18"/>
                <w:szCs w:val="18"/>
              </w:rPr>
            </w:pPr>
          </w:p>
        </w:tc>
        <w:tc>
          <w:tcPr>
            <w:tcW w:w="1693"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21"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2614"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2241" w:type="dxa"/>
            <w:vMerge w:val="continue"/>
            <w:vAlign w:val="center"/>
          </w:tcPr>
          <w:p>
            <w:pPr>
              <w:widowControl/>
              <w:jc w:val="left"/>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w:t>
            </w:r>
          </w:p>
        </w:tc>
        <w:tc>
          <w:tcPr>
            <w:tcW w:w="1457" w:type="dxa"/>
            <w:vMerge w:val="restart"/>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1695"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主要内容包括贯彻落实党在社区的路线方针政策情况、社会治安综合治理和计划生育工作情况、精神文明建设情况、党的建设及社区服务。</w:t>
            </w:r>
          </w:p>
        </w:tc>
        <w:tc>
          <w:tcPr>
            <w:tcW w:w="1067"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对各社区申报的项目实行加分制，对各社区在各项工作检查中被通报批评的实行扣分制。</w:t>
            </w:r>
          </w:p>
        </w:tc>
        <w:tc>
          <w:tcPr>
            <w:tcW w:w="1693"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21"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95.00</w:t>
            </w:r>
          </w:p>
        </w:tc>
        <w:tc>
          <w:tcPr>
            <w:tcW w:w="2614"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%百分比，实际完成配套设施量占计划完成配套设施量的比率</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遵化市机构编制委员会文件遵机编字【2013】8号遵化市机构编制委员会关于遵化市华明路和文化路两个街道办事处机构编制等有关问题的意见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11.00</w:t>
            </w:r>
          </w:p>
        </w:tc>
        <w:tc>
          <w:tcPr>
            <w:tcW w:w="1457" w:type="dxa"/>
            <w:vMerge w:val="continue"/>
            <w:vAlign w:val="center"/>
          </w:tcPr>
          <w:p>
            <w:pPr>
              <w:widowControl/>
              <w:jc w:val="left"/>
              <w:rPr>
                <w:rFonts w:ascii="宋体" w:hAnsi="宋体" w:cs="宋体"/>
                <w:b/>
                <w:bCs/>
                <w:kern w:val="0"/>
                <w:sz w:val="18"/>
                <w:szCs w:val="18"/>
              </w:rPr>
            </w:pPr>
          </w:p>
        </w:tc>
        <w:tc>
          <w:tcPr>
            <w:tcW w:w="1695"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主要内容包括贯彻落实党在社区的路线方针政策情况、社会治安综合治理和计划生育工作情况、精神文明建设情况、党的建设及社区服务。</w:t>
            </w:r>
          </w:p>
        </w:tc>
        <w:tc>
          <w:tcPr>
            <w:tcW w:w="1067"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对各社区申报的项目实行加分制，对各社区在各项工作检查中被通报批评的实行扣分制。</w:t>
            </w:r>
          </w:p>
        </w:tc>
        <w:tc>
          <w:tcPr>
            <w:tcW w:w="1693"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21"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95.00</w:t>
            </w:r>
          </w:p>
        </w:tc>
        <w:tc>
          <w:tcPr>
            <w:tcW w:w="2614"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%百分比，实际完成配套设施量占计划完成配套设施量的比率</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遵化市机构编制委员会文件遵机编字【2013】8号遵化市机构编制委员会关于遵化市华明路和文化路两个街道办事处机构编制等有关问题的意见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12.00</w:t>
            </w:r>
          </w:p>
        </w:tc>
        <w:tc>
          <w:tcPr>
            <w:tcW w:w="1457" w:type="dxa"/>
            <w:vMerge w:val="continue"/>
            <w:vAlign w:val="center"/>
          </w:tcPr>
          <w:p>
            <w:pPr>
              <w:widowControl/>
              <w:jc w:val="left"/>
              <w:rPr>
                <w:rFonts w:ascii="宋体" w:hAnsi="宋体" w:cs="宋体"/>
                <w:b/>
                <w:bCs/>
                <w:kern w:val="0"/>
                <w:sz w:val="18"/>
                <w:szCs w:val="18"/>
              </w:rPr>
            </w:pPr>
          </w:p>
        </w:tc>
        <w:tc>
          <w:tcPr>
            <w:tcW w:w="1695"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主要内容包括贯彻落实党在社区的路线方针政策情况、社会治安综合治理和计划生育工作情况、精神文明建设情况、党的建设及社区服务。</w:t>
            </w:r>
          </w:p>
        </w:tc>
        <w:tc>
          <w:tcPr>
            <w:tcW w:w="1067"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对各社区申报的项目实行加分制，对各社区在各项工作检查中被通报批评的实行扣分制。</w:t>
            </w:r>
          </w:p>
        </w:tc>
        <w:tc>
          <w:tcPr>
            <w:tcW w:w="1693"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21"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95.00</w:t>
            </w:r>
          </w:p>
        </w:tc>
        <w:tc>
          <w:tcPr>
            <w:tcW w:w="2614"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%百分比，保障相关业务、工作等开展的比率</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遵化市机构编制委员会文件遵机编字【2013】8号遵化市机构编制委员会关于遵化市华明路和文化路两个街道办事处机构编制等有关问题的意见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13.00</w:t>
            </w:r>
          </w:p>
        </w:tc>
        <w:tc>
          <w:tcPr>
            <w:tcW w:w="1457" w:type="dxa"/>
            <w:vMerge w:val="restart"/>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1695"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根据年度考核结果，分为优秀、称职、基本称职</w:t>
            </w:r>
          </w:p>
        </w:tc>
        <w:tc>
          <w:tcPr>
            <w:tcW w:w="1067"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对社区工作以街道下达的考核目标为基础，实行百分制考核。对各社区申报的项目实行加分制，对各社区在各项工作检查中被通报批评的实行扣分制。</w:t>
            </w:r>
          </w:p>
        </w:tc>
        <w:tc>
          <w:tcPr>
            <w:tcW w:w="1693"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21"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95.00</w:t>
            </w:r>
          </w:p>
        </w:tc>
        <w:tc>
          <w:tcPr>
            <w:tcW w:w="2614"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%百分比，保障相关业务、工作等开展的比率</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遵化市机构编制委员会文件遵机编字【2013】8号遵化市机构编制委员会关于遵化市华明路和文化路两个街道办事处机构编制等有关问题的意见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14.00</w:t>
            </w:r>
          </w:p>
        </w:tc>
        <w:tc>
          <w:tcPr>
            <w:tcW w:w="1457" w:type="dxa"/>
            <w:vMerge w:val="continue"/>
            <w:vAlign w:val="center"/>
          </w:tcPr>
          <w:p>
            <w:pPr>
              <w:widowControl/>
              <w:jc w:val="left"/>
              <w:rPr>
                <w:rFonts w:ascii="宋体" w:hAnsi="宋体" w:cs="宋体"/>
                <w:b/>
                <w:bCs/>
                <w:kern w:val="0"/>
                <w:sz w:val="18"/>
                <w:szCs w:val="18"/>
              </w:rPr>
            </w:pPr>
          </w:p>
        </w:tc>
        <w:tc>
          <w:tcPr>
            <w:tcW w:w="1695"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根据年度考核结果，分为优秀、称职、基本称职</w:t>
            </w:r>
          </w:p>
        </w:tc>
        <w:tc>
          <w:tcPr>
            <w:tcW w:w="1067"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对社区工作以街道下达的考核目标为基础，实行百分制考核。对各社区申报的项目实行加分制，对各社区在各项工作检查中被通报批评的实行扣分制。</w:t>
            </w:r>
          </w:p>
        </w:tc>
        <w:tc>
          <w:tcPr>
            <w:tcW w:w="1693"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21"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95.00</w:t>
            </w:r>
          </w:p>
        </w:tc>
        <w:tc>
          <w:tcPr>
            <w:tcW w:w="2614"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%百分比，保障相关业务、工作等开展的比率</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遵化市机构编制委员会文件遵机编字【2013】8号遵化市机构编制委员会关于遵化市华明路和文化路两个街道办事处机构编制等有关问题的意见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15.00</w:t>
            </w:r>
          </w:p>
        </w:tc>
        <w:tc>
          <w:tcPr>
            <w:tcW w:w="1457" w:type="dxa"/>
            <w:vMerge w:val="continue"/>
            <w:vAlign w:val="center"/>
          </w:tcPr>
          <w:p>
            <w:pPr>
              <w:widowControl/>
              <w:jc w:val="left"/>
              <w:rPr>
                <w:rFonts w:ascii="宋体" w:hAnsi="宋体" w:cs="宋体"/>
                <w:b/>
                <w:bCs/>
                <w:kern w:val="0"/>
                <w:sz w:val="18"/>
                <w:szCs w:val="18"/>
              </w:rPr>
            </w:pPr>
          </w:p>
        </w:tc>
        <w:tc>
          <w:tcPr>
            <w:tcW w:w="1695"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根据年度考核结果，分为优秀、称职、基本称职</w:t>
            </w:r>
          </w:p>
        </w:tc>
        <w:tc>
          <w:tcPr>
            <w:tcW w:w="1067"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对社区工作以街道下达的考核目标为基础，实行百分制考核。对各社区申报的项目实行加分制，对各社区在各项工作检查中被通报批评的实行扣分制。</w:t>
            </w:r>
          </w:p>
        </w:tc>
        <w:tc>
          <w:tcPr>
            <w:tcW w:w="1693"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21"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95.00</w:t>
            </w:r>
          </w:p>
        </w:tc>
        <w:tc>
          <w:tcPr>
            <w:tcW w:w="2614"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%百分比，保障相关业务、工作等开展的比率</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遵化市机构编制委员会文件遵机编字【2013】8号遵化市机构编制委员会关于遵化市华明路和文化路两个街道办事处机构编制等有关问题的意见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16.00</w:t>
            </w:r>
          </w:p>
        </w:tc>
        <w:tc>
          <w:tcPr>
            <w:tcW w:w="1457" w:type="dxa"/>
            <w:vMerge w:val="restart"/>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169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受益对象满意度(%)</w:t>
            </w:r>
          </w:p>
        </w:tc>
        <w:tc>
          <w:tcPr>
            <w:tcW w:w="1067"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通过问卷调查，满意和较满意的受益对象占全部调研对象的比率</w:t>
            </w:r>
          </w:p>
        </w:tc>
        <w:tc>
          <w:tcPr>
            <w:tcW w:w="1693"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21"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95.00</w:t>
            </w:r>
          </w:p>
        </w:tc>
        <w:tc>
          <w:tcPr>
            <w:tcW w:w="2614"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%百分比，能够长期较好地满足使用者对各项指标的要求。</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遵化市机构编制委员会文件遵机编字【2013】8号遵化市机构编制委员会关于遵化市华明路和文化路两个街道办事处机构编制等有关问题的意见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17.00</w:t>
            </w:r>
          </w:p>
        </w:tc>
        <w:tc>
          <w:tcPr>
            <w:tcW w:w="1457" w:type="dxa"/>
            <w:vMerge w:val="continue"/>
            <w:vAlign w:val="center"/>
          </w:tcPr>
          <w:p>
            <w:pPr>
              <w:widowControl/>
              <w:jc w:val="left"/>
              <w:rPr>
                <w:rFonts w:ascii="宋体" w:hAnsi="宋体" w:cs="宋体"/>
                <w:b/>
                <w:bCs/>
                <w:kern w:val="0"/>
                <w:sz w:val="18"/>
                <w:szCs w:val="18"/>
              </w:rPr>
            </w:pPr>
          </w:p>
        </w:tc>
        <w:tc>
          <w:tcPr>
            <w:tcW w:w="1695" w:type="dxa"/>
            <w:shd w:val="clear" w:color="auto" w:fill="auto"/>
            <w:noWrap/>
            <w:vAlign w:val="center"/>
          </w:tcPr>
          <w:p>
            <w:pPr>
              <w:widowControl/>
              <w:jc w:val="left"/>
              <w:rPr>
                <w:rFonts w:ascii="宋体" w:hAnsi="宋体" w:cs="宋体"/>
                <w:kern w:val="0"/>
                <w:sz w:val="18"/>
                <w:szCs w:val="18"/>
              </w:rPr>
            </w:pPr>
          </w:p>
        </w:tc>
        <w:tc>
          <w:tcPr>
            <w:tcW w:w="2241" w:type="dxa"/>
            <w:shd w:val="clear" w:color="auto" w:fill="auto"/>
            <w:vAlign w:val="center"/>
          </w:tcPr>
          <w:p>
            <w:pPr>
              <w:widowControl/>
              <w:jc w:val="left"/>
              <w:rPr>
                <w:rFonts w:ascii="宋体" w:hAnsi="宋体" w:cs="宋体"/>
                <w:kern w:val="0"/>
                <w:sz w:val="18"/>
                <w:szCs w:val="18"/>
              </w:rPr>
            </w:pPr>
          </w:p>
        </w:tc>
        <w:tc>
          <w:tcPr>
            <w:tcW w:w="1067" w:type="dxa"/>
            <w:shd w:val="clear" w:color="auto" w:fill="auto"/>
            <w:vAlign w:val="center"/>
          </w:tcPr>
          <w:p>
            <w:pPr>
              <w:widowControl/>
              <w:jc w:val="left"/>
              <w:rPr>
                <w:rFonts w:ascii="宋体" w:hAnsi="宋体" w:cs="宋体"/>
                <w:kern w:val="0"/>
                <w:sz w:val="18"/>
                <w:szCs w:val="18"/>
              </w:rPr>
            </w:pPr>
          </w:p>
        </w:tc>
        <w:tc>
          <w:tcPr>
            <w:tcW w:w="1693" w:type="dxa"/>
            <w:shd w:val="clear" w:color="auto" w:fill="auto"/>
            <w:noWrap/>
            <w:vAlign w:val="center"/>
          </w:tcPr>
          <w:p>
            <w:pPr>
              <w:widowControl/>
              <w:jc w:val="left"/>
              <w:rPr>
                <w:rFonts w:ascii="宋体" w:hAnsi="宋体" w:cs="宋体"/>
                <w:kern w:val="0"/>
                <w:sz w:val="18"/>
                <w:szCs w:val="18"/>
              </w:rPr>
            </w:pPr>
          </w:p>
        </w:tc>
        <w:tc>
          <w:tcPr>
            <w:tcW w:w="1121" w:type="dxa"/>
            <w:shd w:val="clear" w:color="auto" w:fill="auto"/>
            <w:noWrap/>
            <w:vAlign w:val="center"/>
          </w:tcPr>
          <w:p>
            <w:pPr>
              <w:widowControl/>
              <w:jc w:val="right"/>
              <w:rPr>
                <w:rFonts w:ascii="宋体" w:hAnsi="宋体" w:cs="宋体"/>
                <w:kern w:val="0"/>
                <w:sz w:val="18"/>
                <w:szCs w:val="18"/>
              </w:rPr>
            </w:pPr>
          </w:p>
        </w:tc>
        <w:tc>
          <w:tcPr>
            <w:tcW w:w="2614" w:type="dxa"/>
            <w:shd w:val="clear" w:color="auto" w:fill="auto"/>
            <w:vAlign w:val="center"/>
          </w:tcPr>
          <w:p>
            <w:pPr>
              <w:widowControl/>
              <w:jc w:val="left"/>
              <w:rPr>
                <w:rFonts w:ascii="宋体" w:hAnsi="宋体" w:cs="宋体"/>
                <w:kern w:val="0"/>
                <w:sz w:val="18"/>
                <w:szCs w:val="18"/>
              </w:rPr>
            </w:pPr>
          </w:p>
        </w:tc>
        <w:tc>
          <w:tcPr>
            <w:tcW w:w="2241" w:type="dxa"/>
            <w:shd w:val="clear" w:color="auto" w:fill="auto"/>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18.00</w:t>
            </w:r>
          </w:p>
        </w:tc>
        <w:tc>
          <w:tcPr>
            <w:tcW w:w="1457" w:type="dxa"/>
            <w:vMerge w:val="continue"/>
            <w:vAlign w:val="center"/>
          </w:tcPr>
          <w:p>
            <w:pPr>
              <w:widowControl/>
              <w:jc w:val="left"/>
              <w:rPr>
                <w:rFonts w:ascii="宋体" w:hAnsi="宋体" w:cs="宋体"/>
                <w:b/>
                <w:bCs/>
                <w:kern w:val="0"/>
                <w:sz w:val="18"/>
                <w:szCs w:val="18"/>
              </w:rPr>
            </w:pPr>
          </w:p>
        </w:tc>
        <w:tc>
          <w:tcPr>
            <w:tcW w:w="1695" w:type="dxa"/>
            <w:shd w:val="clear" w:color="auto" w:fill="auto"/>
            <w:noWrap/>
            <w:vAlign w:val="center"/>
          </w:tcPr>
          <w:p>
            <w:pPr>
              <w:widowControl/>
              <w:jc w:val="left"/>
              <w:rPr>
                <w:rFonts w:ascii="宋体" w:hAnsi="宋体" w:cs="宋体"/>
                <w:kern w:val="0"/>
                <w:sz w:val="18"/>
                <w:szCs w:val="18"/>
              </w:rPr>
            </w:pPr>
          </w:p>
        </w:tc>
        <w:tc>
          <w:tcPr>
            <w:tcW w:w="2241" w:type="dxa"/>
            <w:shd w:val="clear" w:color="auto" w:fill="auto"/>
            <w:vAlign w:val="center"/>
          </w:tcPr>
          <w:p>
            <w:pPr>
              <w:widowControl/>
              <w:jc w:val="left"/>
              <w:rPr>
                <w:rFonts w:ascii="宋体" w:hAnsi="宋体" w:cs="宋体"/>
                <w:kern w:val="0"/>
                <w:sz w:val="18"/>
                <w:szCs w:val="18"/>
              </w:rPr>
            </w:pPr>
          </w:p>
        </w:tc>
        <w:tc>
          <w:tcPr>
            <w:tcW w:w="1067" w:type="dxa"/>
            <w:shd w:val="clear" w:color="auto" w:fill="auto"/>
            <w:vAlign w:val="center"/>
          </w:tcPr>
          <w:p>
            <w:pPr>
              <w:widowControl/>
              <w:jc w:val="left"/>
              <w:rPr>
                <w:rFonts w:ascii="宋体" w:hAnsi="宋体" w:cs="宋体"/>
                <w:kern w:val="0"/>
                <w:sz w:val="18"/>
                <w:szCs w:val="18"/>
              </w:rPr>
            </w:pPr>
          </w:p>
        </w:tc>
        <w:tc>
          <w:tcPr>
            <w:tcW w:w="1693" w:type="dxa"/>
            <w:shd w:val="clear" w:color="auto" w:fill="auto"/>
            <w:noWrap/>
            <w:vAlign w:val="center"/>
          </w:tcPr>
          <w:p>
            <w:pPr>
              <w:widowControl/>
              <w:jc w:val="left"/>
              <w:rPr>
                <w:rFonts w:ascii="宋体" w:hAnsi="宋体" w:cs="宋体"/>
                <w:kern w:val="0"/>
                <w:sz w:val="18"/>
                <w:szCs w:val="18"/>
              </w:rPr>
            </w:pPr>
          </w:p>
        </w:tc>
        <w:tc>
          <w:tcPr>
            <w:tcW w:w="1121" w:type="dxa"/>
            <w:shd w:val="clear" w:color="auto" w:fill="auto"/>
            <w:noWrap/>
            <w:vAlign w:val="center"/>
          </w:tcPr>
          <w:p>
            <w:pPr>
              <w:widowControl/>
              <w:jc w:val="right"/>
              <w:rPr>
                <w:rFonts w:ascii="宋体" w:hAnsi="宋体" w:cs="宋体"/>
                <w:kern w:val="0"/>
                <w:sz w:val="18"/>
                <w:szCs w:val="18"/>
              </w:rPr>
            </w:pPr>
          </w:p>
        </w:tc>
        <w:tc>
          <w:tcPr>
            <w:tcW w:w="2614" w:type="dxa"/>
            <w:shd w:val="clear" w:color="auto" w:fill="auto"/>
            <w:vAlign w:val="center"/>
          </w:tcPr>
          <w:p>
            <w:pPr>
              <w:widowControl/>
              <w:jc w:val="left"/>
              <w:rPr>
                <w:rFonts w:ascii="宋体" w:hAnsi="宋体" w:cs="宋体"/>
                <w:kern w:val="0"/>
                <w:sz w:val="18"/>
                <w:szCs w:val="18"/>
              </w:rPr>
            </w:pPr>
          </w:p>
        </w:tc>
        <w:tc>
          <w:tcPr>
            <w:tcW w:w="2241" w:type="dxa"/>
            <w:shd w:val="clear" w:color="auto" w:fill="auto"/>
            <w:vAlign w:val="center"/>
          </w:tcPr>
          <w:p>
            <w:pPr>
              <w:widowControl/>
              <w:jc w:val="left"/>
              <w:rPr>
                <w:rFonts w:ascii="宋体" w:hAnsi="宋体" w:cs="宋体"/>
                <w:kern w:val="0"/>
                <w:sz w:val="18"/>
                <w:szCs w:val="18"/>
              </w:rPr>
            </w:pPr>
          </w:p>
        </w:tc>
      </w:tr>
    </w:tbl>
    <w:p>
      <w:pPr>
        <w:rPr>
          <w:rFonts w:ascii="宋体" w:hAnsi="宋体" w:cs="宋体"/>
          <w:b/>
          <w:color w:val="000000"/>
          <w:sz w:val="32"/>
        </w:rPr>
      </w:pPr>
    </w:p>
    <w:tbl>
      <w:tblPr>
        <w:tblStyle w:val="10"/>
        <w:tblW w:w="146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457"/>
        <w:gridCol w:w="1695"/>
        <w:gridCol w:w="2241"/>
        <w:gridCol w:w="1067"/>
        <w:gridCol w:w="1693"/>
        <w:gridCol w:w="1121"/>
        <w:gridCol w:w="2614"/>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620" w:type="dxa"/>
            <w:gridSpan w:val="9"/>
            <w:tcBorders>
              <w:top w:val="nil"/>
              <w:left w:val="nil"/>
              <w:bottom w:val="single" w:color="auto" w:sz="4" w:space="0"/>
              <w:right w:val="nil"/>
            </w:tcBorders>
            <w:shd w:val="clear" w:color="000000" w:fill="E4ECF7"/>
            <w:vAlign w:val="center"/>
          </w:tcPr>
          <w:p>
            <w:pPr>
              <w:widowControl/>
              <w:jc w:val="center"/>
              <w:rPr>
                <w:rFonts w:ascii="宋体" w:hAnsi="宋体" w:cs="宋体"/>
                <w:kern w:val="0"/>
                <w:sz w:val="32"/>
                <w:szCs w:val="32"/>
              </w:rPr>
            </w:pPr>
            <w:r>
              <w:rPr>
                <w:rFonts w:hint="eastAsia" w:ascii="宋体" w:hAnsi="宋体" w:cs="宋体"/>
                <w:kern w:val="0"/>
                <w:sz w:val="32"/>
                <w:szCs w:val="32"/>
              </w:rPr>
              <w:t>3、军转家属工资保险等费用预算项目绩效表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91" w:type="dxa"/>
            <w:tcBorders>
              <w:top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2.00</w:t>
            </w:r>
          </w:p>
        </w:tc>
        <w:tc>
          <w:tcPr>
            <w:tcW w:w="1457" w:type="dxa"/>
            <w:tcBorders>
              <w:top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3936" w:type="dxa"/>
            <w:gridSpan w:val="2"/>
            <w:tcBorders>
              <w:top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434-5801-YXN-40XB</w:t>
            </w:r>
          </w:p>
        </w:tc>
        <w:tc>
          <w:tcPr>
            <w:tcW w:w="1067" w:type="dxa"/>
            <w:tcBorders>
              <w:top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7669" w:type="dxa"/>
            <w:gridSpan w:val="4"/>
            <w:tcBorders>
              <w:top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军转家属工资保险等费用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3.00</w:t>
            </w:r>
          </w:p>
        </w:tc>
        <w:tc>
          <w:tcPr>
            <w:tcW w:w="5393" w:type="dxa"/>
            <w:gridSpan w:val="3"/>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8736" w:type="dxa"/>
            <w:gridSpan w:val="5"/>
            <w:shd w:val="clear" w:color="auto" w:fill="auto"/>
            <w:noWrap/>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4.00</w:t>
            </w:r>
          </w:p>
        </w:tc>
        <w:tc>
          <w:tcPr>
            <w:tcW w:w="1457"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12672" w:type="dxa"/>
            <w:gridSpan w:val="7"/>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按市政府有关要求，人事劳动和社会保障局将3名军转干部家属安置到我办事处，每人每月5085元，同时参加医疗、养老保险，并享受相应待遇，3名军转家属全年需支出27.63万元，我单位保证按月及时发放。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5.00</w:t>
            </w:r>
          </w:p>
        </w:tc>
        <w:tc>
          <w:tcPr>
            <w:tcW w:w="1457" w:type="dxa"/>
            <w:vMerge w:val="restar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3936" w:type="dxa"/>
            <w:gridSpan w:val="2"/>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067"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814" w:type="dxa"/>
            <w:gridSpan w:val="2"/>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4855" w:type="dxa"/>
            <w:gridSpan w:val="2"/>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6.00</w:t>
            </w:r>
          </w:p>
        </w:tc>
        <w:tc>
          <w:tcPr>
            <w:tcW w:w="1457" w:type="dxa"/>
            <w:vMerge w:val="continue"/>
            <w:vAlign w:val="center"/>
          </w:tcPr>
          <w:p>
            <w:pPr>
              <w:widowControl/>
              <w:jc w:val="left"/>
              <w:rPr>
                <w:rFonts w:ascii="宋体" w:hAnsi="宋体" w:cs="宋体"/>
                <w:b/>
                <w:bCs/>
                <w:kern w:val="0"/>
                <w:sz w:val="18"/>
                <w:szCs w:val="18"/>
              </w:rPr>
            </w:pPr>
          </w:p>
        </w:tc>
        <w:tc>
          <w:tcPr>
            <w:tcW w:w="3936" w:type="dxa"/>
            <w:gridSpan w:val="2"/>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30.00</w:t>
            </w:r>
          </w:p>
        </w:tc>
        <w:tc>
          <w:tcPr>
            <w:tcW w:w="1067"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60.00</w:t>
            </w:r>
          </w:p>
        </w:tc>
        <w:tc>
          <w:tcPr>
            <w:tcW w:w="2814" w:type="dxa"/>
            <w:gridSpan w:val="2"/>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90.00</w:t>
            </w:r>
          </w:p>
        </w:tc>
        <w:tc>
          <w:tcPr>
            <w:tcW w:w="4855" w:type="dxa"/>
            <w:gridSpan w:val="2"/>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7.00</w:t>
            </w:r>
          </w:p>
        </w:tc>
        <w:tc>
          <w:tcPr>
            <w:tcW w:w="1457" w:type="dxa"/>
            <w:vMerge w:val="restart"/>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1695"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目标1</w:t>
            </w:r>
          </w:p>
        </w:tc>
        <w:tc>
          <w:tcPr>
            <w:tcW w:w="10977" w:type="dxa"/>
            <w:gridSpan w:val="6"/>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根据冀发【2004】15号文件关于做好军转干部家属安置问题的有关规定。确保军转干部家属按月发放工资、医疗、生育、养老、工伤、失业等社会保障费用需按月拨付劳务费及社会保障等。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8.00</w:t>
            </w:r>
          </w:p>
        </w:tc>
        <w:tc>
          <w:tcPr>
            <w:tcW w:w="1457" w:type="dxa"/>
            <w:vMerge w:val="continue"/>
            <w:vAlign w:val="center"/>
          </w:tcPr>
          <w:p>
            <w:pPr>
              <w:widowControl/>
              <w:jc w:val="left"/>
              <w:rPr>
                <w:rFonts w:ascii="宋体" w:hAnsi="宋体" w:cs="宋体"/>
                <w:b/>
                <w:bCs/>
                <w:kern w:val="0"/>
                <w:sz w:val="18"/>
                <w:szCs w:val="18"/>
              </w:rPr>
            </w:pPr>
          </w:p>
        </w:tc>
        <w:tc>
          <w:tcPr>
            <w:tcW w:w="1695"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目标2</w:t>
            </w:r>
          </w:p>
        </w:tc>
        <w:tc>
          <w:tcPr>
            <w:tcW w:w="10977" w:type="dxa"/>
            <w:gridSpan w:val="6"/>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根据冀发【2004】15号文件关于做好军转干部家属安置问题的有关规定。确保军转干部家属按月发放工资、医疗、生育、养老、工伤、失业等社会保障费用需按月拨付劳务费及社会保障等。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9.00</w:t>
            </w:r>
          </w:p>
        </w:tc>
        <w:tc>
          <w:tcPr>
            <w:tcW w:w="1457" w:type="dxa"/>
            <w:vMerge w:val="restart"/>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695" w:type="dxa"/>
            <w:vMerge w:val="restart"/>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2241" w:type="dxa"/>
            <w:vMerge w:val="restar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067" w:type="dxa"/>
            <w:vMerge w:val="restar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5428" w:type="dxa"/>
            <w:gridSpan w:val="3"/>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2241" w:type="dxa"/>
            <w:vMerge w:val="restar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w:t>
            </w:r>
          </w:p>
        </w:tc>
        <w:tc>
          <w:tcPr>
            <w:tcW w:w="1457" w:type="dxa"/>
            <w:vMerge w:val="continue"/>
            <w:vAlign w:val="center"/>
          </w:tcPr>
          <w:p>
            <w:pPr>
              <w:widowControl/>
              <w:jc w:val="left"/>
              <w:rPr>
                <w:rFonts w:ascii="宋体" w:hAnsi="宋体" w:cs="宋体"/>
                <w:b/>
                <w:bCs/>
                <w:kern w:val="0"/>
                <w:sz w:val="18"/>
                <w:szCs w:val="18"/>
              </w:rPr>
            </w:pPr>
          </w:p>
        </w:tc>
        <w:tc>
          <w:tcPr>
            <w:tcW w:w="1695" w:type="dxa"/>
            <w:vMerge w:val="continue"/>
            <w:vAlign w:val="center"/>
          </w:tcPr>
          <w:p>
            <w:pPr>
              <w:widowControl/>
              <w:jc w:val="left"/>
              <w:rPr>
                <w:rFonts w:ascii="宋体" w:hAnsi="宋体" w:cs="宋体"/>
                <w:b/>
                <w:bCs/>
                <w:kern w:val="0"/>
                <w:sz w:val="18"/>
                <w:szCs w:val="18"/>
              </w:rPr>
            </w:pPr>
          </w:p>
        </w:tc>
        <w:tc>
          <w:tcPr>
            <w:tcW w:w="2241" w:type="dxa"/>
            <w:vMerge w:val="continue"/>
            <w:vAlign w:val="center"/>
          </w:tcPr>
          <w:p>
            <w:pPr>
              <w:widowControl/>
              <w:jc w:val="left"/>
              <w:rPr>
                <w:rFonts w:ascii="宋体" w:hAnsi="宋体" w:cs="宋体"/>
                <w:b/>
                <w:bCs/>
                <w:kern w:val="0"/>
                <w:sz w:val="18"/>
                <w:szCs w:val="18"/>
              </w:rPr>
            </w:pPr>
          </w:p>
        </w:tc>
        <w:tc>
          <w:tcPr>
            <w:tcW w:w="1067" w:type="dxa"/>
            <w:vMerge w:val="continue"/>
            <w:vAlign w:val="center"/>
          </w:tcPr>
          <w:p>
            <w:pPr>
              <w:widowControl/>
              <w:jc w:val="left"/>
              <w:rPr>
                <w:rFonts w:ascii="宋体" w:hAnsi="宋体" w:cs="宋体"/>
                <w:b/>
                <w:bCs/>
                <w:kern w:val="0"/>
                <w:sz w:val="18"/>
                <w:szCs w:val="18"/>
              </w:rPr>
            </w:pPr>
          </w:p>
        </w:tc>
        <w:tc>
          <w:tcPr>
            <w:tcW w:w="1693"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21"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2614"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2241" w:type="dxa"/>
            <w:vMerge w:val="continue"/>
            <w:vAlign w:val="center"/>
          </w:tcPr>
          <w:p>
            <w:pPr>
              <w:widowControl/>
              <w:jc w:val="left"/>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11.00</w:t>
            </w:r>
          </w:p>
        </w:tc>
        <w:tc>
          <w:tcPr>
            <w:tcW w:w="1457" w:type="dxa"/>
            <w:vMerge w:val="restart"/>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1695"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综合事务保障率、党员教育培训率、政治思想教育参与率、党风廉政教育培训率、共青团活动考核、妇女就业培训率、征兵合格率。</w:t>
            </w:r>
          </w:p>
        </w:tc>
        <w:tc>
          <w:tcPr>
            <w:tcW w:w="1067"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主要反映街道和社区基础设施正常运转情况、街道和社区党员管理及发展、社区宣传及精神文明建设、街道和社区党员廉政教育、共青团和妇女活动开展、人民武装及国防教育。</w:t>
            </w:r>
          </w:p>
        </w:tc>
        <w:tc>
          <w:tcPr>
            <w:tcW w:w="1693"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21"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95.00</w:t>
            </w:r>
          </w:p>
        </w:tc>
        <w:tc>
          <w:tcPr>
            <w:tcW w:w="2614"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%百分比</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根据冀发【2004】15号文关于做好军转干部家属安置问题的有关规定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12.00</w:t>
            </w:r>
          </w:p>
        </w:tc>
        <w:tc>
          <w:tcPr>
            <w:tcW w:w="1457" w:type="dxa"/>
            <w:vMerge w:val="continue"/>
            <w:vAlign w:val="center"/>
          </w:tcPr>
          <w:p>
            <w:pPr>
              <w:widowControl/>
              <w:jc w:val="left"/>
              <w:rPr>
                <w:rFonts w:ascii="宋体" w:hAnsi="宋体" w:cs="宋体"/>
                <w:b/>
                <w:bCs/>
                <w:kern w:val="0"/>
                <w:sz w:val="18"/>
                <w:szCs w:val="18"/>
              </w:rPr>
            </w:pPr>
          </w:p>
        </w:tc>
        <w:tc>
          <w:tcPr>
            <w:tcW w:w="1695"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综合事务保障率、党员教育培训率、政治思想教育参与率、党风廉政教育培训率、共青团活动考核、妇女就业培训率、征兵合格率。</w:t>
            </w:r>
          </w:p>
        </w:tc>
        <w:tc>
          <w:tcPr>
            <w:tcW w:w="1067"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主要反映街道和社区基础设施正常运转情况、街道和社区党员管理及发展、社区宣传及精神文明建设、街道和社区党员廉政教育、共青团和妇女活动开展、人民武装及国防教育。</w:t>
            </w:r>
          </w:p>
        </w:tc>
        <w:tc>
          <w:tcPr>
            <w:tcW w:w="1693"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21"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95.00</w:t>
            </w:r>
          </w:p>
        </w:tc>
        <w:tc>
          <w:tcPr>
            <w:tcW w:w="2614"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%百分比</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根据冀发【2004】15号文关于做好军转干部家属安置问题的有关规定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13.00</w:t>
            </w:r>
          </w:p>
        </w:tc>
        <w:tc>
          <w:tcPr>
            <w:tcW w:w="1457" w:type="dxa"/>
            <w:vMerge w:val="continue"/>
            <w:vAlign w:val="center"/>
          </w:tcPr>
          <w:p>
            <w:pPr>
              <w:widowControl/>
              <w:jc w:val="left"/>
              <w:rPr>
                <w:rFonts w:ascii="宋体" w:hAnsi="宋体" w:cs="宋体"/>
                <w:b/>
                <w:bCs/>
                <w:kern w:val="0"/>
                <w:sz w:val="18"/>
                <w:szCs w:val="18"/>
              </w:rPr>
            </w:pPr>
          </w:p>
        </w:tc>
        <w:tc>
          <w:tcPr>
            <w:tcW w:w="1695"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综合事务保障率、党员教育培训率、政治思想教育参与率、党风廉政教育培训率、共青团活动考核、妇女就业培训率、征兵合格率。</w:t>
            </w:r>
          </w:p>
        </w:tc>
        <w:tc>
          <w:tcPr>
            <w:tcW w:w="1067"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主要反映街道和社区基础设施正常运转情况、街道和社区党员管理及发展、社区宣传及精神文明建设、街道和社区党员廉政教育、共青团和妇女活动开展、人民武装及国防教育。</w:t>
            </w:r>
          </w:p>
        </w:tc>
        <w:tc>
          <w:tcPr>
            <w:tcW w:w="1693"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21"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95.00</w:t>
            </w:r>
          </w:p>
        </w:tc>
        <w:tc>
          <w:tcPr>
            <w:tcW w:w="2614"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%百分比</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根据冀发【2004】15号文关于做好军转干部家属安置问题的有关规定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14.00</w:t>
            </w:r>
          </w:p>
        </w:tc>
        <w:tc>
          <w:tcPr>
            <w:tcW w:w="1457" w:type="dxa"/>
            <w:vMerge w:val="restart"/>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1695"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补助人群生活改善情况</w:t>
            </w:r>
          </w:p>
        </w:tc>
        <w:tc>
          <w:tcPr>
            <w:tcW w:w="1067"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补助人群在生活、医疗、护理、教育等方面的改善情况</w:t>
            </w:r>
          </w:p>
        </w:tc>
        <w:tc>
          <w:tcPr>
            <w:tcW w:w="1693"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21"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95.00</w:t>
            </w:r>
          </w:p>
        </w:tc>
        <w:tc>
          <w:tcPr>
            <w:tcW w:w="2614"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%百分比</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根据冀发【2004】15号文关于做好军转干部家属安置问题的有关规定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15.00</w:t>
            </w:r>
          </w:p>
        </w:tc>
        <w:tc>
          <w:tcPr>
            <w:tcW w:w="1457" w:type="dxa"/>
            <w:vMerge w:val="continue"/>
            <w:vAlign w:val="center"/>
          </w:tcPr>
          <w:p>
            <w:pPr>
              <w:widowControl/>
              <w:jc w:val="left"/>
              <w:rPr>
                <w:rFonts w:ascii="宋体" w:hAnsi="宋体" w:cs="宋体"/>
                <w:b/>
                <w:bCs/>
                <w:kern w:val="0"/>
                <w:sz w:val="18"/>
                <w:szCs w:val="18"/>
              </w:rPr>
            </w:pPr>
          </w:p>
        </w:tc>
        <w:tc>
          <w:tcPr>
            <w:tcW w:w="1695"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补助人群生活改善情况</w:t>
            </w:r>
          </w:p>
        </w:tc>
        <w:tc>
          <w:tcPr>
            <w:tcW w:w="1067"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补助人群在生活、医疗、护理、教育等方面的改善情况</w:t>
            </w:r>
          </w:p>
        </w:tc>
        <w:tc>
          <w:tcPr>
            <w:tcW w:w="1693"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21"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95.00</w:t>
            </w:r>
          </w:p>
        </w:tc>
        <w:tc>
          <w:tcPr>
            <w:tcW w:w="2614"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%百分比</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根据冀发【2004】15号文关于做好军转干部家属安置问题的有关规定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16.00</w:t>
            </w:r>
          </w:p>
        </w:tc>
        <w:tc>
          <w:tcPr>
            <w:tcW w:w="1457" w:type="dxa"/>
            <w:vMerge w:val="continue"/>
            <w:vAlign w:val="center"/>
          </w:tcPr>
          <w:p>
            <w:pPr>
              <w:widowControl/>
              <w:jc w:val="left"/>
              <w:rPr>
                <w:rFonts w:ascii="宋体" w:hAnsi="宋体" w:cs="宋体"/>
                <w:b/>
                <w:bCs/>
                <w:kern w:val="0"/>
                <w:sz w:val="18"/>
                <w:szCs w:val="18"/>
              </w:rPr>
            </w:pPr>
          </w:p>
        </w:tc>
        <w:tc>
          <w:tcPr>
            <w:tcW w:w="1695"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补助人群生活改善情况</w:t>
            </w:r>
          </w:p>
        </w:tc>
        <w:tc>
          <w:tcPr>
            <w:tcW w:w="1067"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补助人群在生活、医疗、护理、教育等方面的改善情况</w:t>
            </w:r>
          </w:p>
        </w:tc>
        <w:tc>
          <w:tcPr>
            <w:tcW w:w="1693"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21"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95.00</w:t>
            </w:r>
          </w:p>
        </w:tc>
        <w:tc>
          <w:tcPr>
            <w:tcW w:w="2614"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%百分比</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根据冀发【2004】15号文关于做好军转干部家属安置问题的有关规定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17.00</w:t>
            </w:r>
          </w:p>
        </w:tc>
        <w:tc>
          <w:tcPr>
            <w:tcW w:w="1457" w:type="dxa"/>
            <w:vMerge w:val="restart"/>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169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受益对象满意度(%)</w:t>
            </w:r>
          </w:p>
        </w:tc>
        <w:tc>
          <w:tcPr>
            <w:tcW w:w="1067"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通过问卷调查，满意和较满意的受益对象占全部调研对象的比例</w:t>
            </w:r>
          </w:p>
        </w:tc>
        <w:tc>
          <w:tcPr>
            <w:tcW w:w="1693"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21"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95.00</w:t>
            </w:r>
          </w:p>
        </w:tc>
        <w:tc>
          <w:tcPr>
            <w:tcW w:w="2614"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%百分比</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根据冀发【2004】15号文关于做好军转干部家属安置问题的有关规定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18.00</w:t>
            </w:r>
          </w:p>
        </w:tc>
        <w:tc>
          <w:tcPr>
            <w:tcW w:w="1457" w:type="dxa"/>
            <w:vMerge w:val="continue"/>
            <w:vAlign w:val="center"/>
          </w:tcPr>
          <w:p>
            <w:pPr>
              <w:widowControl/>
              <w:jc w:val="left"/>
              <w:rPr>
                <w:rFonts w:ascii="宋体" w:hAnsi="宋体" w:cs="宋体"/>
                <w:b/>
                <w:bCs/>
                <w:kern w:val="0"/>
                <w:sz w:val="18"/>
                <w:szCs w:val="18"/>
              </w:rPr>
            </w:pPr>
          </w:p>
        </w:tc>
        <w:tc>
          <w:tcPr>
            <w:tcW w:w="1695"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受益对象满意度(%)</w:t>
            </w:r>
          </w:p>
        </w:tc>
        <w:tc>
          <w:tcPr>
            <w:tcW w:w="1067"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通过问卷调查，满意和较满意的受益对象占全部调研对象的比例</w:t>
            </w:r>
          </w:p>
        </w:tc>
        <w:tc>
          <w:tcPr>
            <w:tcW w:w="1693"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21"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95.00</w:t>
            </w:r>
          </w:p>
        </w:tc>
        <w:tc>
          <w:tcPr>
            <w:tcW w:w="2614"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%百分比</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根据冀发【2004】15号文关于做好军转干部家属安置问题的有关规定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19.00</w:t>
            </w:r>
          </w:p>
        </w:tc>
        <w:tc>
          <w:tcPr>
            <w:tcW w:w="1457" w:type="dxa"/>
            <w:vMerge w:val="continue"/>
            <w:vAlign w:val="center"/>
          </w:tcPr>
          <w:p>
            <w:pPr>
              <w:widowControl/>
              <w:jc w:val="left"/>
              <w:rPr>
                <w:rFonts w:ascii="宋体" w:hAnsi="宋体" w:cs="宋体"/>
                <w:b/>
                <w:bCs/>
                <w:kern w:val="0"/>
                <w:sz w:val="18"/>
                <w:szCs w:val="18"/>
              </w:rPr>
            </w:pPr>
          </w:p>
        </w:tc>
        <w:tc>
          <w:tcPr>
            <w:tcW w:w="1695"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受益对象满意度(%)</w:t>
            </w:r>
          </w:p>
        </w:tc>
        <w:tc>
          <w:tcPr>
            <w:tcW w:w="1067"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通过问卷调查，满意和较满意的受益对象占全部调研对象的比例</w:t>
            </w:r>
          </w:p>
        </w:tc>
        <w:tc>
          <w:tcPr>
            <w:tcW w:w="1693"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21"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95.00</w:t>
            </w:r>
          </w:p>
        </w:tc>
        <w:tc>
          <w:tcPr>
            <w:tcW w:w="2614"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%百分比</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根据冀发【2004】15号文关于做好军转干部家属安置问题的有关规定</w:t>
            </w:r>
          </w:p>
        </w:tc>
      </w:tr>
    </w:tbl>
    <w:p>
      <w:pPr>
        <w:rPr>
          <w:rFonts w:ascii="宋体" w:hAnsi="宋体" w:cs="宋体"/>
          <w:b/>
          <w:color w:val="000000"/>
          <w:sz w:val="32"/>
        </w:rPr>
      </w:pPr>
    </w:p>
    <w:tbl>
      <w:tblPr>
        <w:tblStyle w:val="10"/>
        <w:tblW w:w="146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457"/>
        <w:gridCol w:w="1695"/>
        <w:gridCol w:w="2241"/>
        <w:gridCol w:w="1067"/>
        <w:gridCol w:w="1693"/>
        <w:gridCol w:w="1121"/>
        <w:gridCol w:w="2614"/>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4620" w:type="dxa"/>
            <w:gridSpan w:val="9"/>
            <w:tcBorders>
              <w:top w:val="nil"/>
              <w:left w:val="nil"/>
              <w:bottom w:val="single" w:color="auto" w:sz="4" w:space="0"/>
              <w:right w:val="nil"/>
            </w:tcBorders>
            <w:shd w:val="clear" w:color="000000" w:fill="E4ECF7"/>
            <w:vAlign w:val="center"/>
          </w:tcPr>
          <w:p>
            <w:pPr>
              <w:widowControl/>
              <w:jc w:val="center"/>
              <w:rPr>
                <w:rFonts w:ascii="宋体" w:hAnsi="宋体" w:cs="宋体"/>
                <w:kern w:val="0"/>
                <w:sz w:val="32"/>
                <w:szCs w:val="32"/>
              </w:rPr>
            </w:pPr>
            <w:r>
              <w:rPr>
                <w:rFonts w:hint="eastAsia" w:ascii="宋体" w:hAnsi="宋体" w:cs="宋体"/>
                <w:kern w:val="0"/>
                <w:sz w:val="32"/>
                <w:szCs w:val="32"/>
              </w:rPr>
              <w:t>4、文化路日常维稳及宣传费等预算项目绩效表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91" w:type="dxa"/>
            <w:tcBorders>
              <w:top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2.00</w:t>
            </w:r>
          </w:p>
        </w:tc>
        <w:tc>
          <w:tcPr>
            <w:tcW w:w="1457" w:type="dxa"/>
            <w:tcBorders>
              <w:top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3936" w:type="dxa"/>
            <w:gridSpan w:val="2"/>
            <w:tcBorders>
              <w:top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434-5801-YXN-DH7S</w:t>
            </w:r>
          </w:p>
        </w:tc>
        <w:tc>
          <w:tcPr>
            <w:tcW w:w="1067" w:type="dxa"/>
            <w:tcBorders>
              <w:top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7669" w:type="dxa"/>
            <w:gridSpan w:val="4"/>
            <w:tcBorders>
              <w:top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文化路日常维稳及宣传费等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3.00</w:t>
            </w:r>
          </w:p>
        </w:tc>
        <w:tc>
          <w:tcPr>
            <w:tcW w:w="5393" w:type="dxa"/>
            <w:gridSpan w:val="3"/>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8736" w:type="dxa"/>
            <w:gridSpan w:val="5"/>
            <w:shd w:val="clear" w:color="auto" w:fill="auto"/>
            <w:noWrap/>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4.00</w:t>
            </w:r>
          </w:p>
        </w:tc>
        <w:tc>
          <w:tcPr>
            <w:tcW w:w="1457"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12672" w:type="dxa"/>
            <w:gridSpan w:val="7"/>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负责本辖区社会综合治理及宣传工作，负责排查信访、调处居民纠纷、维护社会秩序、保障社会安定，包括展板、广告宣传等费用，包括接访差旅费、车油费等其他维稳费用，共需维护稳定及宣传费用21.35万元。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5.00</w:t>
            </w:r>
          </w:p>
        </w:tc>
        <w:tc>
          <w:tcPr>
            <w:tcW w:w="1457" w:type="dxa"/>
            <w:vMerge w:val="restar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3936" w:type="dxa"/>
            <w:gridSpan w:val="2"/>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067"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814" w:type="dxa"/>
            <w:gridSpan w:val="2"/>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4855" w:type="dxa"/>
            <w:gridSpan w:val="2"/>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6.00</w:t>
            </w:r>
          </w:p>
        </w:tc>
        <w:tc>
          <w:tcPr>
            <w:tcW w:w="1457" w:type="dxa"/>
            <w:vMerge w:val="continue"/>
            <w:vAlign w:val="center"/>
          </w:tcPr>
          <w:p>
            <w:pPr>
              <w:widowControl/>
              <w:jc w:val="left"/>
              <w:rPr>
                <w:rFonts w:ascii="宋体" w:hAnsi="宋体" w:cs="宋体"/>
                <w:b/>
                <w:bCs/>
                <w:kern w:val="0"/>
                <w:sz w:val="18"/>
                <w:szCs w:val="18"/>
              </w:rPr>
            </w:pPr>
          </w:p>
        </w:tc>
        <w:tc>
          <w:tcPr>
            <w:tcW w:w="3936" w:type="dxa"/>
            <w:gridSpan w:val="2"/>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30.00</w:t>
            </w:r>
          </w:p>
        </w:tc>
        <w:tc>
          <w:tcPr>
            <w:tcW w:w="1067"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60.00</w:t>
            </w:r>
          </w:p>
        </w:tc>
        <w:tc>
          <w:tcPr>
            <w:tcW w:w="2814" w:type="dxa"/>
            <w:gridSpan w:val="2"/>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90.00</w:t>
            </w:r>
          </w:p>
        </w:tc>
        <w:tc>
          <w:tcPr>
            <w:tcW w:w="4855" w:type="dxa"/>
            <w:gridSpan w:val="2"/>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7.00</w:t>
            </w:r>
          </w:p>
        </w:tc>
        <w:tc>
          <w:tcPr>
            <w:tcW w:w="1457" w:type="dxa"/>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1695"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目标1</w:t>
            </w:r>
          </w:p>
        </w:tc>
        <w:tc>
          <w:tcPr>
            <w:tcW w:w="10977" w:type="dxa"/>
            <w:gridSpan w:val="6"/>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围绕“五个好”标准，侧重于德、勤、能、绩、廉、学六个方面。主要内容包括贯彻落实党在社区的路线方针政策情况、社会治安综合治理和计划生育工作情况、精神文明建设情况、党的建设及社区服务。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8.00</w:t>
            </w:r>
          </w:p>
        </w:tc>
        <w:tc>
          <w:tcPr>
            <w:tcW w:w="1457" w:type="dxa"/>
            <w:vMerge w:val="restart"/>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695" w:type="dxa"/>
            <w:vMerge w:val="restart"/>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2241" w:type="dxa"/>
            <w:vMerge w:val="restar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067" w:type="dxa"/>
            <w:vMerge w:val="restar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5428" w:type="dxa"/>
            <w:gridSpan w:val="3"/>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2241" w:type="dxa"/>
            <w:vMerge w:val="restar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9.00</w:t>
            </w:r>
          </w:p>
        </w:tc>
        <w:tc>
          <w:tcPr>
            <w:tcW w:w="1457" w:type="dxa"/>
            <w:vMerge w:val="continue"/>
            <w:vAlign w:val="center"/>
          </w:tcPr>
          <w:p>
            <w:pPr>
              <w:widowControl/>
              <w:jc w:val="left"/>
              <w:rPr>
                <w:rFonts w:ascii="宋体" w:hAnsi="宋体" w:cs="宋体"/>
                <w:b/>
                <w:bCs/>
                <w:kern w:val="0"/>
                <w:sz w:val="18"/>
                <w:szCs w:val="18"/>
              </w:rPr>
            </w:pPr>
          </w:p>
        </w:tc>
        <w:tc>
          <w:tcPr>
            <w:tcW w:w="1695" w:type="dxa"/>
            <w:vMerge w:val="continue"/>
            <w:vAlign w:val="center"/>
          </w:tcPr>
          <w:p>
            <w:pPr>
              <w:widowControl/>
              <w:jc w:val="left"/>
              <w:rPr>
                <w:rFonts w:ascii="宋体" w:hAnsi="宋体" w:cs="宋体"/>
                <w:b/>
                <w:bCs/>
                <w:kern w:val="0"/>
                <w:sz w:val="18"/>
                <w:szCs w:val="18"/>
              </w:rPr>
            </w:pPr>
          </w:p>
        </w:tc>
        <w:tc>
          <w:tcPr>
            <w:tcW w:w="2241" w:type="dxa"/>
            <w:vMerge w:val="continue"/>
            <w:vAlign w:val="center"/>
          </w:tcPr>
          <w:p>
            <w:pPr>
              <w:widowControl/>
              <w:jc w:val="left"/>
              <w:rPr>
                <w:rFonts w:ascii="宋体" w:hAnsi="宋体" w:cs="宋体"/>
                <w:b/>
                <w:bCs/>
                <w:kern w:val="0"/>
                <w:sz w:val="18"/>
                <w:szCs w:val="18"/>
              </w:rPr>
            </w:pPr>
          </w:p>
        </w:tc>
        <w:tc>
          <w:tcPr>
            <w:tcW w:w="1067" w:type="dxa"/>
            <w:vMerge w:val="continue"/>
            <w:vAlign w:val="center"/>
          </w:tcPr>
          <w:p>
            <w:pPr>
              <w:widowControl/>
              <w:jc w:val="left"/>
              <w:rPr>
                <w:rFonts w:ascii="宋体" w:hAnsi="宋体" w:cs="宋体"/>
                <w:b/>
                <w:bCs/>
                <w:kern w:val="0"/>
                <w:sz w:val="18"/>
                <w:szCs w:val="18"/>
              </w:rPr>
            </w:pPr>
          </w:p>
        </w:tc>
        <w:tc>
          <w:tcPr>
            <w:tcW w:w="1693"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21"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2614"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2241" w:type="dxa"/>
            <w:vMerge w:val="continue"/>
            <w:vAlign w:val="center"/>
          </w:tcPr>
          <w:p>
            <w:pPr>
              <w:widowControl/>
              <w:jc w:val="left"/>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w:t>
            </w:r>
          </w:p>
        </w:tc>
        <w:tc>
          <w:tcPr>
            <w:tcW w:w="1457" w:type="dxa"/>
            <w:vMerge w:val="restart"/>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1695"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根据年度考核结果，分为优秀、称职、基本称职</w:t>
            </w:r>
          </w:p>
        </w:tc>
        <w:tc>
          <w:tcPr>
            <w:tcW w:w="1067"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对社区工作以街道下达的考核目标为基础，实行百分制考核。对各社区申报的项目实行加分制，对各社区在各项工作检查中被通报批评的实行扣分制。</w:t>
            </w:r>
          </w:p>
        </w:tc>
        <w:tc>
          <w:tcPr>
            <w:tcW w:w="1693"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21"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100.00</w:t>
            </w:r>
          </w:p>
        </w:tc>
        <w:tc>
          <w:tcPr>
            <w:tcW w:w="2614"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%百分比</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遵化市机构编制委员会文件遵机编字【2013】8号遵化市机构编制委员会关于遵化市华明路和文化路两个街道办事处机构编制等有关问题的意见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11.00</w:t>
            </w:r>
          </w:p>
        </w:tc>
        <w:tc>
          <w:tcPr>
            <w:tcW w:w="1457" w:type="dxa"/>
            <w:vMerge w:val="continue"/>
            <w:vAlign w:val="center"/>
          </w:tcPr>
          <w:p>
            <w:pPr>
              <w:widowControl/>
              <w:jc w:val="left"/>
              <w:rPr>
                <w:rFonts w:ascii="宋体" w:hAnsi="宋体" w:cs="宋体"/>
                <w:b/>
                <w:bCs/>
                <w:kern w:val="0"/>
                <w:sz w:val="18"/>
                <w:szCs w:val="18"/>
              </w:rPr>
            </w:pPr>
          </w:p>
        </w:tc>
        <w:tc>
          <w:tcPr>
            <w:tcW w:w="1695"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向居民群众宣传党和国家的方针、政策和法律，认真贯彻执行上级有关部门提供的指示和任务；为群众提供办理婚姻、住房、计划生育、户口死亡等有关证明</w:t>
            </w:r>
          </w:p>
        </w:tc>
        <w:tc>
          <w:tcPr>
            <w:tcW w:w="1067"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对社区工作以街道下达的考核目标为基础，实行百分制考核。</w:t>
            </w:r>
          </w:p>
        </w:tc>
        <w:tc>
          <w:tcPr>
            <w:tcW w:w="1693"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21"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100.00</w:t>
            </w:r>
          </w:p>
        </w:tc>
        <w:tc>
          <w:tcPr>
            <w:tcW w:w="2614"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%百分比</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遵化市机构编制委员会文件遵机编字【2013】8号遵化市机构编制委员会关于遵化市华明路和文化路两个街道办事处机构编制等有关问题的意见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12.00</w:t>
            </w:r>
          </w:p>
        </w:tc>
        <w:tc>
          <w:tcPr>
            <w:tcW w:w="1457" w:type="dxa"/>
            <w:vMerge w:val="continue"/>
            <w:vAlign w:val="center"/>
          </w:tcPr>
          <w:p>
            <w:pPr>
              <w:widowControl/>
              <w:jc w:val="left"/>
              <w:rPr>
                <w:rFonts w:ascii="宋体" w:hAnsi="宋体" w:cs="宋体"/>
                <w:b/>
                <w:bCs/>
                <w:kern w:val="0"/>
                <w:sz w:val="18"/>
                <w:szCs w:val="18"/>
              </w:rPr>
            </w:pPr>
          </w:p>
        </w:tc>
        <w:tc>
          <w:tcPr>
            <w:tcW w:w="1695"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做好拥军优属，帮困救济，扶残助寡及统战工作；整治社区脏、乱、差及维护社会治安、调解民间纠纷；积极开展社区服务，组织群众集体文化活动。</w:t>
            </w:r>
          </w:p>
        </w:tc>
        <w:tc>
          <w:tcPr>
            <w:tcW w:w="1067"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人民调解案件数量</w:t>
            </w:r>
          </w:p>
        </w:tc>
        <w:tc>
          <w:tcPr>
            <w:tcW w:w="1693"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21"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100.00</w:t>
            </w:r>
          </w:p>
        </w:tc>
        <w:tc>
          <w:tcPr>
            <w:tcW w:w="2614"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%百分比</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遵化市机构编制委员会文件遵机编字【2013】8号遵化市机构编制委员会关于遵化市华明路和文化路两个街道办事处机构编制等有关问题的意见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13.00</w:t>
            </w:r>
          </w:p>
        </w:tc>
        <w:tc>
          <w:tcPr>
            <w:tcW w:w="1457" w:type="dxa"/>
            <w:vMerge w:val="restart"/>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1695"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人民调解案件数（件）</w:t>
            </w:r>
          </w:p>
        </w:tc>
        <w:tc>
          <w:tcPr>
            <w:tcW w:w="1067"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处置完成突发事件新闻数量占突发事件新闻数量的比率</w:t>
            </w:r>
          </w:p>
        </w:tc>
        <w:tc>
          <w:tcPr>
            <w:tcW w:w="1693"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21"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100.00</w:t>
            </w:r>
          </w:p>
        </w:tc>
        <w:tc>
          <w:tcPr>
            <w:tcW w:w="2614"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%百分比</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遵化市机构编制委员会文件遵机编字【2013】8号遵化市机构编制委员会关于遵化市华明路和文化路两个街道办事处机构编制等有关问题的意见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14.00</w:t>
            </w:r>
          </w:p>
        </w:tc>
        <w:tc>
          <w:tcPr>
            <w:tcW w:w="1457" w:type="dxa"/>
            <w:vMerge w:val="continue"/>
            <w:vAlign w:val="center"/>
          </w:tcPr>
          <w:p>
            <w:pPr>
              <w:widowControl/>
              <w:jc w:val="left"/>
              <w:rPr>
                <w:rFonts w:ascii="宋体" w:hAnsi="宋体" w:cs="宋体"/>
                <w:b/>
                <w:bCs/>
                <w:kern w:val="0"/>
                <w:sz w:val="18"/>
                <w:szCs w:val="18"/>
              </w:rPr>
            </w:pPr>
          </w:p>
        </w:tc>
        <w:tc>
          <w:tcPr>
            <w:tcW w:w="1695"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突发事件处置率（%)</w:t>
            </w:r>
          </w:p>
        </w:tc>
        <w:tc>
          <w:tcPr>
            <w:tcW w:w="1067"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处置完成突发事件新闻数量占突发事件新闻数量的比率</w:t>
            </w:r>
          </w:p>
        </w:tc>
        <w:tc>
          <w:tcPr>
            <w:tcW w:w="1693"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21"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100.00</w:t>
            </w:r>
          </w:p>
        </w:tc>
        <w:tc>
          <w:tcPr>
            <w:tcW w:w="2614"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%百分比</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遵化市机构编制委员会文件遵机编字【2013】8号遵化市机构编制委员会关于遵化市华明路和文化路两个街道办事处机构编制等有关问题的意见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15.00</w:t>
            </w:r>
          </w:p>
        </w:tc>
        <w:tc>
          <w:tcPr>
            <w:tcW w:w="1457" w:type="dxa"/>
            <w:vMerge w:val="continue"/>
            <w:vAlign w:val="center"/>
          </w:tcPr>
          <w:p>
            <w:pPr>
              <w:widowControl/>
              <w:jc w:val="left"/>
              <w:rPr>
                <w:rFonts w:ascii="宋体" w:hAnsi="宋体" w:cs="宋体"/>
                <w:b/>
                <w:bCs/>
                <w:kern w:val="0"/>
                <w:sz w:val="18"/>
                <w:szCs w:val="18"/>
              </w:rPr>
            </w:pPr>
          </w:p>
        </w:tc>
        <w:tc>
          <w:tcPr>
            <w:tcW w:w="1695"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突发事件处置率（%)</w:t>
            </w:r>
          </w:p>
        </w:tc>
        <w:tc>
          <w:tcPr>
            <w:tcW w:w="1067"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人民调解案件数量</w:t>
            </w:r>
          </w:p>
        </w:tc>
        <w:tc>
          <w:tcPr>
            <w:tcW w:w="1693"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21"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100.00</w:t>
            </w:r>
          </w:p>
        </w:tc>
        <w:tc>
          <w:tcPr>
            <w:tcW w:w="2614"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%百分比</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遵化市机构编制委员会文件遵机编字【2013】8号遵化市机构编制委员会关于遵化市华明路和文化路两个街道办事处机构编制等有关问题的意见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16.00</w:t>
            </w:r>
          </w:p>
        </w:tc>
        <w:tc>
          <w:tcPr>
            <w:tcW w:w="1457" w:type="dxa"/>
            <w:vMerge w:val="restart"/>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169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067"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1693"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21"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100.00</w:t>
            </w:r>
          </w:p>
        </w:tc>
        <w:tc>
          <w:tcPr>
            <w:tcW w:w="2614"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%百分比</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遵化市机构编制委员会文件遵机编字【2013】8号遵化市机构编制委员会关于遵化市华明路和文化路两个街道办事处机构编制等有关问题的意见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17.00</w:t>
            </w:r>
          </w:p>
        </w:tc>
        <w:tc>
          <w:tcPr>
            <w:tcW w:w="1457" w:type="dxa"/>
            <w:vMerge w:val="continue"/>
            <w:vAlign w:val="center"/>
          </w:tcPr>
          <w:p>
            <w:pPr>
              <w:widowControl/>
              <w:jc w:val="left"/>
              <w:rPr>
                <w:rFonts w:ascii="宋体" w:hAnsi="宋体" w:cs="宋体"/>
                <w:b/>
                <w:bCs/>
                <w:kern w:val="0"/>
                <w:sz w:val="18"/>
                <w:szCs w:val="18"/>
              </w:rPr>
            </w:pPr>
          </w:p>
        </w:tc>
        <w:tc>
          <w:tcPr>
            <w:tcW w:w="1695" w:type="dxa"/>
            <w:shd w:val="clear" w:color="auto" w:fill="auto"/>
            <w:noWrap/>
            <w:vAlign w:val="center"/>
          </w:tcPr>
          <w:p>
            <w:pPr>
              <w:widowControl/>
              <w:jc w:val="left"/>
              <w:rPr>
                <w:rFonts w:ascii="宋体" w:hAnsi="宋体" w:cs="宋体"/>
                <w:kern w:val="0"/>
                <w:sz w:val="18"/>
                <w:szCs w:val="18"/>
              </w:rPr>
            </w:pPr>
          </w:p>
        </w:tc>
        <w:tc>
          <w:tcPr>
            <w:tcW w:w="2241" w:type="dxa"/>
            <w:shd w:val="clear" w:color="auto" w:fill="auto"/>
            <w:vAlign w:val="center"/>
          </w:tcPr>
          <w:p>
            <w:pPr>
              <w:widowControl/>
              <w:jc w:val="left"/>
              <w:rPr>
                <w:rFonts w:ascii="宋体" w:hAnsi="宋体" w:cs="宋体"/>
                <w:kern w:val="0"/>
                <w:sz w:val="18"/>
                <w:szCs w:val="18"/>
              </w:rPr>
            </w:pPr>
          </w:p>
        </w:tc>
        <w:tc>
          <w:tcPr>
            <w:tcW w:w="1067" w:type="dxa"/>
            <w:shd w:val="clear" w:color="auto" w:fill="auto"/>
            <w:vAlign w:val="center"/>
          </w:tcPr>
          <w:p>
            <w:pPr>
              <w:widowControl/>
              <w:jc w:val="left"/>
              <w:rPr>
                <w:rFonts w:ascii="宋体" w:hAnsi="宋体" w:cs="宋体"/>
                <w:kern w:val="0"/>
                <w:sz w:val="18"/>
                <w:szCs w:val="18"/>
              </w:rPr>
            </w:pPr>
          </w:p>
        </w:tc>
        <w:tc>
          <w:tcPr>
            <w:tcW w:w="1693" w:type="dxa"/>
            <w:shd w:val="clear" w:color="auto" w:fill="auto"/>
            <w:noWrap/>
            <w:vAlign w:val="center"/>
          </w:tcPr>
          <w:p>
            <w:pPr>
              <w:widowControl/>
              <w:jc w:val="left"/>
              <w:rPr>
                <w:rFonts w:ascii="宋体" w:hAnsi="宋体" w:cs="宋体"/>
                <w:kern w:val="0"/>
                <w:sz w:val="18"/>
                <w:szCs w:val="18"/>
              </w:rPr>
            </w:pPr>
          </w:p>
        </w:tc>
        <w:tc>
          <w:tcPr>
            <w:tcW w:w="1121" w:type="dxa"/>
            <w:shd w:val="clear" w:color="auto" w:fill="auto"/>
            <w:noWrap/>
            <w:vAlign w:val="center"/>
          </w:tcPr>
          <w:p>
            <w:pPr>
              <w:widowControl/>
              <w:jc w:val="right"/>
              <w:rPr>
                <w:rFonts w:ascii="宋体" w:hAnsi="宋体" w:cs="宋体"/>
                <w:kern w:val="0"/>
                <w:sz w:val="18"/>
                <w:szCs w:val="18"/>
              </w:rPr>
            </w:pPr>
          </w:p>
        </w:tc>
        <w:tc>
          <w:tcPr>
            <w:tcW w:w="2614" w:type="dxa"/>
            <w:shd w:val="clear" w:color="auto" w:fill="auto"/>
            <w:vAlign w:val="center"/>
          </w:tcPr>
          <w:p>
            <w:pPr>
              <w:widowControl/>
              <w:jc w:val="left"/>
              <w:rPr>
                <w:rFonts w:ascii="宋体" w:hAnsi="宋体" w:cs="宋体"/>
                <w:kern w:val="0"/>
                <w:sz w:val="18"/>
                <w:szCs w:val="18"/>
              </w:rPr>
            </w:pPr>
          </w:p>
        </w:tc>
        <w:tc>
          <w:tcPr>
            <w:tcW w:w="2241" w:type="dxa"/>
            <w:shd w:val="clear" w:color="auto" w:fill="auto"/>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18.00</w:t>
            </w:r>
          </w:p>
        </w:tc>
        <w:tc>
          <w:tcPr>
            <w:tcW w:w="1457" w:type="dxa"/>
            <w:vMerge w:val="continue"/>
            <w:vAlign w:val="center"/>
          </w:tcPr>
          <w:p>
            <w:pPr>
              <w:widowControl/>
              <w:jc w:val="left"/>
              <w:rPr>
                <w:rFonts w:ascii="宋体" w:hAnsi="宋体" w:cs="宋体"/>
                <w:b/>
                <w:bCs/>
                <w:kern w:val="0"/>
                <w:sz w:val="18"/>
                <w:szCs w:val="18"/>
              </w:rPr>
            </w:pPr>
          </w:p>
        </w:tc>
        <w:tc>
          <w:tcPr>
            <w:tcW w:w="1695" w:type="dxa"/>
            <w:shd w:val="clear" w:color="auto" w:fill="auto"/>
            <w:noWrap/>
            <w:vAlign w:val="center"/>
          </w:tcPr>
          <w:p>
            <w:pPr>
              <w:widowControl/>
              <w:jc w:val="left"/>
              <w:rPr>
                <w:rFonts w:ascii="宋体" w:hAnsi="宋体" w:cs="宋体"/>
                <w:kern w:val="0"/>
                <w:sz w:val="18"/>
                <w:szCs w:val="18"/>
              </w:rPr>
            </w:pPr>
          </w:p>
        </w:tc>
        <w:tc>
          <w:tcPr>
            <w:tcW w:w="2241" w:type="dxa"/>
            <w:shd w:val="clear" w:color="auto" w:fill="auto"/>
            <w:vAlign w:val="center"/>
          </w:tcPr>
          <w:p>
            <w:pPr>
              <w:widowControl/>
              <w:jc w:val="left"/>
              <w:rPr>
                <w:rFonts w:ascii="宋体" w:hAnsi="宋体" w:cs="宋体"/>
                <w:kern w:val="0"/>
                <w:sz w:val="18"/>
                <w:szCs w:val="18"/>
              </w:rPr>
            </w:pPr>
          </w:p>
        </w:tc>
        <w:tc>
          <w:tcPr>
            <w:tcW w:w="1067" w:type="dxa"/>
            <w:shd w:val="clear" w:color="auto" w:fill="auto"/>
            <w:vAlign w:val="center"/>
          </w:tcPr>
          <w:p>
            <w:pPr>
              <w:widowControl/>
              <w:jc w:val="left"/>
              <w:rPr>
                <w:rFonts w:ascii="宋体" w:hAnsi="宋体" w:cs="宋体"/>
                <w:kern w:val="0"/>
                <w:sz w:val="18"/>
                <w:szCs w:val="18"/>
              </w:rPr>
            </w:pPr>
          </w:p>
        </w:tc>
        <w:tc>
          <w:tcPr>
            <w:tcW w:w="1693" w:type="dxa"/>
            <w:shd w:val="clear" w:color="auto" w:fill="auto"/>
            <w:noWrap/>
            <w:vAlign w:val="center"/>
          </w:tcPr>
          <w:p>
            <w:pPr>
              <w:widowControl/>
              <w:jc w:val="left"/>
              <w:rPr>
                <w:rFonts w:ascii="宋体" w:hAnsi="宋体" w:cs="宋体"/>
                <w:kern w:val="0"/>
                <w:sz w:val="18"/>
                <w:szCs w:val="18"/>
              </w:rPr>
            </w:pPr>
          </w:p>
        </w:tc>
        <w:tc>
          <w:tcPr>
            <w:tcW w:w="1121" w:type="dxa"/>
            <w:shd w:val="clear" w:color="auto" w:fill="auto"/>
            <w:noWrap/>
            <w:vAlign w:val="center"/>
          </w:tcPr>
          <w:p>
            <w:pPr>
              <w:widowControl/>
              <w:jc w:val="right"/>
              <w:rPr>
                <w:rFonts w:ascii="宋体" w:hAnsi="宋体" w:cs="宋体"/>
                <w:kern w:val="0"/>
                <w:sz w:val="18"/>
                <w:szCs w:val="18"/>
              </w:rPr>
            </w:pPr>
          </w:p>
        </w:tc>
        <w:tc>
          <w:tcPr>
            <w:tcW w:w="2614" w:type="dxa"/>
            <w:shd w:val="clear" w:color="auto" w:fill="auto"/>
            <w:vAlign w:val="center"/>
          </w:tcPr>
          <w:p>
            <w:pPr>
              <w:widowControl/>
              <w:jc w:val="left"/>
              <w:rPr>
                <w:rFonts w:ascii="宋体" w:hAnsi="宋体" w:cs="宋体"/>
                <w:kern w:val="0"/>
                <w:sz w:val="18"/>
                <w:szCs w:val="18"/>
              </w:rPr>
            </w:pPr>
          </w:p>
        </w:tc>
        <w:tc>
          <w:tcPr>
            <w:tcW w:w="2241" w:type="dxa"/>
            <w:shd w:val="clear" w:color="auto" w:fill="auto"/>
            <w:vAlign w:val="center"/>
          </w:tcPr>
          <w:p>
            <w:pPr>
              <w:widowControl/>
              <w:jc w:val="left"/>
              <w:rPr>
                <w:rFonts w:ascii="宋体" w:hAnsi="宋体" w:cs="宋体"/>
                <w:kern w:val="0"/>
                <w:sz w:val="18"/>
                <w:szCs w:val="18"/>
              </w:rPr>
            </w:pPr>
          </w:p>
        </w:tc>
      </w:tr>
    </w:tbl>
    <w:p>
      <w:pPr>
        <w:rPr>
          <w:rFonts w:ascii="宋体" w:hAnsi="宋体" w:cs="宋体"/>
          <w:b/>
          <w:color w:val="000000"/>
          <w:sz w:val="32"/>
        </w:rPr>
      </w:pPr>
    </w:p>
    <w:tbl>
      <w:tblPr>
        <w:tblStyle w:val="10"/>
        <w:tblW w:w="146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457"/>
        <w:gridCol w:w="1695"/>
        <w:gridCol w:w="2241"/>
        <w:gridCol w:w="1067"/>
        <w:gridCol w:w="1693"/>
        <w:gridCol w:w="1121"/>
        <w:gridCol w:w="2614"/>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4620" w:type="dxa"/>
            <w:gridSpan w:val="9"/>
            <w:tcBorders>
              <w:top w:val="nil"/>
              <w:left w:val="nil"/>
              <w:bottom w:val="single" w:color="auto" w:sz="4" w:space="0"/>
              <w:right w:val="nil"/>
            </w:tcBorders>
            <w:shd w:val="clear" w:color="000000" w:fill="E4ECF7"/>
            <w:vAlign w:val="center"/>
          </w:tcPr>
          <w:p>
            <w:pPr>
              <w:widowControl/>
              <w:jc w:val="center"/>
              <w:rPr>
                <w:rFonts w:ascii="宋体" w:hAnsi="宋体" w:cs="宋体"/>
                <w:kern w:val="0"/>
                <w:sz w:val="32"/>
                <w:szCs w:val="32"/>
              </w:rPr>
            </w:pPr>
            <w:r>
              <w:rPr>
                <w:rFonts w:hint="eastAsia" w:ascii="宋体" w:hAnsi="宋体" w:cs="宋体"/>
                <w:kern w:val="0"/>
                <w:sz w:val="32"/>
                <w:szCs w:val="32"/>
              </w:rPr>
              <w:t>5、文化路社区服务群众支出预算项目绩效表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91" w:type="dxa"/>
            <w:tcBorders>
              <w:top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2.00</w:t>
            </w:r>
          </w:p>
        </w:tc>
        <w:tc>
          <w:tcPr>
            <w:tcW w:w="1457" w:type="dxa"/>
            <w:tcBorders>
              <w:top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3936" w:type="dxa"/>
            <w:gridSpan w:val="2"/>
            <w:tcBorders>
              <w:top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434-6104-YXN-Z5NQ</w:t>
            </w:r>
          </w:p>
        </w:tc>
        <w:tc>
          <w:tcPr>
            <w:tcW w:w="1067" w:type="dxa"/>
            <w:tcBorders>
              <w:top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7669" w:type="dxa"/>
            <w:gridSpan w:val="4"/>
            <w:tcBorders>
              <w:top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文化路社区服务群众支出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3.00</w:t>
            </w:r>
          </w:p>
        </w:tc>
        <w:tc>
          <w:tcPr>
            <w:tcW w:w="5393" w:type="dxa"/>
            <w:gridSpan w:val="3"/>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8736" w:type="dxa"/>
            <w:gridSpan w:val="5"/>
            <w:shd w:val="clear" w:color="auto" w:fill="auto"/>
            <w:noWrap/>
            <w:vAlign w:val="center"/>
          </w:tcPr>
          <w:p>
            <w:pPr>
              <w:widowControl/>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4.00</w:t>
            </w:r>
          </w:p>
        </w:tc>
        <w:tc>
          <w:tcPr>
            <w:tcW w:w="1457"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12672" w:type="dxa"/>
            <w:gridSpan w:val="7"/>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完善城市管理体制，建立社区保洁长效机制，治理小区“五乱”，清理小区内违章建筑，开展文明城市创建工作，做好老城区改造及房屋征收拆迁工作.共需资金334.36万元。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5.00</w:t>
            </w:r>
          </w:p>
        </w:tc>
        <w:tc>
          <w:tcPr>
            <w:tcW w:w="1457" w:type="dxa"/>
            <w:vMerge w:val="restar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3936" w:type="dxa"/>
            <w:gridSpan w:val="2"/>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067"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814" w:type="dxa"/>
            <w:gridSpan w:val="2"/>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4855" w:type="dxa"/>
            <w:gridSpan w:val="2"/>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6.00</w:t>
            </w:r>
          </w:p>
        </w:tc>
        <w:tc>
          <w:tcPr>
            <w:tcW w:w="1457" w:type="dxa"/>
            <w:vMerge w:val="continue"/>
            <w:vAlign w:val="center"/>
          </w:tcPr>
          <w:p>
            <w:pPr>
              <w:widowControl/>
              <w:jc w:val="left"/>
              <w:rPr>
                <w:rFonts w:ascii="宋体" w:hAnsi="宋体" w:cs="宋体"/>
                <w:b/>
                <w:bCs/>
                <w:kern w:val="0"/>
                <w:sz w:val="18"/>
                <w:szCs w:val="18"/>
              </w:rPr>
            </w:pPr>
          </w:p>
        </w:tc>
        <w:tc>
          <w:tcPr>
            <w:tcW w:w="3936" w:type="dxa"/>
            <w:gridSpan w:val="2"/>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30.00</w:t>
            </w:r>
          </w:p>
        </w:tc>
        <w:tc>
          <w:tcPr>
            <w:tcW w:w="1067"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60.00</w:t>
            </w:r>
          </w:p>
        </w:tc>
        <w:tc>
          <w:tcPr>
            <w:tcW w:w="2814" w:type="dxa"/>
            <w:gridSpan w:val="2"/>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90.00</w:t>
            </w:r>
          </w:p>
        </w:tc>
        <w:tc>
          <w:tcPr>
            <w:tcW w:w="4855" w:type="dxa"/>
            <w:gridSpan w:val="2"/>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7.00</w:t>
            </w:r>
          </w:p>
        </w:tc>
        <w:tc>
          <w:tcPr>
            <w:tcW w:w="1457" w:type="dxa"/>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1695"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目标1</w:t>
            </w:r>
          </w:p>
        </w:tc>
        <w:tc>
          <w:tcPr>
            <w:tcW w:w="10977" w:type="dxa"/>
            <w:gridSpan w:val="6"/>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宣传城市建设管理相关法律法规，建立社区保洁长效机制，治理小区“五乱”，提升小区整体环境，开展唐山市优秀卫生小区评比，每年不少于4个小区。开展文明城市创建活动，组织开展文明小区、文明楼院、文明家庭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8.00</w:t>
            </w:r>
          </w:p>
        </w:tc>
        <w:tc>
          <w:tcPr>
            <w:tcW w:w="1457" w:type="dxa"/>
            <w:vMerge w:val="restart"/>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695" w:type="dxa"/>
            <w:vMerge w:val="restart"/>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2241" w:type="dxa"/>
            <w:vMerge w:val="restar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067" w:type="dxa"/>
            <w:vMerge w:val="restar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5428" w:type="dxa"/>
            <w:gridSpan w:val="3"/>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2241" w:type="dxa"/>
            <w:vMerge w:val="restar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9.00</w:t>
            </w:r>
          </w:p>
        </w:tc>
        <w:tc>
          <w:tcPr>
            <w:tcW w:w="1457" w:type="dxa"/>
            <w:vMerge w:val="continue"/>
            <w:vAlign w:val="center"/>
          </w:tcPr>
          <w:p>
            <w:pPr>
              <w:widowControl/>
              <w:jc w:val="left"/>
              <w:rPr>
                <w:rFonts w:ascii="宋体" w:hAnsi="宋体" w:cs="宋体"/>
                <w:b/>
                <w:bCs/>
                <w:kern w:val="0"/>
                <w:sz w:val="18"/>
                <w:szCs w:val="18"/>
              </w:rPr>
            </w:pPr>
          </w:p>
        </w:tc>
        <w:tc>
          <w:tcPr>
            <w:tcW w:w="1695" w:type="dxa"/>
            <w:vMerge w:val="continue"/>
            <w:vAlign w:val="center"/>
          </w:tcPr>
          <w:p>
            <w:pPr>
              <w:widowControl/>
              <w:jc w:val="left"/>
              <w:rPr>
                <w:rFonts w:ascii="宋体" w:hAnsi="宋体" w:cs="宋体"/>
                <w:b/>
                <w:bCs/>
                <w:kern w:val="0"/>
                <w:sz w:val="18"/>
                <w:szCs w:val="18"/>
              </w:rPr>
            </w:pPr>
          </w:p>
        </w:tc>
        <w:tc>
          <w:tcPr>
            <w:tcW w:w="2241" w:type="dxa"/>
            <w:vMerge w:val="continue"/>
            <w:vAlign w:val="center"/>
          </w:tcPr>
          <w:p>
            <w:pPr>
              <w:widowControl/>
              <w:jc w:val="left"/>
              <w:rPr>
                <w:rFonts w:ascii="宋体" w:hAnsi="宋体" w:cs="宋体"/>
                <w:b/>
                <w:bCs/>
                <w:kern w:val="0"/>
                <w:sz w:val="18"/>
                <w:szCs w:val="18"/>
              </w:rPr>
            </w:pPr>
          </w:p>
        </w:tc>
        <w:tc>
          <w:tcPr>
            <w:tcW w:w="1067" w:type="dxa"/>
            <w:vMerge w:val="continue"/>
            <w:vAlign w:val="center"/>
          </w:tcPr>
          <w:p>
            <w:pPr>
              <w:widowControl/>
              <w:jc w:val="left"/>
              <w:rPr>
                <w:rFonts w:ascii="宋体" w:hAnsi="宋体" w:cs="宋体"/>
                <w:b/>
                <w:bCs/>
                <w:kern w:val="0"/>
                <w:sz w:val="18"/>
                <w:szCs w:val="18"/>
              </w:rPr>
            </w:pPr>
          </w:p>
        </w:tc>
        <w:tc>
          <w:tcPr>
            <w:tcW w:w="1693"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21"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2614"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2241" w:type="dxa"/>
            <w:vMerge w:val="continue"/>
            <w:vAlign w:val="center"/>
          </w:tcPr>
          <w:p>
            <w:pPr>
              <w:widowControl/>
              <w:jc w:val="left"/>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w:t>
            </w:r>
          </w:p>
        </w:tc>
        <w:tc>
          <w:tcPr>
            <w:tcW w:w="1457" w:type="dxa"/>
            <w:vMerge w:val="restart"/>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1695"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宣传城市建设管理相关法律法规，建立社区保洁长效机制，治理小区“五乱”，提升小区整体环境</w:t>
            </w:r>
          </w:p>
        </w:tc>
        <w:tc>
          <w:tcPr>
            <w:tcW w:w="1067"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做好城市相关法律法规的宣传普及，每年不少于五次上街宣传；建立小区保洁长效机制，做到全覆盖；开展唐山市优秀卫生小区创建工作，不少于4个居民小区；随时拆除小区内违章建筑物；做好文明城市创建的宣传普及，开展文明小区、文明楼院及文明家庭创建；做好镇海东街及府前街拆迁工作。</w:t>
            </w:r>
          </w:p>
        </w:tc>
        <w:tc>
          <w:tcPr>
            <w:tcW w:w="1693"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21"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100.00</w:t>
            </w:r>
          </w:p>
        </w:tc>
        <w:tc>
          <w:tcPr>
            <w:tcW w:w="2614"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垃圾桶正常使用率100%</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遵化市机构编制委员会文件遵机编字【2013】8号遵化市机构编制委员会关于遵化市华明路和文化路两个街道办事处机构编制等有关问题的意见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11.00</w:t>
            </w:r>
          </w:p>
        </w:tc>
        <w:tc>
          <w:tcPr>
            <w:tcW w:w="1457" w:type="dxa"/>
            <w:vMerge w:val="continue"/>
            <w:vAlign w:val="center"/>
          </w:tcPr>
          <w:p>
            <w:pPr>
              <w:widowControl/>
              <w:jc w:val="left"/>
              <w:rPr>
                <w:rFonts w:ascii="宋体" w:hAnsi="宋体" w:cs="宋体"/>
                <w:b/>
                <w:bCs/>
                <w:kern w:val="0"/>
                <w:sz w:val="18"/>
                <w:szCs w:val="18"/>
              </w:rPr>
            </w:pPr>
          </w:p>
        </w:tc>
        <w:tc>
          <w:tcPr>
            <w:tcW w:w="1695"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质量指标</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开展文明城市创建活动，组织开展文明小区、文明楼院、文明家庭评比。</w:t>
            </w:r>
          </w:p>
        </w:tc>
        <w:tc>
          <w:tcPr>
            <w:tcW w:w="1067"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做好城市相关法律法规的宣传普及，每年不少于五次上街宣传；建立小区保洁长效机制，做到全覆盖；开展唐山市优秀卫生小区创建工作，不少于4个居民小区；随时拆除小区内违章建筑物；做好文明城市创建的宣传普及，开展文明小区、文明楼院及文明家庭创建；做好镇海东街及府前街拆迁工作。</w:t>
            </w:r>
          </w:p>
        </w:tc>
        <w:tc>
          <w:tcPr>
            <w:tcW w:w="1693"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21"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100.00</w:t>
            </w:r>
          </w:p>
        </w:tc>
        <w:tc>
          <w:tcPr>
            <w:tcW w:w="2614"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%百分比,生活垃圾无害化处理100%</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遵化市机构编制委员会文件遵机编字【2013】8号遵化市机构编制委员会关于遵化市华明路和文化路两个街道办事处机构编制等有关问题的意见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12.00</w:t>
            </w:r>
          </w:p>
        </w:tc>
        <w:tc>
          <w:tcPr>
            <w:tcW w:w="1457" w:type="dxa"/>
            <w:vMerge w:val="continue"/>
            <w:vAlign w:val="center"/>
          </w:tcPr>
          <w:p>
            <w:pPr>
              <w:widowControl/>
              <w:jc w:val="left"/>
              <w:rPr>
                <w:rFonts w:ascii="宋体" w:hAnsi="宋体" w:cs="宋体"/>
                <w:b/>
                <w:bCs/>
                <w:kern w:val="0"/>
                <w:sz w:val="18"/>
                <w:szCs w:val="18"/>
              </w:rPr>
            </w:pPr>
          </w:p>
        </w:tc>
        <w:tc>
          <w:tcPr>
            <w:tcW w:w="1695"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宣传城市建设管理相关法律法规，建立社区保洁长效机制，治理小区“五乱”，提升小区整体环境</w:t>
            </w:r>
          </w:p>
        </w:tc>
        <w:tc>
          <w:tcPr>
            <w:tcW w:w="1067"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做好城市相关法律法规的宣传普及，每年不少于五次上街宣传；建立小区保洁长效机制，做到全覆盖；开展唐山市优秀卫生小区创建工作，不少于4个居民小区；随时拆除小区内违章建筑物；做好文明城市创建的宣传普及，开展文明小区、文明楼院及文明家庭创建；做好镇海东街及府前街拆迁工作。</w:t>
            </w:r>
          </w:p>
        </w:tc>
        <w:tc>
          <w:tcPr>
            <w:tcW w:w="1693"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21"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100.00</w:t>
            </w:r>
          </w:p>
        </w:tc>
        <w:tc>
          <w:tcPr>
            <w:tcW w:w="2614"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%百分比,生活垃圾无害化处理100%</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遵化市机构编制委员会文件遵机编字【2013】8号遵化市机构编制委员会关于遵化市华明路和文化路两个街道办事处机构编制等有关问题的意见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13.00</w:t>
            </w:r>
          </w:p>
        </w:tc>
        <w:tc>
          <w:tcPr>
            <w:tcW w:w="1457" w:type="dxa"/>
            <w:vMerge w:val="restart"/>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1695"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宣传城市建设管理相关法律法规，建立社区保洁长效机制，治理小区“五乱”，提升小区整体环境</w:t>
            </w:r>
          </w:p>
        </w:tc>
        <w:tc>
          <w:tcPr>
            <w:tcW w:w="1067"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随时拆除小区内违章建筑物；做好文明城市创建的宣传普及，开展文明小区、文明楼院及文明家庭创建；做好镇海东街及府前街拆迁工作。</w:t>
            </w:r>
          </w:p>
        </w:tc>
        <w:tc>
          <w:tcPr>
            <w:tcW w:w="1693"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21"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100.00</w:t>
            </w:r>
          </w:p>
        </w:tc>
        <w:tc>
          <w:tcPr>
            <w:tcW w:w="2614"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%百分比,生活垃圾无害化处理100%</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遵化市机构编制委员会文件遵机编字【2013】8号遵化市机构编制委员会关于遵化市华明路和文化路两个街道办事处机构编制等有关问题的意见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14.00</w:t>
            </w:r>
          </w:p>
        </w:tc>
        <w:tc>
          <w:tcPr>
            <w:tcW w:w="1457" w:type="dxa"/>
            <w:vMerge w:val="continue"/>
            <w:vAlign w:val="center"/>
          </w:tcPr>
          <w:p>
            <w:pPr>
              <w:widowControl/>
              <w:jc w:val="left"/>
              <w:rPr>
                <w:rFonts w:ascii="宋体" w:hAnsi="宋体" w:cs="宋体"/>
                <w:b/>
                <w:bCs/>
                <w:kern w:val="0"/>
                <w:sz w:val="18"/>
                <w:szCs w:val="18"/>
              </w:rPr>
            </w:pPr>
          </w:p>
        </w:tc>
        <w:tc>
          <w:tcPr>
            <w:tcW w:w="1695"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开展文明城市创建活动，组织开展文明小区、文明楼院、文明家庭评比。</w:t>
            </w:r>
          </w:p>
        </w:tc>
        <w:tc>
          <w:tcPr>
            <w:tcW w:w="1067"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随时拆除小区内违章建筑物；做好文明城市创建的宣传普及，开展文明小区、文明楼院及文明家庭创建；做好镇海东街及府前街拆迁工作。</w:t>
            </w:r>
          </w:p>
        </w:tc>
        <w:tc>
          <w:tcPr>
            <w:tcW w:w="1693"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21"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100.00</w:t>
            </w:r>
          </w:p>
        </w:tc>
        <w:tc>
          <w:tcPr>
            <w:tcW w:w="2614"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%百分比,生活垃圾无害化处理100%</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遵化市机构编制委员会文件遵机编字【2013】8号遵化市机构编制委员会关于遵化市华明路和文化路两个街道办事处机构编制等有关问题的意见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15.00</w:t>
            </w:r>
          </w:p>
        </w:tc>
        <w:tc>
          <w:tcPr>
            <w:tcW w:w="1457" w:type="dxa"/>
            <w:vMerge w:val="continue"/>
            <w:vAlign w:val="center"/>
          </w:tcPr>
          <w:p>
            <w:pPr>
              <w:widowControl/>
              <w:jc w:val="left"/>
              <w:rPr>
                <w:rFonts w:ascii="宋体" w:hAnsi="宋体" w:cs="宋体"/>
                <w:b/>
                <w:bCs/>
                <w:kern w:val="0"/>
                <w:sz w:val="18"/>
                <w:szCs w:val="18"/>
              </w:rPr>
            </w:pPr>
          </w:p>
        </w:tc>
        <w:tc>
          <w:tcPr>
            <w:tcW w:w="1695"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开展文明城市创建活动，组织开展文明小区、文明楼院、文明家庭评比。</w:t>
            </w:r>
          </w:p>
        </w:tc>
        <w:tc>
          <w:tcPr>
            <w:tcW w:w="1067"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随时拆除小区内违章建筑物；做好文明城市创建的宣传普及，开展文明小区、文明楼院及文明家庭创建；做好镇海东街及府前街拆迁工作。</w:t>
            </w:r>
          </w:p>
        </w:tc>
        <w:tc>
          <w:tcPr>
            <w:tcW w:w="1693"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21"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100.00</w:t>
            </w:r>
          </w:p>
        </w:tc>
        <w:tc>
          <w:tcPr>
            <w:tcW w:w="2614"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%百分比,为常住人口提供基本公共卫生服务的能力和效果可持续性</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遵化市机构编制委员会文件遵机编字【2013】8号遵化市机构编制委员会关于遵化市华明路和文化路两个街道办事处机构编制等有关问题的意见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16.00</w:t>
            </w:r>
          </w:p>
        </w:tc>
        <w:tc>
          <w:tcPr>
            <w:tcW w:w="1457" w:type="dxa"/>
            <w:vMerge w:val="restart"/>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1695"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全年空气优良天数增长率（%）</w:t>
            </w:r>
          </w:p>
        </w:tc>
        <w:tc>
          <w:tcPr>
            <w:tcW w:w="1067"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全年空气优良天数同比增长率</w:t>
            </w:r>
          </w:p>
        </w:tc>
        <w:tc>
          <w:tcPr>
            <w:tcW w:w="1693"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21"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100.00</w:t>
            </w:r>
          </w:p>
        </w:tc>
        <w:tc>
          <w:tcPr>
            <w:tcW w:w="2614"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%百分比</w:t>
            </w:r>
          </w:p>
        </w:tc>
        <w:tc>
          <w:tcPr>
            <w:tcW w:w="224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遵化市机构编制委员会文件遵机编字【2013】8号遵化市机构编制委员会关于遵化市华明路和文化路两个街道办事处机构编制等有关问题的意见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17.00</w:t>
            </w:r>
          </w:p>
        </w:tc>
        <w:tc>
          <w:tcPr>
            <w:tcW w:w="1457" w:type="dxa"/>
            <w:vMerge w:val="continue"/>
            <w:vAlign w:val="center"/>
          </w:tcPr>
          <w:p>
            <w:pPr>
              <w:widowControl/>
              <w:jc w:val="left"/>
              <w:rPr>
                <w:rFonts w:ascii="宋体" w:hAnsi="宋体" w:cs="宋体"/>
                <w:b/>
                <w:bCs/>
                <w:kern w:val="0"/>
                <w:sz w:val="18"/>
                <w:szCs w:val="18"/>
              </w:rPr>
            </w:pPr>
          </w:p>
        </w:tc>
        <w:tc>
          <w:tcPr>
            <w:tcW w:w="1695" w:type="dxa"/>
            <w:shd w:val="clear" w:color="auto" w:fill="auto"/>
            <w:noWrap/>
            <w:vAlign w:val="center"/>
          </w:tcPr>
          <w:p>
            <w:pPr>
              <w:widowControl/>
              <w:jc w:val="left"/>
              <w:rPr>
                <w:rFonts w:ascii="宋体" w:hAnsi="宋体" w:cs="宋体"/>
                <w:kern w:val="0"/>
                <w:sz w:val="18"/>
                <w:szCs w:val="18"/>
              </w:rPr>
            </w:pPr>
          </w:p>
        </w:tc>
        <w:tc>
          <w:tcPr>
            <w:tcW w:w="2241" w:type="dxa"/>
            <w:shd w:val="clear" w:color="auto" w:fill="auto"/>
            <w:vAlign w:val="center"/>
          </w:tcPr>
          <w:p>
            <w:pPr>
              <w:widowControl/>
              <w:jc w:val="left"/>
              <w:rPr>
                <w:rFonts w:ascii="宋体" w:hAnsi="宋体" w:cs="宋体"/>
                <w:kern w:val="0"/>
                <w:sz w:val="18"/>
                <w:szCs w:val="18"/>
              </w:rPr>
            </w:pPr>
          </w:p>
        </w:tc>
        <w:tc>
          <w:tcPr>
            <w:tcW w:w="1067" w:type="dxa"/>
            <w:shd w:val="clear" w:color="auto" w:fill="auto"/>
            <w:vAlign w:val="center"/>
          </w:tcPr>
          <w:p>
            <w:pPr>
              <w:widowControl/>
              <w:jc w:val="left"/>
              <w:rPr>
                <w:rFonts w:ascii="宋体" w:hAnsi="宋体" w:cs="宋体"/>
                <w:kern w:val="0"/>
                <w:sz w:val="18"/>
                <w:szCs w:val="18"/>
              </w:rPr>
            </w:pPr>
          </w:p>
        </w:tc>
        <w:tc>
          <w:tcPr>
            <w:tcW w:w="1693" w:type="dxa"/>
            <w:shd w:val="clear" w:color="auto" w:fill="auto"/>
            <w:noWrap/>
            <w:vAlign w:val="center"/>
          </w:tcPr>
          <w:p>
            <w:pPr>
              <w:widowControl/>
              <w:jc w:val="left"/>
              <w:rPr>
                <w:rFonts w:ascii="宋体" w:hAnsi="宋体" w:cs="宋体"/>
                <w:kern w:val="0"/>
                <w:sz w:val="18"/>
                <w:szCs w:val="18"/>
              </w:rPr>
            </w:pPr>
          </w:p>
        </w:tc>
        <w:tc>
          <w:tcPr>
            <w:tcW w:w="1121" w:type="dxa"/>
            <w:shd w:val="clear" w:color="auto" w:fill="auto"/>
            <w:noWrap/>
            <w:vAlign w:val="center"/>
          </w:tcPr>
          <w:p>
            <w:pPr>
              <w:widowControl/>
              <w:jc w:val="right"/>
              <w:rPr>
                <w:rFonts w:ascii="宋体" w:hAnsi="宋体" w:cs="宋体"/>
                <w:kern w:val="0"/>
                <w:sz w:val="18"/>
                <w:szCs w:val="18"/>
              </w:rPr>
            </w:pPr>
          </w:p>
        </w:tc>
        <w:tc>
          <w:tcPr>
            <w:tcW w:w="2614" w:type="dxa"/>
            <w:shd w:val="clear" w:color="auto" w:fill="auto"/>
            <w:vAlign w:val="center"/>
          </w:tcPr>
          <w:p>
            <w:pPr>
              <w:widowControl/>
              <w:jc w:val="left"/>
              <w:rPr>
                <w:rFonts w:ascii="宋体" w:hAnsi="宋体" w:cs="宋体"/>
                <w:kern w:val="0"/>
                <w:sz w:val="18"/>
                <w:szCs w:val="18"/>
              </w:rPr>
            </w:pPr>
          </w:p>
        </w:tc>
        <w:tc>
          <w:tcPr>
            <w:tcW w:w="2241" w:type="dxa"/>
            <w:shd w:val="clear" w:color="auto" w:fill="auto"/>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9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18.00</w:t>
            </w:r>
          </w:p>
        </w:tc>
        <w:tc>
          <w:tcPr>
            <w:tcW w:w="1457" w:type="dxa"/>
            <w:vMerge w:val="continue"/>
            <w:vAlign w:val="center"/>
          </w:tcPr>
          <w:p>
            <w:pPr>
              <w:widowControl/>
              <w:jc w:val="left"/>
              <w:rPr>
                <w:rFonts w:ascii="宋体" w:hAnsi="宋体" w:cs="宋体"/>
                <w:b/>
                <w:bCs/>
                <w:kern w:val="0"/>
                <w:sz w:val="18"/>
                <w:szCs w:val="18"/>
              </w:rPr>
            </w:pPr>
          </w:p>
        </w:tc>
        <w:tc>
          <w:tcPr>
            <w:tcW w:w="1695" w:type="dxa"/>
            <w:shd w:val="clear" w:color="auto" w:fill="auto"/>
            <w:noWrap/>
            <w:vAlign w:val="center"/>
          </w:tcPr>
          <w:p>
            <w:pPr>
              <w:widowControl/>
              <w:jc w:val="left"/>
              <w:rPr>
                <w:rFonts w:ascii="宋体" w:hAnsi="宋体" w:cs="宋体"/>
                <w:kern w:val="0"/>
                <w:sz w:val="18"/>
                <w:szCs w:val="18"/>
              </w:rPr>
            </w:pPr>
          </w:p>
        </w:tc>
        <w:tc>
          <w:tcPr>
            <w:tcW w:w="2241" w:type="dxa"/>
            <w:shd w:val="clear" w:color="auto" w:fill="auto"/>
            <w:vAlign w:val="center"/>
          </w:tcPr>
          <w:p>
            <w:pPr>
              <w:widowControl/>
              <w:jc w:val="left"/>
              <w:rPr>
                <w:rFonts w:ascii="宋体" w:hAnsi="宋体" w:cs="宋体"/>
                <w:kern w:val="0"/>
                <w:sz w:val="18"/>
                <w:szCs w:val="18"/>
              </w:rPr>
            </w:pPr>
          </w:p>
        </w:tc>
        <w:tc>
          <w:tcPr>
            <w:tcW w:w="1067" w:type="dxa"/>
            <w:shd w:val="clear" w:color="auto" w:fill="auto"/>
            <w:vAlign w:val="center"/>
          </w:tcPr>
          <w:p>
            <w:pPr>
              <w:widowControl/>
              <w:jc w:val="left"/>
              <w:rPr>
                <w:rFonts w:ascii="宋体" w:hAnsi="宋体" w:cs="宋体"/>
                <w:kern w:val="0"/>
                <w:sz w:val="18"/>
                <w:szCs w:val="18"/>
              </w:rPr>
            </w:pPr>
          </w:p>
        </w:tc>
        <w:tc>
          <w:tcPr>
            <w:tcW w:w="1693" w:type="dxa"/>
            <w:shd w:val="clear" w:color="auto" w:fill="auto"/>
            <w:noWrap/>
            <w:vAlign w:val="center"/>
          </w:tcPr>
          <w:p>
            <w:pPr>
              <w:widowControl/>
              <w:jc w:val="left"/>
              <w:rPr>
                <w:rFonts w:ascii="宋体" w:hAnsi="宋体" w:cs="宋体"/>
                <w:kern w:val="0"/>
                <w:sz w:val="18"/>
                <w:szCs w:val="18"/>
              </w:rPr>
            </w:pPr>
          </w:p>
        </w:tc>
        <w:tc>
          <w:tcPr>
            <w:tcW w:w="1121" w:type="dxa"/>
            <w:shd w:val="clear" w:color="auto" w:fill="auto"/>
            <w:noWrap/>
            <w:vAlign w:val="center"/>
          </w:tcPr>
          <w:p>
            <w:pPr>
              <w:widowControl/>
              <w:jc w:val="right"/>
              <w:rPr>
                <w:rFonts w:ascii="宋体" w:hAnsi="宋体" w:cs="宋体"/>
                <w:kern w:val="0"/>
                <w:sz w:val="18"/>
                <w:szCs w:val="18"/>
              </w:rPr>
            </w:pPr>
          </w:p>
        </w:tc>
        <w:tc>
          <w:tcPr>
            <w:tcW w:w="2614" w:type="dxa"/>
            <w:shd w:val="clear" w:color="auto" w:fill="auto"/>
            <w:vAlign w:val="center"/>
          </w:tcPr>
          <w:p>
            <w:pPr>
              <w:widowControl/>
              <w:jc w:val="left"/>
              <w:rPr>
                <w:rFonts w:ascii="宋体" w:hAnsi="宋体" w:cs="宋体"/>
                <w:kern w:val="0"/>
                <w:sz w:val="18"/>
                <w:szCs w:val="18"/>
              </w:rPr>
            </w:pPr>
          </w:p>
        </w:tc>
        <w:tc>
          <w:tcPr>
            <w:tcW w:w="2241" w:type="dxa"/>
            <w:shd w:val="clear" w:color="auto" w:fill="auto"/>
            <w:vAlign w:val="center"/>
          </w:tcPr>
          <w:p>
            <w:pPr>
              <w:widowControl/>
              <w:jc w:val="left"/>
              <w:rPr>
                <w:rFonts w:ascii="宋体" w:hAnsi="宋体" w:cs="宋体"/>
                <w:kern w:val="0"/>
                <w:sz w:val="18"/>
                <w:szCs w:val="18"/>
              </w:rPr>
            </w:pPr>
          </w:p>
        </w:tc>
      </w:tr>
    </w:tbl>
    <w:p>
      <w:pPr>
        <w:rPr>
          <w:rFonts w:ascii="宋体" w:hAnsi="宋体" w:cs="宋体"/>
          <w:b/>
          <w:color w:val="000000"/>
          <w:sz w:val="32"/>
        </w:rPr>
      </w:pPr>
    </w:p>
    <w:p>
      <w:pPr>
        <w:rPr>
          <w:rFonts w:ascii="宋体" w:hAnsi="宋体" w:cs="宋体"/>
          <w:b/>
          <w:color w:val="000000"/>
          <w:sz w:val="32"/>
        </w:rPr>
      </w:pPr>
    </w:p>
    <w:tbl>
      <w:tblPr>
        <w:tblStyle w:val="10"/>
        <w:tblW w:w="14620" w:type="dxa"/>
        <w:tblInd w:w="93" w:type="dxa"/>
        <w:tblLayout w:type="autofit"/>
        <w:tblCellMar>
          <w:top w:w="0" w:type="dxa"/>
          <w:left w:w="108" w:type="dxa"/>
          <w:bottom w:w="0" w:type="dxa"/>
          <w:right w:w="108" w:type="dxa"/>
        </w:tblCellMar>
      </w:tblPr>
      <w:tblGrid>
        <w:gridCol w:w="666"/>
        <w:gridCol w:w="1457"/>
        <w:gridCol w:w="1695"/>
        <w:gridCol w:w="2241"/>
        <w:gridCol w:w="1067"/>
        <w:gridCol w:w="1693"/>
        <w:gridCol w:w="1121"/>
        <w:gridCol w:w="2614"/>
        <w:gridCol w:w="2241"/>
      </w:tblGrid>
      <w:tr>
        <w:tblPrEx>
          <w:tblCellMar>
            <w:top w:w="0" w:type="dxa"/>
            <w:left w:w="108" w:type="dxa"/>
            <w:bottom w:w="0" w:type="dxa"/>
            <w:right w:w="108" w:type="dxa"/>
          </w:tblCellMar>
        </w:tblPrEx>
        <w:trPr>
          <w:trHeight w:val="600" w:hRule="atLeast"/>
        </w:trPr>
        <w:tc>
          <w:tcPr>
            <w:tcW w:w="14620" w:type="dxa"/>
            <w:gridSpan w:val="9"/>
            <w:tcBorders>
              <w:top w:val="nil"/>
              <w:left w:val="nil"/>
              <w:bottom w:val="single" w:color="auto" w:sz="4" w:space="0"/>
              <w:right w:val="nil"/>
            </w:tcBorders>
            <w:shd w:val="clear" w:color="000000" w:fill="E4ECF7"/>
            <w:vAlign w:val="center"/>
          </w:tcPr>
          <w:p>
            <w:pPr>
              <w:widowControl/>
              <w:jc w:val="center"/>
              <w:rPr>
                <w:rFonts w:ascii="宋体" w:hAnsi="宋体" w:cs="宋体"/>
                <w:kern w:val="0"/>
                <w:sz w:val="32"/>
                <w:szCs w:val="32"/>
              </w:rPr>
            </w:pPr>
            <w:r>
              <w:rPr>
                <w:rFonts w:hint="eastAsia" w:ascii="宋体" w:hAnsi="宋体" w:cs="宋体"/>
                <w:kern w:val="0"/>
                <w:sz w:val="32"/>
                <w:szCs w:val="32"/>
              </w:rPr>
              <w:t>6、文化路社区工作经费预算项目绩效表</w:t>
            </w:r>
          </w:p>
        </w:tc>
      </w:tr>
      <w:tr>
        <w:tblPrEx>
          <w:tblCellMar>
            <w:top w:w="0" w:type="dxa"/>
            <w:left w:w="108" w:type="dxa"/>
            <w:bottom w:w="0" w:type="dxa"/>
            <w:right w:w="108" w:type="dxa"/>
          </w:tblCellMar>
        </w:tblPrEx>
        <w:trPr>
          <w:trHeight w:val="600" w:hRule="atLeast"/>
        </w:trPr>
        <w:tc>
          <w:tcPr>
            <w:tcW w:w="4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2.00</w:t>
            </w:r>
          </w:p>
        </w:tc>
        <w:tc>
          <w:tcPr>
            <w:tcW w:w="14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39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434-6609-YXN-2WA3</w:t>
            </w:r>
          </w:p>
        </w:tc>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76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文化路社区工作经费</w:t>
            </w:r>
          </w:p>
        </w:tc>
      </w:tr>
      <w:tr>
        <w:tblPrEx>
          <w:tblCellMar>
            <w:top w:w="0" w:type="dxa"/>
            <w:left w:w="108" w:type="dxa"/>
            <w:bottom w:w="0" w:type="dxa"/>
            <w:right w:w="108" w:type="dxa"/>
          </w:tblCellMar>
        </w:tblPrEx>
        <w:trPr>
          <w:trHeight w:val="600" w:hRule="atLeast"/>
        </w:trPr>
        <w:tc>
          <w:tcPr>
            <w:tcW w:w="4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3.00</w:t>
            </w:r>
          </w:p>
        </w:tc>
        <w:tc>
          <w:tcPr>
            <w:tcW w:w="539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873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p>
        </w:tc>
      </w:tr>
      <w:tr>
        <w:tblPrEx>
          <w:tblCellMar>
            <w:top w:w="0" w:type="dxa"/>
            <w:left w:w="108" w:type="dxa"/>
            <w:bottom w:w="0" w:type="dxa"/>
            <w:right w:w="108" w:type="dxa"/>
          </w:tblCellMar>
        </w:tblPrEx>
        <w:trPr>
          <w:trHeight w:val="1125" w:hRule="atLeast"/>
        </w:trPr>
        <w:tc>
          <w:tcPr>
            <w:tcW w:w="4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4.00</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12672"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2002年上级部门批准成立了文化路街道办事处，随后批准成立了21个居委会。居委会负责贯彻执行上级党委政府的政策、决议和指示；调解民间纠纷，参与外来人口管理，维护社会稳定；组织居民开展健康文明的文化教育和体育活动，提高居民素质等其他各项工作。为了完成各项工作，21个居委会需要办公经费40万元。</w:t>
            </w:r>
          </w:p>
        </w:tc>
      </w:tr>
      <w:tr>
        <w:tblPrEx>
          <w:tblCellMar>
            <w:top w:w="0" w:type="dxa"/>
            <w:left w:w="108" w:type="dxa"/>
            <w:bottom w:w="0" w:type="dxa"/>
            <w:right w:w="108" w:type="dxa"/>
          </w:tblCellMar>
        </w:tblPrEx>
        <w:trPr>
          <w:trHeight w:val="855" w:hRule="atLeast"/>
        </w:trPr>
        <w:tc>
          <w:tcPr>
            <w:tcW w:w="4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5.00</w:t>
            </w:r>
          </w:p>
        </w:tc>
        <w:tc>
          <w:tcPr>
            <w:tcW w:w="14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39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8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48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tblPrEx>
          <w:tblCellMar>
            <w:top w:w="0" w:type="dxa"/>
            <w:left w:w="108" w:type="dxa"/>
            <w:bottom w:w="0" w:type="dxa"/>
            <w:right w:w="108" w:type="dxa"/>
          </w:tblCellMar>
        </w:tblPrEx>
        <w:trPr>
          <w:trHeight w:val="375" w:hRule="atLeast"/>
        </w:trPr>
        <w:tc>
          <w:tcPr>
            <w:tcW w:w="4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6.00</w:t>
            </w: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39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30.00</w:t>
            </w:r>
          </w:p>
        </w:tc>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60.00</w:t>
            </w:r>
          </w:p>
        </w:tc>
        <w:tc>
          <w:tcPr>
            <w:tcW w:w="281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90.00</w:t>
            </w:r>
          </w:p>
        </w:tc>
        <w:tc>
          <w:tcPr>
            <w:tcW w:w="48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r>
      <w:tr>
        <w:tblPrEx>
          <w:tblCellMar>
            <w:top w:w="0" w:type="dxa"/>
            <w:left w:w="108" w:type="dxa"/>
            <w:bottom w:w="0" w:type="dxa"/>
            <w:right w:w="108" w:type="dxa"/>
          </w:tblCellMar>
        </w:tblPrEx>
        <w:trPr>
          <w:trHeight w:val="630" w:hRule="atLeast"/>
        </w:trPr>
        <w:tc>
          <w:tcPr>
            <w:tcW w:w="4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7.00</w:t>
            </w:r>
          </w:p>
        </w:tc>
        <w:tc>
          <w:tcPr>
            <w:tcW w:w="14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目标1</w:t>
            </w:r>
          </w:p>
        </w:tc>
        <w:tc>
          <w:tcPr>
            <w:tcW w:w="1097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围绕“五个好”标准，侧重于德、勤、能、绩、廉、学六个方面。主要内容包括贯彻落实党在社区的路线方针政策情况、社会治安综合治理和计划生育工作情况、精神文明建设情况、党的建设及社区服务。</w:t>
            </w:r>
          </w:p>
        </w:tc>
      </w:tr>
      <w:tr>
        <w:tblPrEx>
          <w:tblCellMar>
            <w:top w:w="0" w:type="dxa"/>
            <w:left w:w="108" w:type="dxa"/>
            <w:bottom w:w="0" w:type="dxa"/>
            <w:right w:w="108" w:type="dxa"/>
          </w:tblCellMar>
        </w:tblPrEx>
        <w:trPr>
          <w:trHeight w:val="375" w:hRule="atLeast"/>
        </w:trPr>
        <w:tc>
          <w:tcPr>
            <w:tcW w:w="4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8.00</w:t>
            </w:r>
          </w:p>
        </w:tc>
        <w:tc>
          <w:tcPr>
            <w:tcW w:w="145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6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22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0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54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22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tblPrEx>
          <w:tblCellMar>
            <w:top w:w="0" w:type="dxa"/>
            <w:left w:w="108" w:type="dxa"/>
            <w:bottom w:w="0" w:type="dxa"/>
            <w:right w:w="108" w:type="dxa"/>
          </w:tblCellMar>
        </w:tblPrEx>
        <w:trPr>
          <w:trHeight w:val="375" w:hRule="atLeast"/>
        </w:trPr>
        <w:tc>
          <w:tcPr>
            <w:tcW w:w="4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9.00</w:t>
            </w: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2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2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22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1575" w:hRule="atLeast"/>
        </w:trPr>
        <w:tc>
          <w:tcPr>
            <w:tcW w:w="4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w:t>
            </w:r>
          </w:p>
        </w:tc>
        <w:tc>
          <w:tcPr>
            <w:tcW w:w="145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2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主要内容包括贯彻落实党在社区的路线方针政策情况、社会治安综合治理和计划生育工作情况、精神文明建设情况、党的建设及社区服务。</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对各社区申报的项目实行加分制，对各社区在各项工作检查中被通报批评的实行扣分制。</w:t>
            </w:r>
          </w:p>
        </w:tc>
        <w:tc>
          <w:tcPr>
            <w:tcW w:w="16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95.00</w:t>
            </w:r>
          </w:p>
        </w:tc>
        <w:tc>
          <w:tcPr>
            <w:tcW w:w="2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%,百分比,调解矛盾数量占排查纠纷数</w:t>
            </w:r>
          </w:p>
        </w:tc>
        <w:tc>
          <w:tcPr>
            <w:tcW w:w="2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遵化市机构编制委员会文件遵机编字【2013】8号遵化市机构编制委员会关于遵化市华明路和文化路两个街道办事处机构编制等有关问题的意见</w:t>
            </w:r>
          </w:p>
        </w:tc>
      </w:tr>
      <w:tr>
        <w:tblPrEx>
          <w:tblCellMar>
            <w:top w:w="0" w:type="dxa"/>
            <w:left w:w="108" w:type="dxa"/>
            <w:bottom w:w="0" w:type="dxa"/>
            <w:right w:w="108" w:type="dxa"/>
          </w:tblCellMar>
        </w:tblPrEx>
        <w:trPr>
          <w:trHeight w:val="1575" w:hRule="atLeast"/>
        </w:trPr>
        <w:tc>
          <w:tcPr>
            <w:tcW w:w="4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11.00</w:t>
            </w: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2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主要内容包括贯彻落实党在社区的路线方针政策情况、社会治安综合治理和计划生育工作情况、精神文明建设情况、党的建设及社区服务。</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对各社区申报的项目实行加分制，对各社区在各项工作检查中被通报批评的实行扣分制。</w:t>
            </w:r>
          </w:p>
        </w:tc>
        <w:tc>
          <w:tcPr>
            <w:tcW w:w="16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95.00</w:t>
            </w:r>
          </w:p>
        </w:tc>
        <w:tc>
          <w:tcPr>
            <w:tcW w:w="2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%,百分比,调解矛盾数量占排查纠纷数</w:t>
            </w:r>
          </w:p>
        </w:tc>
        <w:tc>
          <w:tcPr>
            <w:tcW w:w="2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遵化市机构编制委员会文件遵机编字【2013】8号遵化市机构编制委员会关于遵化市华明路和文化路两个街道办事处机构编制等有关问题的意见</w:t>
            </w:r>
          </w:p>
        </w:tc>
      </w:tr>
      <w:tr>
        <w:tblPrEx>
          <w:tblCellMar>
            <w:top w:w="0" w:type="dxa"/>
            <w:left w:w="108" w:type="dxa"/>
            <w:bottom w:w="0" w:type="dxa"/>
            <w:right w:w="108" w:type="dxa"/>
          </w:tblCellMar>
        </w:tblPrEx>
        <w:trPr>
          <w:trHeight w:val="1575" w:hRule="atLeast"/>
        </w:trPr>
        <w:tc>
          <w:tcPr>
            <w:tcW w:w="4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12.00</w:t>
            </w: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2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主要内容包括贯彻落实党在社区的路线方针政策情况、社会治安综合治理和计划生育工作情况、精神文明建设情况、党的建设及社区服务。</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对各社区申报的项目实行加分制，对各社区在各项工作检查中被通报批评的实行扣分制。</w:t>
            </w:r>
          </w:p>
        </w:tc>
        <w:tc>
          <w:tcPr>
            <w:tcW w:w="16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95.00</w:t>
            </w:r>
          </w:p>
        </w:tc>
        <w:tc>
          <w:tcPr>
            <w:tcW w:w="2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%,百分比,调解矛盾数量占排查纠纷数</w:t>
            </w:r>
          </w:p>
        </w:tc>
        <w:tc>
          <w:tcPr>
            <w:tcW w:w="2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遵化市机构编制委员会文件遵机编字【2013】8号遵化市机构编制委员会关于遵化市华明路和文化路两个街道办事处机构编制等有关问题的意见</w:t>
            </w:r>
          </w:p>
        </w:tc>
      </w:tr>
      <w:tr>
        <w:tblPrEx>
          <w:tblCellMar>
            <w:top w:w="0" w:type="dxa"/>
            <w:left w:w="108" w:type="dxa"/>
            <w:bottom w:w="0" w:type="dxa"/>
            <w:right w:w="108" w:type="dxa"/>
          </w:tblCellMar>
        </w:tblPrEx>
        <w:trPr>
          <w:trHeight w:val="1575" w:hRule="atLeast"/>
        </w:trPr>
        <w:tc>
          <w:tcPr>
            <w:tcW w:w="4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13.00</w:t>
            </w:r>
          </w:p>
        </w:tc>
        <w:tc>
          <w:tcPr>
            <w:tcW w:w="145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2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根据年度考核结果，分为优秀、称职、基本称职</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对社区工作以街道下达的考核目标为基础，实行百分制考核。对各社区申报的项目实行加分制，对各社区在各项工作检查中被通报批评的实行扣分制。</w:t>
            </w:r>
          </w:p>
        </w:tc>
        <w:tc>
          <w:tcPr>
            <w:tcW w:w="16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95.00</w:t>
            </w:r>
          </w:p>
        </w:tc>
        <w:tc>
          <w:tcPr>
            <w:tcW w:w="2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%,百分比,受援群众投诉率</w:t>
            </w:r>
          </w:p>
        </w:tc>
        <w:tc>
          <w:tcPr>
            <w:tcW w:w="2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遵化市机构编制委员会文件遵机编字【2013】8号遵化市机构编制委员会关于遵化市华明路和文化路两个街道办事处机构编制等有关问题的意见</w:t>
            </w:r>
          </w:p>
        </w:tc>
      </w:tr>
      <w:tr>
        <w:tblPrEx>
          <w:tblCellMar>
            <w:top w:w="0" w:type="dxa"/>
            <w:left w:w="108" w:type="dxa"/>
            <w:bottom w:w="0" w:type="dxa"/>
            <w:right w:w="108" w:type="dxa"/>
          </w:tblCellMar>
        </w:tblPrEx>
        <w:trPr>
          <w:trHeight w:val="1575" w:hRule="atLeast"/>
        </w:trPr>
        <w:tc>
          <w:tcPr>
            <w:tcW w:w="4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14.00</w:t>
            </w: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2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根据年度考核结果，分为优秀、称职、基本称职</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对社区工作以街道下达的考核目标为基础，实行百分制考核。对各社区申报的项目实行加分制，对各社区在各项工作检查中被通报批评的实行扣分制。</w:t>
            </w:r>
          </w:p>
        </w:tc>
        <w:tc>
          <w:tcPr>
            <w:tcW w:w="16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95.00</w:t>
            </w:r>
          </w:p>
        </w:tc>
        <w:tc>
          <w:tcPr>
            <w:tcW w:w="2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%,百分比,受援群众投诉率</w:t>
            </w:r>
          </w:p>
        </w:tc>
        <w:tc>
          <w:tcPr>
            <w:tcW w:w="2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遵化市机构编制委员会文件遵机编字【2013】8号遵化市机构编制委员会关于遵化市华明路和文化路两个街道办事处机构编制等有关问题的意见</w:t>
            </w:r>
          </w:p>
        </w:tc>
      </w:tr>
      <w:tr>
        <w:tblPrEx>
          <w:tblCellMar>
            <w:top w:w="0" w:type="dxa"/>
            <w:left w:w="108" w:type="dxa"/>
            <w:bottom w:w="0" w:type="dxa"/>
            <w:right w:w="108" w:type="dxa"/>
          </w:tblCellMar>
        </w:tblPrEx>
        <w:trPr>
          <w:trHeight w:val="1575" w:hRule="atLeast"/>
        </w:trPr>
        <w:tc>
          <w:tcPr>
            <w:tcW w:w="4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15.00</w:t>
            </w: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2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根据年度考核结果，分为优秀、称职、基本称职</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对社区工作以街道下达的考核目标为基础，实行百分制考核。对各社区申报的项目实行加分制，对各社区在各项工作检查中被通报批评的实行扣分制。</w:t>
            </w:r>
          </w:p>
        </w:tc>
        <w:tc>
          <w:tcPr>
            <w:tcW w:w="16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95.00</w:t>
            </w:r>
          </w:p>
        </w:tc>
        <w:tc>
          <w:tcPr>
            <w:tcW w:w="2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%,百分比,受援群众投诉率</w:t>
            </w:r>
          </w:p>
        </w:tc>
        <w:tc>
          <w:tcPr>
            <w:tcW w:w="2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遵化市机构编制委员会文件遵机编字【2013】8号遵化市机构编制委员会关于遵化市华明路和文化路两个街道办事处机构编制等有关问题的意见</w:t>
            </w:r>
          </w:p>
        </w:tc>
      </w:tr>
      <w:tr>
        <w:tblPrEx>
          <w:tblCellMar>
            <w:top w:w="0" w:type="dxa"/>
            <w:left w:w="108" w:type="dxa"/>
            <w:bottom w:w="0" w:type="dxa"/>
            <w:right w:w="108" w:type="dxa"/>
          </w:tblCellMar>
        </w:tblPrEx>
        <w:trPr>
          <w:trHeight w:val="1575" w:hRule="atLeast"/>
        </w:trPr>
        <w:tc>
          <w:tcPr>
            <w:tcW w:w="4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16.00</w:t>
            </w:r>
          </w:p>
        </w:tc>
        <w:tc>
          <w:tcPr>
            <w:tcW w:w="145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受益对象满意度(%)</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通过问卷调查，满意和较满意的受益对象占全部调研对象的比率</w:t>
            </w:r>
          </w:p>
        </w:tc>
        <w:tc>
          <w:tcPr>
            <w:tcW w:w="16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95.00</w:t>
            </w:r>
          </w:p>
        </w:tc>
        <w:tc>
          <w:tcPr>
            <w:tcW w:w="2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%,百分比,解决上访问题</w:t>
            </w:r>
          </w:p>
        </w:tc>
        <w:tc>
          <w:tcPr>
            <w:tcW w:w="2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遵化市机构编制委员会文件遵机编字【2013】8号遵化市机构编制委员会关于遵化市华明路和文化路两个街道办事处机构编制等有关问题的意见</w:t>
            </w:r>
          </w:p>
        </w:tc>
      </w:tr>
      <w:tr>
        <w:tblPrEx>
          <w:tblCellMar>
            <w:top w:w="0" w:type="dxa"/>
            <w:left w:w="108" w:type="dxa"/>
            <w:bottom w:w="0" w:type="dxa"/>
            <w:right w:w="108" w:type="dxa"/>
          </w:tblCellMar>
        </w:tblPrEx>
        <w:trPr>
          <w:trHeight w:val="1575" w:hRule="atLeast"/>
        </w:trPr>
        <w:tc>
          <w:tcPr>
            <w:tcW w:w="4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17.00</w:t>
            </w: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2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受益对象满意度(%)</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通过问卷调查，满意和较满意的受益对象占全部调研对象的比率</w:t>
            </w:r>
          </w:p>
        </w:tc>
        <w:tc>
          <w:tcPr>
            <w:tcW w:w="16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95.00</w:t>
            </w:r>
          </w:p>
        </w:tc>
        <w:tc>
          <w:tcPr>
            <w:tcW w:w="2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%,百分比,解决上访问题</w:t>
            </w:r>
          </w:p>
        </w:tc>
        <w:tc>
          <w:tcPr>
            <w:tcW w:w="2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遵化市机构编制委员会文件遵机编字【2013】8号遵化市机构编制委员会关于遵化市华明路和文化路两个街道办事处机构编制等有关问题的意见</w:t>
            </w:r>
          </w:p>
        </w:tc>
      </w:tr>
      <w:tr>
        <w:tblPrEx>
          <w:tblCellMar>
            <w:top w:w="0" w:type="dxa"/>
            <w:left w:w="108" w:type="dxa"/>
            <w:bottom w:w="0" w:type="dxa"/>
            <w:right w:w="108" w:type="dxa"/>
          </w:tblCellMar>
        </w:tblPrEx>
        <w:trPr>
          <w:trHeight w:val="1575" w:hRule="atLeast"/>
        </w:trPr>
        <w:tc>
          <w:tcPr>
            <w:tcW w:w="4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18.00</w:t>
            </w: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2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受益对象满意度(%)</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通过问卷调查，满意和较满意的受益对象占全部调研对象的比率</w:t>
            </w:r>
          </w:p>
        </w:tc>
        <w:tc>
          <w:tcPr>
            <w:tcW w:w="16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&gt;=</w:t>
            </w: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95.00</w:t>
            </w:r>
          </w:p>
        </w:tc>
        <w:tc>
          <w:tcPr>
            <w:tcW w:w="2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接受调解人员满意度</w:t>
            </w:r>
          </w:p>
        </w:tc>
        <w:tc>
          <w:tcPr>
            <w:tcW w:w="2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遵化市机构编制委员会文件遵机编字【2013】8号遵化市机构编制委员会关于遵化市华明路和文化路两个街道办事处机构编制等有关问题的意见</w:t>
            </w:r>
          </w:p>
        </w:tc>
      </w:tr>
    </w:tbl>
    <w:p>
      <w:pPr>
        <w:rPr>
          <w:rFonts w:ascii="宋体" w:hAnsi="宋体" w:cs="宋体"/>
          <w:b/>
          <w:color w:val="000000"/>
          <w:sz w:val="32"/>
        </w:rPr>
      </w:pPr>
    </w:p>
    <w:sectPr>
      <w:pgSz w:w="16838" w:h="11906" w:orient="landscape"/>
      <w:pgMar w:top="1800" w:right="1440" w:bottom="1800" w:left="144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WMzNDE3OTJjODYwMmZjZWVmMDdiYzIxMjA0ZTRmMTIifQ=="/>
  </w:docVars>
  <w:rsids>
    <w:rsidRoot w:val="008F676C"/>
    <w:rsid w:val="000A0A02"/>
    <w:rsid w:val="000B1B55"/>
    <w:rsid w:val="001B081B"/>
    <w:rsid w:val="002940E7"/>
    <w:rsid w:val="002E0F36"/>
    <w:rsid w:val="00345E26"/>
    <w:rsid w:val="003D17FF"/>
    <w:rsid w:val="00434960"/>
    <w:rsid w:val="00511788"/>
    <w:rsid w:val="00523F07"/>
    <w:rsid w:val="005F77C5"/>
    <w:rsid w:val="00624923"/>
    <w:rsid w:val="00680876"/>
    <w:rsid w:val="007715B6"/>
    <w:rsid w:val="00787A79"/>
    <w:rsid w:val="007C59AB"/>
    <w:rsid w:val="007D0E88"/>
    <w:rsid w:val="00851AE7"/>
    <w:rsid w:val="008C570B"/>
    <w:rsid w:val="008D6E54"/>
    <w:rsid w:val="008F5A3E"/>
    <w:rsid w:val="008F676C"/>
    <w:rsid w:val="00947736"/>
    <w:rsid w:val="00A508EC"/>
    <w:rsid w:val="00C73864"/>
    <w:rsid w:val="00C8103A"/>
    <w:rsid w:val="00DE7D70"/>
    <w:rsid w:val="00E74718"/>
    <w:rsid w:val="2C0B65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28"/>
    <w:uiPriority w:val="0"/>
    <w:pPr>
      <w:keepNext/>
      <w:keepLines/>
      <w:spacing w:before="340" w:after="330" w:line="576" w:lineRule="auto"/>
      <w:outlineLvl w:val="0"/>
    </w:pPr>
    <w:rPr>
      <w:rFonts w:ascii="宋体" w:hAnsi="宋体" w:cs="宋体"/>
      <w:b/>
      <w:bCs/>
      <w:kern w:val="36"/>
      <w:sz w:val="48"/>
      <w:szCs w:val="48"/>
    </w:rPr>
  </w:style>
  <w:style w:type="paragraph" w:styleId="3">
    <w:name w:val="heading 2"/>
    <w:basedOn w:val="1"/>
    <w:next w:val="1"/>
    <w:uiPriority w:val="0"/>
    <w:pPr>
      <w:keepNext/>
      <w:keepLines/>
      <w:spacing w:before="260" w:after="260" w:line="416" w:lineRule="auto"/>
      <w:outlineLvl w:val="1"/>
    </w:pPr>
    <w:rPr>
      <w:rFonts w:ascii="Arial" w:hAnsi="Arial" w:eastAsia="黑体" w:cs="Times New Roman"/>
      <w:b/>
      <w:bCs/>
      <w:sz w:val="32"/>
      <w:szCs w:val="32"/>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link w:val="31"/>
    <w:autoRedefine/>
    <w:qFormat/>
    <w:uiPriority w:val="99"/>
    <w:pPr>
      <w:spacing w:after="120"/>
    </w:pPr>
    <w:rPr>
      <w:rFonts w:ascii="Times New Roman" w:hAnsi="Times New Roman" w:cs="Times New Roman"/>
    </w:rPr>
  </w:style>
  <w:style w:type="paragraph" w:styleId="5">
    <w:name w:val="footer"/>
    <w:basedOn w:val="1"/>
    <w:link w:val="17"/>
    <w:autoRedefine/>
    <w:qFormat/>
    <w:uiPriority w:val="0"/>
    <w:pPr>
      <w:tabs>
        <w:tab w:val="center" w:pos="4153"/>
        <w:tab w:val="right" w:pos="8306"/>
      </w:tabs>
      <w:snapToGrid w:val="0"/>
      <w:jc w:val="left"/>
    </w:pPr>
    <w:rPr>
      <w:rFonts w:cs="Times New Roman"/>
      <w:sz w:val="18"/>
      <w:szCs w:val="18"/>
    </w:rPr>
  </w:style>
  <w:style w:type="paragraph" w:styleId="6">
    <w:name w:val="header"/>
    <w:basedOn w:val="1"/>
    <w:link w:val="18"/>
    <w:autoRedefine/>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7">
    <w:name w:val="toc 1"/>
    <w:basedOn w:val="1"/>
    <w:next w:val="1"/>
    <w:autoRedefine/>
    <w:qFormat/>
    <w:uiPriority w:val="0"/>
  </w:style>
  <w:style w:type="paragraph" w:styleId="8">
    <w:name w:val="Normal (Web)"/>
    <w:basedOn w:val="1"/>
    <w:uiPriority w:val="0"/>
    <w:pPr>
      <w:widowControl/>
      <w:spacing w:before="100" w:beforeAutospacing="1" w:after="100" w:afterAutospacing="1"/>
      <w:jc w:val="left"/>
    </w:pPr>
    <w:rPr>
      <w:rFonts w:ascii="宋体" w:hAnsi="宋体" w:cs="宋体"/>
      <w:kern w:val="0"/>
      <w:sz w:val="24"/>
    </w:rPr>
  </w:style>
  <w:style w:type="paragraph" w:styleId="9">
    <w:name w:val="Title"/>
    <w:basedOn w:val="1"/>
    <w:next w:val="1"/>
    <w:link w:val="19"/>
    <w:autoRedefine/>
    <w:qFormat/>
    <w:uiPriority w:val="0"/>
    <w:pPr>
      <w:spacing w:before="240" w:after="60"/>
      <w:jc w:val="center"/>
      <w:outlineLvl w:val="0"/>
    </w:pPr>
    <w:rPr>
      <w:rFonts w:ascii="Cambria" w:hAnsi="Cambria" w:cs="Times New Roman"/>
      <w:b/>
      <w:bCs/>
      <w:sz w:val="32"/>
      <w:szCs w:val="32"/>
    </w:rPr>
  </w:style>
  <w:style w:type="character" w:styleId="12">
    <w:name w:val="Strong"/>
    <w:basedOn w:val="11"/>
    <w:qFormat/>
    <w:uiPriority w:val="99"/>
    <w:rPr>
      <w:rFonts w:cs="Times New Roman"/>
      <w:b/>
      <w:bCs/>
    </w:rPr>
  </w:style>
  <w:style w:type="character" w:styleId="13">
    <w:name w:val="Hyperlink"/>
    <w:autoRedefine/>
    <w:qFormat/>
    <w:uiPriority w:val="0"/>
    <w:rPr>
      <w:rFonts w:ascii="Calibri" w:hAnsi="Calibri" w:eastAsia="宋体" w:cs="黑体"/>
      <w:color w:val="0563C1"/>
      <w:u w:val="single"/>
      <w:lang w:val="en-US" w:eastAsia="zh-CN" w:bidi="ar-SA"/>
    </w:rPr>
  </w:style>
  <w:style w:type="character" w:customStyle="1" w:styleId="14">
    <w:name w:val="标题 1 Char"/>
    <w:autoRedefine/>
    <w:semiHidden/>
    <w:qFormat/>
    <w:uiPriority w:val="0"/>
    <w:rPr>
      <w:rFonts w:ascii="宋体" w:hAnsi="宋体" w:eastAsia="宋体" w:cs="宋体"/>
      <w:b/>
      <w:bCs/>
      <w:kern w:val="36"/>
      <w:sz w:val="48"/>
      <w:szCs w:val="48"/>
    </w:rPr>
  </w:style>
  <w:style w:type="character" w:customStyle="1" w:styleId="15">
    <w:name w:val="文档结构图 Char"/>
    <w:link w:val="16"/>
    <w:autoRedefine/>
    <w:semiHidden/>
    <w:qFormat/>
    <w:uiPriority w:val="0"/>
    <w:rPr>
      <w:rFonts w:ascii="宋体" w:hAnsi="Calibri" w:eastAsia="宋体" w:cs="黑体"/>
      <w:sz w:val="18"/>
      <w:szCs w:val="18"/>
      <w:lang w:val="en-US" w:eastAsia="zh-CN" w:bidi="ar-SA"/>
    </w:rPr>
  </w:style>
  <w:style w:type="paragraph" w:customStyle="1" w:styleId="16">
    <w:name w:val="文档结构图1"/>
    <w:basedOn w:val="1"/>
    <w:link w:val="15"/>
    <w:autoRedefine/>
    <w:qFormat/>
    <w:uiPriority w:val="0"/>
    <w:rPr>
      <w:rFonts w:ascii="宋体"/>
      <w:sz w:val="18"/>
      <w:szCs w:val="18"/>
    </w:rPr>
  </w:style>
  <w:style w:type="character" w:customStyle="1" w:styleId="17">
    <w:name w:val="页脚 Char"/>
    <w:link w:val="5"/>
    <w:autoRedefine/>
    <w:semiHidden/>
    <w:qFormat/>
    <w:uiPriority w:val="0"/>
    <w:rPr>
      <w:rFonts w:ascii="Calibri" w:hAnsi="Calibri" w:eastAsia="宋体" w:cs="Times New Roman"/>
      <w:kern w:val="2"/>
      <w:sz w:val="18"/>
      <w:szCs w:val="18"/>
      <w:lang w:val="en-US" w:eastAsia="zh-CN" w:bidi="ar-SA"/>
    </w:rPr>
  </w:style>
  <w:style w:type="character" w:customStyle="1" w:styleId="18">
    <w:name w:val="页眉 Char"/>
    <w:link w:val="6"/>
    <w:autoRedefine/>
    <w:semiHidden/>
    <w:qFormat/>
    <w:uiPriority w:val="0"/>
    <w:rPr>
      <w:rFonts w:ascii="Calibri" w:hAnsi="Calibri" w:eastAsia="宋体" w:cs="Times New Roman"/>
      <w:kern w:val="2"/>
      <w:sz w:val="18"/>
      <w:szCs w:val="18"/>
      <w:lang w:val="en-US" w:eastAsia="zh-CN" w:bidi="ar-SA"/>
    </w:rPr>
  </w:style>
  <w:style w:type="character" w:customStyle="1" w:styleId="19">
    <w:name w:val="标题 Char"/>
    <w:link w:val="9"/>
    <w:autoRedefine/>
    <w:semiHidden/>
    <w:qFormat/>
    <w:uiPriority w:val="0"/>
    <w:rPr>
      <w:rFonts w:ascii="Cambria" w:hAnsi="Cambria" w:eastAsia="宋体" w:cs="Times New Roman"/>
      <w:b/>
      <w:bCs/>
      <w:sz w:val="32"/>
      <w:szCs w:val="32"/>
      <w:lang w:val="en-US" w:eastAsia="zh-CN" w:bidi="ar-SA"/>
    </w:rPr>
  </w:style>
  <w:style w:type="paragraph" w:customStyle="1" w:styleId="20">
    <w:name w:val="批注框文本 Char Char"/>
    <w:basedOn w:val="1"/>
    <w:link w:val="25"/>
    <w:uiPriority w:val="0"/>
    <w:rPr>
      <w:sz w:val="18"/>
      <w:szCs w:val="18"/>
    </w:rPr>
  </w:style>
  <w:style w:type="paragraph" w:customStyle="1" w:styleId="21">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2">
    <w:name w:val="HTML 预设格式1"/>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jc w:val="left"/>
    </w:pPr>
    <w:rPr>
      <w:rFonts w:ascii="黑体" w:hAnsi="黑体" w:eastAsia="黑体" w:cs="宋体"/>
      <w:kern w:val="0"/>
      <w:sz w:val="20"/>
      <w:szCs w:val="20"/>
      <w:lang w:eastAsia="en-US"/>
    </w:rPr>
  </w:style>
  <w:style w:type="paragraph" w:customStyle="1" w:styleId="23">
    <w:name w:val="[Normal]"/>
    <w:autoRedefine/>
    <w:qFormat/>
    <w:uiPriority w:val="0"/>
    <w:pPr>
      <w:widowControl w:val="0"/>
    </w:pPr>
    <w:rPr>
      <w:rFonts w:ascii="宋体" w:hAnsi="宋体" w:eastAsia="宋体" w:cs="宋体"/>
      <w:sz w:val="24"/>
      <w:lang w:val="en-US" w:eastAsia="en-US" w:bidi="ar-SA"/>
    </w:rPr>
  </w:style>
  <w:style w:type="paragraph" w:customStyle="1" w:styleId="24">
    <w:name w:val="列出段落1"/>
    <w:basedOn w:val="1"/>
    <w:autoRedefine/>
    <w:qFormat/>
    <w:uiPriority w:val="0"/>
    <w:pPr>
      <w:ind w:firstLine="420" w:firstLineChars="200"/>
    </w:pPr>
  </w:style>
  <w:style w:type="character" w:customStyle="1" w:styleId="25">
    <w:name w:val="批注框文本 Char Char Char Char"/>
    <w:link w:val="20"/>
    <w:autoRedefine/>
    <w:semiHidden/>
    <w:qFormat/>
    <w:uiPriority w:val="0"/>
    <w:rPr>
      <w:rFonts w:ascii="Calibri" w:hAnsi="Calibri" w:eastAsia="宋体" w:cs="黑体"/>
      <w:sz w:val="18"/>
      <w:szCs w:val="18"/>
      <w:lang w:val="en-US" w:eastAsia="zh-CN" w:bidi="ar-SA"/>
    </w:rPr>
  </w:style>
  <w:style w:type="character" w:customStyle="1" w:styleId="26">
    <w:name w:val="font01"/>
    <w:autoRedefine/>
    <w:qFormat/>
    <w:uiPriority w:val="0"/>
    <w:rPr>
      <w:rFonts w:hint="eastAsia" w:ascii="宋体" w:hAnsi="宋体" w:eastAsia="宋体" w:cs="Times New Roman"/>
      <w:color w:val="000000"/>
      <w:sz w:val="20"/>
      <w:szCs w:val="20"/>
      <w:u w:val="none"/>
    </w:rPr>
  </w:style>
  <w:style w:type="character" w:customStyle="1" w:styleId="27">
    <w:name w:val="font21"/>
    <w:autoRedefine/>
    <w:qFormat/>
    <w:uiPriority w:val="0"/>
    <w:rPr>
      <w:rFonts w:hint="eastAsia" w:ascii="楷体_GB2312" w:hAnsi="Calibri" w:eastAsia="楷体_GB2312" w:cs="Times New Roman"/>
      <w:color w:val="000000"/>
      <w:sz w:val="18"/>
      <w:szCs w:val="18"/>
      <w:u w:val="none"/>
    </w:rPr>
  </w:style>
  <w:style w:type="character" w:customStyle="1" w:styleId="28">
    <w:name w:val="标题 1 Char1"/>
    <w:link w:val="2"/>
    <w:semiHidden/>
    <w:uiPriority w:val="0"/>
    <w:rPr>
      <w:rFonts w:ascii="宋体" w:hAnsi="宋体" w:eastAsia="宋体" w:cs="宋体"/>
      <w:b/>
      <w:bCs/>
      <w:kern w:val="36"/>
      <w:sz w:val="48"/>
      <w:szCs w:val="48"/>
      <w:lang w:val="en-US" w:eastAsia="zh-CN" w:bidi="ar-SA"/>
    </w:rPr>
  </w:style>
  <w:style w:type="character" w:customStyle="1" w:styleId="29">
    <w:name w:val="页脚 Char1"/>
    <w:autoRedefine/>
    <w:semiHidden/>
    <w:qFormat/>
    <w:uiPriority w:val="0"/>
    <w:rPr>
      <w:rFonts w:ascii="Calibri" w:hAnsi="Calibri" w:eastAsia="宋体" w:cs="Times New Roman"/>
      <w:sz w:val="18"/>
      <w:szCs w:val="18"/>
      <w:lang w:val="en-US" w:eastAsia="zh-CN" w:bidi="ar-SA"/>
    </w:rPr>
  </w:style>
  <w:style w:type="character" w:customStyle="1" w:styleId="30">
    <w:name w:val="页眉 Char1"/>
    <w:semiHidden/>
    <w:uiPriority w:val="0"/>
    <w:rPr>
      <w:rFonts w:ascii="Calibri" w:hAnsi="Calibri" w:eastAsia="宋体" w:cs="Times New Roman"/>
      <w:sz w:val="18"/>
      <w:szCs w:val="18"/>
      <w:lang w:val="en-US" w:eastAsia="zh-CN" w:bidi="ar-SA"/>
    </w:rPr>
  </w:style>
  <w:style w:type="character" w:customStyle="1" w:styleId="31">
    <w:name w:val="正文文本 Char"/>
    <w:basedOn w:val="11"/>
    <w:link w:val="4"/>
    <w:autoRedefine/>
    <w:qFormat/>
    <w:uiPriority w:val="99"/>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5A9D2-86B2-401C-BB6E-5D1A2E99A4D7}">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39</Pages>
  <Words>2344</Words>
  <Characters>13365</Characters>
  <Lines>111</Lines>
  <Paragraphs>31</Paragraphs>
  <TotalTime>2</TotalTime>
  <ScaleCrop>false</ScaleCrop>
  <LinksUpToDate>false</LinksUpToDate>
  <CharactersWithSpaces>15678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2021-05-28T07:30:00Z</dcterms:created>
  <dc:creator>Mr.許</dc:creator>
  <cp:lastModifiedBy>柠檬草</cp:lastModifiedBy>
  <cp:lastPrinted>2019-09-01T08:22:00Z</cp:lastPrinted>
  <dcterms:modified xsi:type="dcterms:W3CDTF">2024-03-24T07:01:37Z</dcterms:modified>
  <dc:title>Administrator</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6BE0CDCBEBB64D4AB0BA5EDB9C8597BD_12</vt:lpwstr>
  </property>
</Properties>
</file>