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33"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5926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shape>
        </w:pict>
      </w:r>
      <w:r>
        <w:pict>
          <v:rect id="矩形 14" o:spid="_x0000_s1035" o:spt="1" style="position:absolute;left:0pt;margin-left:33.6pt;margin-top:256.75pt;height:69.6pt;width:160.65pt;z-index:25165926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rFonts w:eastAsia="宋体"/>
                      <w:kern w:val="0"/>
                      <w:sz w:val="28"/>
                      <w:szCs w:val="28"/>
                    </w:rPr>
                  </w:pPr>
                  <w:r>
                    <w:rPr>
                      <w:rFonts w:ascii="Yu Gothic UI Semibold" w:hAnsi="Yu Gothic UI Semibold" w:eastAsia="宋体"/>
                      <w:color w:val="FFFFFF"/>
                      <w:kern w:val="24"/>
                      <w:sz w:val="44"/>
                      <w:szCs w:val="44"/>
                    </w:rPr>
                    <w:t>2019</w:t>
                  </w:r>
                  <w:r>
                    <w:rPr>
                      <w:rFonts w:hint="eastAsia" w:ascii="Yu Gothic UI Semibold" w:hAnsi="Yu Gothic UI Semibold" w:eastAsia="宋体"/>
                      <w:color w:val="FFFFFF"/>
                      <w:kern w:val="24"/>
                      <w:sz w:val="44"/>
                      <w:szCs w:val="44"/>
                    </w:rPr>
                    <w:t>2019</w:t>
                  </w:r>
                </w:p>
              </w:txbxContent>
            </v:textbox>
          </v:rect>
        </w:pict>
      </w:r>
      <w:r>
        <w:pict>
          <v:shape id="椭圆 9" o:spid="_x0000_s1036" o:spt="3" type="#_x0000_t3" style="position:absolute;left:0pt;margin-left:62.2pt;margin-top:242.75pt;height:103.45pt;width:103.45pt;z-index:25165926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pPr>
                    <w:rPr>
                      <w:b/>
                      <w:bCs/>
                      <w:sz w:val="52"/>
                      <w:szCs w:val="52"/>
                    </w:rPr>
                  </w:pPr>
                  <w:r>
                    <w:rPr>
                      <w:rFonts w:hint="eastAsia"/>
                      <w:b/>
                      <w:bCs/>
                      <w:sz w:val="52"/>
                      <w:szCs w:val="52"/>
                    </w:rPr>
                    <w:t>2019</w:t>
                  </w:r>
                </w:p>
              </w:txbxContent>
            </v:textbox>
          </v:shape>
        </w:pict>
      </w:r>
      <w:r>
        <w:pict>
          <v:group id="_x0000_s1037" o:spid="_x0000_s1037" o:spt="203" style="position:absolute;left:0pt;margin-left:1.25pt;margin-top:821.7pt;height:21.45pt;width:595.25pt;z-index:25165926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619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592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遵化市自然资源和规划局</w:t>
      </w:r>
    </w:p>
    <w:p>
      <w:pPr>
        <w:snapToGrid w:val="0"/>
        <w:jc w:val="center"/>
        <w:rPr>
          <w:rFonts w:ascii="楷体_GB2312" w:hAnsi="楷体_GB2312" w:eastAsia="楷体_GB2312" w:cs="楷体_GB2312"/>
          <w:color w:val="000000"/>
          <w:kern w:val="0"/>
          <w:sz w:val="44"/>
          <w:szCs w:val="44"/>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一、收入支出决算总表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二、收入决算表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三、支出决算表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四、财政拨款收入支出决算总表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五、一般公共预算财政拨款支出决算表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六、一般公共预算财政拨款基本支出决算表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七、一般公共预算财政拨款</w:t>
      </w:r>
      <w:r>
        <w:rPr>
          <w:rFonts w:ascii="宋体" w:hAnsi="宋体" w:eastAsia="宋体"/>
          <w:sz w:val="32"/>
          <w:szCs w:val="32"/>
        </w:rPr>
        <w:t>“</w:t>
      </w:r>
      <w:r>
        <w:rPr>
          <w:rFonts w:hint="eastAsia" w:ascii="宋体" w:hAnsi="宋体" w:eastAsia="宋体" w:cs="仿宋_GB2312"/>
          <w:sz w:val="32"/>
          <w:szCs w:val="32"/>
        </w:rPr>
        <w:t>三公</w:t>
      </w:r>
      <w:r>
        <w:rPr>
          <w:rFonts w:ascii="宋体" w:hAnsi="宋体" w:eastAsia="宋体"/>
          <w:sz w:val="32"/>
          <w:szCs w:val="32"/>
        </w:rPr>
        <w:t>”</w:t>
      </w:r>
      <w:r>
        <w:rPr>
          <w:rFonts w:hint="eastAsia" w:ascii="宋体" w:hAnsi="宋体" w:eastAsia="宋体" w:cs="仿宋_GB2312"/>
          <w:sz w:val="32"/>
          <w:szCs w:val="32"/>
        </w:rPr>
        <w:t>经费支出决算表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八、政府性基金预算财政拨款收入支出决算表</w:t>
      </w:r>
    </w:p>
    <w:p>
      <w:pPr>
        <w:widowControl/>
        <w:spacing w:line="580" w:lineRule="exact"/>
        <w:ind w:left="640" w:firstLine="640" w:firstLineChars="200"/>
        <w:rPr>
          <w:rFonts w:ascii="宋体" w:hAnsi="宋体" w:eastAsia="宋体"/>
          <w:sz w:val="32"/>
          <w:szCs w:val="32"/>
        </w:rPr>
      </w:pPr>
      <w:r>
        <w:rPr>
          <w:rFonts w:hint="eastAsia" w:ascii="宋体" w:hAnsi="宋体" w:eastAsia="宋体" w:cs="仿宋_GB2312"/>
          <w:sz w:val="32"/>
          <w:szCs w:val="32"/>
        </w:rPr>
        <w:t>九、国有资本经营预算支出决算表</w:t>
      </w:r>
    </w:p>
    <w:p>
      <w:pPr>
        <w:widowControl/>
        <w:spacing w:after="160" w:line="580" w:lineRule="exact"/>
        <w:ind w:firstLine="400" w:firstLineChars="200"/>
        <w:rPr>
          <w:rFonts w:ascii="宋体" w:hAnsi="宋体" w:eastAsia="宋体"/>
          <w:sz w:val="20"/>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rPr>
          <w:rFonts w:ascii="黑体" w:eastAsia="黑体" w:cs="黑体"/>
          <w:b/>
          <w:bCs/>
          <w:kern w:val="0"/>
          <w:sz w:val="32"/>
          <w:szCs w:val="32"/>
        </w:rPr>
      </w:pPr>
      <w:r>
        <w:pict>
          <v:shape id="_x0000_s1053" o:spid="_x0000_s1053"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r>
        <w:rPr>
          <w:rFonts w:hint="eastAsia" w:ascii="黑体" w:eastAsia="黑体" w:cs="黑体"/>
          <w:b/>
          <w:bCs/>
          <w:kern w:val="0"/>
          <w:sz w:val="32"/>
          <w:szCs w:val="32"/>
        </w:rPr>
        <w:t>一、部门职责</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根据《中共唐山市委办公厅、唐山市人民政府办公厅关于印发〈遵化市机构改革方案〉的通知》（唐办字〔2018〕29号），文件，我局主要职责是：</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一）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四）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五）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六）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七）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八）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（九）负责管理全市地质勘查行业和地质工作。编制地质勘查规划并监督检查执行情况。管理地质勘查项目。组织实施重大地质矿产勘查专项。负责古生物化石的监督管理。</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一）负责全市矿产资源管理工作。负责矿产资源储量管理及压覆矿产资源审批。负责矿业权管理。会同有关部门负责落实保护性开采的特定矿种、优势矿产的调控及相关管理工作。监督指导矿产资源合理利用和保护。</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（十二）负责全市测绘地理信息管理工作。负责基础测绘和测绘行业管理。负责测绘资质资格与信用管理，监督管理地理信息安全和市场秩序。负责地理信息公共服务管理。负责测量标志保护。</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（十三）负责推进全市林业和草原改革相关工作。拟订集体林权制度、国有林场、草原等重大改革意见并监督实施。指导监督农村林地承包经营工作。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四）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五）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六）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（十七）指导全市森林公安工作，监督管理森林公安队伍，指导全市林业重大违法案件的查处，指导林区社会治安治理工作。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（十八）查处全市自然资源开发利用和国土空间规划及测绘重大违法案件。指导全市有关行政执法工作。</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十九）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spacing w:line="560" w:lineRule="exact"/>
        <w:ind w:firstLine="640" w:firstLineChars="200"/>
        <w:rPr>
          <w:rFonts w:ascii="宋体" w:hAnsi="宋体" w:eastAsia="宋体" w:cs="仿宋"/>
          <w:sz w:val="32"/>
          <w:szCs w:val="32"/>
        </w:rPr>
      </w:pPr>
      <w:r>
        <w:rPr>
          <w:rFonts w:hint="eastAsia" w:ascii="宋体" w:hAnsi="宋体" w:eastAsia="宋体" w:cs="仿宋"/>
          <w:sz w:val="32"/>
          <w:szCs w:val="32"/>
        </w:rPr>
        <w:t>（二十）开展全市自然资源国际合作。组织开展自然资源领域对外交流合作。</w:t>
      </w:r>
    </w:p>
    <w:p>
      <w:pPr>
        <w:spacing w:line="560" w:lineRule="exact"/>
        <w:ind w:firstLine="640" w:firstLineChars="200"/>
        <w:rPr>
          <w:rFonts w:ascii="宋体" w:hAnsi="宋体" w:eastAsia="宋体"/>
          <w:sz w:val="32"/>
          <w:szCs w:val="32"/>
        </w:rPr>
      </w:pPr>
      <w:r>
        <w:rPr>
          <w:rFonts w:hint="eastAsia" w:ascii="宋体" w:hAnsi="宋体" w:eastAsia="宋体" w:cs="仿宋"/>
          <w:sz w:val="32"/>
          <w:szCs w:val="32"/>
        </w:rPr>
        <w:t>（二十一）完成市委、市政府交办的其他任务。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宋体" w:hAnsi="宋体" w:eastAsia="宋体" w:cs="ArialUnicodeMS"/>
          <w:kern w:val="0"/>
          <w:sz w:val="32"/>
          <w:szCs w:val="32"/>
        </w:rPr>
      </w:pPr>
      <w:r>
        <w:rPr>
          <w:rFonts w:hint="eastAsia" w:ascii="宋体" w:hAnsi="宋体" w:eastAsia="宋体" w:cs="ArialUnicodeMS"/>
          <w:kern w:val="0"/>
          <w:sz w:val="32"/>
          <w:szCs w:val="32"/>
        </w:rPr>
        <w:t>从决算编报单位构成看，纳入</w:t>
      </w:r>
      <w:r>
        <w:rPr>
          <w:rFonts w:ascii="宋体" w:hAnsi="宋体" w:eastAsia="宋体" w:cs="ArialUnicodeMS"/>
          <w:kern w:val="0"/>
          <w:sz w:val="32"/>
          <w:szCs w:val="32"/>
        </w:rPr>
        <w:t xml:space="preserve">2019 </w:t>
      </w:r>
      <w:r>
        <w:rPr>
          <w:rFonts w:hint="eastAsia" w:ascii="宋体" w:hAnsi="宋体" w:eastAsia="宋体" w:cs="ArialUnicodeMS"/>
          <w:kern w:val="0"/>
          <w:sz w:val="32"/>
          <w:szCs w:val="32"/>
        </w:rPr>
        <w:t>年度本部门决算汇编范围的独立核算单位（以下简称“单位”）共</w:t>
      </w:r>
      <w:r>
        <w:rPr>
          <w:rFonts w:ascii="宋体" w:hAnsi="宋体" w:eastAsia="宋体" w:cs="ArialUnicodeMS"/>
          <w:kern w:val="0"/>
          <w:sz w:val="32"/>
          <w:szCs w:val="32"/>
        </w:rPr>
        <w:t xml:space="preserve"> </w:t>
      </w:r>
      <w:r>
        <w:rPr>
          <w:rFonts w:hint="eastAsia" w:ascii="宋体" w:hAnsi="宋体" w:eastAsia="宋体" w:cs="ArialUnicodeMS"/>
          <w:kern w:val="0"/>
          <w:sz w:val="32"/>
          <w:szCs w:val="32"/>
        </w:rPr>
        <w:t>1个，具体情况如下：</w:t>
      </w:r>
    </w:p>
    <w:tbl>
      <w:tblPr>
        <w:tblStyle w:val="6"/>
        <w:tblpPr w:leftFromText="180" w:rightFromText="180" w:vertAnchor="text" w:horzAnchor="page" w:tblpXSpec="center" w:tblpY="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296"/>
        <w:gridCol w:w="2576"/>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0" w:type="auto"/>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0" w:type="auto"/>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0" w:type="auto"/>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0" w:type="auto"/>
          </w:tcPr>
          <w:p>
            <w:pPr>
              <w:spacing w:line="560" w:lineRule="exact"/>
              <w:rPr>
                <w:rFonts w:ascii="仿宋_GB2312" w:hAnsi="Cambria" w:eastAsia="仿宋_GB2312" w:cs="仿宋_GB2312"/>
                <w:kern w:val="0"/>
                <w:sz w:val="28"/>
                <w:szCs w:val="28"/>
              </w:rPr>
            </w:pPr>
            <w:r>
              <w:rPr>
                <w:rFonts w:hint="eastAsia" w:ascii="仿宋_GB2312" w:hAnsi="Cambria" w:eastAsia="仿宋_GB2312" w:cs="仿宋_GB2312"/>
                <w:kern w:val="0"/>
                <w:sz w:val="28"/>
                <w:szCs w:val="28"/>
              </w:rPr>
              <w:t>遵化市自然资源和规划局</w:t>
            </w:r>
          </w:p>
        </w:tc>
        <w:tc>
          <w:tcPr>
            <w:tcW w:w="0" w:type="auto"/>
          </w:tcPr>
          <w:p>
            <w:pPr>
              <w:tabs>
                <w:tab w:val="center" w:pos="1240"/>
              </w:tabs>
              <w:spacing w:line="560" w:lineRule="exact"/>
              <w:rPr>
                <w:rFonts w:ascii="仿宋_GB2312" w:hAnsi="Cambria" w:eastAsia="仿宋_GB2312"/>
                <w:kern w:val="0"/>
                <w:sz w:val="28"/>
                <w:szCs w:val="28"/>
              </w:rPr>
            </w:pPr>
            <w:r>
              <w:rPr>
                <w:rFonts w:ascii="仿宋_GB2312" w:hAnsi="Cambria" w:eastAsia="仿宋_GB2312"/>
                <w:kern w:val="0"/>
                <w:sz w:val="28"/>
                <w:szCs w:val="28"/>
              </w:rPr>
              <w:tab/>
            </w:r>
            <w:r>
              <w:rPr>
                <w:rFonts w:hint="eastAsia" w:ascii="仿宋_GB2312" w:hAnsi="Cambria" w:eastAsia="仿宋_GB2312"/>
                <w:kern w:val="0"/>
                <w:sz w:val="28"/>
                <w:szCs w:val="28"/>
              </w:rPr>
              <w:t>财政补助行政单位</w:t>
            </w:r>
          </w:p>
        </w:tc>
        <w:tc>
          <w:tcPr>
            <w:tcW w:w="0" w:type="auto"/>
          </w:tcPr>
          <w:p>
            <w:pPr>
              <w:spacing w:line="560" w:lineRule="exact"/>
              <w:jc w:val="center"/>
              <w:rPr>
                <w:rFonts w:ascii="仿宋_GB2312" w:hAnsi="Cambria" w:eastAsia="仿宋_GB2312"/>
                <w:kern w:val="0"/>
                <w:sz w:val="28"/>
                <w:szCs w:val="28"/>
              </w:rPr>
            </w:pPr>
            <w:r>
              <w:rPr>
                <w:rFonts w:hint="eastAsia" w:ascii="仿宋_GB2312" w:hAnsi="Cambria" w:eastAsia="仿宋_GB2312"/>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tcPr>
          <w:p>
            <w:pPr>
              <w:spacing w:line="560" w:lineRule="exact"/>
              <w:jc w:val="center"/>
              <w:rPr>
                <w:rFonts w:ascii="仿宋_GB2312" w:hAnsi="Calibri" w:eastAsia="仿宋_GB2312" w:cs="ArialUnicodeMS"/>
                <w:kern w:val="0"/>
                <w:sz w:val="28"/>
                <w:szCs w:val="28"/>
              </w:rPr>
            </w:pPr>
          </w:p>
        </w:tc>
        <w:tc>
          <w:tcPr>
            <w:tcW w:w="0" w:type="auto"/>
          </w:tcPr>
          <w:p>
            <w:pPr>
              <w:spacing w:line="560" w:lineRule="exact"/>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tcPr>
          <w:p>
            <w:pPr>
              <w:spacing w:line="560" w:lineRule="exact"/>
              <w:jc w:val="center"/>
              <w:rPr>
                <w:rFonts w:ascii="仿宋_GB2312" w:hAnsi="Calibri" w:eastAsia="仿宋_GB2312" w:cs="ArialUnicodeMS"/>
                <w:kern w:val="0"/>
                <w:sz w:val="28"/>
                <w:szCs w:val="28"/>
              </w:rPr>
            </w:pPr>
          </w:p>
        </w:tc>
        <w:tc>
          <w:tcPr>
            <w:tcW w:w="0" w:type="auto"/>
          </w:tcPr>
          <w:p>
            <w:pPr>
              <w:spacing w:line="560" w:lineRule="exact"/>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0" w:type="auto"/>
          </w:tcPr>
          <w:p>
            <w:pPr>
              <w:spacing w:line="560" w:lineRule="exact"/>
              <w:jc w:val="center"/>
              <w:rPr>
                <w:rFonts w:ascii="仿宋_GB2312" w:hAnsi="Calibri" w:eastAsia="仿宋_GB2312" w:cs="ArialUnicodeMS"/>
                <w:kern w:val="0"/>
                <w:sz w:val="28"/>
                <w:szCs w:val="28"/>
              </w:rPr>
            </w:pPr>
          </w:p>
        </w:tc>
        <w:tc>
          <w:tcPr>
            <w:tcW w:w="0" w:type="auto"/>
          </w:tcPr>
          <w:p>
            <w:pPr>
              <w:spacing w:line="560" w:lineRule="exact"/>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c>
          <w:tcPr>
            <w:tcW w:w="0" w:type="auto"/>
          </w:tcPr>
          <w:p>
            <w:pPr>
              <w:spacing w:line="560" w:lineRule="exact"/>
              <w:jc w:val="center"/>
              <w:rPr>
                <w:rFonts w:ascii="仿宋_GB2312" w:hAnsi="Cambria"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0" w:type="auto"/>
            <w:gridSpan w:val="4"/>
            <w:tcBorders>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宋体" w:hAnsi="宋体" w:eastAsia="宋体" w:cs="仿宋_GB2312"/>
          <w:sz w:val="32"/>
          <w:szCs w:val="3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年度收支总计（含结转和结余）</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万元。与</w:t>
      </w:r>
      <w:r>
        <w:rPr>
          <w:rFonts w:ascii="宋体" w:hAnsi="宋体" w:eastAsia="宋体" w:cs="DengXian-Regular"/>
          <w:sz w:val="32"/>
          <w:szCs w:val="32"/>
        </w:rPr>
        <w:t>2018</w:t>
      </w:r>
      <w:r>
        <w:rPr>
          <w:rFonts w:hint="eastAsia" w:ascii="宋体" w:hAnsi="宋体" w:eastAsia="宋体" w:cs="DengXian-Regular"/>
          <w:sz w:val="32"/>
          <w:szCs w:val="32"/>
        </w:rPr>
        <w:t>年度相比，收支各增加8754.05万元，增长126</w:t>
      </w:r>
      <w:r>
        <w:rPr>
          <w:rFonts w:ascii="宋体" w:hAnsi="宋体" w:eastAsia="宋体" w:cs="DengXian-Regular"/>
          <w:sz w:val="32"/>
          <w:szCs w:val="32"/>
        </w:rPr>
        <w:t>%</w:t>
      </w:r>
      <w:r>
        <w:rPr>
          <w:rFonts w:hint="eastAsia" w:ascii="宋体" w:hAnsi="宋体" w:eastAsia="宋体" w:cs="DengXian-Regular"/>
          <w:sz w:val="32"/>
          <w:szCs w:val="32"/>
        </w:rPr>
        <w:t>，主要原因是</w:t>
      </w:r>
      <w:r>
        <w:rPr>
          <w:rFonts w:hint="eastAsia" w:ascii="宋体" w:hAnsi="宋体" w:eastAsia="宋体" w:cs="仿宋_GB2312"/>
          <w:sz w:val="32"/>
          <w:szCs w:val="32"/>
        </w:rPr>
        <w:t>机构改革与林业局、矿管办合并增加支出。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年度本年收入合计</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万元，其中：财政拨款收入</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万元，占100</w:t>
      </w:r>
      <w:r>
        <w:rPr>
          <w:rFonts w:ascii="宋体" w:hAnsi="宋体" w:eastAsia="宋体" w:cs="DengXian-Regular"/>
          <w:sz w:val="32"/>
          <w:szCs w:val="32"/>
        </w:rPr>
        <w:t>%</w:t>
      </w:r>
      <w:r>
        <w:rPr>
          <w:rFonts w:hint="eastAsia" w:ascii="宋体" w:hAnsi="宋体" w:eastAsia="宋体" w:cs="DengXian-Regular"/>
          <w:sz w:val="32"/>
          <w:szCs w:val="32"/>
        </w:rPr>
        <w:t>；事业收入0万元，占0</w:t>
      </w:r>
      <w:r>
        <w:rPr>
          <w:rFonts w:ascii="宋体" w:hAnsi="宋体" w:eastAsia="宋体" w:cs="DengXian-Regular"/>
          <w:sz w:val="32"/>
          <w:szCs w:val="32"/>
        </w:rPr>
        <w:t>%</w:t>
      </w:r>
      <w:r>
        <w:rPr>
          <w:rFonts w:hint="eastAsia" w:ascii="宋体" w:hAnsi="宋体" w:eastAsia="宋体" w:cs="DengXian-Regular"/>
          <w:sz w:val="32"/>
          <w:szCs w:val="32"/>
        </w:rPr>
        <w:t>；经营收入0万元，占0</w:t>
      </w:r>
      <w:r>
        <w:rPr>
          <w:rFonts w:ascii="宋体" w:hAnsi="宋体" w:eastAsia="宋体" w:cs="DengXian-Regular"/>
          <w:sz w:val="32"/>
          <w:szCs w:val="32"/>
        </w:rPr>
        <w:t>%</w:t>
      </w:r>
      <w:r>
        <w:rPr>
          <w:rFonts w:hint="eastAsia" w:ascii="宋体" w:hAnsi="宋体" w:eastAsia="宋体" w:cs="DengXian-Regular"/>
          <w:sz w:val="32"/>
          <w:szCs w:val="32"/>
        </w:rPr>
        <w:t>；其他收入0万元，占0</w:t>
      </w:r>
      <w:r>
        <w:rPr>
          <w:rFonts w:ascii="宋体" w:hAnsi="宋体" w:eastAsia="宋体" w:cs="DengXian-Regular"/>
          <w:sz w:val="32"/>
          <w:szCs w:val="32"/>
        </w:rPr>
        <w:t>%</w:t>
      </w:r>
      <w:r>
        <w:rPr>
          <w:rFonts w:hint="eastAsia" w:ascii="宋体" w:hAnsi="宋体" w:eastAsia="宋体"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rPr>
          <w:rFonts w:ascii="宋体" w:hAnsi="宋体" w:eastAsia="宋体" w:cs="Arial"/>
          <w:b/>
          <w:bCs/>
          <w:color w:val="000000"/>
          <w:kern w:val="0"/>
          <w:sz w:val="22"/>
        </w:rPr>
      </w:pPr>
      <w:r>
        <w:rPr>
          <w:rFonts w:hint="eastAsia" w:ascii="仿宋_GB2312" w:hAnsi="Times New Roman" w:eastAsia="仿宋_GB2312" w:cs="DengXian-Regular"/>
          <w:sz w:val="32"/>
          <w:szCs w:val="32"/>
        </w:rPr>
        <w:t xml:space="preserve">   </w:t>
      </w:r>
      <w:r>
        <w:rPr>
          <w:rFonts w:hint="eastAsia" w:ascii="宋体" w:hAnsi="宋体" w:eastAsia="宋体" w:cs="DengXian-Regular"/>
          <w:sz w:val="32"/>
          <w:szCs w:val="32"/>
        </w:rPr>
        <w:t xml:space="preserve"> 本部门</w:t>
      </w:r>
      <w:r>
        <w:rPr>
          <w:rFonts w:ascii="宋体" w:hAnsi="宋体" w:eastAsia="宋体" w:cs="DengXian-Regular"/>
          <w:sz w:val="32"/>
          <w:szCs w:val="32"/>
        </w:rPr>
        <w:t>2019</w:t>
      </w:r>
      <w:r>
        <w:rPr>
          <w:rFonts w:hint="eastAsia" w:ascii="宋体" w:hAnsi="宋体" w:eastAsia="宋体" w:cs="DengXian-Regular"/>
          <w:sz w:val="32"/>
          <w:szCs w:val="32"/>
        </w:rPr>
        <w:t>年度本年支出合计</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万元，其中：基本支出5112.01万元，占12</w:t>
      </w:r>
      <w:r>
        <w:rPr>
          <w:rFonts w:ascii="宋体" w:hAnsi="宋体" w:eastAsia="宋体" w:cs="DengXian-Regular"/>
          <w:sz w:val="32"/>
          <w:szCs w:val="32"/>
        </w:rPr>
        <w:t>%</w:t>
      </w:r>
      <w:r>
        <w:rPr>
          <w:rFonts w:hint="eastAsia" w:ascii="宋体" w:hAnsi="宋体" w:eastAsia="宋体" w:cs="DengXian-Regular"/>
          <w:sz w:val="32"/>
          <w:szCs w:val="32"/>
        </w:rPr>
        <w:t>；项目支出</w:t>
      </w:r>
      <w:r>
        <w:rPr>
          <w:rFonts w:ascii="宋体" w:hAnsi="宋体" w:eastAsia="宋体" w:cs="DengXian-Regular"/>
          <w:sz w:val="32"/>
          <w:szCs w:val="32"/>
        </w:rPr>
        <w:t>36891</w:t>
      </w:r>
      <w:r>
        <w:rPr>
          <w:rFonts w:hint="eastAsia" w:ascii="宋体" w:hAnsi="宋体" w:eastAsia="宋体" w:cs="DengXian-Regular"/>
          <w:sz w:val="32"/>
          <w:szCs w:val="32"/>
        </w:rPr>
        <w:t>.</w:t>
      </w:r>
      <w:r>
        <w:rPr>
          <w:rFonts w:ascii="宋体" w:hAnsi="宋体" w:eastAsia="宋体" w:cs="DengXian-Regular"/>
          <w:sz w:val="32"/>
          <w:szCs w:val="32"/>
        </w:rPr>
        <w:t>27</w:t>
      </w:r>
      <w:r>
        <w:rPr>
          <w:rFonts w:hint="eastAsia" w:ascii="宋体" w:hAnsi="宋体" w:eastAsia="宋体" w:cs="DengXian-Regular"/>
          <w:sz w:val="32"/>
          <w:szCs w:val="32"/>
        </w:rPr>
        <w:t>万元，占88</w:t>
      </w:r>
      <w:r>
        <w:rPr>
          <w:rFonts w:ascii="宋体" w:hAnsi="宋体" w:eastAsia="宋体" w:cs="DengXian-Regular"/>
          <w:sz w:val="32"/>
          <w:szCs w:val="32"/>
        </w:rPr>
        <w:t>%</w:t>
      </w:r>
      <w:r>
        <w:rPr>
          <w:rFonts w:hint="eastAsia" w:ascii="宋体" w:hAnsi="宋体" w:eastAsia="宋体" w:cs="DengXian-Regular"/>
          <w:sz w:val="32"/>
          <w:szCs w:val="32"/>
        </w:rPr>
        <w:t>；经营支出0万元，占0</w:t>
      </w:r>
      <w:r>
        <w:rPr>
          <w:rFonts w:ascii="宋体" w:hAnsi="宋体" w:eastAsia="宋体" w:cs="DengXian-Regular"/>
          <w:sz w:val="32"/>
          <w:szCs w:val="32"/>
        </w:rPr>
        <w:t>%</w:t>
      </w:r>
      <w:r>
        <w:rPr>
          <w:rFonts w:hint="eastAsia" w:ascii="宋体" w:hAnsi="宋体" w:eastAsia="宋体"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adjustRightInd w:val="0"/>
        <w:snapToGrid w:val="0"/>
        <w:spacing w:line="580" w:lineRule="exact"/>
        <w:ind w:firstLine="640" w:firstLineChars="200"/>
        <w:rPr>
          <w:rFonts w:ascii="宋体" w:hAnsi="宋体" w:eastAsia="宋体"/>
          <w:sz w:val="32"/>
          <w:szCs w:val="3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年度财政拨款本年收入</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w:t>
      </w:r>
      <w:r>
        <w:rPr>
          <w:rFonts w:ascii="宋体" w:hAnsi="宋体" w:eastAsia="宋体" w:cs="DengXian-Regular"/>
          <w:sz w:val="32"/>
          <w:szCs w:val="32"/>
        </w:rPr>
        <w:t>,</w:t>
      </w:r>
      <w:r>
        <w:rPr>
          <w:rFonts w:hint="eastAsia" w:ascii="宋体" w:hAnsi="宋体" w:eastAsia="宋体" w:cs="DengXian-Regular"/>
          <w:sz w:val="32"/>
          <w:szCs w:val="32"/>
        </w:rPr>
        <w:t>比</w:t>
      </w:r>
      <w:r>
        <w:rPr>
          <w:rFonts w:ascii="宋体" w:hAnsi="宋体" w:eastAsia="宋体" w:cs="DengXian-Regular"/>
          <w:sz w:val="32"/>
          <w:szCs w:val="32"/>
        </w:rPr>
        <w:t>2018</w:t>
      </w:r>
      <w:r>
        <w:rPr>
          <w:rFonts w:hint="eastAsia" w:ascii="宋体" w:hAnsi="宋体" w:eastAsia="宋体" w:cs="DengXian-Regular"/>
          <w:sz w:val="32"/>
          <w:szCs w:val="32"/>
        </w:rPr>
        <w:t>年度增加8754.05万元，增长126</w:t>
      </w:r>
      <w:r>
        <w:rPr>
          <w:rFonts w:ascii="宋体" w:hAnsi="宋体" w:eastAsia="宋体" w:cs="DengXian-Regular"/>
          <w:sz w:val="32"/>
          <w:szCs w:val="32"/>
        </w:rPr>
        <w:t>%</w:t>
      </w:r>
      <w:r>
        <w:rPr>
          <w:rFonts w:hint="eastAsia" w:ascii="宋体" w:hAnsi="宋体" w:eastAsia="宋体" w:cs="DengXian-Regular"/>
          <w:sz w:val="32"/>
          <w:szCs w:val="32"/>
        </w:rPr>
        <w:t>，主要原因是</w:t>
      </w:r>
      <w:r>
        <w:rPr>
          <w:rFonts w:hint="eastAsia" w:ascii="宋体" w:hAnsi="宋体" w:eastAsia="宋体" w:cs="仿宋_GB2312"/>
          <w:sz w:val="32"/>
          <w:szCs w:val="32"/>
        </w:rPr>
        <w:t>机构改革与林业局、矿管办合并增加支出。</w:t>
      </w:r>
      <w:r>
        <w:rPr>
          <w:rFonts w:hint="eastAsia" w:ascii="宋体" w:hAnsi="宋体" w:eastAsia="宋体" w:cs="DengXian-Regular"/>
          <w:sz w:val="32"/>
          <w:szCs w:val="32"/>
        </w:rPr>
        <w:t>本年支出</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w:t>
      </w:r>
      <w:r>
        <w:rPr>
          <w:rFonts w:ascii="宋体" w:hAnsi="宋体" w:eastAsia="宋体" w:cs="DengXian-Regular"/>
          <w:sz w:val="32"/>
          <w:szCs w:val="32"/>
        </w:rPr>
        <w:t>,</w:t>
      </w:r>
      <w:r>
        <w:rPr>
          <w:rFonts w:hint="eastAsia" w:ascii="宋体" w:hAnsi="宋体" w:eastAsia="宋体" w:cs="DengXian-Regular"/>
          <w:sz w:val="32"/>
          <w:szCs w:val="32"/>
        </w:rPr>
        <w:t>比</w:t>
      </w:r>
      <w:r>
        <w:rPr>
          <w:rFonts w:ascii="宋体" w:hAnsi="宋体" w:eastAsia="宋体" w:cs="DengXian-Regular"/>
          <w:sz w:val="32"/>
          <w:szCs w:val="32"/>
        </w:rPr>
        <w:t>2018</w:t>
      </w:r>
      <w:r>
        <w:rPr>
          <w:rFonts w:hint="eastAsia" w:ascii="宋体" w:hAnsi="宋体" w:eastAsia="宋体" w:cs="DengXian-Regular"/>
          <w:sz w:val="32"/>
          <w:szCs w:val="32"/>
        </w:rPr>
        <w:t>年度增加8754.05万元，增长126</w:t>
      </w:r>
      <w:r>
        <w:rPr>
          <w:rFonts w:ascii="宋体" w:hAnsi="宋体" w:eastAsia="宋体" w:cs="DengXian-Regular"/>
          <w:sz w:val="32"/>
          <w:szCs w:val="32"/>
        </w:rPr>
        <w:t>%</w:t>
      </w:r>
      <w:r>
        <w:rPr>
          <w:rFonts w:hint="eastAsia" w:ascii="宋体" w:hAnsi="宋体" w:eastAsia="宋体" w:cs="DengXian-Regular"/>
          <w:sz w:val="32"/>
          <w:szCs w:val="32"/>
        </w:rPr>
        <w:t>，主要原因是</w:t>
      </w:r>
      <w:r>
        <w:rPr>
          <w:rFonts w:hint="eastAsia" w:ascii="宋体" w:hAnsi="宋体" w:eastAsia="宋体" w:cs="仿宋_GB2312"/>
          <w:sz w:val="32"/>
          <w:szCs w:val="32"/>
        </w:rPr>
        <w:t>机构改革与林业局、矿管办合并增加支出。</w:t>
      </w:r>
      <w:r>
        <w:rPr>
          <w:rFonts w:hint="eastAsia" w:ascii="宋体" w:hAnsi="宋体" w:eastAsia="宋体" w:cs="DengXian-Regular"/>
          <w:sz w:val="32"/>
          <w:szCs w:val="32"/>
        </w:rPr>
        <w:t>具体情况如下：</w:t>
      </w:r>
    </w:p>
    <w:p>
      <w:pPr>
        <w:adjustRightInd w:val="0"/>
        <w:snapToGrid w:val="0"/>
        <w:spacing w:line="580" w:lineRule="exact"/>
        <w:ind w:firstLine="640" w:firstLineChars="200"/>
        <w:rPr>
          <w:rFonts w:ascii="宋体" w:hAnsi="宋体" w:eastAsia="宋体"/>
          <w:sz w:val="32"/>
          <w:szCs w:val="32"/>
        </w:rPr>
      </w:pPr>
      <w:r>
        <w:rPr>
          <w:rFonts w:hint="eastAsia" w:ascii="宋体" w:hAnsi="宋体" w:eastAsia="宋体" w:cs="DengXian-Regular"/>
          <w:sz w:val="32"/>
          <w:szCs w:val="32"/>
        </w:rPr>
        <w:t>一般公共预算财政拨款本年收入</w:t>
      </w:r>
      <w:r>
        <w:rPr>
          <w:rFonts w:ascii="宋体" w:hAnsi="宋体" w:eastAsia="宋体" w:cs="DengXian-Regular"/>
          <w:sz w:val="32"/>
          <w:szCs w:val="32"/>
        </w:rPr>
        <w:t>11861</w:t>
      </w:r>
      <w:r>
        <w:rPr>
          <w:rFonts w:hint="eastAsia" w:ascii="宋体" w:hAnsi="宋体" w:eastAsia="宋体" w:cs="DengXian-Regular"/>
          <w:sz w:val="32"/>
          <w:szCs w:val="32"/>
        </w:rPr>
        <w:t>.</w:t>
      </w:r>
      <w:r>
        <w:rPr>
          <w:rFonts w:ascii="宋体" w:hAnsi="宋体" w:eastAsia="宋体" w:cs="DengXian-Regular"/>
          <w:sz w:val="32"/>
          <w:szCs w:val="32"/>
        </w:rPr>
        <w:t>9</w:t>
      </w:r>
      <w:r>
        <w:rPr>
          <w:rFonts w:hint="eastAsia" w:ascii="宋体" w:hAnsi="宋体" w:eastAsia="宋体" w:cs="DengXian-Regular"/>
          <w:sz w:val="32"/>
          <w:szCs w:val="32"/>
        </w:rPr>
        <w:t>4万元，比上年</w:t>
      </w:r>
      <w:r>
        <w:rPr>
          <w:rFonts w:ascii="宋体" w:hAnsi="宋体" w:eastAsia="宋体" w:cs="DengXian-Regular"/>
          <w:sz w:val="32"/>
          <w:szCs w:val="32"/>
        </w:rPr>
        <w:t>6152.33</w:t>
      </w:r>
      <w:r>
        <w:rPr>
          <w:rFonts w:hint="eastAsia" w:ascii="宋体" w:hAnsi="宋体" w:eastAsia="宋体" w:cs="DengXian-Regular"/>
          <w:sz w:val="32"/>
          <w:szCs w:val="32"/>
        </w:rPr>
        <w:t>万元 增加5709.61万元；主要原因是</w:t>
      </w:r>
      <w:r>
        <w:rPr>
          <w:rFonts w:hint="eastAsia" w:ascii="宋体" w:hAnsi="宋体" w:eastAsia="宋体" w:cs="仿宋_GB2312"/>
          <w:sz w:val="32"/>
          <w:szCs w:val="32"/>
        </w:rPr>
        <w:t>机构改革与林业局、矿管办合并增加支出。</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政府性基金预算财政拨款本年收入</w:t>
      </w:r>
      <w:r>
        <w:rPr>
          <w:rFonts w:ascii="宋体" w:hAnsi="宋体" w:eastAsia="宋体" w:cs="DengXian-Regular"/>
          <w:sz w:val="32"/>
          <w:szCs w:val="32"/>
        </w:rPr>
        <w:t>30141</w:t>
      </w:r>
      <w:r>
        <w:rPr>
          <w:rFonts w:hint="eastAsia" w:ascii="宋体" w:hAnsi="宋体" w:eastAsia="宋体" w:cs="DengXian-Regular"/>
          <w:sz w:val="32"/>
          <w:szCs w:val="32"/>
        </w:rPr>
        <w:t>.</w:t>
      </w:r>
      <w:r>
        <w:rPr>
          <w:rFonts w:ascii="宋体" w:hAnsi="宋体" w:eastAsia="宋体" w:cs="DengXian-Regular"/>
          <w:sz w:val="32"/>
          <w:szCs w:val="32"/>
        </w:rPr>
        <w:t>3</w:t>
      </w:r>
      <w:r>
        <w:rPr>
          <w:rFonts w:hint="eastAsia" w:ascii="宋体" w:hAnsi="宋体" w:eastAsia="宋体" w:cs="DengXian-Regular"/>
          <w:sz w:val="32"/>
          <w:szCs w:val="32"/>
        </w:rPr>
        <w:t>5万元，比上年</w:t>
      </w:r>
      <w:r>
        <w:rPr>
          <w:rFonts w:ascii="宋体" w:hAnsi="宋体" w:eastAsia="宋体" w:cs="DengXian-Regular"/>
          <w:sz w:val="32"/>
          <w:szCs w:val="32"/>
        </w:rPr>
        <w:t>27096.9</w:t>
      </w:r>
      <w:r>
        <w:rPr>
          <w:rFonts w:hint="eastAsia" w:ascii="宋体" w:hAnsi="宋体" w:eastAsia="宋体" w:cs="DengXian-Regular"/>
          <w:sz w:val="32"/>
          <w:szCs w:val="32"/>
        </w:rPr>
        <w:t>万元增加3044.45万元，增长111</w:t>
      </w:r>
      <w:r>
        <w:rPr>
          <w:rFonts w:ascii="宋体" w:hAnsi="宋体" w:eastAsia="宋体" w:cs="DengXian-Regular"/>
          <w:sz w:val="32"/>
          <w:szCs w:val="32"/>
        </w:rPr>
        <w:t>%</w:t>
      </w:r>
      <w:r>
        <w:rPr>
          <w:rFonts w:hint="eastAsia" w:ascii="宋体" w:hAnsi="宋体" w:eastAsia="宋体" w:cs="DengXian-Regular"/>
          <w:sz w:val="32"/>
          <w:szCs w:val="32"/>
        </w:rPr>
        <w:t>，主要原因是</w:t>
      </w:r>
      <w:r>
        <w:rPr>
          <w:rFonts w:hint="eastAsia" w:ascii="宋体" w:hAnsi="宋体" w:eastAsia="宋体" w:cs="仿宋_GB2312"/>
          <w:sz w:val="32"/>
          <w:szCs w:val="32"/>
        </w:rPr>
        <w:t>机构改革与林业局、矿管办合并增加支出。</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ind w:firstLine="640" w:firstLineChars="200"/>
        <w:rPr>
          <w:rFonts w:ascii="宋体" w:hAnsi="宋体" w:eastAsia="宋体" w:cs="宋体"/>
          <w:color w:val="000000"/>
          <w:kern w:val="0"/>
          <w:sz w:val="2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年度财政拨款本年收入</w:t>
      </w:r>
      <w:r>
        <w:rPr>
          <w:rFonts w:ascii="宋体" w:hAnsi="宋体" w:eastAsia="宋体" w:cs="DengXian-Regular"/>
          <w:sz w:val="32"/>
          <w:szCs w:val="32"/>
        </w:rPr>
        <w:t>42003</w:t>
      </w:r>
      <w:r>
        <w:rPr>
          <w:rFonts w:hint="eastAsia" w:ascii="宋体" w:hAnsi="宋体" w:eastAsia="宋体" w:cs="DengXian-Regular"/>
          <w:sz w:val="32"/>
          <w:szCs w:val="32"/>
        </w:rPr>
        <w:t>.</w:t>
      </w:r>
      <w:r>
        <w:rPr>
          <w:rFonts w:ascii="宋体" w:hAnsi="宋体" w:eastAsia="宋体" w:cs="DengXian-Regular"/>
          <w:sz w:val="32"/>
          <w:szCs w:val="32"/>
        </w:rPr>
        <w:t>28</w:t>
      </w:r>
      <w:r>
        <w:rPr>
          <w:rFonts w:hint="eastAsia" w:ascii="宋体" w:hAnsi="宋体" w:eastAsia="宋体" w:cs="DengXian-Regular"/>
          <w:sz w:val="32"/>
          <w:szCs w:val="32"/>
        </w:rPr>
        <w:t>万元，完成年初预算</w:t>
      </w:r>
      <w:r>
        <w:rPr>
          <w:rFonts w:ascii="宋体" w:hAnsi="宋体" w:eastAsia="宋体" w:cs="DengXian-Regular"/>
          <w:sz w:val="32"/>
          <w:szCs w:val="32"/>
        </w:rPr>
        <w:t>23009.46</w:t>
      </w:r>
      <w:r>
        <w:rPr>
          <w:rFonts w:hint="eastAsia" w:ascii="宋体" w:hAnsi="宋体" w:eastAsia="宋体" w:cs="DengXian-Regular"/>
          <w:sz w:val="32"/>
          <w:szCs w:val="32"/>
        </w:rPr>
        <w:t>万元的182.5</w:t>
      </w:r>
      <w:r>
        <w:rPr>
          <w:rFonts w:ascii="宋体" w:hAnsi="宋体" w:eastAsia="宋体" w:cs="DengXian-Regular"/>
          <w:sz w:val="32"/>
          <w:szCs w:val="32"/>
        </w:rPr>
        <w:t>%,</w:t>
      </w:r>
      <w:r>
        <w:rPr>
          <w:rFonts w:hint="eastAsia" w:ascii="宋体" w:hAnsi="宋体" w:eastAsia="宋体" w:cs="DengXian-Regular"/>
          <w:sz w:val="32"/>
          <w:szCs w:val="32"/>
        </w:rPr>
        <w:t>比年初预算增加18993.82万元，决算数大于预算数主要原因是</w:t>
      </w:r>
      <w:r>
        <w:rPr>
          <w:rFonts w:hint="eastAsia" w:ascii="宋体" w:hAnsi="宋体" w:eastAsia="宋体" w:cs="仿宋_GB2312"/>
          <w:sz w:val="32"/>
          <w:szCs w:val="32"/>
        </w:rPr>
        <w:t>1、人员工资增长及人数增加（机构改革</w:t>
      </w:r>
      <w:r>
        <w:rPr>
          <w:rFonts w:hint="eastAsia" w:ascii="宋体" w:hAnsi="宋体" w:eastAsia="宋体" w:cs="仿宋_GB2312"/>
          <w:sz w:val="32"/>
          <w:szCs w:val="32"/>
          <w:lang w:eastAsia="zh-CN"/>
        </w:rPr>
        <w:t>与</w:t>
      </w:r>
      <w:r>
        <w:rPr>
          <w:rFonts w:hint="eastAsia" w:ascii="宋体" w:hAnsi="宋体" w:eastAsia="宋体" w:cs="仿宋_GB2312"/>
          <w:sz w:val="32"/>
          <w:szCs w:val="32"/>
        </w:rPr>
        <w:t>林业局、矿管办合并增加支出）；2、</w:t>
      </w:r>
      <w:r>
        <w:rPr>
          <w:rFonts w:hint="eastAsia" w:ascii="宋体" w:hAnsi="宋体" w:eastAsia="宋体" w:cs="DengXian-Regular"/>
          <w:sz w:val="32"/>
          <w:szCs w:val="32"/>
        </w:rPr>
        <w:t>主要是土地补偿费支出由财政待分预算资金列支。具体情况如下：</w:t>
      </w:r>
    </w:p>
    <w:p>
      <w:pPr>
        <w:numPr>
          <w:ilvl w:val="0"/>
          <w:numId w:val="1"/>
        </w:numPr>
        <w:adjustRightInd w:val="0"/>
        <w:snapToGrid w:val="0"/>
        <w:spacing w:line="580" w:lineRule="exact"/>
        <w:ind w:firstLine="640"/>
        <w:rPr>
          <w:rFonts w:ascii="宋体" w:hAnsi="宋体" w:eastAsia="宋体" w:cs="DengXian-Regular"/>
          <w:sz w:val="32"/>
          <w:szCs w:val="32"/>
        </w:rPr>
      </w:pPr>
      <w:r>
        <w:rPr>
          <w:rFonts w:hint="eastAsia" w:ascii="宋体" w:hAnsi="宋体" w:eastAsia="宋体" w:cs="DengXian-Regular"/>
          <w:sz w:val="32"/>
          <w:szCs w:val="32"/>
        </w:rPr>
        <w:t>一般公共预算财政拨款本年收入</w:t>
      </w:r>
      <w:r>
        <w:rPr>
          <w:rFonts w:ascii="宋体" w:hAnsi="宋体" w:eastAsia="宋体" w:cs="DengXian-Regular"/>
          <w:sz w:val="32"/>
          <w:szCs w:val="32"/>
        </w:rPr>
        <w:t>11861</w:t>
      </w:r>
      <w:r>
        <w:rPr>
          <w:rFonts w:hint="eastAsia" w:ascii="宋体" w:hAnsi="宋体" w:eastAsia="宋体" w:cs="DengXian-Regular"/>
          <w:sz w:val="32"/>
          <w:szCs w:val="32"/>
        </w:rPr>
        <w:t>.</w:t>
      </w:r>
      <w:r>
        <w:rPr>
          <w:rFonts w:ascii="宋体" w:hAnsi="宋体" w:eastAsia="宋体" w:cs="DengXian-Regular"/>
          <w:sz w:val="32"/>
          <w:szCs w:val="32"/>
        </w:rPr>
        <w:t>9</w:t>
      </w:r>
      <w:r>
        <w:rPr>
          <w:rFonts w:hint="eastAsia" w:ascii="宋体" w:hAnsi="宋体" w:eastAsia="宋体" w:cs="DengXian-Regular"/>
          <w:sz w:val="32"/>
          <w:szCs w:val="32"/>
        </w:rPr>
        <w:t>4万元，年初预算</w:t>
      </w:r>
      <w:r>
        <w:rPr>
          <w:rFonts w:ascii="宋体" w:hAnsi="宋体" w:eastAsia="宋体" w:cs="DengXian-Regular"/>
          <w:sz w:val="32"/>
          <w:szCs w:val="32"/>
        </w:rPr>
        <w:t>3009.46</w:t>
      </w:r>
      <w:r>
        <w:rPr>
          <w:rFonts w:hint="eastAsia" w:ascii="宋体" w:hAnsi="宋体" w:eastAsia="宋体" w:cs="DengXian-Regular"/>
          <w:sz w:val="32"/>
          <w:szCs w:val="32"/>
        </w:rPr>
        <w:t>万元，比年初预算增加8852.48万元，主要原因是</w:t>
      </w:r>
      <w:r>
        <w:rPr>
          <w:rFonts w:hint="eastAsia" w:ascii="宋体" w:hAnsi="宋体" w:eastAsia="宋体" w:cs="仿宋_GB2312"/>
          <w:sz w:val="32"/>
          <w:szCs w:val="32"/>
        </w:rPr>
        <w:t>机构改革与林业局、矿管办合并增加支出。</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2.政府性基金预算财政拨款本年收入</w:t>
      </w:r>
      <w:r>
        <w:rPr>
          <w:rFonts w:ascii="宋体" w:hAnsi="宋体" w:eastAsia="宋体" w:cs="DengXian-Regular"/>
          <w:sz w:val="32"/>
          <w:szCs w:val="32"/>
        </w:rPr>
        <w:t>30141</w:t>
      </w:r>
      <w:r>
        <w:rPr>
          <w:rFonts w:hint="eastAsia" w:ascii="宋体" w:hAnsi="宋体" w:eastAsia="宋体" w:cs="DengXian-Regular"/>
          <w:sz w:val="32"/>
          <w:szCs w:val="32"/>
        </w:rPr>
        <w:t>.</w:t>
      </w:r>
      <w:r>
        <w:rPr>
          <w:rFonts w:ascii="宋体" w:hAnsi="宋体" w:eastAsia="宋体" w:cs="DengXian-Regular"/>
          <w:sz w:val="32"/>
          <w:szCs w:val="32"/>
        </w:rPr>
        <w:t>3</w:t>
      </w:r>
      <w:r>
        <w:rPr>
          <w:rFonts w:hint="eastAsia" w:ascii="宋体" w:hAnsi="宋体" w:eastAsia="宋体" w:cs="DengXian-Regular"/>
          <w:sz w:val="32"/>
          <w:szCs w:val="32"/>
        </w:rPr>
        <w:t>5万元，年初预算20000万元，比年初预算增加1</w:t>
      </w:r>
      <w:r>
        <w:rPr>
          <w:rFonts w:ascii="宋体" w:hAnsi="宋体" w:eastAsia="宋体" w:cs="DengXian-Regular"/>
          <w:sz w:val="32"/>
          <w:szCs w:val="32"/>
        </w:rPr>
        <w:t>0141</w:t>
      </w:r>
      <w:r>
        <w:rPr>
          <w:rFonts w:hint="eastAsia" w:ascii="宋体" w:hAnsi="宋体" w:eastAsia="宋体" w:cs="DengXian-Regular"/>
          <w:sz w:val="32"/>
          <w:szCs w:val="32"/>
        </w:rPr>
        <w:t>.</w:t>
      </w:r>
      <w:r>
        <w:rPr>
          <w:rFonts w:ascii="宋体" w:hAnsi="宋体" w:eastAsia="宋体" w:cs="DengXian-Regular"/>
          <w:sz w:val="32"/>
          <w:szCs w:val="32"/>
        </w:rPr>
        <w:t>3</w:t>
      </w:r>
      <w:r>
        <w:rPr>
          <w:rFonts w:hint="eastAsia" w:ascii="宋体" w:hAnsi="宋体" w:eastAsia="宋体" w:cs="DengXian-Regular"/>
          <w:sz w:val="32"/>
          <w:szCs w:val="32"/>
        </w:rPr>
        <w:t>5万元，主要原因是</w:t>
      </w:r>
      <w:r>
        <w:rPr>
          <w:rFonts w:hint="eastAsia" w:ascii="宋体" w:hAnsi="宋体" w:eastAsia="宋体" w:cs="仿宋_GB2312"/>
          <w:sz w:val="32"/>
          <w:szCs w:val="32"/>
        </w:rPr>
        <w:t>机构改革与林业局、矿管办合并增加支出和</w:t>
      </w:r>
      <w:r>
        <w:rPr>
          <w:rFonts w:hint="eastAsia" w:ascii="宋体" w:hAnsi="宋体" w:eastAsia="宋体" w:cs="DengXian-Regular"/>
          <w:sz w:val="32"/>
          <w:szCs w:val="32"/>
        </w:rPr>
        <w:t>土地补偿费支出由财政待分预算资金列支。</w:t>
      </w:r>
    </w:p>
    <w:p>
      <w:pPr>
        <w:numPr>
          <w:ilvl w:val="0"/>
          <w:numId w:val="2"/>
        </w:numPr>
        <w:adjustRightInd w:val="0"/>
        <w:snapToGrid w:val="0"/>
        <w:spacing w:line="580" w:lineRule="exact"/>
        <w:ind w:left="420" w:leftChars="200"/>
        <w:rPr>
          <w:rFonts w:ascii="宋体" w:hAnsi="宋体" w:eastAsia="宋体" w:cs="DengXian-Bold"/>
          <w:b/>
          <w:bCs/>
          <w:sz w:val="32"/>
          <w:szCs w:val="32"/>
        </w:rPr>
      </w:pPr>
      <w:r>
        <w:rPr>
          <w:rFonts w:hint="eastAsia" w:ascii="宋体" w:hAnsi="宋体" w:eastAsia="宋体" w:cs="DengXian-Bold"/>
          <w:b/>
          <w:bCs/>
          <w:sz w:val="32"/>
          <w:szCs w:val="32"/>
        </w:rPr>
        <w:t>财政拨款支出决算结构情况。</w:t>
      </w:r>
    </w:p>
    <w:p>
      <w:pPr>
        <w:rPr>
          <w:rFonts w:ascii="宋体" w:hAnsi="宋体" w:eastAsia="宋体" w:cs="DengXian-Regular"/>
          <w:sz w:val="32"/>
          <w:szCs w:val="32"/>
        </w:rPr>
      </w:pPr>
      <w:r>
        <w:rPr>
          <w:rFonts w:hint="eastAsia" w:ascii="宋体" w:hAnsi="宋体" w:eastAsia="宋体" w:cs="DengXian-Regular"/>
          <w:sz w:val="32"/>
          <w:szCs w:val="32"/>
        </w:rPr>
        <w:t xml:space="preserve">    </w:t>
      </w:r>
      <w:r>
        <w:rPr>
          <w:rFonts w:ascii="宋体" w:hAnsi="宋体" w:eastAsia="宋体" w:cs="DengXian-Regular"/>
          <w:sz w:val="32"/>
          <w:szCs w:val="32"/>
        </w:rPr>
        <w:t xml:space="preserve">2019 </w:t>
      </w:r>
      <w:r>
        <w:rPr>
          <w:rFonts w:hint="eastAsia" w:ascii="宋体" w:hAnsi="宋体" w:eastAsia="宋体" w:cs="DengXian-Regular"/>
          <w:sz w:val="32"/>
          <w:szCs w:val="32"/>
        </w:rPr>
        <w:t>年度财政拨款支出</w:t>
      </w:r>
      <w:r>
        <w:rPr>
          <w:rFonts w:ascii="宋体" w:hAnsi="宋体" w:eastAsia="宋体" w:cs="DengXian-Regular"/>
          <w:sz w:val="32"/>
          <w:szCs w:val="32"/>
        </w:rPr>
        <w:t>42003.28</w:t>
      </w:r>
      <w:r>
        <w:rPr>
          <w:rFonts w:hint="eastAsia" w:ascii="宋体" w:hAnsi="宋体" w:eastAsia="宋体" w:cs="DengXian-Regular"/>
          <w:sz w:val="32"/>
          <w:szCs w:val="32"/>
        </w:rPr>
        <w:t>万元，主要用于以下方面：</w:t>
      </w:r>
    </w:p>
    <w:p>
      <w:pPr>
        <w:rPr>
          <w:rFonts w:ascii="Arial" w:hAnsi="Arial" w:eastAsia="宋体" w:cs="Arial"/>
          <w:color w:val="000000"/>
          <w:kern w:val="0"/>
          <w:sz w:val="20"/>
          <w:szCs w:val="20"/>
        </w:rPr>
      </w:pPr>
      <w:r>
        <w:rPr>
          <w:rFonts w:hint="eastAsia" w:ascii="宋体" w:hAnsi="宋体" w:eastAsia="宋体" w:cs="DengXian-Regular"/>
          <w:sz w:val="32"/>
          <w:szCs w:val="32"/>
        </w:rPr>
        <w:t xml:space="preserve">    一般公共服务（类）支出</w:t>
      </w:r>
      <w:r>
        <w:rPr>
          <w:rFonts w:ascii="宋体" w:hAnsi="宋体" w:eastAsia="宋体" w:cs="DengXian-Regular"/>
          <w:sz w:val="32"/>
          <w:szCs w:val="32"/>
        </w:rPr>
        <w:t>41.03</w:t>
      </w:r>
      <w:r>
        <w:rPr>
          <w:rFonts w:hint="eastAsia" w:ascii="宋体" w:hAnsi="宋体" w:eastAsia="宋体" w:cs="DengXian-Regular"/>
          <w:sz w:val="32"/>
          <w:szCs w:val="32"/>
        </w:rPr>
        <w:t>万元，占</w:t>
      </w:r>
      <w:r>
        <w:rPr>
          <w:rFonts w:ascii="宋体" w:hAnsi="宋体" w:eastAsia="宋体" w:cs="DengXian-Regular"/>
          <w:sz w:val="32"/>
          <w:szCs w:val="32"/>
        </w:rPr>
        <w:t>0.10%</w:t>
      </w:r>
      <w:r>
        <w:rPr>
          <w:rFonts w:hint="eastAsia" w:ascii="宋体" w:hAnsi="宋体" w:eastAsia="宋体" w:cs="DengXian-Regular"/>
          <w:sz w:val="32"/>
          <w:szCs w:val="32"/>
        </w:rPr>
        <w:t>；科学技术支出</w:t>
      </w:r>
      <w:r>
        <w:rPr>
          <w:rFonts w:ascii="宋体" w:hAnsi="宋体" w:eastAsia="宋体" w:cs="DengXian-Regular"/>
          <w:sz w:val="32"/>
          <w:szCs w:val="32"/>
        </w:rPr>
        <w:t>2620.55</w:t>
      </w:r>
      <w:r>
        <w:rPr>
          <w:rFonts w:hint="eastAsia" w:ascii="宋体" w:hAnsi="宋体" w:eastAsia="宋体" w:cs="DengXian-Regular"/>
          <w:sz w:val="32"/>
          <w:szCs w:val="32"/>
        </w:rPr>
        <w:t>万元，占</w:t>
      </w:r>
      <w:r>
        <w:rPr>
          <w:rFonts w:ascii="宋体" w:hAnsi="宋体" w:eastAsia="宋体" w:cs="DengXian-Regular"/>
          <w:sz w:val="32"/>
          <w:szCs w:val="32"/>
        </w:rPr>
        <w:t>6.24%</w:t>
      </w:r>
      <w:r>
        <w:rPr>
          <w:rFonts w:hint="eastAsia" w:ascii="宋体" w:hAnsi="宋体" w:eastAsia="宋体" w:cs="DengXian-Regular"/>
          <w:sz w:val="32"/>
          <w:szCs w:val="32"/>
        </w:rPr>
        <w:t>；社会保障和就业（类）支出</w:t>
      </w:r>
      <w:r>
        <w:rPr>
          <w:rFonts w:ascii="宋体" w:hAnsi="宋体" w:eastAsia="宋体" w:cs="DengXian-Regular"/>
          <w:sz w:val="32"/>
          <w:szCs w:val="32"/>
        </w:rPr>
        <w:t>398.88</w:t>
      </w:r>
      <w:r>
        <w:rPr>
          <w:rFonts w:hint="eastAsia" w:ascii="宋体" w:hAnsi="宋体" w:eastAsia="宋体" w:cs="DengXian-Regular"/>
          <w:sz w:val="32"/>
          <w:szCs w:val="32"/>
        </w:rPr>
        <w:t>万元，占</w:t>
      </w:r>
      <w:r>
        <w:rPr>
          <w:rFonts w:ascii="宋体" w:hAnsi="宋体" w:eastAsia="宋体" w:cs="DengXian-Regular"/>
          <w:sz w:val="32"/>
          <w:szCs w:val="32"/>
        </w:rPr>
        <w:t>0.95%</w:t>
      </w:r>
      <w:r>
        <w:rPr>
          <w:rFonts w:hint="eastAsia" w:ascii="宋体" w:hAnsi="宋体" w:eastAsia="宋体" w:cs="DengXian-Regular"/>
          <w:sz w:val="32"/>
          <w:szCs w:val="32"/>
        </w:rPr>
        <w:t>；卫生健康支出</w:t>
      </w:r>
      <w:r>
        <w:rPr>
          <w:rFonts w:ascii="宋体" w:hAnsi="宋体" w:eastAsia="宋体" w:cs="DengXian-Regular"/>
          <w:sz w:val="32"/>
          <w:szCs w:val="32"/>
        </w:rPr>
        <w:t>501.56</w:t>
      </w:r>
      <w:r>
        <w:rPr>
          <w:rFonts w:hint="eastAsia" w:ascii="宋体" w:hAnsi="宋体" w:eastAsia="宋体" w:cs="DengXian-Regular"/>
          <w:sz w:val="32"/>
          <w:szCs w:val="32"/>
        </w:rPr>
        <w:t>万元占</w:t>
      </w:r>
      <w:r>
        <w:rPr>
          <w:rFonts w:ascii="宋体" w:hAnsi="宋体" w:eastAsia="宋体" w:cs="DengXian-Regular"/>
          <w:sz w:val="32"/>
          <w:szCs w:val="32"/>
        </w:rPr>
        <w:t>1.19%</w:t>
      </w:r>
      <w:r>
        <w:rPr>
          <w:rFonts w:hint="eastAsia" w:ascii="宋体" w:hAnsi="宋体" w:eastAsia="宋体" w:cs="DengXian-Regular"/>
          <w:sz w:val="32"/>
          <w:szCs w:val="32"/>
        </w:rPr>
        <w:t>；节能环保支出</w:t>
      </w:r>
      <w:r>
        <w:rPr>
          <w:rFonts w:ascii="宋体" w:hAnsi="宋体" w:eastAsia="宋体" w:cs="DengXian-Regular"/>
          <w:sz w:val="32"/>
          <w:szCs w:val="32"/>
        </w:rPr>
        <w:t>351.96</w:t>
      </w:r>
      <w:r>
        <w:rPr>
          <w:rFonts w:hint="eastAsia" w:ascii="宋体" w:hAnsi="宋体" w:eastAsia="宋体" w:cs="DengXian-Regular"/>
          <w:sz w:val="32"/>
          <w:szCs w:val="32"/>
        </w:rPr>
        <w:t>万元占</w:t>
      </w:r>
      <w:r>
        <w:rPr>
          <w:rFonts w:ascii="宋体" w:hAnsi="宋体" w:eastAsia="宋体" w:cs="DengXian-Regular"/>
          <w:sz w:val="32"/>
          <w:szCs w:val="32"/>
        </w:rPr>
        <w:t>0.84%</w:t>
      </w:r>
      <w:r>
        <w:rPr>
          <w:rFonts w:hint="eastAsia" w:ascii="宋体" w:hAnsi="宋体" w:eastAsia="宋体" w:cs="DengXian-Regular"/>
          <w:sz w:val="32"/>
          <w:szCs w:val="32"/>
        </w:rPr>
        <w:t>；城乡社区支出</w:t>
      </w:r>
      <w:r>
        <w:rPr>
          <w:rFonts w:ascii="宋体" w:hAnsi="宋体" w:eastAsia="宋体" w:cs="DengXian-Regular"/>
          <w:sz w:val="32"/>
          <w:szCs w:val="32"/>
        </w:rPr>
        <w:t>30141.35</w:t>
      </w:r>
      <w:r>
        <w:rPr>
          <w:rFonts w:hint="eastAsia" w:ascii="宋体" w:hAnsi="宋体" w:eastAsia="宋体" w:cs="DengXian-Regular"/>
          <w:sz w:val="32"/>
          <w:szCs w:val="32"/>
        </w:rPr>
        <w:t>万元占</w:t>
      </w:r>
      <w:r>
        <w:rPr>
          <w:rFonts w:ascii="宋体" w:hAnsi="宋体" w:eastAsia="宋体" w:cs="DengXian-Regular"/>
          <w:sz w:val="32"/>
          <w:szCs w:val="32"/>
        </w:rPr>
        <w:t>71.76%</w:t>
      </w:r>
      <w:r>
        <w:rPr>
          <w:rFonts w:hint="eastAsia" w:ascii="宋体" w:hAnsi="宋体" w:eastAsia="宋体" w:cs="DengXian-Regular"/>
          <w:sz w:val="32"/>
          <w:szCs w:val="32"/>
        </w:rPr>
        <w:t>；农林水支出</w:t>
      </w:r>
      <w:r>
        <w:rPr>
          <w:rFonts w:ascii="宋体" w:hAnsi="宋体" w:eastAsia="宋体" w:cs="DengXian-Regular"/>
          <w:sz w:val="32"/>
          <w:szCs w:val="32"/>
        </w:rPr>
        <w:t>2913.96</w:t>
      </w:r>
      <w:r>
        <w:rPr>
          <w:rFonts w:hint="eastAsia" w:ascii="宋体" w:hAnsi="宋体" w:eastAsia="宋体" w:cs="DengXian-Regular"/>
          <w:sz w:val="32"/>
          <w:szCs w:val="32"/>
        </w:rPr>
        <w:t>万元占</w:t>
      </w:r>
      <w:r>
        <w:rPr>
          <w:rFonts w:ascii="宋体" w:hAnsi="宋体" w:eastAsia="宋体" w:cs="DengXian-Regular"/>
          <w:sz w:val="32"/>
          <w:szCs w:val="32"/>
        </w:rPr>
        <w:t>6.94%</w:t>
      </w:r>
      <w:r>
        <w:rPr>
          <w:rFonts w:hint="eastAsia" w:ascii="宋体" w:hAnsi="宋体" w:eastAsia="宋体" w:cs="DengXian-Regular"/>
          <w:sz w:val="32"/>
          <w:szCs w:val="32"/>
        </w:rPr>
        <w:t>%；自然资源海洋气象等支出</w:t>
      </w:r>
      <w:r>
        <w:rPr>
          <w:rFonts w:ascii="宋体" w:hAnsi="宋体" w:eastAsia="宋体" w:cs="DengXian-Regular"/>
          <w:sz w:val="32"/>
          <w:szCs w:val="32"/>
        </w:rPr>
        <w:t>4731.80</w:t>
      </w:r>
      <w:r>
        <w:rPr>
          <w:rFonts w:hint="eastAsia" w:ascii="宋体" w:hAnsi="宋体" w:eastAsia="宋体" w:cs="DengXian-Regular"/>
          <w:sz w:val="32"/>
          <w:szCs w:val="32"/>
        </w:rPr>
        <w:t>万元占</w:t>
      </w:r>
      <w:r>
        <w:rPr>
          <w:rFonts w:ascii="宋体" w:hAnsi="宋体" w:eastAsia="宋体" w:cs="DengXian-Regular"/>
          <w:sz w:val="32"/>
          <w:szCs w:val="32"/>
        </w:rPr>
        <w:t>11.27%</w:t>
      </w:r>
      <w:r>
        <w:rPr>
          <w:rFonts w:hint="eastAsia" w:ascii="宋体" w:hAnsi="宋体" w:eastAsia="宋体" w:cs="DengXian-Regular"/>
          <w:sz w:val="32"/>
          <w:szCs w:val="32"/>
        </w:rPr>
        <w:t>；住房保障（类）支出</w:t>
      </w:r>
      <w:r>
        <w:rPr>
          <w:rFonts w:ascii="宋体" w:hAnsi="宋体" w:eastAsia="宋体" w:cs="DengXian-Regular"/>
          <w:sz w:val="32"/>
          <w:szCs w:val="32"/>
        </w:rPr>
        <w:t>302.20</w:t>
      </w:r>
      <w:r>
        <w:rPr>
          <w:rFonts w:hint="eastAsia" w:ascii="宋体" w:hAnsi="宋体" w:eastAsia="宋体" w:cs="DengXian-Regular"/>
          <w:sz w:val="32"/>
          <w:szCs w:val="32"/>
        </w:rPr>
        <w:t>万元，占</w:t>
      </w:r>
      <w:r>
        <w:rPr>
          <w:rFonts w:ascii="宋体" w:hAnsi="宋体" w:eastAsia="宋体" w:cs="DengXian-Regular"/>
          <w:sz w:val="32"/>
          <w:szCs w:val="32"/>
        </w:rPr>
        <w:t>0.72%</w:t>
      </w:r>
      <w:r>
        <w:rPr>
          <w:rFonts w:hint="eastAsia" w:ascii="宋体" w:hAnsi="宋体" w:eastAsia="宋体"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宋体" w:hAnsi="宋体" w:eastAsia="宋体" w:cs="DengXian-Regular"/>
          <w:sz w:val="32"/>
          <w:szCs w:val="32"/>
        </w:rPr>
      </w:pPr>
      <w:r>
        <w:rPr>
          <w:rFonts w:ascii="宋体" w:hAnsi="宋体" w:eastAsia="宋体" w:cs="DengXian-Regular"/>
          <w:sz w:val="32"/>
          <w:szCs w:val="32"/>
        </w:rPr>
        <w:t xml:space="preserve">2019 </w:t>
      </w:r>
      <w:r>
        <w:rPr>
          <w:rFonts w:hint="eastAsia" w:ascii="宋体" w:hAnsi="宋体" w:eastAsia="宋体" w:cs="DengXian-Regular"/>
          <w:sz w:val="32"/>
          <w:szCs w:val="32"/>
        </w:rPr>
        <w:t>年度财政拨款基本支出</w:t>
      </w:r>
      <w:r>
        <w:rPr>
          <w:rFonts w:ascii="宋体" w:hAnsi="宋体" w:eastAsia="宋体" w:cs="DengXian-Regular"/>
          <w:sz w:val="32"/>
          <w:szCs w:val="32"/>
        </w:rPr>
        <w:t>5112</w:t>
      </w:r>
      <w:r>
        <w:rPr>
          <w:rFonts w:hint="eastAsia" w:ascii="宋体" w:hAnsi="宋体" w:eastAsia="宋体" w:cs="DengXian-Regular"/>
          <w:sz w:val="32"/>
          <w:szCs w:val="32"/>
        </w:rPr>
        <w:t>.</w:t>
      </w:r>
      <w:r>
        <w:rPr>
          <w:rFonts w:ascii="宋体" w:hAnsi="宋体" w:eastAsia="宋体" w:cs="DengXian-Regular"/>
          <w:sz w:val="32"/>
          <w:szCs w:val="32"/>
        </w:rPr>
        <w:t>01</w:t>
      </w:r>
      <w:r>
        <w:rPr>
          <w:rFonts w:hint="eastAsia" w:ascii="宋体" w:hAnsi="宋体" w:eastAsia="宋体" w:cs="DengXian-Regular"/>
          <w:sz w:val="32"/>
          <w:szCs w:val="32"/>
        </w:rPr>
        <w:t>万元，其中：人员经费</w:t>
      </w:r>
      <w:r>
        <w:rPr>
          <w:rFonts w:ascii="宋体" w:hAnsi="宋体" w:eastAsia="宋体" w:cs="DengXian-Regular"/>
          <w:sz w:val="32"/>
          <w:szCs w:val="32"/>
        </w:rPr>
        <w:t>4934</w:t>
      </w:r>
      <w:r>
        <w:rPr>
          <w:rFonts w:hint="eastAsia" w:ascii="宋体" w:hAnsi="宋体" w:eastAsia="宋体" w:cs="DengXian-Regular"/>
          <w:sz w:val="32"/>
          <w:szCs w:val="32"/>
        </w:rPr>
        <w:t>.</w:t>
      </w:r>
      <w:r>
        <w:rPr>
          <w:rFonts w:ascii="宋体" w:hAnsi="宋体" w:eastAsia="宋体" w:cs="DengXian-Regular"/>
          <w:sz w:val="32"/>
          <w:szCs w:val="32"/>
        </w:rPr>
        <w:t>64</w:t>
      </w:r>
      <w:r>
        <w:rPr>
          <w:rFonts w:hint="eastAsia" w:ascii="宋体" w:hAnsi="宋体" w:eastAsia="宋体"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宋体" w:hAnsi="宋体" w:eastAsia="宋体" w:cs="DengXian-Regular"/>
          <w:sz w:val="32"/>
          <w:szCs w:val="32"/>
        </w:rPr>
        <w:t>147</w:t>
      </w:r>
      <w:r>
        <w:rPr>
          <w:rFonts w:hint="eastAsia" w:ascii="宋体" w:hAnsi="宋体" w:eastAsia="宋体" w:cs="DengXian-Regular"/>
          <w:sz w:val="32"/>
          <w:szCs w:val="32"/>
        </w:rPr>
        <w:t>.</w:t>
      </w:r>
      <w:r>
        <w:rPr>
          <w:rFonts w:ascii="宋体" w:hAnsi="宋体" w:eastAsia="宋体" w:cs="DengXian-Regular"/>
          <w:sz w:val="32"/>
          <w:szCs w:val="32"/>
        </w:rPr>
        <w:t>84</w:t>
      </w:r>
      <w:r>
        <w:rPr>
          <w:rFonts w:hint="eastAsia" w:ascii="宋体" w:hAnsi="宋体" w:eastAsia="宋体"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年度“三公”经费支出共计</w:t>
      </w:r>
      <w:r>
        <w:rPr>
          <w:rFonts w:ascii="宋体" w:hAnsi="宋体" w:eastAsia="宋体" w:cs="DengXian-Regular"/>
          <w:sz w:val="32"/>
          <w:szCs w:val="32"/>
        </w:rPr>
        <w:t>4</w:t>
      </w:r>
      <w:r>
        <w:rPr>
          <w:rFonts w:hint="eastAsia" w:ascii="宋体" w:hAnsi="宋体" w:eastAsia="宋体" w:cs="DengXian-Regular"/>
          <w:sz w:val="32"/>
          <w:szCs w:val="32"/>
        </w:rPr>
        <w:t>.</w:t>
      </w:r>
      <w:r>
        <w:rPr>
          <w:rFonts w:ascii="宋体" w:hAnsi="宋体" w:eastAsia="宋体" w:cs="DengXian-Regular"/>
          <w:sz w:val="32"/>
          <w:szCs w:val="32"/>
        </w:rPr>
        <w:t>2</w:t>
      </w:r>
      <w:r>
        <w:rPr>
          <w:rFonts w:hint="eastAsia" w:ascii="宋体" w:hAnsi="宋体" w:eastAsia="宋体" w:cs="DengXian-Regular"/>
          <w:sz w:val="32"/>
          <w:szCs w:val="32"/>
        </w:rPr>
        <w:t>6万元，完成预算的69</w:t>
      </w:r>
      <w:r>
        <w:rPr>
          <w:rFonts w:ascii="宋体" w:hAnsi="宋体" w:eastAsia="宋体" w:cs="DengXian-Regular"/>
          <w:sz w:val="32"/>
          <w:szCs w:val="32"/>
        </w:rPr>
        <w:t>%,</w:t>
      </w:r>
      <w:r>
        <w:rPr>
          <w:rFonts w:hint="eastAsia" w:ascii="宋体" w:hAnsi="宋体" w:eastAsia="宋体" w:cs="DengXian-Regular"/>
          <w:sz w:val="32"/>
          <w:szCs w:val="32"/>
        </w:rPr>
        <w:t>较预算减少1.89万元，降低31</w:t>
      </w:r>
      <w:r>
        <w:rPr>
          <w:rFonts w:ascii="宋体" w:hAnsi="宋体" w:eastAsia="宋体" w:cs="DengXian-Regular"/>
          <w:sz w:val="32"/>
          <w:szCs w:val="32"/>
        </w:rPr>
        <w:t>%</w:t>
      </w:r>
      <w:r>
        <w:rPr>
          <w:rFonts w:hint="eastAsia" w:ascii="宋体" w:hAnsi="宋体" w:eastAsia="宋体" w:cs="DengXian-Regular"/>
          <w:sz w:val="32"/>
          <w:szCs w:val="32"/>
        </w:rPr>
        <w:t>，主要是厉行节约</w:t>
      </w:r>
      <w:r>
        <w:rPr>
          <w:rFonts w:hint="eastAsia" w:ascii="宋体" w:hAnsi="宋体" w:eastAsia="宋体" w:cs="仿宋_GB2312"/>
          <w:sz w:val="32"/>
          <w:szCs w:val="32"/>
        </w:rPr>
        <w:t>压缩不必要开支</w:t>
      </w:r>
      <w:r>
        <w:rPr>
          <w:rFonts w:hint="eastAsia" w:ascii="宋体" w:hAnsi="宋体" w:eastAsia="宋体" w:cs="DengXian-Regular"/>
          <w:sz w:val="32"/>
          <w:szCs w:val="32"/>
        </w:rPr>
        <w:t>；较</w:t>
      </w:r>
      <w:r>
        <w:rPr>
          <w:rFonts w:ascii="宋体" w:hAnsi="宋体" w:eastAsia="宋体" w:cs="DengXian-Regular"/>
          <w:sz w:val="32"/>
          <w:szCs w:val="32"/>
        </w:rPr>
        <w:t>2018</w:t>
      </w:r>
      <w:r>
        <w:rPr>
          <w:rFonts w:hint="eastAsia" w:ascii="宋体" w:hAnsi="宋体" w:eastAsia="宋体" w:cs="DengXian-Regular"/>
          <w:sz w:val="32"/>
          <w:szCs w:val="32"/>
        </w:rPr>
        <w:t>年度的57.51万元减少了53.25万元，减少92</w:t>
      </w:r>
      <w:r>
        <w:rPr>
          <w:rFonts w:ascii="宋体" w:hAnsi="宋体" w:eastAsia="宋体" w:cs="DengXian-Regular"/>
          <w:sz w:val="32"/>
          <w:szCs w:val="32"/>
        </w:rPr>
        <w:t>%</w:t>
      </w:r>
      <w:r>
        <w:rPr>
          <w:rFonts w:hint="eastAsia" w:ascii="宋体" w:hAnsi="宋体" w:eastAsia="宋体" w:cs="DengXian-Regular"/>
          <w:sz w:val="32"/>
          <w:szCs w:val="32"/>
        </w:rPr>
        <w:t>，主要是2019年部分车辆支出为政府基金。具体情况如下：</w:t>
      </w:r>
    </w:p>
    <w:p>
      <w:pPr>
        <w:adjustRightInd w:val="0"/>
        <w:snapToGrid w:val="0"/>
        <w:spacing w:line="580" w:lineRule="exact"/>
        <w:ind w:firstLine="643" w:firstLineChars="200"/>
        <w:rPr>
          <w:rFonts w:ascii="宋体" w:hAnsi="宋体" w:eastAsia="宋体"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年度因公出国（境）团组0个、共0人</w:t>
      </w:r>
      <w:r>
        <w:rPr>
          <w:rFonts w:ascii="宋体" w:hAnsi="宋体" w:eastAsia="宋体" w:cs="DengXian-Regular"/>
          <w:sz w:val="32"/>
          <w:szCs w:val="32"/>
        </w:rPr>
        <w:t>/</w:t>
      </w:r>
      <w:r>
        <w:rPr>
          <w:rFonts w:hint="eastAsia" w:ascii="宋体" w:hAnsi="宋体" w:eastAsia="宋体" w:cs="DengXian-Regular"/>
          <w:sz w:val="32"/>
          <w:szCs w:val="32"/>
        </w:rPr>
        <w:t>参加其他单位组织的因公出国（境）团组0个、共0人</w:t>
      </w:r>
      <w:r>
        <w:rPr>
          <w:rFonts w:ascii="宋体" w:hAnsi="宋体" w:eastAsia="宋体" w:cs="DengXian-Regular"/>
          <w:sz w:val="32"/>
          <w:szCs w:val="32"/>
        </w:rPr>
        <w:t>/</w:t>
      </w:r>
      <w:r>
        <w:rPr>
          <w:rFonts w:hint="eastAsia" w:ascii="宋体" w:hAnsi="宋体" w:eastAsia="宋体" w:cs="DengXian-Regular"/>
          <w:sz w:val="32"/>
          <w:szCs w:val="32"/>
        </w:rPr>
        <w:t>无本单位组织的出国（境）团组。因公出国（境）费支出未发生，与年初预算持平；较上年增加0万元，与上年度决算支出持平。</w:t>
      </w:r>
      <w:r>
        <w:rPr>
          <w:rFonts w:hint="eastAsia" w:ascii="宋体" w:hAnsi="宋体" w:eastAsia="宋体" w:cs="仿宋_GB2312"/>
          <w:sz w:val="32"/>
          <w:szCs w:val="32"/>
        </w:rPr>
        <w:t>主要是厉行节约压缩开支。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（二）公务用车购置及运行维护费支出7.97万元。</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年度公务用车购置及运行维护费较预算减少0.23万元，降低2.8</w:t>
      </w:r>
      <w:r>
        <w:rPr>
          <w:rFonts w:ascii="宋体" w:hAnsi="宋体" w:eastAsia="宋体" w:cs="DengXian-Regular"/>
          <w:sz w:val="32"/>
          <w:szCs w:val="32"/>
        </w:rPr>
        <w:t>%,</w:t>
      </w:r>
      <w:r>
        <w:rPr>
          <w:rFonts w:hint="eastAsia" w:ascii="宋体" w:hAnsi="宋体" w:eastAsia="宋体" w:cs="DengXian-Regular"/>
          <w:sz w:val="32"/>
          <w:szCs w:val="32"/>
        </w:rPr>
        <w:t>主要是</w:t>
      </w:r>
      <w:r>
        <w:rPr>
          <w:rFonts w:hint="eastAsia" w:ascii="宋体" w:hAnsi="宋体" w:eastAsia="宋体" w:cs="仿宋_GB2312"/>
          <w:sz w:val="32"/>
          <w:szCs w:val="32"/>
        </w:rPr>
        <w:t>厉行节约压缩开支，</w:t>
      </w:r>
      <w:r>
        <w:rPr>
          <w:rFonts w:hint="eastAsia" w:ascii="宋体" w:hAnsi="宋体" w:eastAsia="宋体" w:cs="DengXian-Regular"/>
          <w:sz w:val="32"/>
          <w:szCs w:val="32"/>
        </w:rPr>
        <w:t>较上年6.15万元增加1.82万元，增长29.59</w:t>
      </w:r>
      <w:r>
        <w:rPr>
          <w:rFonts w:ascii="宋体" w:hAnsi="宋体" w:eastAsia="宋体" w:cs="DengXian-Regular"/>
          <w:sz w:val="32"/>
          <w:szCs w:val="32"/>
        </w:rPr>
        <w:t>%,</w:t>
      </w:r>
      <w:r>
        <w:rPr>
          <w:rFonts w:hint="eastAsia" w:ascii="宋体" w:hAnsi="宋体" w:eastAsia="宋体" w:cs="DengXian-Regular"/>
          <w:sz w:val="32"/>
          <w:szCs w:val="32"/>
        </w:rPr>
        <w:t>主要是机构改革与农村工作委员会合并，新增公务用车1辆加大了开支。</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宋体" w:hAnsi="宋体" w:eastAsia="宋体" w:cs="仿宋_GB2312"/>
          <w:color w:val="000000"/>
          <w:sz w:val="32"/>
          <w:szCs w:val="32"/>
        </w:rPr>
      </w:pPr>
      <w:r>
        <w:rPr>
          <w:rFonts w:hint="eastAsia" w:ascii="仿宋_GB2312" w:hAnsi="Times New Roman" w:eastAsia="仿宋_GB2312" w:cs="DengXian-Regular"/>
          <w:b/>
          <w:sz w:val="32"/>
          <w:szCs w:val="32"/>
        </w:rPr>
        <w:t>公务用车购置费：</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年度公务用车购置量0辆，未发生“公务用车购置”经费支出。公务用车购置费支出较预算增加0万元，与年初预算持平；较上年增加0万元，</w:t>
      </w:r>
      <w:r>
        <w:rPr>
          <w:rFonts w:hint="eastAsia" w:ascii="宋体" w:hAnsi="宋体" w:eastAsia="宋体" w:cs="仿宋_GB2312"/>
          <w:color w:val="000000"/>
          <w:sz w:val="32"/>
          <w:szCs w:val="32"/>
        </w:rPr>
        <w:t>较</w:t>
      </w:r>
      <w:r>
        <w:rPr>
          <w:rFonts w:ascii="宋体" w:hAnsi="宋体" w:eastAsia="宋体" w:cs="仿宋_GB2312"/>
          <w:color w:val="000000"/>
          <w:sz w:val="32"/>
          <w:szCs w:val="32"/>
        </w:rPr>
        <w:t>201</w:t>
      </w:r>
      <w:r>
        <w:rPr>
          <w:rFonts w:hint="eastAsia" w:ascii="宋体" w:hAnsi="宋体" w:eastAsia="宋体" w:cs="仿宋_GB2312"/>
          <w:color w:val="000000"/>
          <w:sz w:val="32"/>
          <w:szCs w:val="32"/>
        </w:rPr>
        <w:t>8年度决算支出持平。</w:t>
      </w:r>
    </w:p>
    <w:p>
      <w:pPr>
        <w:adjustRightInd w:val="0"/>
        <w:snapToGrid w:val="0"/>
        <w:spacing w:line="580" w:lineRule="exact"/>
        <w:ind w:firstLine="643" w:firstLineChars="200"/>
        <w:rPr>
          <w:rFonts w:ascii="宋体" w:hAnsi="宋体" w:eastAsia="宋体"/>
          <w:sz w:val="32"/>
          <w:szCs w:val="32"/>
        </w:rPr>
      </w:pPr>
      <w:r>
        <w:rPr>
          <w:rFonts w:hint="eastAsia" w:ascii="仿宋_GB2312" w:hAnsi="Times New Roman" w:eastAsia="仿宋_GB2312" w:cs="DengXian-Regular"/>
          <w:b/>
          <w:sz w:val="32"/>
          <w:szCs w:val="32"/>
        </w:rPr>
        <w:t>公务用车运行维护费：</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年度单位公务用车保有量4辆。公车运行维护费支出较年初预算减少0.23万元，降低 2.8</w:t>
      </w:r>
      <w:r>
        <w:rPr>
          <w:rFonts w:ascii="宋体" w:hAnsi="宋体" w:eastAsia="宋体" w:cs="DengXian-Regular"/>
          <w:sz w:val="32"/>
          <w:szCs w:val="32"/>
        </w:rPr>
        <w:t>%,</w:t>
      </w:r>
      <w:r>
        <w:rPr>
          <w:rFonts w:hint="eastAsia" w:ascii="宋体" w:hAnsi="宋体" w:eastAsia="宋体" w:cs="DengXian-Regular"/>
          <w:sz w:val="32"/>
          <w:szCs w:val="32"/>
        </w:rPr>
        <w:t>主要是</w:t>
      </w:r>
      <w:r>
        <w:rPr>
          <w:rFonts w:hint="eastAsia" w:ascii="宋体" w:hAnsi="宋体" w:eastAsia="宋体" w:cs="仿宋_GB2312"/>
          <w:sz w:val="32"/>
          <w:szCs w:val="32"/>
        </w:rPr>
        <w:t>厉行节约压缩开支</w:t>
      </w:r>
      <w:r>
        <w:rPr>
          <w:rFonts w:hint="eastAsia" w:ascii="宋体" w:hAnsi="宋体" w:eastAsia="宋体" w:cs="DengXian-Regular"/>
          <w:sz w:val="32"/>
          <w:szCs w:val="32"/>
        </w:rPr>
        <w:t>；较上年减少1.82万元，降低29.59</w:t>
      </w:r>
      <w:r>
        <w:rPr>
          <w:rFonts w:ascii="宋体" w:hAnsi="宋体" w:eastAsia="宋体" w:cs="DengXian-Regular"/>
          <w:sz w:val="32"/>
          <w:szCs w:val="32"/>
        </w:rPr>
        <w:t>%</w:t>
      </w:r>
      <w:r>
        <w:rPr>
          <w:rFonts w:hint="eastAsia" w:ascii="宋体" w:hAnsi="宋体" w:eastAsia="宋体" w:cs="DengXian-Regular"/>
          <w:sz w:val="32"/>
          <w:szCs w:val="32"/>
        </w:rPr>
        <w:t>，主要是</w:t>
      </w:r>
      <w:r>
        <w:rPr>
          <w:rFonts w:hint="eastAsia" w:ascii="宋体" w:hAnsi="宋体" w:eastAsia="宋体" w:cs="方正仿宋简体"/>
          <w:sz w:val="32"/>
          <w:szCs w:val="32"/>
        </w:rPr>
        <w:t>我单位对公车运行实行定点维修、定点加油、统一保险和统一保养，节假日严格执行公务车辆封存制度，不存在超标准配备公车或装饰公车行为</w:t>
      </w:r>
      <w:r>
        <w:rPr>
          <w:rFonts w:hint="eastAsia" w:ascii="宋体" w:hAnsi="宋体" w:eastAsia="宋体" w:cs="仿宋_GB2312"/>
          <w:sz w:val="32"/>
          <w:szCs w:val="32"/>
        </w:rPr>
        <w:t>。</w:t>
      </w:r>
    </w:p>
    <w:p>
      <w:pPr>
        <w:adjustRightInd w:val="0"/>
        <w:snapToGrid w:val="0"/>
        <w:spacing w:line="580" w:lineRule="exact"/>
        <w:ind w:firstLine="643" w:firstLineChars="200"/>
        <w:rPr>
          <w:rFonts w:ascii="宋体" w:hAnsi="宋体" w:eastAsia="宋体"/>
          <w:sz w:val="32"/>
          <w:szCs w:val="32"/>
        </w:rPr>
      </w:pPr>
      <w:r>
        <w:rPr>
          <w:rFonts w:hint="eastAsia" w:ascii="楷体_GB2312" w:hAnsi="Times New Roman" w:eastAsia="楷体_GB2312" w:cs="DengXian-Bold"/>
          <w:b/>
          <w:bCs/>
          <w:sz w:val="32"/>
          <w:szCs w:val="32"/>
        </w:rPr>
        <w:t>（三）公务接待费支出0万元。</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年度公务接待共0批次、0人次。公务接待费支出较预算减少0万元，持平；较上年度减少0万元，于上年度持平</w:t>
      </w:r>
      <w:r>
        <w:rPr>
          <w:rFonts w:hint="eastAsia" w:ascii="宋体" w:hAnsi="宋体" w:eastAsia="宋体" w:cs="仿宋_GB2312"/>
          <w:sz w:val="32"/>
          <w:szCs w:val="32"/>
        </w:rPr>
        <w:t>。</w:t>
      </w:r>
    </w:p>
    <w:p>
      <w:pPr>
        <w:keepNext/>
        <w:keepLines/>
        <w:snapToGrid w:val="0"/>
        <w:spacing w:line="580" w:lineRule="exact"/>
        <w:ind w:firstLine="640" w:firstLineChars="200"/>
        <w:outlineLvl w:val="1"/>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根据预算绩效管理要求，本部门组织对</w:t>
      </w:r>
      <w:r>
        <w:rPr>
          <w:rFonts w:ascii="宋体" w:hAnsi="宋体" w:eastAsia="宋体" w:cs="仿宋_GB2312"/>
          <w:sz w:val="32"/>
          <w:szCs w:val="32"/>
        </w:rPr>
        <w:t>2019</w:t>
      </w:r>
      <w:r>
        <w:rPr>
          <w:rFonts w:hint="eastAsia" w:ascii="宋体" w:hAnsi="宋体" w:eastAsia="宋体" w:cs="仿宋_GB2312"/>
          <w:sz w:val="32"/>
          <w:szCs w:val="32"/>
        </w:rPr>
        <w:t>年度一般公共预算项目支出全面开展绩效自评，其中，一级项目0个，二级项目8个，共涉及资金6749.92万元，占一般公共预算项目支出总额的100%。组织对</w:t>
      </w:r>
      <w:r>
        <w:rPr>
          <w:rFonts w:ascii="宋体" w:hAnsi="宋体" w:eastAsia="宋体" w:cs="仿宋_GB2312"/>
          <w:sz w:val="32"/>
          <w:szCs w:val="32"/>
        </w:rPr>
        <w:t>2019</w:t>
      </w:r>
      <w:r>
        <w:rPr>
          <w:rFonts w:hint="eastAsia" w:ascii="宋体" w:hAnsi="宋体" w:eastAsia="宋体" w:cs="仿宋_GB2312"/>
          <w:sz w:val="32"/>
          <w:szCs w:val="32"/>
        </w:rPr>
        <w:t>年高速两侧高标准绿化项目、土地出让业务费项目等2个政府性基金预算项目支出开展绩效自评，共涉及资金20000万元，占政府性基金预算项目支出总额的100%。组织对森林防火经费、林业有害生物防治经费等8个项目开展了部门评价，涉及一般公共预算支出6749.92万元，政府性基金预算支出30141.35万元。从评价情况来看，绝大多数项目完成绩效目标优良，严格按照预算制定的绩效目标运行，达到了预期的效果；有个别项目存在部分问题需要总结经验改进。</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本部门在今年部门决算公开中反映</w:t>
      </w:r>
      <w:r>
        <w:rPr>
          <w:rFonts w:ascii="宋体" w:hAnsi="宋体" w:eastAsia="宋体"/>
          <w:sz w:val="32"/>
        </w:rPr>
        <w:t>2019年预算河北省遵化市矿山地质环境恢复治理项目</w:t>
      </w:r>
      <w:r>
        <w:rPr>
          <w:rFonts w:hint="eastAsia" w:ascii="宋体" w:hAnsi="宋体" w:eastAsia="宋体" w:cs="仿宋_GB2312"/>
          <w:sz w:val="32"/>
          <w:szCs w:val="32"/>
        </w:rPr>
        <w:t>及</w:t>
      </w:r>
      <w:r>
        <w:rPr>
          <w:rFonts w:hint="eastAsia" w:ascii="宋体" w:hAnsi="宋体" w:eastAsia="宋体"/>
          <w:sz w:val="32"/>
        </w:rPr>
        <w:t>2019年森林有害生物防治经费</w:t>
      </w:r>
      <w:r>
        <w:rPr>
          <w:rFonts w:hint="eastAsia" w:ascii="宋体" w:hAnsi="宋体" w:eastAsia="宋体" w:cs="仿宋_GB2312"/>
          <w:sz w:val="32"/>
          <w:szCs w:val="32"/>
        </w:rPr>
        <w:t>项目等2个项目绩效自评结果。</w:t>
      </w:r>
    </w:p>
    <w:p>
      <w:pPr>
        <w:spacing w:line="480" w:lineRule="auto"/>
        <w:ind w:firstLine="640"/>
        <w:rPr>
          <w:rFonts w:ascii="宋体" w:hAnsi="宋体" w:cs="宋体"/>
          <w:kern w:val="1"/>
          <w:sz w:val="28"/>
          <w:szCs w:val="28"/>
        </w:rPr>
      </w:pPr>
      <w:r>
        <w:rPr>
          <w:rFonts w:hint="eastAsia" w:ascii="宋体" w:hAnsi="宋体" w:cs="宋体"/>
          <w:kern w:val="1"/>
          <w:sz w:val="28"/>
          <w:szCs w:val="28"/>
        </w:rPr>
        <w:t>（一）遵化市自然资源和规划局“7处责任主体灭失矿山迹地综合治理”项目综合得分</w:t>
      </w:r>
      <w:r>
        <w:rPr>
          <w:rFonts w:ascii="宋体" w:hAnsi="宋体" w:cs="宋体"/>
          <w:kern w:val="1"/>
          <w:sz w:val="28"/>
          <w:szCs w:val="28"/>
        </w:rPr>
        <w:t>94.96</w:t>
      </w:r>
      <w:r>
        <w:rPr>
          <w:rFonts w:hint="eastAsia" w:ascii="宋体" w:hAnsi="宋体" w:cs="宋体"/>
          <w:kern w:val="1"/>
          <w:sz w:val="28"/>
          <w:szCs w:val="28"/>
        </w:rPr>
        <w:t>分，其中项目立项</w:t>
      </w:r>
      <w:r>
        <w:rPr>
          <w:rFonts w:ascii="宋体" w:hAnsi="宋体" w:cs="宋体"/>
          <w:kern w:val="1"/>
          <w:sz w:val="28"/>
          <w:szCs w:val="28"/>
        </w:rPr>
        <w:t>18.70</w:t>
      </w:r>
      <w:r>
        <w:rPr>
          <w:rFonts w:hint="eastAsia" w:ascii="宋体" w:hAnsi="宋体" w:cs="宋体"/>
          <w:kern w:val="1"/>
          <w:sz w:val="28"/>
          <w:szCs w:val="28"/>
        </w:rPr>
        <w:t>分，项目管理</w:t>
      </w:r>
      <w:r>
        <w:rPr>
          <w:rFonts w:ascii="宋体" w:hAnsi="宋体" w:cs="宋体"/>
          <w:kern w:val="1"/>
          <w:sz w:val="28"/>
          <w:szCs w:val="28"/>
        </w:rPr>
        <w:t>38.78</w:t>
      </w:r>
      <w:r>
        <w:rPr>
          <w:rFonts w:hint="eastAsia" w:ascii="宋体" w:hAnsi="宋体" w:cs="宋体"/>
          <w:kern w:val="1"/>
          <w:sz w:val="28"/>
          <w:szCs w:val="28"/>
        </w:rPr>
        <w:t>分，项目结果</w:t>
      </w:r>
      <w:r>
        <w:rPr>
          <w:rFonts w:ascii="宋体" w:hAnsi="宋体" w:cs="宋体"/>
          <w:kern w:val="1"/>
          <w:sz w:val="28"/>
          <w:szCs w:val="28"/>
        </w:rPr>
        <w:t>37.48</w:t>
      </w:r>
      <w:r>
        <w:rPr>
          <w:rFonts w:hint="eastAsia" w:ascii="宋体" w:hAnsi="宋体" w:cs="宋体"/>
          <w:kern w:val="1"/>
          <w:sz w:val="28"/>
          <w:szCs w:val="28"/>
        </w:rPr>
        <w:t>分，绩效评定结论为“优”。具体评分情况见附件专家评分汇总表。</w:t>
      </w:r>
    </w:p>
    <w:p>
      <w:pPr>
        <w:jc w:val="center"/>
        <w:rPr>
          <w:rFonts w:ascii="宋体" w:hAnsi="宋体"/>
          <w:bCs/>
          <w:sz w:val="32"/>
          <w:szCs w:val="32"/>
        </w:rPr>
      </w:pPr>
    </w:p>
    <w:p>
      <w:pPr>
        <w:jc w:val="center"/>
        <w:rPr>
          <w:rFonts w:ascii="宋体" w:hAnsi="宋体"/>
          <w:bCs/>
          <w:sz w:val="32"/>
          <w:szCs w:val="32"/>
        </w:rPr>
      </w:pPr>
    </w:p>
    <w:p>
      <w:pPr>
        <w:jc w:val="center"/>
        <w:rPr>
          <w:rFonts w:ascii="宋体" w:hAnsi="宋体"/>
          <w:bCs/>
          <w:sz w:val="32"/>
          <w:szCs w:val="32"/>
        </w:rPr>
      </w:pPr>
      <w:r>
        <w:rPr>
          <w:rFonts w:hint="eastAsia" w:ascii="宋体" w:hAnsi="宋体"/>
          <w:bCs/>
          <w:sz w:val="32"/>
          <w:szCs w:val="32"/>
        </w:rPr>
        <w:t>绩效评价结论一览表</w:t>
      </w:r>
    </w:p>
    <w:p>
      <w:pPr>
        <w:jc w:val="center"/>
        <w:rPr>
          <w:rFonts w:ascii="宋体" w:hAnsi="宋体"/>
          <w:bCs/>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评价内容</w:t>
            </w:r>
          </w:p>
        </w:tc>
        <w:tc>
          <w:tcPr>
            <w:tcW w:w="1667"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分值</w:t>
            </w:r>
          </w:p>
        </w:tc>
        <w:tc>
          <w:tcPr>
            <w:tcW w:w="1667"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项目立项</w:t>
            </w:r>
          </w:p>
        </w:tc>
        <w:tc>
          <w:tcPr>
            <w:tcW w:w="1667" w:type="pct"/>
            <w:shd w:val="clear" w:color="auto" w:fill="auto"/>
            <w:vAlign w:val="center"/>
          </w:tcPr>
          <w:p>
            <w:pPr>
              <w:jc w:val="center"/>
              <w:rPr>
                <w:rFonts w:ascii="宋体" w:hAnsi="宋体" w:cs="宋体"/>
                <w:kern w:val="1"/>
                <w:sz w:val="28"/>
                <w:szCs w:val="28"/>
              </w:rPr>
            </w:pPr>
            <w:r>
              <w:rPr>
                <w:rFonts w:ascii="宋体" w:hAnsi="宋体" w:cs="宋体"/>
                <w:kern w:val="1"/>
                <w:sz w:val="28"/>
                <w:szCs w:val="28"/>
              </w:rPr>
              <w:t>20</w:t>
            </w:r>
          </w:p>
        </w:tc>
        <w:tc>
          <w:tcPr>
            <w:tcW w:w="1667"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1</w:t>
            </w:r>
            <w:r>
              <w:rPr>
                <w:rFonts w:ascii="宋体" w:hAnsi="宋体" w:cs="宋体"/>
                <w:kern w:val="1"/>
                <w:sz w:val="28"/>
                <w:szCs w:val="28"/>
              </w:rPr>
              <w:t>8</w:t>
            </w:r>
            <w:r>
              <w:rPr>
                <w:rFonts w:hint="eastAsia" w:ascii="宋体" w:hAnsi="宋体" w:cs="宋体"/>
                <w:kern w:val="1"/>
                <w:sz w:val="28"/>
                <w:szCs w:val="28"/>
              </w:rPr>
              <w:t>.</w:t>
            </w:r>
            <w:r>
              <w:rPr>
                <w:rFonts w:ascii="宋体" w:hAnsi="宋体" w:cs="宋体"/>
                <w:kern w:val="1"/>
                <w:sz w:val="28"/>
                <w:szCs w:val="28"/>
              </w:rPr>
              <w:t>7</w:t>
            </w:r>
            <w:r>
              <w:rPr>
                <w:rFonts w:hint="eastAsia" w:ascii="宋体" w:hAnsi="宋体" w:cs="宋体"/>
                <w:kern w:val="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项目管理</w:t>
            </w:r>
          </w:p>
        </w:tc>
        <w:tc>
          <w:tcPr>
            <w:tcW w:w="1667"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4</w:t>
            </w:r>
            <w:r>
              <w:rPr>
                <w:rFonts w:ascii="宋体" w:hAnsi="宋体" w:cs="宋体"/>
                <w:kern w:val="1"/>
                <w:sz w:val="28"/>
                <w:szCs w:val="28"/>
              </w:rPr>
              <w:t>0</w:t>
            </w:r>
          </w:p>
        </w:tc>
        <w:tc>
          <w:tcPr>
            <w:tcW w:w="1667" w:type="pct"/>
            <w:shd w:val="clear" w:color="auto" w:fill="auto"/>
            <w:vAlign w:val="center"/>
          </w:tcPr>
          <w:p>
            <w:pPr>
              <w:jc w:val="center"/>
              <w:rPr>
                <w:rFonts w:ascii="宋体" w:hAnsi="宋体" w:cs="宋体"/>
                <w:kern w:val="1"/>
                <w:sz w:val="28"/>
                <w:szCs w:val="28"/>
              </w:rPr>
            </w:pPr>
            <w:r>
              <w:rPr>
                <w:rFonts w:ascii="宋体" w:hAnsi="宋体" w:cs="宋体"/>
                <w:kern w:val="1"/>
                <w:sz w:val="28"/>
                <w:szCs w:val="28"/>
              </w:rPr>
              <w:t>38</w:t>
            </w:r>
            <w:r>
              <w:rPr>
                <w:rFonts w:hint="eastAsia" w:ascii="宋体" w:hAnsi="宋体" w:cs="宋体"/>
                <w:kern w:val="1"/>
                <w:sz w:val="28"/>
                <w:szCs w:val="28"/>
              </w:rPr>
              <w:t>.</w:t>
            </w:r>
            <w:r>
              <w:rPr>
                <w:rFonts w:ascii="宋体" w:hAnsi="宋体" w:cs="宋体"/>
                <w:kern w:val="1"/>
                <w:sz w:val="28"/>
                <w:szCs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项目结果</w:t>
            </w:r>
          </w:p>
        </w:tc>
        <w:tc>
          <w:tcPr>
            <w:tcW w:w="1667" w:type="pct"/>
            <w:shd w:val="clear" w:color="auto" w:fill="auto"/>
            <w:vAlign w:val="center"/>
          </w:tcPr>
          <w:p>
            <w:pPr>
              <w:jc w:val="center"/>
              <w:rPr>
                <w:rFonts w:ascii="宋体" w:hAnsi="宋体" w:cs="宋体"/>
                <w:kern w:val="1"/>
                <w:sz w:val="28"/>
                <w:szCs w:val="28"/>
              </w:rPr>
            </w:pPr>
            <w:r>
              <w:rPr>
                <w:rFonts w:ascii="宋体" w:hAnsi="宋体" w:cs="宋体"/>
                <w:kern w:val="1"/>
                <w:sz w:val="28"/>
                <w:szCs w:val="28"/>
              </w:rPr>
              <w:t>40</w:t>
            </w:r>
          </w:p>
        </w:tc>
        <w:tc>
          <w:tcPr>
            <w:tcW w:w="1667" w:type="pct"/>
            <w:shd w:val="clear" w:color="auto" w:fill="auto"/>
            <w:vAlign w:val="center"/>
          </w:tcPr>
          <w:p>
            <w:pPr>
              <w:jc w:val="center"/>
              <w:rPr>
                <w:rFonts w:ascii="宋体" w:hAnsi="宋体" w:cs="宋体"/>
                <w:kern w:val="1"/>
                <w:sz w:val="28"/>
                <w:szCs w:val="28"/>
              </w:rPr>
            </w:pPr>
            <w:r>
              <w:rPr>
                <w:rFonts w:ascii="宋体" w:hAnsi="宋体" w:cs="宋体"/>
                <w:kern w:val="1"/>
                <w:sz w:val="28"/>
                <w:szCs w:val="28"/>
              </w:rPr>
              <w:t>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综合得分</w:t>
            </w:r>
          </w:p>
        </w:tc>
        <w:tc>
          <w:tcPr>
            <w:tcW w:w="1667"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100</w:t>
            </w:r>
          </w:p>
        </w:tc>
        <w:tc>
          <w:tcPr>
            <w:tcW w:w="1667" w:type="pct"/>
            <w:shd w:val="clear" w:color="auto" w:fill="auto"/>
            <w:vAlign w:val="center"/>
          </w:tcPr>
          <w:p>
            <w:pPr>
              <w:jc w:val="center"/>
              <w:rPr>
                <w:rFonts w:ascii="宋体" w:hAnsi="宋体" w:cs="宋体"/>
                <w:kern w:val="1"/>
                <w:sz w:val="28"/>
                <w:szCs w:val="28"/>
              </w:rPr>
            </w:pPr>
            <w:r>
              <w:rPr>
                <w:rFonts w:ascii="宋体" w:hAnsi="宋体" w:cs="宋体"/>
                <w:kern w:val="1"/>
                <w:sz w:val="28"/>
                <w:szCs w:val="28"/>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pct"/>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绩效评定级别</w:t>
            </w:r>
          </w:p>
        </w:tc>
        <w:tc>
          <w:tcPr>
            <w:tcW w:w="3334" w:type="pct"/>
            <w:gridSpan w:val="2"/>
            <w:shd w:val="clear" w:color="auto" w:fill="auto"/>
            <w:vAlign w:val="center"/>
          </w:tcPr>
          <w:p>
            <w:pPr>
              <w:jc w:val="center"/>
              <w:rPr>
                <w:rFonts w:ascii="宋体" w:hAnsi="宋体" w:cs="宋体"/>
                <w:kern w:val="1"/>
                <w:sz w:val="28"/>
                <w:szCs w:val="28"/>
              </w:rPr>
            </w:pPr>
            <w:r>
              <w:rPr>
                <w:rFonts w:hint="eastAsia" w:ascii="宋体" w:hAnsi="宋体" w:cs="宋体"/>
                <w:kern w:val="1"/>
                <w:sz w:val="28"/>
                <w:szCs w:val="28"/>
              </w:rPr>
              <w:t>优秀</w:t>
            </w:r>
          </w:p>
        </w:tc>
      </w:tr>
    </w:tbl>
    <w:p>
      <w:pPr>
        <w:spacing w:line="480" w:lineRule="auto"/>
        <w:ind w:firstLine="640"/>
        <w:rPr>
          <w:rFonts w:ascii="宋体" w:hAnsi="宋体" w:cs="宋体"/>
          <w:kern w:val="1"/>
          <w:sz w:val="28"/>
          <w:szCs w:val="28"/>
        </w:rPr>
      </w:pPr>
    </w:p>
    <w:p>
      <w:pPr>
        <w:spacing w:line="480" w:lineRule="auto"/>
        <w:ind w:firstLine="640"/>
        <w:rPr>
          <w:rFonts w:ascii="宋体" w:hAnsi="宋体" w:cs="宋体"/>
          <w:kern w:val="1"/>
          <w:sz w:val="28"/>
          <w:szCs w:val="28"/>
        </w:rPr>
      </w:pPr>
      <w:r>
        <w:rPr>
          <w:rFonts w:ascii="宋体" w:hAnsi="宋体" w:cs="宋体"/>
          <w:kern w:val="1"/>
          <w:sz w:val="28"/>
          <w:szCs w:val="28"/>
        </w:rPr>
        <w:t>（二）项目综合评价结论</w:t>
      </w:r>
    </w:p>
    <w:p>
      <w:pPr>
        <w:spacing w:line="480" w:lineRule="auto"/>
        <w:ind w:firstLine="640"/>
        <w:rPr>
          <w:rFonts w:ascii="宋体" w:hAnsi="宋体" w:cs="宋体"/>
          <w:kern w:val="1"/>
          <w:sz w:val="28"/>
          <w:szCs w:val="28"/>
        </w:rPr>
      </w:pPr>
      <w:r>
        <w:rPr>
          <w:rFonts w:hint="eastAsia" w:ascii="宋体" w:hAnsi="宋体" w:cs="宋体"/>
          <w:kern w:val="1"/>
          <w:sz w:val="28"/>
          <w:szCs w:val="28"/>
        </w:rPr>
        <w:t>经专家评价打分评价，该项目被评价级别为优秀，经对项目的绩效成果的分析，我们认为该项目取得的成果和社会效益是符合项目预算绩效目标的，是有利于当地自然环境健康发展的。矿山迹地综合治理项目的实施，是一项于国于民有益的系统工程。政府在开发矿产资源的同时, 必须积极地保护矿山地质环境,减少矿产资源勘查开采活动造成的矿山地质环境破坏,保护人民生命和财产安全,开发和保护并重。遵化市通过项目治理恢复,有效地预防崩塌、滑坡、泥石流等地质灾害的发生;改善矿区环境,使昔日的荒山逐渐恢复生机,植被得到恢复,生态环境得到改善,成为生态优良,环境秀美的工作场所。</w:t>
      </w:r>
    </w:p>
    <w:p>
      <w:pPr>
        <w:spacing w:line="480" w:lineRule="auto"/>
        <w:ind w:firstLine="640"/>
        <w:rPr>
          <w:rFonts w:ascii="宋体" w:hAnsi="宋体" w:cs="宋体"/>
          <w:b/>
          <w:kern w:val="1"/>
          <w:sz w:val="28"/>
          <w:szCs w:val="28"/>
        </w:rPr>
      </w:pPr>
      <w:r>
        <w:rPr>
          <w:rFonts w:ascii="宋体" w:hAnsi="宋体" w:cs="宋体"/>
          <w:b/>
          <w:kern w:val="1"/>
          <w:sz w:val="28"/>
          <w:szCs w:val="28"/>
        </w:rPr>
        <w:t>五、</w:t>
      </w:r>
      <w:r>
        <w:rPr>
          <w:rFonts w:hint="eastAsia" w:ascii="宋体" w:hAnsi="宋体" w:cs="宋体"/>
          <w:b/>
          <w:kern w:val="1"/>
          <w:sz w:val="28"/>
          <w:szCs w:val="28"/>
        </w:rPr>
        <w:t>评价中相关问题</w:t>
      </w:r>
    </w:p>
    <w:p>
      <w:pPr>
        <w:spacing w:line="480" w:lineRule="auto"/>
        <w:ind w:firstLine="640"/>
        <w:rPr>
          <w:rFonts w:ascii="宋体" w:hAnsi="宋体" w:cs="宋体"/>
          <w:b/>
          <w:kern w:val="1"/>
          <w:sz w:val="28"/>
          <w:szCs w:val="28"/>
        </w:rPr>
      </w:pPr>
      <w:r>
        <w:rPr>
          <w:rFonts w:hint="eastAsia" w:ascii="宋体" w:hAnsi="宋体" w:cs="宋体"/>
          <w:b/>
          <w:kern w:val="1"/>
          <w:sz w:val="28"/>
          <w:szCs w:val="28"/>
        </w:rPr>
        <w:t>（一）</w:t>
      </w:r>
      <w:r>
        <w:rPr>
          <w:rFonts w:hint="eastAsia" w:ascii="宋体" w:hAnsi="宋体" w:cs="宋体"/>
          <w:b/>
          <w:kern w:val="1"/>
          <w:sz w:val="28"/>
          <w:szCs w:val="28"/>
        </w:rPr>
        <w:tab/>
      </w:r>
      <w:r>
        <w:rPr>
          <w:rFonts w:hint="eastAsia" w:ascii="宋体" w:hAnsi="宋体" w:cs="宋体"/>
          <w:b/>
          <w:kern w:val="1"/>
          <w:sz w:val="28"/>
          <w:szCs w:val="28"/>
        </w:rPr>
        <w:t>项目决策方面</w:t>
      </w:r>
    </w:p>
    <w:p>
      <w:pPr>
        <w:spacing w:line="480" w:lineRule="auto"/>
        <w:ind w:firstLine="640"/>
        <w:rPr>
          <w:rFonts w:ascii="宋体" w:hAnsi="宋体" w:cs="宋体"/>
          <w:bCs/>
          <w:kern w:val="1"/>
          <w:sz w:val="28"/>
          <w:szCs w:val="28"/>
        </w:rPr>
      </w:pPr>
      <w:r>
        <w:rPr>
          <w:rFonts w:hint="eastAsia" w:ascii="宋体" w:hAnsi="宋体" w:cs="宋体"/>
          <w:bCs/>
          <w:kern w:val="1"/>
          <w:sz w:val="28"/>
          <w:szCs w:val="28"/>
        </w:rPr>
        <w:t>1、项目绩效目标不够细化</w:t>
      </w:r>
    </w:p>
    <w:p>
      <w:pPr>
        <w:spacing w:line="480" w:lineRule="auto"/>
        <w:ind w:firstLine="640"/>
        <w:rPr>
          <w:rFonts w:ascii="宋体" w:hAnsi="宋体" w:cs="宋体"/>
          <w:bCs/>
          <w:kern w:val="1"/>
          <w:sz w:val="28"/>
          <w:szCs w:val="28"/>
        </w:rPr>
      </w:pPr>
      <w:r>
        <w:rPr>
          <w:rFonts w:hint="eastAsia" w:ascii="宋体" w:hAnsi="宋体" w:cs="宋体"/>
          <w:bCs/>
          <w:kern w:val="1"/>
          <w:sz w:val="28"/>
          <w:szCs w:val="28"/>
        </w:rPr>
        <w:t>总体绩效目标设定范围较广、概念性和主观性内容较多，相对缺乏可量化的、客观性内容，目标细化程度相对不足。</w:t>
      </w:r>
    </w:p>
    <w:p>
      <w:pPr>
        <w:spacing w:line="480" w:lineRule="auto"/>
        <w:ind w:firstLine="640"/>
        <w:rPr>
          <w:rFonts w:ascii="宋体" w:hAnsi="宋体" w:cs="宋体"/>
          <w:bCs/>
          <w:kern w:val="1"/>
          <w:sz w:val="28"/>
          <w:szCs w:val="28"/>
        </w:rPr>
      </w:pPr>
      <w:r>
        <w:rPr>
          <w:rFonts w:hint="eastAsia" w:ascii="宋体" w:hAnsi="宋体" w:cs="宋体"/>
          <w:bCs/>
          <w:kern w:val="1"/>
          <w:sz w:val="28"/>
          <w:szCs w:val="28"/>
        </w:rPr>
        <w:t>2、项目绩效技术目标设定不够全面。</w:t>
      </w:r>
    </w:p>
    <w:p>
      <w:pPr>
        <w:spacing w:line="480" w:lineRule="auto"/>
        <w:ind w:firstLine="640"/>
        <w:rPr>
          <w:rFonts w:ascii="宋体" w:hAnsi="宋体" w:cs="宋体"/>
          <w:bCs/>
          <w:kern w:val="1"/>
          <w:sz w:val="28"/>
          <w:szCs w:val="28"/>
        </w:rPr>
      </w:pPr>
      <w:r>
        <w:rPr>
          <w:rFonts w:hint="eastAsia" w:ascii="宋体" w:hAnsi="宋体" w:cs="宋体"/>
          <w:bCs/>
          <w:kern w:val="1"/>
          <w:sz w:val="28"/>
          <w:szCs w:val="28"/>
        </w:rPr>
        <w:t>在项目立项指标中项目实施的方案不够全面，施工技术路线的设计上只做了局部绿化设计，未能全面覆盖，方案缺乏全面性。</w:t>
      </w:r>
    </w:p>
    <w:p>
      <w:pPr>
        <w:spacing w:line="480" w:lineRule="auto"/>
        <w:ind w:firstLine="640"/>
        <w:rPr>
          <w:rFonts w:ascii="宋体" w:hAnsi="宋体" w:cs="宋体"/>
          <w:b/>
          <w:kern w:val="1"/>
          <w:sz w:val="28"/>
          <w:szCs w:val="28"/>
        </w:rPr>
      </w:pPr>
      <w:r>
        <w:rPr>
          <w:rFonts w:hint="eastAsia" w:ascii="宋体" w:hAnsi="宋体" w:cs="宋体"/>
          <w:b/>
          <w:kern w:val="1"/>
          <w:sz w:val="28"/>
          <w:szCs w:val="28"/>
        </w:rPr>
        <w:t>（二）</w:t>
      </w:r>
      <w:r>
        <w:rPr>
          <w:rFonts w:hint="eastAsia" w:ascii="宋体" w:hAnsi="宋体" w:cs="宋体"/>
          <w:b/>
          <w:kern w:val="1"/>
          <w:sz w:val="28"/>
          <w:szCs w:val="28"/>
        </w:rPr>
        <w:tab/>
      </w:r>
      <w:r>
        <w:rPr>
          <w:rFonts w:hint="eastAsia" w:ascii="宋体" w:hAnsi="宋体" w:cs="宋体"/>
          <w:b/>
          <w:kern w:val="1"/>
          <w:sz w:val="28"/>
          <w:szCs w:val="28"/>
        </w:rPr>
        <w:t>项目管理方面</w:t>
      </w:r>
    </w:p>
    <w:p>
      <w:pPr>
        <w:spacing w:line="480" w:lineRule="auto"/>
        <w:ind w:firstLine="640"/>
        <w:rPr>
          <w:rFonts w:ascii="宋体" w:hAnsi="宋体" w:cs="宋体"/>
          <w:bCs/>
          <w:kern w:val="1"/>
          <w:sz w:val="28"/>
          <w:szCs w:val="28"/>
        </w:rPr>
      </w:pPr>
      <w:r>
        <w:rPr>
          <w:rFonts w:hint="eastAsia" w:ascii="宋体" w:hAnsi="宋体" w:cs="宋体"/>
          <w:bCs/>
          <w:kern w:val="1"/>
          <w:sz w:val="28"/>
          <w:szCs w:val="28"/>
        </w:rPr>
        <w:t>1、项目施工过程管理不完善</w:t>
      </w:r>
    </w:p>
    <w:p>
      <w:pPr>
        <w:adjustRightInd w:val="0"/>
        <w:snapToGrid w:val="0"/>
        <w:spacing w:line="580" w:lineRule="exact"/>
        <w:ind w:left="640"/>
        <w:rPr>
          <w:rFonts w:ascii="宋体" w:hAnsi="宋体" w:cs="宋体"/>
          <w:bCs/>
          <w:kern w:val="1"/>
          <w:sz w:val="28"/>
          <w:szCs w:val="28"/>
        </w:rPr>
      </w:pPr>
      <w:r>
        <w:rPr>
          <w:rFonts w:hint="eastAsia" w:ascii="宋体" w:hAnsi="宋体" w:cs="宋体"/>
          <w:bCs/>
          <w:kern w:val="1"/>
          <w:sz w:val="28"/>
          <w:szCs w:val="28"/>
        </w:rPr>
        <w:t>项目施工管理过程中，针对突发状况的应急处置管理不够充分，在施工过程中的某些时段环保措施不到位，应急处置工作亟待加强。</w:t>
      </w:r>
    </w:p>
    <w:p>
      <w:pPr>
        <w:adjustRightInd w:val="0"/>
        <w:snapToGrid w:val="0"/>
        <w:spacing w:line="580" w:lineRule="exact"/>
        <w:ind w:left="640"/>
        <w:rPr>
          <w:rFonts w:ascii="宋体" w:hAnsi="宋体" w:eastAsia="宋体" w:cs="仿宋_GB2312"/>
          <w:sz w:val="32"/>
          <w:szCs w:val="32"/>
        </w:rPr>
      </w:pPr>
      <w:r>
        <w:rPr>
          <w:rFonts w:ascii="宋体" w:hAnsi="宋体" w:cs="宋体"/>
          <w:bCs/>
          <w:kern w:val="1"/>
          <w:sz w:val="28"/>
          <w:szCs w:val="28"/>
        </w:rPr>
        <w:br w:type="page"/>
      </w:r>
    </w:p>
    <w:tbl>
      <w:tblPr>
        <w:tblStyle w:val="6"/>
        <w:tblW w:w="5000" w:type="pct"/>
        <w:tblInd w:w="0" w:type="dxa"/>
        <w:tblLayout w:type="autofit"/>
        <w:tblCellMar>
          <w:top w:w="0" w:type="dxa"/>
          <w:left w:w="0" w:type="dxa"/>
          <w:bottom w:w="0" w:type="dxa"/>
          <w:right w:w="0" w:type="dxa"/>
        </w:tblCellMar>
      </w:tblPr>
      <w:tblGrid>
        <w:gridCol w:w="832"/>
        <w:gridCol w:w="1113"/>
        <w:gridCol w:w="761"/>
        <w:gridCol w:w="3366"/>
        <w:gridCol w:w="918"/>
        <w:gridCol w:w="1854"/>
      </w:tblGrid>
      <w:tr>
        <w:tblPrEx>
          <w:tblCellMar>
            <w:top w:w="0" w:type="dxa"/>
            <w:left w:w="0" w:type="dxa"/>
            <w:bottom w:w="0" w:type="dxa"/>
            <w:right w:w="0" w:type="dxa"/>
          </w:tblCellMar>
        </w:tblPrEx>
        <w:trPr>
          <w:trHeight w:val="270" w:hRule="atLeast"/>
        </w:trPr>
        <w:tc>
          <w:tcPr>
            <w:tcW w:w="471" w:type="pct"/>
            <w:tcBorders>
              <w:top w:val="nil"/>
              <w:left w:val="nil"/>
              <w:bottom w:val="nil"/>
              <w:right w:val="nil"/>
            </w:tcBorders>
            <w:shd w:val="clear" w:color="auto" w:fill="auto"/>
            <w:noWrap/>
            <w:vAlign w:val="bottom"/>
          </w:tcPr>
          <w:p>
            <w:pPr>
              <w:widowControl/>
              <w:jc w:val="left"/>
              <w:rPr>
                <w:rFonts w:hAnsi="宋体" w:cs="宋体"/>
                <w:color w:val="000000"/>
                <w:kern w:val="0"/>
                <w:sz w:val="18"/>
                <w:szCs w:val="18"/>
              </w:rPr>
            </w:pPr>
            <w:r>
              <w:rPr>
                <w:rFonts w:hint="eastAsia" w:hAnsi="宋体" w:cs="宋体"/>
                <w:color w:val="000000"/>
                <w:kern w:val="0"/>
                <w:sz w:val="18"/>
                <w:szCs w:val="18"/>
              </w:rPr>
              <w:t>附表3</w:t>
            </w:r>
          </w:p>
        </w:tc>
        <w:tc>
          <w:tcPr>
            <w:tcW w:w="629" w:type="pct"/>
            <w:tcBorders>
              <w:top w:val="nil"/>
              <w:left w:val="nil"/>
              <w:bottom w:val="nil"/>
              <w:right w:val="nil"/>
            </w:tcBorders>
            <w:shd w:val="clear" w:color="auto" w:fill="auto"/>
            <w:noWrap/>
            <w:vAlign w:val="bottom"/>
          </w:tcPr>
          <w:p>
            <w:pPr>
              <w:widowControl/>
              <w:jc w:val="left"/>
              <w:rPr>
                <w:rFonts w:hAnsi="宋体" w:cs="宋体"/>
                <w:color w:val="000000"/>
                <w:kern w:val="0"/>
                <w:sz w:val="18"/>
                <w:szCs w:val="18"/>
              </w:rPr>
            </w:pPr>
          </w:p>
        </w:tc>
        <w:tc>
          <w:tcPr>
            <w:tcW w:w="430" w:type="pct"/>
            <w:tcBorders>
              <w:top w:val="nil"/>
              <w:left w:val="nil"/>
              <w:bottom w:val="nil"/>
              <w:right w:val="nil"/>
            </w:tcBorders>
            <w:shd w:val="clear" w:color="auto" w:fill="auto"/>
            <w:noWrap/>
            <w:vAlign w:val="bottom"/>
          </w:tcPr>
          <w:p>
            <w:pPr>
              <w:widowControl/>
              <w:jc w:val="left"/>
              <w:rPr>
                <w:rFonts w:hAnsi="宋体" w:cs="宋体"/>
                <w:color w:val="000000"/>
                <w:kern w:val="0"/>
                <w:sz w:val="18"/>
                <w:szCs w:val="18"/>
              </w:rPr>
            </w:pPr>
          </w:p>
        </w:tc>
        <w:tc>
          <w:tcPr>
            <w:tcW w:w="1903" w:type="pct"/>
            <w:tcBorders>
              <w:top w:val="nil"/>
              <w:left w:val="nil"/>
              <w:bottom w:val="nil"/>
              <w:right w:val="nil"/>
            </w:tcBorders>
            <w:shd w:val="clear" w:color="auto" w:fill="auto"/>
            <w:vAlign w:val="bottom"/>
          </w:tcPr>
          <w:p>
            <w:pPr>
              <w:widowControl/>
              <w:jc w:val="left"/>
              <w:rPr>
                <w:rFonts w:hAnsi="宋体" w:cs="宋体"/>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hAnsi="宋体" w:cs="宋体"/>
                <w:color w:val="000000"/>
                <w:kern w:val="0"/>
                <w:sz w:val="18"/>
                <w:szCs w:val="18"/>
              </w:rPr>
            </w:pPr>
          </w:p>
        </w:tc>
        <w:tc>
          <w:tcPr>
            <w:tcW w:w="1047" w:type="pct"/>
            <w:tcBorders>
              <w:top w:val="nil"/>
              <w:left w:val="nil"/>
              <w:bottom w:val="nil"/>
              <w:right w:val="nil"/>
            </w:tcBorders>
            <w:shd w:val="clear" w:color="auto" w:fill="auto"/>
            <w:noWrap/>
            <w:vAlign w:val="bottom"/>
          </w:tcPr>
          <w:p>
            <w:pPr>
              <w:widowControl/>
              <w:jc w:val="center"/>
              <w:rPr>
                <w:rFonts w:hAnsi="宋体" w:cs="宋体"/>
                <w:color w:val="000000"/>
                <w:kern w:val="0"/>
                <w:sz w:val="18"/>
                <w:szCs w:val="18"/>
              </w:rPr>
            </w:pPr>
          </w:p>
        </w:tc>
      </w:tr>
      <w:tr>
        <w:tblPrEx>
          <w:tblCellMar>
            <w:top w:w="0" w:type="dxa"/>
            <w:left w:w="0" w:type="dxa"/>
            <w:bottom w:w="0" w:type="dxa"/>
            <w:right w:w="0" w:type="dxa"/>
          </w:tblCellMar>
        </w:tblPrEx>
        <w:trPr>
          <w:trHeight w:val="735" w:hRule="atLeast"/>
        </w:trPr>
        <w:tc>
          <w:tcPr>
            <w:tcW w:w="5000" w:type="pct"/>
            <w:gridSpan w:val="6"/>
            <w:tcBorders>
              <w:top w:val="nil"/>
              <w:left w:val="nil"/>
              <w:bottom w:val="nil"/>
              <w:right w:val="nil"/>
            </w:tcBorders>
            <w:shd w:val="clear" w:color="auto" w:fill="auto"/>
            <w:noWrap/>
            <w:vAlign w:val="center"/>
          </w:tcPr>
          <w:p>
            <w:pPr>
              <w:widowControl/>
              <w:jc w:val="center"/>
              <w:rPr>
                <w:rFonts w:hAnsi="宋体" w:cs="宋体"/>
                <w:b/>
                <w:bCs/>
                <w:kern w:val="0"/>
                <w:sz w:val="18"/>
                <w:szCs w:val="18"/>
              </w:rPr>
            </w:pPr>
            <w:r>
              <w:rPr>
                <w:rFonts w:hint="eastAsia" w:hAnsi="宋体" w:cs="宋体"/>
                <w:b/>
                <w:bCs/>
                <w:kern w:val="0"/>
                <w:sz w:val="18"/>
                <w:szCs w:val="18"/>
              </w:rPr>
              <w:t>三、项目绩效评价表</w:t>
            </w:r>
          </w:p>
        </w:tc>
      </w:tr>
      <w:tr>
        <w:tblPrEx>
          <w:tblCellMar>
            <w:top w:w="0" w:type="dxa"/>
            <w:left w:w="0" w:type="dxa"/>
            <w:bottom w:w="0" w:type="dxa"/>
            <w:right w:w="0" w:type="dxa"/>
          </w:tblCellMar>
        </w:tblPrEx>
        <w:trPr>
          <w:trHeight w:val="810" w:hRule="atLeast"/>
        </w:trPr>
        <w:tc>
          <w:tcPr>
            <w:tcW w:w="11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项目名称</w:t>
            </w:r>
          </w:p>
        </w:tc>
        <w:tc>
          <w:tcPr>
            <w:tcW w:w="390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遵化市七处责任主体灭失矿山迹地综合治理项目</w:t>
            </w:r>
          </w:p>
        </w:tc>
      </w:tr>
      <w:tr>
        <w:tblPrEx>
          <w:tblCellMar>
            <w:top w:w="0" w:type="dxa"/>
            <w:left w:w="0" w:type="dxa"/>
            <w:bottom w:w="0" w:type="dxa"/>
            <w:right w:w="0" w:type="dxa"/>
          </w:tblCellMar>
        </w:tblPrEx>
        <w:trPr>
          <w:trHeight w:val="810" w:hRule="atLeast"/>
        </w:trPr>
        <w:tc>
          <w:tcPr>
            <w:tcW w:w="11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绩效指标</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分值</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执行情况描述</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得分</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扣分原因</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绩效目标</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目标内容</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6</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按照项目预算绩效目标全部完成</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6</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实施计划</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项目设计及实施基本按照项目计划执行</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3.1</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技术路线设计不全面</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合理程度</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2</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绩效目标设置合理、有效</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1.6</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绩效目标设置不够细致</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决策依据</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立项依据</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按照河北省矿山综合治理三年作战计划任务设立项目</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管理制度</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2</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按照项目相关规章制度制定相应制度规定</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2</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预算依据</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预算编制</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根据《河北省2013年建设工程工程量清单编制与计价规程 DB13(J)/T150-2013》编制预算；</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资金使用</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使用范围</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用于遵化市7处责任主体灭失矿山迹地实施综合治理</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支付依据</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项目工程施工合同、计价相关批复文件</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开支标准</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资金支出严格按照制度相关要求执行</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财务管理</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财务制度</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项目资金建立了专门帐户管理，做到了独立核算，专款专用，按完成进度支付治理工程费</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4.2</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财务制度完善程度不足</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会计核算</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按照监理工程进度提交资金拨付申请、由我局向市财政部门提出资金申请，市财政局核实后报主管市长审批。</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2.58</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会计核算过程细致程度不足</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项目实施</w:t>
            </w: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项目执行</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项目按照合同约定、设计方案执行</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项目调整</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项目执行中荣利、魏家井、西峪及宏兴治理区做了洽商变更，报主管部门审批</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财政资金支付进度</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按照合同约定已支付合同金额75%</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项目野外验收</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2019年10月25日经专家野外验收合格，并取得验收报告</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项目监理</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项目施工全程由监理单位监督施工，并取得监理报告</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3</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产出指标</w:t>
            </w:r>
          </w:p>
        </w:tc>
        <w:tc>
          <w:tcPr>
            <w:tcW w:w="629"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产出数量</w:t>
            </w:r>
          </w:p>
        </w:tc>
        <w:tc>
          <w:tcPr>
            <w:tcW w:w="430"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10</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辖区内矿山环境恢复治理矿山122处，治理面积7482.86亩</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10</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产出质量</w:t>
            </w:r>
          </w:p>
        </w:tc>
        <w:tc>
          <w:tcPr>
            <w:tcW w:w="4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6</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按照项目绩效目标要求质量完成</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5.28</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缺乏衡量标准，绩效支撑资料不足</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产出时效</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按照项目要求开展时间施工完成</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4</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4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效果指标</w:t>
            </w:r>
          </w:p>
        </w:tc>
        <w:tc>
          <w:tcPr>
            <w:tcW w:w="629"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社会效益</w:t>
            </w:r>
          </w:p>
        </w:tc>
        <w:tc>
          <w:tcPr>
            <w:tcW w:w="430"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10</w:t>
            </w:r>
          </w:p>
        </w:tc>
        <w:tc>
          <w:tcPr>
            <w:tcW w:w="1903"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有效减少自然灾害的发生，保障了人民生命和财产安全</w:t>
            </w:r>
          </w:p>
        </w:tc>
        <w:tc>
          <w:tcPr>
            <w:tcW w:w="519"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9</w:t>
            </w:r>
          </w:p>
        </w:tc>
        <w:tc>
          <w:tcPr>
            <w:tcW w:w="1047" w:type="pct"/>
            <w:tcBorders>
              <w:top w:val="nil"/>
              <w:left w:val="nil"/>
              <w:bottom w:val="nil"/>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缺乏量化的衡量标准</w:t>
            </w:r>
          </w:p>
        </w:tc>
      </w:tr>
      <w:tr>
        <w:tblPrEx>
          <w:tblCellMar>
            <w:top w:w="0" w:type="dxa"/>
            <w:left w:w="0" w:type="dxa"/>
            <w:bottom w:w="0" w:type="dxa"/>
            <w:right w:w="0" w:type="dxa"/>
          </w:tblCellMar>
        </w:tblPrEx>
        <w:trPr>
          <w:trHeight w:val="810" w:hRule="atLeast"/>
        </w:trPr>
        <w:tc>
          <w:tcPr>
            <w:tcW w:w="471" w:type="pct"/>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color w:val="000000"/>
                <w:kern w:val="0"/>
                <w:sz w:val="18"/>
                <w:szCs w:val="18"/>
              </w:rPr>
            </w:pP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生态效益</w:t>
            </w:r>
          </w:p>
        </w:tc>
        <w:tc>
          <w:tcPr>
            <w:tcW w:w="4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10</w:t>
            </w:r>
          </w:p>
        </w:tc>
        <w:tc>
          <w:tcPr>
            <w:tcW w:w="19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有效地预防崩塌、滑坡、泥石流等地质灾害的发生;改善矿区环境,使昔日的荒山逐渐恢复生机,植被得到恢复,生态环境得到改善,成为生态优良,环境秀美的工作场所</w:t>
            </w:r>
          </w:p>
        </w:tc>
        <w:tc>
          <w:tcPr>
            <w:tcW w:w="5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9.2</w:t>
            </w:r>
          </w:p>
        </w:tc>
        <w:tc>
          <w:tcPr>
            <w:tcW w:w="10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缺乏量化的衡量标准</w:t>
            </w:r>
          </w:p>
        </w:tc>
      </w:tr>
      <w:tr>
        <w:tblPrEx>
          <w:tblCellMar>
            <w:top w:w="0" w:type="dxa"/>
            <w:left w:w="0" w:type="dxa"/>
            <w:bottom w:w="0" w:type="dxa"/>
            <w:right w:w="0" w:type="dxa"/>
          </w:tblCellMar>
        </w:tblPrEx>
        <w:trPr>
          <w:trHeight w:val="810" w:hRule="atLeast"/>
        </w:trPr>
        <w:tc>
          <w:tcPr>
            <w:tcW w:w="11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得分合计</w:t>
            </w:r>
          </w:p>
        </w:tc>
        <w:tc>
          <w:tcPr>
            <w:tcW w:w="430"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100</w:t>
            </w:r>
          </w:p>
        </w:tc>
        <w:tc>
          <w:tcPr>
            <w:tcW w:w="1903"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c>
          <w:tcPr>
            <w:tcW w:w="519"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94.96</w:t>
            </w:r>
          </w:p>
        </w:tc>
        <w:tc>
          <w:tcPr>
            <w:tcW w:w="1047" w:type="pct"/>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w:t>
            </w:r>
          </w:p>
        </w:tc>
      </w:tr>
      <w:tr>
        <w:tblPrEx>
          <w:tblCellMar>
            <w:top w:w="0" w:type="dxa"/>
            <w:left w:w="0" w:type="dxa"/>
            <w:bottom w:w="0" w:type="dxa"/>
            <w:right w:w="0" w:type="dxa"/>
          </w:tblCellMar>
        </w:tblPrEx>
        <w:trPr>
          <w:trHeight w:val="810" w:hRule="atLeast"/>
        </w:trPr>
        <w:tc>
          <w:tcPr>
            <w:tcW w:w="11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评价等级</w:t>
            </w:r>
          </w:p>
        </w:tc>
        <w:tc>
          <w:tcPr>
            <w:tcW w:w="3900"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18"/>
                <w:szCs w:val="18"/>
              </w:rPr>
            </w:pPr>
            <w:r>
              <w:rPr>
                <w:rFonts w:hint="eastAsia" w:hAnsi="宋体" w:cs="宋体"/>
                <w:color w:val="000000"/>
                <w:kern w:val="0"/>
                <w:sz w:val="18"/>
                <w:szCs w:val="18"/>
              </w:rPr>
              <w:t xml:space="preserve">√优      □良      □可      □差     </w:t>
            </w:r>
          </w:p>
        </w:tc>
      </w:tr>
    </w:tbl>
    <w:p>
      <w:pPr>
        <w:adjustRightInd w:val="0"/>
        <w:snapToGrid w:val="0"/>
        <w:spacing w:line="580" w:lineRule="exact"/>
        <w:ind w:left="640"/>
        <w:rPr>
          <w:rFonts w:ascii="宋体" w:hAnsi="宋体" w:eastAsia="宋体" w:cs="仿宋_GB2312"/>
          <w:sz w:val="32"/>
          <w:szCs w:val="32"/>
        </w:rPr>
      </w:pPr>
    </w:p>
    <w:p>
      <w:pPr>
        <w:pStyle w:val="14"/>
        <w:snapToGrid w:val="0"/>
        <w:ind w:left="420" w:firstLine="0" w:firstLineChars="0"/>
        <w:rPr>
          <w:rFonts w:ascii="仿宋_GB2312" w:eastAsia="仿宋_GB2312"/>
          <w:sz w:val="32"/>
        </w:rPr>
      </w:pPr>
      <w:r>
        <w:rPr>
          <w:rFonts w:hint="eastAsia" w:ascii="仿宋_GB2312" w:eastAsia="仿宋_GB2312"/>
          <w:sz w:val="32"/>
        </w:rPr>
        <w:t xml:space="preserve"> </w:t>
      </w:r>
    </w:p>
    <w:p>
      <w:pPr>
        <w:pStyle w:val="14"/>
        <w:snapToGrid w:val="0"/>
        <w:ind w:left="420" w:firstLine="0" w:firstLineChars="0"/>
        <w:rPr>
          <w:rFonts w:ascii="宋体" w:hAnsi="宋体" w:eastAsia="宋体"/>
          <w:spacing w:val="10"/>
          <w:sz w:val="32"/>
          <w:szCs w:val="32"/>
        </w:rPr>
      </w:pPr>
      <w:r>
        <w:rPr>
          <w:rFonts w:ascii="仿宋_GB2312" w:eastAsia="仿宋_GB2312"/>
          <w:sz w:val="32"/>
        </w:rPr>
        <w:br w:type="page"/>
      </w:r>
      <w:r>
        <w:rPr>
          <w:rFonts w:hint="eastAsia" w:ascii="仿宋_GB2312" w:eastAsia="仿宋_GB2312"/>
          <w:sz w:val="32"/>
        </w:rPr>
        <w:t xml:space="preserve">  </w:t>
      </w:r>
      <w:r>
        <w:rPr>
          <w:rFonts w:hint="eastAsia" w:ascii="宋体" w:hAnsi="宋体" w:eastAsia="宋体"/>
          <w:sz w:val="32"/>
          <w:szCs w:val="32"/>
        </w:rPr>
        <w:t>（二）2019年有害生物防治经费</w:t>
      </w:r>
      <w:r>
        <w:rPr>
          <w:rFonts w:hint="eastAsia" w:ascii="宋体" w:hAnsi="宋体" w:eastAsia="宋体" w:cs="仿宋_GB2312"/>
          <w:sz w:val="32"/>
          <w:szCs w:val="32"/>
        </w:rPr>
        <w:t>项目绩效自评综述：根据年初设定的绩效目标，该项目绩效自评得分为100分（绩效自评表附后）。全年预算数为30万元，执行数为30万元，完成预算的100%。项目绩效目标完成情况：一是</w:t>
      </w:r>
      <w:r>
        <w:rPr>
          <w:rFonts w:hint="eastAsia" w:ascii="宋体" w:hAnsi="宋体" w:eastAsia="宋体"/>
          <w:spacing w:val="10"/>
          <w:sz w:val="32"/>
          <w:szCs w:val="32"/>
        </w:rPr>
        <w:t>一级指标1考评情况分析 该指标总分50，得分48分，项目绩效目标明确，专款专用于森林有害生物防治物资采购、测报员补助。</w:t>
      </w:r>
      <w:r>
        <w:rPr>
          <w:rFonts w:hint="eastAsia" w:ascii="宋体" w:hAnsi="宋体" w:eastAsia="宋体" w:cs="宋体"/>
          <w:kern w:val="0"/>
          <w:sz w:val="32"/>
          <w:szCs w:val="32"/>
        </w:rPr>
        <w:t>项目实施手续健全，项目资金</w:t>
      </w:r>
      <w:r>
        <w:rPr>
          <w:rFonts w:hint="eastAsia" w:ascii="宋体" w:hAnsi="宋体" w:eastAsia="宋体"/>
          <w:spacing w:val="10"/>
          <w:sz w:val="32"/>
          <w:szCs w:val="32"/>
        </w:rPr>
        <w:t>及时足额支付给供货方、测报员，支出严格按照预算执行。</w:t>
      </w:r>
      <w:r>
        <w:rPr>
          <w:rFonts w:hint="eastAsia" w:ascii="宋体" w:hAnsi="宋体" w:eastAsia="宋体" w:cs="仿宋_GB2312"/>
          <w:sz w:val="32"/>
          <w:szCs w:val="32"/>
        </w:rPr>
        <w:t>二是</w:t>
      </w:r>
      <w:r>
        <w:rPr>
          <w:rFonts w:hint="eastAsia" w:ascii="宋体" w:hAnsi="宋体" w:eastAsia="宋体"/>
          <w:spacing w:val="10"/>
          <w:sz w:val="32"/>
          <w:szCs w:val="32"/>
        </w:rPr>
        <w:t>一级指标2考评情况分析该指标总分50，得分48分，该项目2019年全市控制森林有害生物成灾率在5‰以下。附绩效评价自评表</w:t>
      </w:r>
    </w:p>
    <w:p>
      <w:pPr>
        <w:pStyle w:val="14"/>
        <w:snapToGrid w:val="0"/>
        <w:ind w:firstLine="0" w:firstLineChars="0"/>
        <w:rPr>
          <w:rFonts w:ascii="仿宋_GB2312" w:hAnsi="仿宋_GB2312" w:eastAsia="仿宋_GB2312" w:cs="仿宋_GB2312"/>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ind w:firstLine="643" w:firstLineChars="200"/>
        <w:jc w:val="left"/>
        <w:rPr>
          <w:rFonts w:ascii="宋体" w:hAnsi="宋体" w:eastAsia="宋体" w:cs="DengXian-Bold"/>
          <w:b/>
          <w:bCs/>
          <w:sz w:val="32"/>
          <w:szCs w:val="32"/>
        </w:rPr>
      </w:pPr>
      <w:r>
        <w:rPr>
          <w:rFonts w:hint="eastAsia" w:ascii="宋体" w:hAnsi="宋体" w:eastAsia="宋体" w:cs="DengXian-Bold"/>
          <w:b/>
          <w:bCs/>
          <w:sz w:val="32"/>
          <w:szCs w:val="32"/>
        </w:rPr>
        <w:t>（一）机关运行经费情况：</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2019年度机关运行经费支出147.84万元，比2018年度91.03万元增加56.81万元，增长162%。主要原因是</w:t>
      </w:r>
      <w:r>
        <w:rPr>
          <w:rFonts w:hint="eastAsia" w:ascii="宋体" w:hAnsi="宋体" w:eastAsia="宋体" w:cs="仿宋_GB2312"/>
          <w:sz w:val="32"/>
          <w:szCs w:val="32"/>
        </w:rPr>
        <w:t>机构改革</w:t>
      </w:r>
      <w:bookmarkStart w:id="0" w:name="_GoBack"/>
      <w:bookmarkEnd w:id="0"/>
      <w:r>
        <w:rPr>
          <w:rFonts w:hint="eastAsia" w:ascii="宋体" w:hAnsi="宋体" w:eastAsia="宋体" w:cs="仿宋_GB2312"/>
          <w:sz w:val="32"/>
          <w:szCs w:val="32"/>
          <w:lang w:eastAsia="zh-CN"/>
        </w:rPr>
        <w:t>与</w:t>
      </w:r>
      <w:r>
        <w:rPr>
          <w:rFonts w:hint="eastAsia" w:ascii="宋体" w:hAnsi="宋体" w:eastAsia="宋体" w:cs="仿宋_GB2312"/>
          <w:sz w:val="32"/>
          <w:szCs w:val="32"/>
        </w:rPr>
        <w:t>林业局、矿管办合并增加支出</w:t>
      </w:r>
      <w:r>
        <w:rPr>
          <w:rFonts w:hint="eastAsia" w:ascii="宋体" w:hAnsi="宋体" w:eastAsia="宋体" w:cs="DengXian-Regular"/>
          <w:sz w:val="32"/>
          <w:szCs w:val="32"/>
        </w:rPr>
        <w:t>。</w:t>
      </w:r>
    </w:p>
    <w:p>
      <w:pPr>
        <w:jc w:val="left"/>
        <w:rPr>
          <w:rFonts w:ascii="宋体" w:hAnsi="宋体" w:eastAsia="宋体"/>
          <w:b/>
          <w:bCs/>
          <w:sz w:val="32"/>
        </w:rPr>
      </w:pPr>
      <w:r>
        <w:rPr>
          <w:rFonts w:hint="eastAsia" w:ascii="宋体" w:hAnsi="宋体" w:eastAsia="宋体" w:cs="DengXian-Bold"/>
          <w:b/>
          <w:bCs/>
          <w:sz w:val="32"/>
          <w:szCs w:val="32"/>
        </w:rPr>
        <w:t xml:space="preserve">   （二）政府采购情况</w:t>
      </w:r>
    </w:p>
    <w:p>
      <w:pPr>
        <w:snapToGrid w:val="0"/>
        <w:spacing w:line="580" w:lineRule="exact"/>
        <w:ind w:firstLine="640" w:firstLineChars="200"/>
        <w:jc w:val="left"/>
        <w:rPr>
          <w:rFonts w:ascii="宋体" w:hAnsi="宋体" w:eastAsia="宋体" w:cs="DengXian-Regular"/>
          <w:sz w:val="32"/>
          <w:szCs w:val="32"/>
        </w:rPr>
      </w:pP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年度政府采购支出总额</w:t>
      </w:r>
      <w:r>
        <w:rPr>
          <w:rFonts w:ascii="宋体" w:hAnsi="宋体" w:eastAsia="宋体" w:cs="DengXian-Regular"/>
          <w:sz w:val="32"/>
          <w:szCs w:val="32"/>
        </w:rPr>
        <w:t>6401.766482</w:t>
      </w:r>
      <w:r>
        <w:rPr>
          <w:rFonts w:hint="eastAsia" w:ascii="宋体" w:hAnsi="宋体" w:eastAsia="宋体" w:cs="DengXian-Regular"/>
          <w:sz w:val="32"/>
          <w:szCs w:val="32"/>
        </w:rPr>
        <w:t>万元，从采购类型来看，</w:t>
      </w:r>
      <w:r>
        <w:rPr>
          <w:rFonts w:hint="eastAsia" w:ascii="宋体" w:hAnsi="宋体" w:eastAsia="宋体" w:cs="仿宋_GB2312"/>
          <w:color w:val="000000"/>
          <w:kern w:val="0"/>
          <w:sz w:val="32"/>
          <w:szCs w:val="32"/>
        </w:rPr>
        <w:t>政府采购货物支出0</w:t>
      </w:r>
      <w:r>
        <w:rPr>
          <w:rFonts w:ascii="宋体" w:hAnsi="宋体" w:eastAsia="宋体" w:cs="仿宋_GB2312"/>
          <w:color w:val="000000"/>
          <w:kern w:val="0"/>
          <w:sz w:val="32"/>
          <w:szCs w:val="32"/>
        </w:rPr>
        <w:t xml:space="preserve"> </w:t>
      </w:r>
      <w:r>
        <w:rPr>
          <w:rFonts w:hint="eastAsia" w:ascii="宋体" w:hAnsi="宋体" w:eastAsia="宋体" w:cs="仿宋_GB2312"/>
          <w:color w:val="000000"/>
          <w:kern w:val="0"/>
          <w:sz w:val="32"/>
          <w:szCs w:val="32"/>
        </w:rPr>
        <w:t>万元、政府采购工程支出</w:t>
      </w:r>
      <w:r>
        <w:rPr>
          <w:rFonts w:ascii="宋体" w:hAnsi="宋体" w:eastAsia="宋体" w:cs="仿宋_GB2312"/>
          <w:color w:val="000000"/>
          <w:kern w:val="0"/>
          <w:sz w:val="32"/>
          <w:szCs w:val="32"/>
        </w:rPr>
        <w:t>6401.766482</w:t>
      </w:r>
      <w:r>
        <w:rPr>
          <w:rFonts w:hint="eastAsia" w:ascii="宋体" w:hAnsi="宋体" w:eastAsia="宋体" w:cs="仿宋_GB2312"/>
          <w:color w:val="000000"/>
          <w:kern w:val="0"/>
          <w:sz w:val="32"/>
          <w:szCs w:val="32"/>
        </w:rPr>
        <w:t>万元、政府采购服务支出0万元。授予中小企业合同金0万元，占政府采购支出总额的0</w:t>
      </w:r>
      <w:r>
        <w:rPr>
          <w:rFonts w:ascii="宋体" w:hAnsi="宋体" w:eastAsia="宋体" w:cs="仿宋_GB2312"/>
          <w:color w:val="000000"/>
          <w:kern w:val="0"/>
          <w:sz w:val="32"/>
          <w:szCs w:val="32"/>
        </w:rPr>
        <w:t>%</w:t>
      </w:r>
      <w:r>
        <w:rPr>
          <w:rFonts w:hint="eastAsia" w:ascii="宋体" w:hAnsi="宋体" w:eastAsia="宋体" w:cs="仿宋_GB2312"/>
          <w:color w:val="000000"/>
          <w:kern w:val="0"/>
          <w:sz w:val="32"/>
          <w:szCs w:val="32"/>
        </w:rPr>
        <w:t>，其中授予小微企业合同金额</w:t>
      </w:r>
      <w:r>
        <w:rPr>
          <w:rFonts w:hint="eastAsia" w:ascii="宋体" w:hAnsi="宋体" w:eastAsia="宋体" w:cs="DengXian-Regular"/>
          <w:sz w:val="32"/>
          <w:szCs w:val="32"/>
        </w:rPr>
        <w:t>6401.766482</w:t>
      </w:r>
      <w:r>
        <w:rPr>
          <w:rFonts w:hint="eastAsia" w:ascii="宋体" w:hAnsi="宋体" w:eastAsia="宋体" w:cs="仿宋_GB2312"/>
          <w:color w:val="000000"/>
          <w:kern w:val="0"/>
          <w:sz w:val="32"/>
          <w:szCs w:val="32"/>
        </w:rPr>
        <w:t>万元，占政府采购支出总额的</w:t>
      </w:r>
      <w:r>
        <w:rPr>
          <w:rFonts w:ascii="宋体" w:hAnsi="宋体" w:eastAsia="宋体" w:cs="仿宋_GB2312"/>
          <w:color w:val="000000"/>
          <w:kern w:val="0"/>
          <w:sz w:val="32"/>
          <w:szCs w:val="32"/>
        </w:rPr>
        <w:t xml:space="preserve"> </w:t>
      </w:r>
      <w:r>
        <w:rPr>
          <w:rFonts w:hint="eastAsia" w:ascii="宋体" w:hAnsi="宋体" w:eastAsia="宋体" w:cs="仿宋_GB2312"/>
          <w:color w:val="000000"/>
          <w:kern w:val="0"/>
          <w:sz w:val="32"/>
          <w:szCs w:val="32"/>
        </w:rPr>
        <w:t>100</w:t>
      </w:r>
      <w:r>
        <w:rPr>
          <w:rFonts w:ascii="宋体" w:hAnsi="宋体" w:eastAsia="宋体" w:cs="仿宋_GB2312"/>
          <w:color w:val="000000"/>
          <w:kern w:val="0"/>
          <w:sz w:val="32"/>
          <w:szCs w:val="32"/>
        </w:rPr>
        <w:t>%</w:t>
      </w:r>
      <w:r>
        <w:rPr>
          <w:rFonts w:hint="eastAsia" w:ascii="宋体" w:hAnsi="宋体" w:eastAsia="宋体"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宋体" w:hAnsi="宋体" w:eastAsia="宋体" w:cs="DengXian-Regular"/>
          <w:sz w:val="32"/>
          <w:szCs w:val="32"/>
        </w:rPr>
      </w:pPr>
      <w:r>
        <w:rPr>
          <w:rFonts w:hint="eastAsia" w:ascii="宋体" w:hAnsi="宋体" w:eastAsia="宋体" w:cs="DengXian-Regular"/>
          <w:sz w:val="32"/>
          <w:szCs w:val="32"/>
        </w:rPr>
        <w:t>截至</w:t>
      </w:r>
      <w:r>
        <w:rPr>
          <w:rFonts w:ascii="宋体" w:hAnsi="宋体" w:eastAsia="宋体" w:cs="DengXian-Regular"/>
          <w:sz w:val="32"/>
          <w:szCs w:val="32"/>
        </w:rPr>
        <w:t>2019</w:t>
      </w:r>
      <w:r>
        <w:rPr>
          <w:rFonts w:hint="eastAsia" w:ascii="宋体" w:hAnsi="宋体" w:eastAsia="宋体" w:cs="DengXian-Regular"/>
          <w:sz w:val="32"/>
          <w:szCs w:val="32"/>
        </w:rPr>
        <w:t>年</w:t>
      </w:r>
      <w:r>
        <w:rPr>
          <w:rFonts w:ascii="宋体" w:hAnsi="宋体" w:eastAsia="宋体" w:cs="DengXian-Regular"/>
          <w:sz w:val="32"/>
          <w:szCs w:val="32"/>
        </w:rPr>
        <w:t>12</w:t>
      </w:r>
      <w:r>
        <w:rPr>
          <w:rFonts w:hint="eastAsia" w:ascii="宋体" w:hAnsi="宋体" w:eastAsia="宋体" w:cs="DengXian-Regular"/>
          <w:sz w:val="32"/>
          <w:szCs w:val="32"/>
        </w:rPr>
        <w:t>月</w:t>
      </w:r>
      <w:r>
        <w:rPr>
          <w:rFonts w:ascii="宋体" w:hAnsi="宋体" w:eastAsia="宋体" w:cs="DengXian-Regular"/>
          <w:sz w:val="32"/>
          <w:szCs w:val="32"/>
        </w:rPr>
        <w:t>31</w:t>
      </w:r>
      <w:r>
        <w:rPr>
          <w:rFonts w:hint="eastAsia" w:ascii="宋体" w:hAnsi="宋体" w:eastAsia="宋体" w:cs="DengXian-Regular"/>
          <w:sz w:val="32"/>
          <w:szCs w:val="32"/>
        </w:rPr>
        <w:t>日，本部门共有车辆28辆，比上年增加10辆，主要是机构改革与林业局、矿管办合并增加。其中，副部（省）级及以上领导用车0辆，主要领导干部用车3辆，机要通信用车0辆，应急保障用车0辆，执法执勤用车0辆，特种专业技术用车0辆，离退休干部用车0辆，其他用车25辆；</w:t>
      </w:r>
    </w:p>
    <w:p>
      <w:pPr>
        <w:adjustRightInd w:val="0"/>
        <w:snapToGrid w:val="0"/>
        <w:spacing w:line="580" w:lineRule="exact"/>
        <w:ind w:firstLine="640" w:firstLineChars="200"/>
        <w:rPr>
          <w:rFonts w:ascii="宋体" w:hAnsi="宋体" w:eastAsia="宋体" w:cs="DengXian-Bold"/>
          <w:b/>
          <w:bCs/>
          <w:sz w:val="32"/>
          <w:szCs w:val="32"/>
        </w:rPr>
      </w:pPr>
      <w:r>
        <w:rPr>
          <w:rFonts w:hint="eastAsia" w:ascii="宋体" w:hAnsi="宋体" w:eastAsia="宋体" w:cs="DengXian-Regular"/>
          <w:sz w:val="32"/>
          <w:szCs w:val="32"/>
        </w:rPr>
        <w:t>单位价值</w:t>
      </w:r>
      <w:r>
        <w:rPr>
          <w:rFonts w:ascii="宋体" w:hAnsi="宋体" w:eastAsia="宋体" w:cs="TimesNewRomanPSMT"/>
          <w:sz w:val="32"/>
          <w:szCs w:val="32"/>
        </w:rPr>
        <w:t>50</w:t>
      </w:r>
      <w:r>
        <w:rPr>
          <w:rFonts w:hint="eastAsia" w:ascii="宋体" w:hAnsi="宋体" w:eastAsia="宋体" w:cs="DengXian-Regular"/>
          <w:sz w:val="32"/>
          <w:szCs w:val="32"/>
        </w:rPr>
        <w:t>万元以上通用设备0台（套），比上年增加0套，</w:t>
      </w:r>
      <w:r>
        <w:rPr>
          <w:rFonts w:hint="eastAsia" w:ascii="宋体" w:hAnsi="宋体" w:eastAsia="宋体" w:cs="仿宋_GB2312"/>
          <w:sz w:val="32"/>
          <w:szCs w:val="32"/>
        </w:rPr>
        <w:t>与上年相比无变化</w:t>
      </w:r>
      <w:r>
        <w:rPr>
          <w:rFonts w:hint="eastAsia" w:ascii="宋体" w:hAnsi="宋体" w:eastAsia="宋体" w:cs="DengXian-Regular"/>
          <w:sz w:val="32"/>
          <w:szCs w:val="32"/>
        </w:rPr>
        <w:t>，单位价值</w:t>
      </w:r>
      <w:r>
        <w:rPr>
          <w:rFonts w:ascii="宋体" w:hAnsi="宋体" w:eastAsia="宋体" w:cs="TimesNewRomanPSMT"/>
          <w:sz w:val="32"/>
          <w:szCs w:val="32"/>
        </w:rPr>
        <w:t>100</w:t>
      </w:r>
      <w:r>
        <w:rPr>
          <w:rFonts w:hint="eastAsia" w:ascii="宋体" w:hAnsi="宋体" w:eastAsia="宋体" w:cs="DengXian-Regular"/>
          <w:sz w:val="32"/>
          <w:szCs w:val="32"/>
        </w:rPr>
        <w:t>万元以上专用设备0台（套）比上年增加0套，</w:t>
      </w:r>
      <w:r>
        <w:rPr>
          <w:rFonts w:hint="eastAsia" w:ascii="宋体" w:hAnsi="宋体" w:eastAsia="宋体" w:cs="仿宋_GB2312"/>
          <w:sz w:val="32"/>
          <w:szCs w:val="32"/>
        </w:rPr>
        <w:t>与上年相比无变化</w:t>
      </w:r>
      <w:r>
        <w:rPr>
          <w:rFonts w:hint="eastAsia" w:ascii="宋体" w:hAnsi="宋体" w:eastAsia="宋体" w:cs="DengXian-Regular"/>
          <w:sz w:val="32"/>
          <w:szCs w:val="32"/>
        </w:rPr>
        <w:t>。</w:t>
      </w:r>
    </w:p>
    <w:p>
      <w:pPr>
        <w:adjustRightInd w:val="0"/>
        <w:snapToGrid w:val="0"/>
        <w:spacing w:line="580" w:lineRule="exact"/>
        <w:ind w:firstLine="643" w:firstLineChars="200"/>
        <w:rPr>
          <w:rFonts w:ascii="宋体" w:hAnsi="宋体" w:eastAsia="宋体"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宋体" w:hAnsi="宋体" w:eastAsia="宋体" w:cs="DengXian-Regular"/>
          <w:sz w:val="32"/>
          <w:szCs w:val="32"/>
        </w:rPr>
      </w:pPr>
      <w:r>
        <w:rPr>
          <w:rFonts w:ascii="宋体" w:hAnsi="宋体" w:eastAsia="宋体" w:cs="DengXian-Regular"/>
          <w:sz w:val="32"/>
          <w:szCs w:val="32"/>
        </w:rPr>
        <w:t xml:space="preserve">1. </w:t>
      </w:r>
      <w:r>
        <w:rPr>
          <w:rFonts w:hint="eastAsia" w:ascii="宋体" w:hAnsi="宋体" w:eastAsia="宋体" w:cs="DengXian-Regular"/>
          <w:sz w:val="32"/>
          <w:szCs w:val="32"/>
        </w:rPr>
        <w:t>本部门</w:t>
      </w:r>
      <w:r>
        <w:rPr>
          <w:rFonts w:ascii="宋体" w:hAnsi="宋体" w:eastAsia="宋体" w:cs="DengXian-Regular"/>
          <w:sz w:val="32"/>
          <w:szCs w:val="32"/>
        </w:rPr>
        <w:t>2019</w:t>
      </w:r>
      <w:r>
        <w:rPr>
          <w:rFonts w:hint="eastAsia" w:ascii="宋体" w:hAnsi="宋体" w:eastAsia="宋体" w:cs="DengXian-Regular"/>
          <w:sz w:val="32"/>
          <w:szCs w:val="32"/>
        </w:rPr>
        <w:t>年度国有资本经营无收支及结转结余情况，故</w:t>
      </w:r>
      <w:r>
        <w:rPr>
          <w:rFonts w:hint="eastAsia" w:ascii="宋体" w:hAnsi="宋体" w:eastAsia="宋体" w:cs="仿宋_GB2312"/>
          <w:sz w:val="32"/>
          <w:szCs w:val="32"/>
        </w:rPr>
        <w:t>国有资本经营预算财政拨款支出决算</w:t>
      </w:r>
      <w:r>
        <w:rPr>
          <w:rFonts w:hint="eastAsia" w:ascii="宋体" w:hAnsi="宋体" w:eastAsia="宋体" w:cs="DengXian-Regular"/>
          <w:sz w:val="32"/>
          <w:szCs w:val="32"/>
        </w:rPr>
        <w:t>表以空表列示。</w:t>
      </w:r>
    </w:p>
    <w:p>
      <w:pPr>
        <w:adjustRightInd w:val="0"/>
        <w:snapToGrid w:val="0"/>
        <w:spacing w:line="580" w:lineRule="exact"/>
        <w:ind w:firstLine="640" w:firstLineChars="200"/>
        <w:rPr>
          <w:rFonts w:ascii="宋体" w:hAnsi="宋体" w:eastAsia="宋体" w:cs="DengXian-Regular"/>
          <w:sz w:val="32"/>
          <w:szCs w:val="32"/>
        </w:rPr>
      </w:pPr>
      <w:r>
        <w:rPr>
          <w:rFonts w:ascii="宋体" w:hAnsi="宋体" w:eastAsia="宋体" w:cs="DengXian-Regular"/>
          <w:sz w:val="32"/>
          <w:szCs w:val="32"/>
        </w:rPr>
        <w:t xml:space="preserve">2. </w:t>
      </w:r>
      <w:r>
        <w:rPr>
          <w:rFonts w:hint="eastAsia" w:ascii="宋体" w:hAnsi="宋体" w:eastAsia="宋体"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88" o:spid="_x0000_s1088" o:spt="202" type="#_x0000_t202"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3"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cs="ArialUnicodeMS"/>
          <w:sz w:val="32"/>
          <w:szCs w:val="32"/>
        </w:rPr>
        <w:t xml:space="preserve">    </w:t>
      </w:r>
      <w:r>
        <w:rPr>
          <w:rFonts w:hint="eastAsia" w:ascii="仿宋_GB2312" w:hAnsi="宋体" w:eastAsia="仿宋_GB2312"/>
          <w:b/>
          <w:bCs/>
          <w:color w:val="000000"/>
          <w:kern w:val="0"/>
          <w:sz w:val="32"/>
          <w:szCs w:val="32"/>
        </w:rPr>
        <w:t>（一）财政拨款收入：</w:t>
      </w:r>
      <w:r>
        <w:rPr>
          <w:rFonts w:hint="eastAsia" w:ascii="宋体" w:hAnsi="宋体" w:eastAsia="宋体"/>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（二）事业收入：</w:t>
      </w:r>
      <w:r>
        <w:rPr>
          <w:rFonts w:hint="eastAsia" w:ascii="宋体" w:hAnsi="宋体" w:eastAsia="宋体"/>
          <w:color w:val="000000"/>
          <w:kern w:val="0"/>
          <w:sz w:val="32"/>
          <w:szCs w:val="32"/>
        </w:rPr>
        <w:t>指事业单位开展专业业务活动及辅助活动所取得的收入。</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（三）其他收入：</w:t>
      </w:r>
      <w:r>
        <w:rPr>
          <w:rFonts w:hint="eastAsia" w:ascii="宋体" w:hAnsi="宋体" w:eastAsia="宋体"/>
          <w:color w:val="000000"/>
          <w:kern w:val="0"/>
          <w:sz w:val="32"/>
          <w:szCs w:val="32"/>
        </w:rPr>
        <w:t>指除上述“财政拨款收入”“事业收入”“经营收入”等以外的收入。</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宋体" w:hAnsi="宋体" w:eastAsia="宋体"/>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宋体" w:hAnsi="宋体" w:eastAsia="宋体"/>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（六）结余分配：</w:t>
      </w:r>
      <w:r>
        <w:rPr>
          <w:rFonts w:hint="eastAsia" w:ascii="宋体" w:hAnsi="宋体" w:eastAsia="宋体"/>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宋体" w:hAnsi="宋体" w:eastAsia="宋体"/>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（八）基本支出：</w:t>
      </w:r>
      <w:r>
        <w:rPr>
          <w:rFonts w:hint="eastAsia" w:ascii="宋体" w:hAnsi="宋体" w:eastAsia="宋体"/>
          <w:color w:val="000000"/>
          <w:kern w:val="0"/>
          <w:sz w:val="32"/>
          <w:szCs w:val="32"/>
        </w:rPr>
        <w:t>填列单位为保障机构正常运转、完成日常工作任务而发生的各项支出。</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（九）项目支出：</w:t>
      </w:r>
      <w:r>
        <w:rPr>
          <w:rFonts w:hint="eastAsia" w:ascii="宋体" w:hAnsi="宋体" w:eastAsia="宋体"/>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宋体" w:hAnsi="宋体" w:eastAsia="宋体"/>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宋体" w:hAnsi="宋体" w:eastAsia="宋体"/>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宋体" w:hAnsi="宋体" w:eastAsia="宋体"/>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宋体" w:hAnsi="宋体" w:eastAsia="宋体"/>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宋体" w:hAnsi="宋体" w:eastAsia="宋体"/>
          <w:color w:val="000000"/>
          <w:kern w:val="0"/>
          <w:sz w:val="32"/>
          <w:szCs w:val="32"/>
        </w:rPr>
        <w:t>填列单位公务用车车辆购置支出（含车辆购置税、牌照费）。</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宋体" w:hAnsi="宋体" w:eastAsia="宋体"/>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宋体" w:hAnsi="宋体" w:eastAsia="宋体"/>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宋体" w:hAnsi="宋体" w:eastAsia="宋体"/>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宋体" w:hAnsi="宋体" w:eastAsia="宋体"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宋体" w:hAnsi="宋体" w:eastAsia="宋体"/>
          <w:color w:val="000000"/>
          <w:kern w:val="0"/>
          <w:sz w:val="32"/>
          <w:szCs w:val="32"/>
        </w:rPr>
        <w:t>按照经费来源，</w:t>
      </w:r>
      <w:r>
        <w:rPr>
          <w:rFonts w:hint="eastAsia" w:ascii="宋体" w:hAnsi="宋体" w:eastAsia="宋体" w:cs="ArialUnicodeMS"/>
          <w:kern w:val="0"/>
          <w:sz w:val="32"/>
          <w:szCs w:val="32"/>
        </w:rPr>
        <w:t>可分为财政拨款、财政性资金基本保证、财政性资金定额或定项补助、财政性资金零补助四类。</w:t>
      </w:r>
    </w:p>
    <w:p/>
    <w:p/>
    <w:p/>
    <w:p/>
    <w:p/>
    <w:p/>
    <w:p/>
    <w:p/>
    <w:p/>
    <w:p/>
    <w:p/>
    <w:p>
      <w:pPr>
        <w:jc w:val="left"/>
        <w:sectPr>
          <w:headerReference r:id="rId14"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pPr>
      <w:r>
        <w:pict>
          <v:shape id="_x0000_s1089" o:spid="_x0000_s1089"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
    <w:p/>
    <w:p/>
    <w:p/>
    <w:p/>
    <w:p/>
    <w:p/>
    <w:p/>
    <w:p/>
    <w:p/>
    <w:p/>
    <w:p/>
    <w:p/>
    <w:p/>
    <w:p/>
    <w:p/>
    <w:p/>
    <w:p/>
    <w:p/>
    <w:p/>
    <w:p/>
    <w:p/>
    <w:p/>
    <w:p/>
    <w:p/>
    <w:p/>
    <w:p/>
    <w:p/>
    <w:p/>
    <w:p/>
    <w:p/>
    <w:p/>
    <w:p/>
    <w:p>
      <w:pPr>
        <w:tabs>
          <w:tab w:val="left" w:pos="1065"/>
        </w:tabs>
      </w:pPr>
      <w:r>
        <w:tab/>
      </w:r>
    </w:p>
    <w:p>
      <w:pPr>
        <w:tabs>
          <w:tab w:val="left" w:pos="1065"/>
        </w:tabs>
      </w:pPr>
      <w:r>
        <w:br w:type="page"/>
      </w:r>
    </w:p>
    <w:tbl>
      <w:tblPr>
        <w:tblStyle w:val="6"/>
        <w:tblW w:w="5000" w:type="pct"/>
        <w:tblInd w:w="0" w:type="dxa"/>
        <w:tblLayout w:type="autofit"/>
        <w:tblCellMar>
          <w:top w:w="0" w:type="dxa"/>
          <w:left w:w="0" w:type="dxa"/>
          <w:bottom w:w="0" w:type="dxa"/>
          <w:right w:w="0" w:type="dxa"/>
        </w:tblCellMar>
      </w:tblPr>
      <w:tblGrid>
        <w:gridCol w:w="2820"/>
        <w:gridCol w:w="363"/>
        <w:gridCol w:w="1410"/>
        <w:gridCol w:w="2654"/>
        <w:gridCol w:w="363"/>
        <w:gridCol w:w="1234"/>
      </w:tblGrid>
      <w:tr>
        <w:tblPrEx>
          <w:tblCellMar>
            <w:top w:w="0" w:type="dxa"/>
            <w:left w:w="0" w:type="dxa"/>
            <w:bottom w:w="0" w:type="dxa"/>
            <w:right w:w="0" w:type="dxa"/>
          </w:tblCellMar>
        </w:tblPrEx>
        <w:trPr>
          <w:trHeight w:val="390" w:hRule="atLeast"/>
        </w:trPr>
        <w:tc>
          <w:tcPr>
            <w:tcW w:w="1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收入支出决算总表</w:t>
            </w:r>
          </w:p>
        </w:tc>
        <w:tc>
          <w:tcPr>
            <w:tcW w:w="1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1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公开01表</w:t>
            </w:r>
          </w:p>
        </w:tc>
      </w:tr>
      <w:tr>
        <w:tblPrEx>
          <w:tblCellMar>
            <w:top w:w="0" w:type="dxa"/>
            <w:left w:w="0" w:type="dxa"/>
            <w:bottom w:w="0" w:type="dxa"/>
            <w:right w:w="0" w:type="dxa"/>
          </w:tblCellMar>
        </w:tblPrEx>
        <w:trPr>
          <w:trHeight w:val="255" w:hRule="atLeast"/>
        </w:trPr>
        <w:tc>
          <w:tcPr>
            <w:tcW w:w="1490"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11,861.94</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一、一般公共服务支出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二、外交支出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三、上级补助收入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三、国防支出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四、事业收入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四、公共安全支出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五、经营收入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五、教育支出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六、附属单位上缴收入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六、科学技术支出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七、其他收入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七、文化旅游体育与传媒支出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八、社会保障和就业支出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九、卫生健康支出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十、节能环保支出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十一、城乡社区支出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十二、农林水支出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十三、交通运输支出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十四、资源勘探信息等支出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十五、商业服务业等支出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十六、金融支出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十七、援助其他地区支出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十八、自然资源海洋气象等支出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十九、住房保障支出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二十、粮油物资储备支出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二十一、灾害防治及应急管理支出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二十二、其他支出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二十四、债务付息支出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本年收入合计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本年支出合计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用事业基金弥补收支差额</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结余分配</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年末结转和结余</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490"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149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注：本表反映部门本年度的总收支和年末结转结余情况。</w:t>
            </w:r>
          </w:p>
        </w:tc>
      </w:tr>
    </w:tbl>
    <w:p>
      <w:pPr>
        <w:tabs>
          <w:tab w:val="left" w:pos="1065"/>
        </w:tabs>
      </w:pPr>
      <w:r>
        <w:br w:type="page"/>
      </w:r>
    </w:p>
    <w:tbl>
      <w:tblPr>
        <w:tblStyle w:val="6"/>
        <w:tblW w:w="5000" w:type="pct"/>
        <w:tblInd w:w="0" w:type="dxa"/>
        <w:tblLayout w:type="autofit"/>
        <w:tblCellMar>
          <w:top w:w="0" w:type="dxa"/>
          <w:left w:w="0" w:type="dxa"/>
          <w:bottom w:w="0" w:type="dxa"/>
          <w:right w:w="0" w:type="dxa"/>
        </w:tblCellMar>
      </w:tblPr>
      <w:tblGrid>
        <w:gridCol w:w="197"/>
        <w:gridCol w:w="198"/>
        <w:gridCol w:w="199"/>
        <w:gridCol w:w="4181"/>
        <w:gridCol w:w="767"/>
        <w:gridCol w:w="767"/>
        <w:gridCol w:w="835"/>
        <w:gridCol w:w="177"/>
        <w:gridCol w:w="177"/>
        <w:gridCol w:w="177"/>
        <w:gridCol w:w="1169"/>
      </w:tblGrid>
      <w:tr>
        <w:tblPrEx>
          <w:tblCellMar>
            <w:top w:w="0" w:type="dxa"/>
            <w:left w:w="0" w:type="dxa"/>
            <w:bottom w:w="0" w:type="dxa"/>
            <w:right w:w="0" w:type="dxa"/>
          </w:tblCellMar>
        </w:tblPrEx>
        <w:trPr>
          <w:trHeight w:val="390" w:hRule="atLeast"/>
        </w:trPr>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43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收入决算表</w:t>
            </w: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43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公开02表</w:t>
            </w:r>
          </w:p>
        </w:tc>
      </w:tr>
      <w:tr>
        <w:tblPrEx>
          <w:tblCellMar>
            <w:top w:w="0" w:type="dxa"/>
            <w:left w:w="0" w:type="dxa"/>
            <w:bottom w:w="0" w:type="dxa"/>
            <w:right w:w="0" w:type="dxa"/>
          </w:tblCellMar>
        </w:tblPrEx>
        <w:trPr>
          <w:trHeight w:val="255" w:hRule="atLeast"/>
        </w:trPr>
        <w:tc>
          <w:tcPr>
            <w:tcW w:w="1711" w:type="pct"/>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7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1711"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本年收入合计</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上级补助收入</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附属单位上缴收入</w:t>
            </w:r>
          </w:p>
        </w:tc>
        <w:tc>
          <w:tcPr>
            <w:tcW w:w="47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r>
      <w:tr>
        <w:tblPrEx>
          <w:tblCellMar>
            <w:top w:w="0" w:type="dxa"/>
            <w:left w:w="0" w:type="dxa"/>
            <w:bottom w:w="0" w:type="dxa"/>
            <w:right w:w="0" w:type="dxa"/>
          </w:tblCellMar>
        </w:tblPrEx>
        <w:trPr>
          <w:trHeight w:val="312" w:hRule="atLeast"/>
        </w:trPr>
        <w:tc>
          <w:tcPr>
            <w:tcW w:w="27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1435"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276"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3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276"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3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7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1711"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47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r>
      <w:tr>
        <w:tblPrEx>
          <w:tblCellMar>
            <w:top w:w="0" w:type="dxa"/>
            <w:left w:w="0" w:type="dxa"/>
            <w:bottom w:w="0" w:type="dxa"/>
            <w:right w:w="0" w:type="dxa"/>
          </w:tblCellMar>
        </w:tblPrEx>
        <w:trPr>
          <w:trHeight w:val="308" w:hRule="atLeast"/>
        </w:trPr>
        <w:tc>
          <w:tcPr>
            <w:tcW w:w="1711"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42,003.28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42,003.28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政府办公厅（室）及相关机构事务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其他科学技术支出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2069999</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其他科学技术支出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行政事业单位离退休</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机关事业单位职业年金缴费支出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行政单位医疗</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事业单位医疗</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节能环保支出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天然林保护</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2110507</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停伐补助</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退耕还林</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退耕现金</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国有土地使用权出让收入及对应专项债务收入安排的支出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补助被征地农民支出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土地出让业务支出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2120899</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其他国有土地使用权出让收入安排的支出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土地储备专项债券收入安排的支出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棚户区改造专项债券收入安排的支出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林业和草原</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2130205</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森林培育</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技术推广与转化</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2130207</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森林资源管理</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2130209</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森林生态效益补偿</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2130213</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执法与监督</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2130227</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贷款贴息</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2130234</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防灾减灾</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2130299</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其他林业和草原支出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自然资源海洋气象等支出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自然资源事务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2200106</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土地资源利用与保护</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2200110</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国土整治</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2200114</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地质矿产资源利用与保护</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43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7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注：本表反映部门本年度取得的各项收入情况。</w:t>
            </w:r>
          </w:p>
        </w:tc>
      </w:tr>
    </w:tbl>
    <w:p>
      <w:pPr>
        <w:tabs>
          <w:tab w:val="left" w:pos="1065"/>
        </w:tabs>
      </w:pPr>
    </w:p>
    <w:p/>
    <w:p>
      <w:r>
        <w:br w:type="page"/>
      </w:r>
    </w:p>
    <w:tbl>
      <w:tblPr>
        <w:tblStyle w:val="6"/>
        <w:tblW w:w="5000" w:type="pct"/>
        <w:tblInd w:w="0" w:type="dxa"/>
        <w:tblLayout w:type="autofit"/>
        <w:tblCellMar>
          <w:top w:w="0" w:type="dxa"/>
          <w:left w:w="0" w:type="dxa"/>
          <w:bottom w:w="0" w:type="dxa"/>
          <w:right w:w="0" w:type="dxa"/>
        </w:tblCellMar>
      </w:tblPr>
      <w:tblGrid>
        <w:gridCol w:w="201"/>
        <w:gridCol w:w="202"/>
        <w:gridCol w:w="203"/>
        <w:gridCol w:w="4267"/>
        <w:gridCol w:w="783"/>
        <w:gridCol w:w="852"/>
        <w:gridCol w:w="783"/>
        <w:gridCol w:w="180"/>
        <w:gridCol w:w="180"/>
        <w:gridCol w:w="1193"/>
      </w:tblGrid>
      <w:tr>
        <w:tblPrEx>
          <w:tblCellMar>
            <w:top w:w="0" w:type="dxa"/>
            <w:left w:w="0" w:type="dxa"/>
            <w:bottom w:w="0" w:type="dxa"/>
            <w:right w:w="0" w:type="dxa"/>
          </w:tblCellMar>
        </w:tblPrEx>
        <w:trPr>
          <w:trHeight w:val="390" w:hRule="atLeast"/>
        </w:trPr>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5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支出决算表</w:t>
            </w: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58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公开03表</w:t>
            </w:r>
          </w:p>
        </w:tc>
      </w:tr>
      <w:tr>
        <w:tblPrEx>
          <w:tblCellMar>
            <w:top w:w="0" w:type="dxa"/>
            <w:left w:w="0" w:type="dxa"/>
            <w:bottom w:w="0" w:type="dxa"/>
            <w:right w:w="0" w:type="dxa"/>
          </w:tblCellMar>
        </w:tblPrEx>
        <w:trPr>
          <w:trHeight w:val="255" w:hRule="atLeast"/>
        </w:trPr>
        <w:tc>
          <w:tcPr>
            <w:tcW w:w="1889" w:type="pct"/>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1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188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本年支出合计</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上缴上级支出</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经营支出</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对附属单位补助支出</w:t>
            </w:r>
          </w:p>
        </w:tc>
      </w:tr>
      <w:tr>
        <w:tblPrEx>
          <w:tblCellMar>
            <w:top w:w="0" w:type="dxa"/>
            <w:left w:w="0" w:type="dxa"/>
            <w:bottom w:w="0" w:type="dxa"/>
            <w:right w:w="0" w:type="dxa"/>
          </w:tblCellMar>
        </w:tblPrEx>
        <w:trPr>
          <w:trHeight w:val="312" w:hRule="atLeast"/>
        </w:trPr>
        <w:tc>
          <w:tcPr>
            <w:tcW w:w="30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1584"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305"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58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305"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58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1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1889"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5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CellMar>
            <w:top w:w="0" w:type="dxa"/>
            <w:left w:w="0" w:type="dxa"/>
            <w:bottom w:w="0" w:type="dxa"/>
            <w:right w:w="0" w:type="dxa"/>
          </w:tblCellMar>
        </w:tblPrEx>
        <w:trPr>
          <w:trHeight w:val="308" w:hRule="atLeast"/>
        </w:trPr>
        <w:tc>
          <w:tcPr>
            <w:tcW w:w="1889"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42,003.28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5,112.01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36,891.27</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政府办公厅（室）及相关机构事务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其他科学技术支出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2069999</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其他科学技术支出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行政事业单位离退休</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机关事业单位职业年金缴费支出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行政单位医疗</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事业单位医疗</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节能环保支出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天然林保护</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2110507</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停伐补助</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退耕还林</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退耕现金</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国有土地使用权出让收入及对应专项债务收入安排的支出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补助被征地农民支出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土地出让业务支出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2120899</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其他国有土地使用权出让收入安排的支出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土地储备专项债券收入安排的支出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棚户区改造专项债券收入安排的支出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743.01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2,170.94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林业和草原</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743.01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2,170.94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2130205</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森林培育</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技术推广与转化</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2130207</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森林资源管理</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2130209</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森林生态效益补偿</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2130213</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执法与监督</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2130227</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贷款贴息</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2130234</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防灾减灾</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2130299</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其他林业和草原支出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自然资源海洋气象等支出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3,129.74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1,602.06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自然资源事务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3,129.74</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1,602.06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2200106</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土地资源利用与保护</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2200110</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国土整治</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2200114</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地质矿产资源利用与保护</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0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58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注：本表反映部门本年度各项支出情况。</w:t>
            </w:r>
          </w:p>
        </w:tc>
      </w:tr>
    </w:tbl>
    <w:p/>
    <w:p>
      <w:r>
        <w:br w:type="page"/>
      </w:r>
    </w:p>
    <w:tbl>
      <w:tblPr>
        <w:tblStyle w:val="6"/>
        <w:tblW w:w="5000" w:type="pct"/>
        <w:tblInd w:w="0" w:type="dxa"/>
        <w:tblLayout w:type="autofit"/>
        <w:tblCellMar>
          <w:top w:w="0" w:type="dxa"/>
          <w:left w:w="0" w:type="dxa"/>
          <w:bottom w:w="0" w:type="dxa"/>
          <w:right w:w="0" w:type="dxa"/>
        </w:tblCellMar>
      </w:tblPr>
      <w:tblGrid>
        <w:gridCol w:w="2627"/>
        <w:gridCol w:w="174"/>
        <w:gridCol w:w="749"/>
        <w:gridCol w:w="2472"/>
        <w:gridCol w:w="174"/>
        <w:gridCol w:w="749"/>
        <w:gridCol w:w="749"/>
        <w:gridCol w:w="1150"/>
      </w:tblGrid>
      <w:tr>
        <w:tblPrEx>
          <w:tblCellMar>
            <w:top w:w="0" w:type="dxa"/>
            <w:left w:w="0" w:type="dxa"/>
            <w:bottom w:w="0" w:type="dxa"/>
            <w:right w:w="0" w:type="dxa"/>
          </w:tblCellMar>
        </w:tblPrEx>
        <w:trPr>
          <w:trHeight w:val="390" w:hRule="atLeast"/>
        </w:trPr>
        <w:tc>
          <w:tcPr>
            <w:tcW w:w="1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30"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财政拨款收入支出决算总表</w:t>
            </w: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110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3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公开04表</w:t>
            </w:r>
          </w:p>
        </w:tc>
      </w:tr>
      <w:tr>
        <w:tblPrEx>
          <w:tblCellMar>
            <w:top w:w="0" w:type="dxa"/>
            <w:left w:w="0" w:type="dxa"/>
            <w:bottom w:w="0" w:type="dxa"/>
            <w:right w:w="0" w:type="dxa"/>
          </w:tblCellMar>
        </w:tblPrEx>
        <w:trPr>
          <w:trHeight w:val="255" w:hRule="atLeast"/>
        </w:trPr>
        <w:tc>
          <w:tcPr>
            <w:tcW w:w="1102"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3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67"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186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     入</w:t>
            </w:r>
          </w:p>
        </w:tc>
        <w:tc>
          <w:tcPr>
            <w:tcW w:w="3131" w:type="pct"/>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     出</w:t>
            </w:r>
          </w:p>
        </w:tc>
      </w:tr>
      <w:tr>
        <w:tblPrEx>
          <w:tblCellMar>
            <w:top w:w="0" w:type="dxa"/>
            <w:left w:w="0" w:type="dxa"/>
            <w:bottom w:w="0" w:type="dxa"/>
            <w:right w:w="0" w:type="dxa"/>
          </w:tblCellMar>
        </w:tblPrEx>
        <w:trPr>
          <w:trHeight w:val="312" w:hRule="atLeast"/>
        </w:trPr>
        <w:tc>
          <w:tcPr>
            <w:tcW w:w="1102"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9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56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1230"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9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567"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6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一般公共预算财政拨款</w:t>
            </w:r>
          </w:p>
        </w:tc>
        <w:tc>
          <w:tcPr>
            <w:tcW w:w="56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政府性基金预算财政拨款</w:t>
            </w:r>
          </w:p>
        </w:tc>
      </w:tr>
      <w:tr>
        <w:tblPrEx>
          <w:tblCellMar>
            <w:top w:w="0" w:type="dxa"/>
            <w:left w:w="0" w:type="dxa"/>
            <w:bottom w:w="0" w:type="dxa"/>
            <w:right w:w="0" w:type="dxa"/>
          </w:tblCellMar>
        </w:tblPrEx>
        <w:trPr>
          <w:trHeight w:val="615" w:hRule="atLeast"/>
        </w:trPr>
        <w:tc>
          <w:tcPr>
            <w:tcW w:w="110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23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56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567"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11,861.94</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一、一般公共服务支出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二、外交支出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三、国防支出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四、公共安全支出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五、教育支出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六、科学技术支出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七、文化旅游体育与传媒支出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八、社会保障和就业支出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九、卫生健康支出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十、节能环保支出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十一、城乡社区支出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十二、农林水支出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十三、交通运输支出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十四、资源勘探信息等支出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十五、商业服务业等支出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十六、金融支出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十七、援助其他地区支出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十八、自然资源海洋气象等支出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十九、住房保障支出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二十、粮油物资储备支出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二十一、灾害防治及应急管理支出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二十二、其他支出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二十四、债务付息支出</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本年收入合计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本年支出合计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11,861.94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年初财政拨款结转和结余</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年末财政拨款结转和结余</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57</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02"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123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1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42,003.28</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11,861.94</w:t>
            </w:r>
          </w:p>
        </w:tc>
        <w:tc>
          <w:tcPr>
            <w:tcW w:w="56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r>
      <w:tr>
        <w:tblPrEx>
          <w:tblCellMar>
            <w:top w:w="0" w:type="dxa"/>
            <w:left w:w="0" w:type="dxa"/>
            <w:bottom w:w="0" w:type="dxa"/>
            <w:right w:w="0"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注：本表反映部门本年度一般公共预算财政拨款和政府性基金预算财政拨款的总收支和年末结转结余情况。</w:t>
            </w:r>
          </w:p>
        </w:tc>
      </w:tr>
    </w:tbl>
    <w:p/>
    <w:p>
      <w:r>
        <w:br w:type="page"/>
      </w:r>
    </w:p>
    <w:tbl>
      <w:tblPr>
        <w:tblStyle w:val="6"/>
        <w:tblW w:w="5000" w:type="pct"/>
        <w:tblInd w:w="0" w:type="dxa"/>
        <w:tblLayout w:type="autofit"/>
        <w:tblCellMar>
          <w:top w:w="0" w:type="dxa"/>
          <w:left w:w="0" w:type="dxa"/>
          <w:bottom w:w="0" w:type="dxa"/>
          <w:right w:w="0" w:type="dxa"/>
        </w:tblCellMar>
      </w:tblPr>
      <w:tblGrid>
        <w:gridCol w:w="213"/>
        <w:gridCol w:w="213"/>
        <w:gridCol w:w="214"/>
        <w:gridCol w:w="3070"/>
        <w:gridCol w:w="2700"/>
        <w:gridCol w:w="895"/>
        <w:gridCol w:w="1539"/>
      </w:tblGrid>
      <w:tr>
        <w:tblPrEx>
          <w:tblCellMar>
            <w:top w:w="0" w:type="dxa"/>
            <w:left w:w="0" w:type="dxa"/>
            <w:bottom w:w="0" w:type="dxa"/>
            <w:right w:w="0" w:type="dxa"/>
          </w:tblCellMar>
        </w:tblPrEx>
        <w:trPr>
          <w:trHeight w:val="390" w:hRule="atLeast"/>
        </w:trPr>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62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一般公共预算财政拨款支出决算表</w:t>
            </w: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62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公开05表</w:t>
            </w:r>
          </w:p>
        </w:tc>
      </w:tr>
      <w:tr>
        <w:tblPrEx>
          <w:tblCellMar>
            <w:top w:w="0" w:type="dxa"/>
            <w:left w:w="0" w:type="dxa"/>
            <w:bottom w:w="0" w:type="dxa"/>
            <w:right w:w="0" w:type="dxa"/>
          </w:tblCellMar>
        </w:tblPrEx>
        <w:trPr>
          <w:trHeight w:val="255" w:hRule="atLeast"/>
        </w:trPr>
        <w:tc>
          <w:tcPr>
            <w:tcW w:w="1998" w:type="pct"/>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199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3002" w:type="pct"/>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w:t>
            </w:r>
          </w:p>
        </w:tc>
      </w:tr>
      <w:tr>
        <w:tblPrEx>
          <w:tblCellMar>
            <w:top w:w="0" w:type="dxa"/>
            <w:left w:w="0" w:type="dxa"/>
            <w:bottom w:w="0" w:type="dxa"/>
            <w:right w:w="0" w:type="dxa"/>
          </w:tblCellMar>
        </w:tblPrEx>
        <w:trPr>
          <w:trHeight w:val="312" w:hRule="atLeast"/>
        </w:trPr>
        <w:tc>
          <w:tcPr>
            <w:tcW w:w="37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1622"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00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100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100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r>
      <w:tr>
        <w:tblPrEx>
          <w:tblCellMar>
            <w:top w:w="0" w:type="dxa"/>
            <w:left w:w="0" w:type="dxa"/>
            <w:bottom w:w="0" w:type="dxa"/>
            <w:right w:w="0" w:type="dxa"/>
          </w:tblCellMar>
        </w:tblPrEx>
        <w:trPr>
          <w:trHeight w:val="312" w:hRule="atLeast"/>
        </w:trPr>
        <w:tc>
          <w:tcPr>
            <w:tcW w:w="37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6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37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6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1998"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0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0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0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r>
      <w:tr>
        <w:tblPrEx>
          <w:tblCellMar>
            <w:top w:w="0" w:type="dxa"/>
            <w:left w:w="0" w:type="dxa"/>
            <w:bottom w:w="0" w:type="dxa"/>
            <w:right w:w="0" w:type="dxa"/>
          </w:tblCellMar>
        </w:tblPrEx>
        <w:trPr>
          <w:trHeight w:val="308" w:hRule="atLeast"/>
        </w:trPr>
        <w:tc>
          <w:tcPr>
            <w:tcW w:w="1998"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11,861.94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5,112.01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6,749.92</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政府办公厅（室）及相关机构事务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其他科学技术支出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2069999</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其他科学技术支出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2,620.55</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行政事业单位离退休</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398.88</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2080506</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机关事业单位职业年金缴费支出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501.56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行政单位医疗</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事业单位医疗</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406.82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节能环保支出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天然林保护</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2110507</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停伐补助</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退耕还林</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2110602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退耕现金</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743.01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2,170.94</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林业和草原</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2,913.96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743.01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2,170.94</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740.39</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2130205</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森林培育</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1,458.12</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2130206</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技术推广与转化</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2130207</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森林资源管理</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2130209</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森林生态效益补偿</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2130213</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执法与监督</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2130227</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贷款贴息</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80.34</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2130234</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防灾减灾</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45.91</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2130299</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其他林业和草原支出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自然资源海洋气象等支出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3,129.74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1,602.06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自然资源事务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4,731.80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3,129.74</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1,602.06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3,108.53</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2200106</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土地资源利用与保护</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2200110</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国土整治</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285.00</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2200114</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地质矿产资源利用与保护</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1,037.06</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住房保障支出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住房改革支出</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37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302.20</w:t>
            </w:r>
          </w:p>
        </w:tc>
        <w:tc>
          <w:tcPr>
            <w:tcW w:w="10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注：本表反映部门本年度一般公共预算财政拨款支出情况。</w:t>
            </w:r>
          </w:p>
        </w:tc>
      </w:tr>
    </w:tbl>
    <w:p/>
    <w:p>
      <w:r>
        <w:br w:type="page"/>
      </w:r>
    </w:p>
    <w:tbl>
      <w:tblPr>
        <w:tblStyle w:val="6"/>
        <w:tblW w:w="5000" w:type="pct"/>
        <w:tblInd w:w="0" w:type="dxa"/>
        <w:tblLayout w:type="autofit"/>
        <w:tblCellMar>
          <w:top w:w="0" w:type="dxa"/>
          <w:left w:w="0" w:type="dxa"/>
          <w:bottom w:w="0" w:type="dxa"/>
          <w:right w:w="0" w:type="dxa"/>
        </w:tblCellMar>
      </w:tblPr>
      <w:tblGrid>
        <w:gridCol w:w="312"/>
        <w:gridCol w:w="1824"/>
        <w:gridCol w:w="494"/>
        <w:gridCol w:w="312"/>
        <w:gridCol w:w="2059"/>
        <w:gridCol w:w="373"/>
        <w:gridCol w:w="312"/>
        <w:gridCol w:w="2308"/>
        <w:gridCol w:w="850"/>
      </w:tblGrid>
      <w:tr>
        <w:tblPrEx>
          <w:tblCellMar>
            <w:top w:w="0" w:type="dxa"/>
            <w:left w:w="0" w:type="dxa"/>
            <w:bottom w:w="0" w:type="dxa"/>
            <w:right w:w="0" w:type="dxa"/>
          </w:tblCellMar>
        </w:tblPrEx>
        <w:trPr>
          <w:trHeight w:val="390" w:hRule="atLeast"/>
        </w:trPr>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5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52"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一般公共预算财政拨款基本支出决算表</w:t>
            </w: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2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5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5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2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0" w:type="dxa"/>
            <w:bottom w:w="0" w:type="dxa"/>
            <w:right w:w="0" w:type="dxa"/>
          </w:tblCellMar>
        </w:tblPrEx>
        <w:trPr>
          <w:trHeight w:val="255" w:hRule="atLeast"/>
        </w:trPr>
        <w:tc>
          <w:tcPr>
            <w:tcW w:w="1155" w:type="pct"/>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5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0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22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8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164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3357" w:type="pct"/>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w:t>
            </w:r>
          </w:p>
        </w:tc>
      </w:tr>
      <w:tr>
        <w:tblPrEx>
          <w:tblCellMar>
            <w:top w:w="0" w:type="dxa"/>
            <w:left w:w="0" w:type="dxa"/>
            <w:bottom w:w="0" w:type="dxa"/>
            <w:right w:w="0" w:type="dxa"/>
          </w:tblCellMar>
        </w:tblPrEx>
        <w:trPr>
          <w:trHeight w:val="312" w:hRule="atLeast"/>
        </w:trPr>
        <w:tc>
          <w:tcPr>
            <w:tcW w:w="203"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95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48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c>
          <w:tcPr>
            <w:tcW w:w="203"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752"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48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c>
          <w:tcPr>
            <w:tcW w:w="203"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1220"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48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r>
      <w:tr>
        <w:tblPrEx>
          <w:tblCellMar>
            <w:top w:w="0" w:type="dxa"/>
            <w:left w:w="0" w:type="dxa"/>
            <w:bottom w:w="0" w:type="dxa"/>
            <w:right w:w="0" w:type="dxa"/>
          </w:tblCellMar>
        </w:tblPrEx>
        <w:trPr>
          <w:trHeight w:val="312" w:hRule="atLeast"/>
        </w:trPr>
        <w:tc>
          <w:tcPr>
            <w:tcW w:w="20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5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0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5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0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22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工资福利支出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4,934.64</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商品和服务支出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147.84</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债务利息及费用支出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基本工资</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2,754.81</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6.27</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国内债务付息</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30102</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津贴补贴</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517.05</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印刷费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国外债务付息</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30103</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16.78</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咨询费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资本性支出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伙食补助费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手续费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房屋建筑物购建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绩效工资</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260.05</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30205</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办公设备购置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262.65</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30206</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电费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专用设备购置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职业年金缴费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136.23</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30207</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邮电费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基础设施建设</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职工基本医疗保险缴费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381.17</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30208</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取暖费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32.99</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大型修缮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公务员医疗补助缴费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120.39</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30209</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物业管理费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信息网络及软件购置更新</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其他社会保障缴费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10.65</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30211</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差旅费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物资储备</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30113</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335.07</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30212</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因公出国（境）费用</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30114</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30213</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维修（护）费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安置补助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30199</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其他工资福利支出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139.80</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30214</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租赁费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地上附着物和青苗补偿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对个人和家庭的补助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29.53</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30215</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会议费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拆迁补偿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离休费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30216</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培训费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0.67</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31013</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退休费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公务接待费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31019</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其他交通工具购置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退职（役）费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30218</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专用材料费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31021</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文物和陈列品购置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抚恤金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9.54</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30224</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被装购置费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31022</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无形资产购置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生活补助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8.32</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30225</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专用燃料费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31099</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其他资本性支出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救济费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30226</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劳务费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30307</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30227</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委托业务费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23.83</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39906</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赠与</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助学金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30228</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工会经费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9.80</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39907</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国家赔偿费用支出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奖励金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30229</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福利费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25.15</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39908</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对民间非营利组织和群众性自治组织补贴</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个人农业生产补贴</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30231</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公务用车运行维护费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39999</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30399</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其他对个人和家庭的补助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30239</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其他交通费用</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32.08</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30240</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税金及附加费用</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0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51"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30299</w:t>
            </w:r>
          </w:p>
        </w:tc>
        <w:tc>
          <w:tcPr>
            <w:tcW w:w="752"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其他商品和服务支出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w:t>
            </w:r>
          </w:p>
        </w:tc>
        <w:tc>
          <w:tcPr>
            <w:tcW w:w="20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20"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1155"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人员经费合计</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4,964.17</w:t>
            </w:r>
          </w:p>
        </w:tc>
        <w:tc>
          <w:tcPr>
            <w:tcW w:w="2868" w:type="pct"/>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公用经费合计</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147.84</w:t>
            </w:r>
          </w:p>
        </w:tc>
      </w:tr>
      <w:tr>
        <w:tblPrEx>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注：本表反映部门本年度一般公共预算财政拨款基本支出明细情况。</w:t>
            </w:r>
          </w:p>
        </w:tc>
      </w:tr>
    </w:tbl>
    <w:p/>
    <w:p>
      <w:r>
        <w:br w:type="page"/>
      </w:r>
    </w:p>
    <w:tbl>
      <w:tblPr>
        <w:tblStyle w:val="6"/>
        <w:tblW w:w="5000" w:type="pct"/>
        <w:tblInd w:w="0" w:type="dxa"/>
        <w:tblLayout w:type="autofit"/>
        <w:tblCellMar>
          <w:top w:w="0" w:type="dxa"/>
          <w:left w:w="0" w:type="dxa"/>
          <w:bottom w:w="0" w:type="dxa"/>
          <w:right w:w="0" w:type="dxa"/>
        </w:tblCellMar>
      </w:tblPr>
      <w:tblGrid>
        <w:gridCol w:w="820"/>
        <w:gridCol w:w="821"/>
        <w:gridCol w:w="823"/>
        <w:gridCol w:w="164"/>
        <w:gridCol w:w="318"/>
        <w:gridCol w:w="3231"/>
        <w:gridCol w:w="318"/>
        <w:gridCol w:w="471"/>
        <w:gridCol w:w="318"/>
        <w:gridCol w:w="164"/>
        <w:gridCol w:w="318"/>
        <w:gridCol w:w="1078"/>
      </w:tblGrid>
      <w:tr>
        <w:tblPrEx>
          <w:tblCellMar>
            <w:top w:w="0" w:type="dxa"/>
            <w:left w:w="0" w:type="dxa"/>
            <w:bottom w:w="0" w:type="dxa"/>
            <w:right w:w="0" w:type="dxa"/>
          </w:tblCellMar>
        </w:tblPrEx>
        <w:trPr>
          <w:trHeight w:val="540" w:hRule="atLeast"/>
        </w:trPr>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一般公共预算财政拨款“三公”经费支出决算表</w:t>
            </w: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公开07表</w:t>
            </w:r>
          </w:p>
        </w:tc>
      </w:tr>
      <w:tr>
        <w:tblPrEx>
          <w:tblCellMar>
            <w:top w:w="0" w:type="dxa"/>
            <w:left w:w="0" w:type="dxa"/>
            <w:bottom w:w="0" w:type="dxa"/>
            <w:right w:w="0" w:type="dxa"/>
          </w:tblCellMar>
        </w:tblPrEx>
        <w:trPr>
          <w:trHeight w:val="255" w:hRule="atLeast"/>
        </w:trPr>
        <w:tc>
          <w:tcPr>
            <w:tcW w:w="1249" w:type="pct"/>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1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c>
          <w:tcPr>
            <w:tcW w:w="2501" w:type="pct"/>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r>
      <w:tr>
        <w:tblPrEx>
          <w:tblCellMar>
            <w:top w:w="0" w:type="dxa"/>
            <w:left w:w="0" w:type="dxa"/>
            <w:bottom w:w="0" w:type="dxa"/>
            <w:right w:w="0" w:type="dxa"/>
          </w:tblCellMar>
        </w:tblPrEx>
        <w:trPr>
          <w:trHeight w:val="308" w:hRule="atLeast"/>
        </w:trPr>
        <w:tc>
          <w:tcPr>
            <w:tcW w:w="416"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因公出国（境）费</w:t>
            </w:r>
          </w:p>
        </w:tc>
        <w:tc>
          <w:tcPr>
            <w:tcW w:w="1249"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公务用车购置及运行费</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公务接待费</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因公出国（境）费</w:t>
            </w:r>
          </w:p>
        </w:tc>
        <w:tc>
          <w:tcPr>
            <w:tcW w:w="1249"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公务用车购置及运行费</w:t>
            </w:r>
          </w:p>
        </w:tc>
        <w:tc>
          <w:tcPr>
            <w:tcW w:w="419"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公务接待费</w:t>
            </w:r>
          </w:p>
        </w:tc>
      </w:tr>
      <w:tr>
        <w:tblPrEx>
          <w:tblCellMar>
            <w:top w:w="0" w:type="dxa"/>
            <w:left w:w="0" w:type="dxa"/>
            <w:bottom w:w="0" w:type="dxa"/>
            <w:right w:w="0" w:type="dxa"/>
          </w:tblCellMar>
        </w:tblPrEx>
        <w:trPr>
          <w:trHeight w:val="615" w:hRule="atLeast"/>
        </w:trPr>
        <w:tc>
          <w:tcPr>
            <w:tcW w:w="4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1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公务用车运行费</w:t>
            </w:r>
          </w:p>
        </w:tc>
        <w:tc>
          <w:tcPr>
            <w:tcW w:w="41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1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1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公务用车运行费</w:t>
            </w:r>
          </w:p>
        </w:tc>
        <w:tc>
          <w:tcPr>
            <w:tcW w:w="41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416"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41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r>
      <w:tr>
        <w:tblPrEx>
          <w:tblCellMar>
            <w:top w:w="0" w:type="dxa"/>
            <w:left w:w="0" w:type="dxa"/>
            <w:bottom w:w="0" w:type="dxa"/>
            <w:right w:w="0"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6.15</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6.15</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6.15</w:t>
            </w:r>
          </w:p>
        </w:tc>
        <w:tc>
          <w:tcPr>
            <w:tcW w:w="416" w:type="pct"/>
            <w:tcBorders>
              <w:top w:val="nil"/>
              <w:left w:val="nil"/>
              <w:bottom w:val="single" w:color="000000" w:sz="4" w:space="0"/>
              <w:right w:val="single" w:color="000000" w:sz="4" w:space="0"/>
            </w:tcBorders>
            <w:shd w:val="clear" w:color="auto" w:fill="auto"/>
            <w:noWrap/>
            <w:vAlign w:val="center"/>
          </w:tcPr>
          <w:p>
            <w:pPr>
              <w:widowControl/>
              <w:tabs>
                <w:tab w:val="center" w:pos="1610"/>
                <w:tab w:val="right" w:pos="3521"/>
              </w:tabs>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ab/>
            </w:r>
            <w:r>
              <w:rPr>
                <w:rFonts w:hint="eastAsia" w:ascii="宋体" w:hAnsi="宋体" w:eastAsia="宋体" w:cs="Arial"/>
                <w:color w:val="000000"/>
                <w:kern w:val="0"/>
                <w:sz w:val="18"/>
                <w:szCs w:val="18"/>
              </w:rPr>
              <w:tab/>
            </w:r>
            <w:r>
              <w:rPr>
                <w:rFonts w:hint="eastAsia" w:ascii="宋体" w:hAnsi="宋体" w:eastAsia="宋体" w:cs="Arial"/>
                <w:color w:val="000000"/>
                <w:kern w:val="0"/>
                <w:sz w:val="18"/>
                <w:szCs w:val="18"/>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1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419" w:type="pct"/>
            <w:tcBorders>
              <w:top w:val="nil"/>
              <w:left w:val="nil"/>
              <w:bottom w:val="single" w:color="000000" w:sz="4" w:space="0"/>
              <w:right w:val="single" w:color="000000" w:sz="4" w:space="0"/>
            </w:tcBorders>
            <w:shd w:val="clear" w:color="auto" w:fill="auto"/>
            <w:noWrap/>
            <w:vAlign w:val="center"/>
          </w:tcPr>
          <w:p>
            <w:pPr>
              <w:widowControl/>
              <w:tabs>
                <w:tab w:val="center" w:pos="534"/>
                <w:tab w:val="right" w:pos="1368"/>
              </w:tabs>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ab/>
            </w:r>
            <w:r>
              <w:rPr>
                <w:rFonts w:hint="eastAsia" w:ascii="宋体" w:hAnsi="宋体" w:eastAsia="宋体" w:cs="Arial"/>
                <w:color w:val="000000"/>
                <w:kern w:val="0"/>
                <w:sz w:val="18"/>
                <w:szCs w:val="18"/>
              </w:rPr>
              <w:tab/>
            </w: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61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
      <w:r>
        <w:br w:type="page"/>
      </w:r>
    </w:p>
    <w:tbl>
      <w:tblPr>
        <w:tblStyle w:val="6"/>
        <w:tblW w:w="5000" w:type="pct"/>
        <w:tblInd w:w="0" w:type="dxa"/>
        <w:tblLayout w:type="fixed"/>
        <w:tblCellMar>
          <w:top w:w="0" w:type="dxa"/>
          <w:left w:w="0" w:type="dxa"/>
          <w:bottom w:w="0" w:type="dxa"/>
          <w:right w:w="0" w:type="dxa"/>
        </w:tblCellMar>
      </w:tblPr>
      <w:tblGrid>
        <w:gridCol w:w="163"/>
        <w:gridCol w:w="161"/>
        <w:gridCol w:w="163"/>
        <w:gridCol w:w="3408"/>
        <w:gridCol w:w="147"/>
        <w:gridCol w:w="1203"/>
        <w:gridCol w:w="1275"/>
        <w:gridCol w:w="426"/>
        <w:gridCol w:w="172"/>
        <w:gridCol w:w="147"/>
        <w:gridCol w:w="626"/>
        <w:gridCol w:w="953"/>
      </w:tblGrid>
      <w:tr>
        <w:tblPrEx>
          <w:tblCellMar>
            <w:top w:w="0" w:type="dxa"/>
            <w:left w:w="0" w:type="dxa"/>
            <w:bottom w:w="0" w:type="dxa"/>
            <w:right w:w="0" w:type="dxa"/>
          </w:tblCellMar>
        </w:tblPrEx>
        <w:trPr>
          <w:trHeight w:val="390" w:hRule="atLeast"/>
        </w:trPr>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2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680"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政府性基金预算财政拨款收入支出决算表</w:t>
            </w:r>
          </w:p>
        </w:tc>
        <w:tc>
          <w:tcPr>
            <w:tcW w:w="1059"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3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2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6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59"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3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公开08表</w:t>
            </w:r>
          </w:p>
        </w:tc>
      </w:tr>
      <w:tr>
        <w:tblPrEx>
          <w:tblCellMar>
            <w:top w:w="0" w:type="dxa"/>
            <w:left w:w="0" w:type="dxa"/>
            <w:bottom w:w="0" w:type="dxa"/>
            <w:right w:w="0" w:type="dxa"/>
          </w:tblCellMar>
        </w:tblPrEx>
        <w:trPr>
          <w:trHeight w:val="255" w:hRule="atLeast"/>
        </w:trPr>
        <w:tc>
          <w:tcPr>
            <w:tcW w:w="2202" w:type="pct"/>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6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59"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8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5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53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220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8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w:t>
            </w:r>
          </w:p>
        </w:tc>
        <w:tc>
          <w:tcPr>
            <w:tcW w:w="68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本年收入</w:t>
            </w:r>
          </w:p>
        </w:tc>
        <w:tc>
          <w:tcPr>
            <w:tcW w:w="1496" w:type="pct"/>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w:t>
            </w:r>
          </w:p>
        </w:tc>
        <w:tc>
          <w:tcPr>
            <w:tcW w:w="53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年末结转和结余</w:t>
            </w:r>
          </w:p>
        </w:tc>
      </w:tr>
      <w:tr>
        <w:tblPrEx>
          <w:tblCellMar>
            <w:top w:w="0" w:type="dxa"/>
            <w:left w:w="0" w:type="dxa"/>
            <w:bottom w:w="0" w:type="dxa"/>
            <w:right w:w="0" w:type="dxa"/>
          </w:tblCellMar>
        </w:tblPrEx>
        <w:trPr>
          <w:trHeight w:val="312" w:hRule="atLeast"/>
        </w:trPr>
        <w:tc>
          <w:tcPr>
            <w:tcW w:w="27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1927" w:type="pct"/>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83"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6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2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241"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534" w:type="pct"/>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53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275"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2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83"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6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2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4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34"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3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12" w:hRule="atLeast"/>
        </w:trPr>
        <w:tc>
          <w:tcPr>
            <w:tcW w:w="275"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2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83"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6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2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4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34"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3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0" w:type="dxa"/>
            <w:bottom w:w="0" w:type="dxa"/>
            <w:right w:w="0" w:type="dxa"/>
          </w:tblCellMar>
        </w:tblPrEx>
        <w:trPr>
          <w:trHeight w:val="308" w:hRule="atLeast"/>
        </w:trPr>
        <w:tc>
          <w:tcPr>
            <w:tcW w:w="22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83"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68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72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24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534" w:type="pct"/>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53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CellMar>
            <w:top w:w="0" w:type="dxa"/>
            <w:left w:w="0" w:type="dxa"/>
            <w:bottom w:w="0" w:type="dxa"/>
            <w:right w:w="0" w:type="dxa"/>
          </w:tblCellMar>
        </w:tblPrEx>
        <w:trPr>
          <w:trHeight w:val="308" w:hRule="atLeast"/>
        </w:trPr>
        <w:tc>
          <w:tcPr>
            <w:tcW w:w="22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30,141.35</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30,141.35</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30,141.35</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30,141.35</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国有土地使用权出让收入及对应专项债务收入安排的支出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12,664.22</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2120801</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10,222.38</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2120802</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293.02</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2120805</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补助被征地农民支出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694.35</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2120806</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土地出让业务支出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1,271.54</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2120899</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其他国有土地使用权出让收入安排的支出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182.94</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土地储备专项债券收入安排的支出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17,000.00</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2121501</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6,550.00</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2121502</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土地开发支出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10,450.00</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棚户区改造专项债券收入安排的支出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27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2121601</w:t>
            </w:r>
          </w:p>
        </w:tc>
        <w:tc>
          <w:tcPr>
            <w:tcW w:w="1927"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8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6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72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2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3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477.13</w:t>
            </w:r>
          </w:p>
        </w:tc>
        <w:tc>
          <w:tcPr>
            <w:tcW w:w="53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注：本表反映部门本年度政府性基金预算财政拨款收入、支出及结转和结余情况。</w:t>
            </w:r>
          </w:p>
        </w:tc>
      </w:tr>
    </w:tbl>
    <w:p/>
    <w:p>
      <w:r>
        <w:br w:type="page"/>
      </w:r>
    </w:p>
    <w:tbl>
      <w:tblPr>
        <w:tblStyle w:val="6"/>
        <w:tblW w:w="5000" w:type="pct"/>
        <w:tblInd w:w="0" w:type="dxa"/>
        <w:tblLayout w:type="autofit"/>
        <w:tblCellMar>
          <w:top w:w="0" w:type="dxa"/>
          <w:left w:w="0" w:type="dxa"/>
          <w:bottom w:w="0" w:type="dxa"/>
          <w:right w:w="0" w:type="dxa"/>
        </w:tblCellMar>
      </w:tblPr>
      <w:tblGrid>
        <w:gridCol w:w="443"/>
        <w:gridCol w:w="460"/>
        <w:gridCol w:w="400"/>
        <w:gridCol w:w="3476"/>
        <w:gridCol w:w="1355"/>
        <w:gridCol w:w="1355"/>
        <w:gridCol w:w="1355"/>
      </w:tblGrid>
      <w:tr>
        <w:tblPrEx>
          <w:tblCellMar>
            <w:top w:w="0" w:type="dxa"/>
            <w:left w:w="0" w:type="dxa"/>
            <w:bottom w:w="0" w:type="dxa"/>
            <w:right w:w="0" w:type="dxa"/>
          </w:tblCellMar>
        </w:tblPrEx>
        <w:trPr>
          <w:trHeight w:val="540" w:hRule="atLeast"/>
        </w:trPr>
        <w:tc>
          <w:tcPr>
            <w:tcW w:w="25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64"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国有资本经营预算财政拨款支出决算表</w:t>
            </w: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r>
      <w:tr>
        <w:tblPrEx>
          <w:tblCellMar>
            <w:top w:w="0" w:type="dxa"/>
            <w:left w:w="0" w:type="dxa"/>
            <w:bottom w:w="0" w:type="dxa"/>
            <w:right w:w="0" w:type="dxa"/>
          </w:tblCellMar>
        </w:tblPrEx>
        <w:trPr>
          <w:trHeight w:val="255" w:hRule="atLeast"/>
        </w:trPr>
        <w:tc>
          <w:tcPr>
            <w:tcW w:w="25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6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公开09表</w:t>
            </w:r>
          </w:p>
        </w:tc>
      </w:tr>
      <w:tr>
        <w:tblPrEx>
          <w:tblCellMar>
            <w:top w:w="0" w:type="dxa"/>
            <w:left w:w="0" w:type="dxa"/>
            <w:bottom w:w="0" w:type="dxa"/>
            <w:right w:w="0" w:type="dxa"/>
          </w:tblCellMar>
        </w:tblPrEx>
        <w:trPr>
          <w:trHeight w:val="255" w:hRule="atLeast"/>
        </w:trPr>
        <w:tc>
          <w:tcPr>
            <w:tcW w:w="2702" w:type="pct"/>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部门：自然资源和规划局（林业局）</w:t>
            </w: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766"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270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w:t>
            </w:r>
          </w:p>
        </w:tc>
        <w:tc>
          <w:tcPr>
            <w:tcW w:w="2298"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w:t>
            </w:r>
          </w:p>
        </w:tc>
      </w:tr>
      <w:tr>
        <w:tblPrEx>
          <w:tblCellMar>
            <w:top w:w="0" w:type="dxa"/>
            <w:left w:w="0" w:type="dxa"/>
            <w:bottom w:w="0" w:type="dxa"/>
            <w:right w:w="0" w:type="dxa"/>
          </w:tblCellMar>
        </w:tblPrEx>
        <w:trPr>
          <w:trHeight w:val="615" w:hRule="atLeast"/>
        </w:trPr>
        <w:tc>
          <w:tcPr>
            <w:tcW w:w="737" w:type="pct"/>
            <w:gridSpan w:val="3"/>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1964"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r>
      <w:tr>
        <w:tblPrEx>
          <w:tblCellMar>
            <w:top w:w="0" w:type="dxa"/>
            <w:left w:w="0" w:type="dxa"/>
            <w:bottom w:w="0" w:type="dxa"/>
            <w:right w:w="0" w:type="dxa"/>
          </w:tblCellMar>
        </w:tblPrEx>
        <w:trPr>
          <w:trHeight w:val="308" w:hRule="atLeast"/>
        </w:trPr>
        <w:tc>
          <w:tcPr>
            <w:tcW w:w="27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76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r>
      <w:tr>
        <w:tblPrEx>
          <w:tblCellMar>
            <w:top w:w="0" w:type="dxa"/>
            <w:left w:w="0" w:type="dxa"/>
            <w:bottom w:w="0" w:type="dxa"/>
            <w:right w:w="0" w:type="dxa"/>
          </w:tblCellMar>
        </w:tblPrEx>
        <w:trPr>
          <w:trHeight w:val="308" w:hRule="atLeast"/>
        </w:trPr>
        <w:tc>
          <w:tcPr>
            <w:tcW w:w="27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0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73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64"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注：本表反映部门本年度国有资本经营预算财政拨款支出情况。本部门本年度无相关支出情况，按要求以空表列示。</w:t>
            </w:r>
          </w:p>
        </w:tc>
      </w:tr>
    </w:tbl>
    <w:p>
      <w:pPr>
        <w:sectPr>
          <w:pgSz w:w="11906" w:h="16838"/>
          <w:pgMar w:top="2098" w:right="1474" w:bottom="1985" w:left="1588" w:header="851" w:footer="992" w:gutter="0"/>
          <w:pgNumType w:fmt="numberInDash"/>
          <w:cols w:space="425" w:num="1"/>
          <w:docGrid w:type="lines" w:linePitch="312" w:charSpace="0"/>
        </w:sectPr>
      </w:pPr>
    </w:p>
    <w:p/>
    <w:p>
      <w:r>
        <w:pict>
          <v:rect id="_x0000_s1105" o:spid="_x0000_s1105" o:spt="1" style="position:absolute;left:0pt;margin-left:-70.5pt;margin-top:-85.25pt;height:841.15pt;width:595.1pt;z-index:25165926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EFF" w:usb1="C000785B" w:usb2="00000009" w:usb3="00000000" w:csb0="400001FF" w:csb1="FFFF0000"/>
  </w:font>
  <w:font w:name="DengXian-Bold">
    <w:altName w:val="宋体"/>
    <w:panose1 w:val="00000000000000000000"/>
    <w:charset w:val="86"/>
    <w:family w:val="auto"/>
    <w:pitch w:val="default"/>
    <w:sig w:usb0="00000000" w:usb1="00000000" w:usb2="0000001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lang w:val="en-US"/>
      </w:rPr>
    </w:lvl>
  </w:abstractNum>
  <w:abstractNum w:abstractNumId="1">
    <w:nsid w:val="59950409"/>
    <w:multiLevelType w:val="singleLevel"/>
    <w:tmpl w:val="59950409"/>
    <w:lvl w:ilvl="0" w:tentative="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wYWFiZTk0OWJlNjg4MTA5Y2ZhMjU3NzFlYzU5NzgifQ=="/>
  </w:docVars>
  <w:rsids>
    <w:rsidRoot w:val="6AAF1C96"/>
    <w:rsid w:val="00040391"/>
    <w:rsid w:val="00063C7C"/>
    <w:rsid w:val="000672B1"/>
    <w:rsid w:val="0007063E"/>
    <w:rsid w:val="00073392"/>
    <w:rsid w:val="00073DD1"/>
    <w:rsid w:val="00073F4E"/>
    <w:rsid w:val="0008461E"/>
    <w:rsid w:val="00086C89"/>
    <w:rsid w:val="000922DB"/>
    <w:rsid w:val="000A39FB"/>
    <w:rsid w:val="000E201F"/>
    <w:rsid w:val="000E34C1"/>
    <w:rsid w:val="00117746"/>
    <w:rsid w:val="00130E42"/>
    <w:rsid w:val="0014203B"/>
    <w:rsid w:val="00151125"/>
    <w:rsid w:val="00163F95"/>
    <w:rsid w:val="00180A9A"/>
    <w:rsid w:val="001829C0"/>
    <w:rsid w:val="00184809"/>
    <w:rsid w:val="00192112"/>
    <w:rsid w:val="001A301B"/>
    <w:rsid w:val="001B0127"/>
    <w:rsid w:val="001B219F"/>
    <w:rsid w:val="001C12D5"/>
    <w:rsid w:val="001C165A"/>
    <w:rsid w:val="001C69F7"/>
    <w:rsid w:val="001C6C40"/>
    <w:rsid w:val="001E2F16"/>
    <w:rsid w:val="001F35F5"/>
    <w:rsid w:val="002123C0"/>
    <w:rsid w:val="00212978"/>
    <w:rsid w:val="00214972"/>
    <w:rsid w:val="00226568"/>
    <w:rsid w:val="0024168A"/>
    <w:rsid w:val="00247D88"/>
    <w:rsid w:val="00247E5C"/>
    <w:rsid w:val="002650EC"/>
    <w:rsid w:val="00280648"/>
    <w:rsid w:val="002A14E3"/>
    <w:rsid w:val="002A6C46"/>
    <w:rsid w:val="002C19B5"/>
    <w:rsid w:val="00325D44"/>
    <w:rsid w:val="003518A5"/>
    <w:rsid w:val="003A4EE8"/>
    <w:rsid w:val="0043706F"/>
    <w:rsid w:val="00442CC2"/>
    <w:rsid w:val="00446244"/>
    <w:rsid w:val="00460090"/>
    <w:rsid w:val="00473C20"/>
    <w:rsid w:val="004903EF"/>
    <w:rsid w:val="004B5F6A"/>
    <w:rsid w:val="004D3123"/>
    <w:rsid w:val="004D61CB"/>
    <w:rsid w:val="005011D6"/>
    <w:rsid w:val="00503F2E"/>
    <w:rsid w:val="005102EB"/>
    <w:rsid w:val="00513218"/>
    <w:rsid w:val="0051513C"/>
    <w:rsid w:val="00520D79"/>
    <w:rsid w:val="0054564B"/>
    <w:rsid w:val="00552226"/>
    <w:rsid w:val="00566120"/>
    <w:rsid w:val="0057436C"/>
    <w:rsid w:val="00582E6D"/>
    <w:rsid w:val="005954D5"/>
    <w:rsid w:val="005A53FA"/>
    <w:rsid w:val="005B03D1"/>
    <w:rsid w:val="005D1293"/>
    <w:rsid w:val="005E4A0E"/>
    <w:rsid w:val="006069EF"/>
    <w:rsid w:val="00613DB5"/>
    <w:rsid w:val="00644D5F"/>
    <w:rsid w:val="0066085F"/>
    <w:rsid w:val="006727AD"/>
    <w:rsid w:val="00691425"/>
    <w:rsid w:val="006A1724"/>
    <w:rsid w:val="006A516E"/>
    <w:rsid w:val="006B0830"/>
    <w:rsid w:val="006D22CE"/>
    <w:rsid w:val="006F0849"/>
    <w:rsid w:val="00700C1D"/>
    <w:rsid w:val="00716E2B"/>
    <w:rsid w:val="007373B6"/>
    <w:rsid w:val="00770F18"/>
    <w:rsid w:val="00773B74"/>
    <w:rsid w:val="0078290C"/>
    <w:rsid w:val="007A7966"/>
    <w:rsid w:val="007C06CA"/>
    <w:rsid w:val="007C081F"/>
    <w:rsid w:val="007E32DC"/>
    <w:rsid w:val="00814738"/>
    <w:rsid w:val="008163FB"/>
    <w:rsid w:val="00816E66"/>
    <w:rsid w:val="0082605B"/>
    <w:rsid w:val="00852384"/>
    <w:rsid w:val="00855C36"/>
    <w:rsid w:val="00857DBE"/>
    <w:rsid w:val="0086199A"/>
    <w:rsid w:val="00863B29"/>
    <w:rsid w:val="008701BC"/>
    <w:rsid w:val="00883D92"/>
    <w:rsid w:val="00887A98"/>
    <w:rsid w:val="008A5362"/>
    <w:rsid w:val="008C2CE3"/>
    <w:rsid w:val="008C7323"/>
    <w:rsid w:val="008D3E3A"/>
    <w:rsid w:val="008F21F1"/>
    <w:rsid w:val="008F221B"/>
    <w:rsid w:val="008F5A2D"/>
    <w:rsid w:val="00901837"/>
    <w:rsid w:val="009134FA"/>
    <w:rsid w:val="00921602"/>
    <w:rsid w:val="00952129"/>
    <w:rsid w:val="00957EA1"/>
    <w:rsid w:val="00966E5B"/>
    <w:rsid w:val="009B4EF0"/>
    <w:rsid w:val="009D1561"/>
    <w:rsid w:val="009D271F"/>
    <w:rsid w:val="009E13EA"/>
    <w:rsid w:val="00A052EB"/>
    <w:rsid w:val="00A30E36"/>
    <w:rsid w:val="00A81F5A"/>
    <w:rsid w:val="00A929C2"/>
    <w:rsid w:val="00A97100"/>
    <w:rsid w:val="00AB185C"/>
    <w:rsid w:val="00AB6103"/>
    <w:rsid w:val="00AD097F"/>
    <w:rsid w:val="00B338B6"/>
    <w:rsid w:val="00B5423A"/>
    <w:rsid w:val="00B71D4D"/>
    <w:rsid w:val="00B814D3"/>
    <w:rsid w:val="00B82D9E"/>
    <w:rsid w:val="00B844F4"/>
    <w:rsid w:val="00BA06A1"/>
    <w:rsid w:val="00BA770A"/>
    <w:rsid w:val="00BC46D9"/>
    <w:rsid w:val="00C054DE"/>
    <w:rsid w:val="00C102D1"/>
    <w:rsid w:val="00C141FF"/>
    <w:rsid w:val="00C213F3"/>
    <w:rsid w:val="00C41207"/>
    <w:rsid w:val="00C45032"/>
    <w:rsid w:val="00C6656F"/>
    <w:rsid w:val="00C679A9"/>
    <w:rsid w:val="00C71E4F"/>
    <w:rsid w:val="00C72D0A"/>
    <w:rsid w:val="00C7541C"/>
    <w:rsid w:val="00CC0FAA"/>
    <w:rsid w:val="00CC3D65"/>
    <w:rsid w:val="00CD0736"/>
    <w:rsid w:val="00CD0E14"/>
    <w:rsid w:val="00CF1315"/>
    <w:rsid w:val="00D1570F"/>
    <w:rsid w:val="00D32830"/>
    <w:rsid w:val="00D520F3"/>
    <w:rsid w:val="00D53DEB"/>
    <w:rsid w:val="00D81481"/>
    <w:rsid w:val="00DB7153"/>
    <w:rsid w:val="00DB7F05"/>
    <w:rsid w:val="00DF7150"/>
    <w:rsid w:val="00E028C3"/>
    <w:rsid w:val="00E03694"/>
    <w:rsid w:val="00E14F77"/>
    <w:rsid w:val="00E3076B"/>
    <w:rsid w:val="00E36978"/>
    <w:rsid w:val="00E82A1E"/>
    <w:rsid w:val="00E92479"/>
    <w:rsid w:val="00EC06F4"/>
    <w:rsid w:val="00EC4143"/>
    <w:rsid w:val="00EC5C1E"/>
    <w:rsid w:val="00EE4E36"/>
    <w:rsid w:val="00F33A9E"/>
    <w:rsid w:val="00F47BAB"/>
    <w:rsid w:val="00F665F4"/>
    <w:rsid w:val="00F9121A"/>
    <w:rsid w:val="00FD225F"/>
    <w:rsid w:val="267E351D"/>
    <w:rsid w:val="31C2036A"/>
    <w:rsid w:val="320D02A5"/>
    <w:rsid w:val="348E566F"/>
    <w:rsid w:val="3A226944"/>
    <w:rsid w:val="3AEE6A48"/>
    <w:rsid w:val="3C1620AA"/>
    <w:rsid w:val="3D8F080F"/>
    <w:rsid w:val="44CE1FA4"/>
    <w:rsid w:val="487F73ED"/>
    <w:rsid w:val="4A347EAE"/>
    <w:rsid w:val="4E82648B"/>
    <w:rsid w:val="516E70DC"/>
    <w:rsid w:val="52600405"/>
    <w:rsid w:val="529B4319"/>
    <w:rsid w:val="57773DD6"/>
    <w:rsid w:val="578B79AB"/>
    <w:rsid w:val="5CCD3FD5"/>
    <w:rsid w:val="61FA5F9D"/>
    <w:rsid w:val="64CD6910"/>
    <w:rsid w:val="6789158D"/>
    <w:rsid w:val="67D81BA4"/>
    <w:rsid w:val="68DD4183"/>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99"/>
    <w:rPr>
      <w:rFonts w:ascii="仿宋_GB2312" w:hAnsi="仿宋_GB2312" w:eastAsia="仿宋_GB2312" w:cs="仿宋_GB2312"/>
      <w:sz w:val="32"/>
      <w:szCs w:val="32"/>
      <w:lang w:val="zh-CN"/>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autoRedefine/>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标题 1 Char"/>
    <w:link w:val="2"/>
    <w:uiPriority w:val="9"/>
    <w:rPr>
      <w:rFonts w:ascii="等线" w:hAnsi="等线" w:eastAsia="等线"/>
      <w:b/>
      <w:bCs/>
      <w:kern w:val="44"/>
      <w:sz w:val="44"/>
      <w:szCs w:val="44"/>
    </w:rPr>
  </w:style>
  <w:style w:type="character" w:customStyle="1" w:styleId="10">
    <w:name w:val="正文文本 Char"/>
    <w:link w:val="3"/>
    <w:autoRedefine/>
    <w:semiHidden/>
    <w:qFormat/>
    <w:uiPriority w:val="99"/>
    <w:rPr>
      <w:rFonts w:ascii="等线" w:hAnsi="等线" w:eastAsia="等线"/>
    </w:rPr>
  </w:style>
  <w:style w:type="character" w:customStyle="1" w:styleId="11">
    <w:name w:val="页脚 Char"/>
    <w:link w:val="4"/>
    <w:locked/>
    <w:uiPriority w:val="99"/>
    <w:rPr>
      <w:rFonts w:cs="Times New Roman"/>
      <w:sz w:val="18"/>
      <w:szCs w:val="18"/>
    </w:rPr>
  </w:style>
  <w:style w:type="character" w:customStyle="1" w:styleId="12">
    <w:name w:val="页眉 Char"/>
    <w:link w:val="5"/>
    <w:autoRedefine/>
    <w:qFormat/>
    <w:locked/>
    <w:uiPriority w:val="99"/>
    <w:rPr>
      <w:rFonts w:ascii="等线" w:hAnsi="等线" w:eastAsia="等线" w:cs="Times New Roman"/>
      <w:sz w:val="18"/>
      <w:szCs w:val="18"/>
    </w:rPr>
  </w:style>
  <w:style w:type="paragraph" w:customStyle="1" w:styleId="13">
    <w:name w:val="List Paragraph1"/>
    <w:basedOn w:val="1"/>
    <w:uiPriority w:val="99"/>
    <w:pPr>
      <w:spacing w:before="2"/>
      <w:ind w:left="119" w:right="434" w:firstLine="643"/>
    </w:pPr>
    <w:rPr>
      <w:rFonts w:ascii="仿宋_GB2312" w:hAnsi="仿宋_GB2312" w:eastAsia="仿宋_GB2312" w:cs="仿宋_GB2312"/>
      <w:lang w:val="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088"/>
    <customShpInfo spid="_x0000_s1089"/>
    <customShpInfo spid="_x0000_s11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5A57C-2131-4B20-A25D-3931518E823A}">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45</Pages>
  <Words>3313</Words>
  <Characters>18885</Characters>
  <Lines>157</Lines>
  <Paragraphs>44</Paragraphs>
  <TotalTime>18</TotalTime>
  <ScaleCrop>false</ScaleCrop>
  <LinksUpToDate>false</LinksUpToDate>
  <CharactersWithSpaces>22154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等风来</cp:lastModifiedBy>
  <cp:lastPrinted>2020-07-30T02:37:00Z</cp:lastPrinted>
  <dcterms:modified xsi:type="dcterms:W3CDTF">2024-03-26T10:10:46Z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E0E6D7154FB549E5B054BE0B217460BA</vt:lpwstr>
  </property>
</Properties>
</file>