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hint="eastAsia" w:eastAsia="宋体"/>
          <w:color w:val="auto"/>
          <w:highlight w:val="none"/>
          <w:lang w:eastAsia="zh-CN"/>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3272"/>
      <w:r>
        <w:rPr>
          <w:rFonts w:hint="default" w:ascii="Times New Roman" w:hAnsi="Times New Roman" w:eastAsia="方正小标宋_GBK" w:cs="Times New Roman"/>
          <w:bCs/>
          <w:color w:val="auto"/>
          <w:sz w:val="72"/>
          <w:szCs w:val="72"/>
          <w:highlight w:val="none"/>
        </w:rPr>
        <w:t>建设项</w:t>
      </w:r>
      <w:r>
        <w:rPr>
          <w:rFonts w:hint="eastAsia" w:ascii="Times New Roman" w:hAnsi="Times New Roman" w:eastAsia="方正小标宋_GBK" w:cs="Times New Roman"/>
          <w:bCs/>
          <w:color w:val="auto"/>
          <w:sz w:val="72"/>
          <w:szCs w:val="72"/>
          <w:highlight w:val="none"/>
          <w:lang w:val="en-US" w:eastAsia="zh-CN"/>
        </w:rPr>
        <w:t>目环</w:t>
      </w:r>
      <w:r>
        <w:rPr>
          <w:rFonts w:hint="default" w:ascii="Times New Roman" w:hAnsi="Times New Roman" w:eastAsia="方正小标宋_GBK" w:cs="Times New Roman"/>
          <w:bCs/>
          <w:color w:val="auto"/>
          <w:sz w:val="72"/>
          <w:szCs w:val="72"/>
          <w:highlight w:val="none"/>
        </w:rPr>
        <w:t>境影响报告表</w:t>
      </w:r>
      <w:bookmarkEnd w:id="0"/>
    </w:p>
    <w:p>
      <w:pPr>
        <w:jc w:val="center"/>
        <w:rPr>
          <w:rFonts w:hint="default" w:ascii="Times New Roman" w:hAnsi="Times New Roman" w:eastAsia="仿宋" w:cs="Times New Roman"/>
          <w:color w:val="auto"/>
          <w:sz w:val="52"/>
          <w:szCs w:val="52"/>
          <w:highlight w:val="none"/>
        </w:rPr>
      </w:pPr>
      <w:r>
        <w:rPr>
          <w:rFonts w:hint="eastAsia" w:eastAsia="仿宋" w:cs="Times New Roman"/>
          <w:color w:val="auto"/>
          <w:sz w:val="52"/>
          <w:szCs w:val="52"/>
          <w:highlight w:val="none"/>
          <w:lang w:val="en-US" w:eastAsia="zh-CN"/>
        </w:rPr>
        <w:t>（污染影响型）</w:t>
      </w:r>
    </w:p>
    <w:p>
      <w:pPr>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pStyle w:val="17"/>
        <w:rPr>
          <w:rFonts w:hint="default" w:ascii="Times New Roman" w:hAnsi="Times New Roman" w:eastAsia="仿宋" w:cs="Times New Roman"/>
          <w:color w:val="auto"/>
          <w:sz w:val="44"/>
          <w:szCs w:val="44"/>
          <w:highlight w:val="none"/>
        </w:rPr>
      </w:pPr>
    </w:p>
    <w:p>
      <w:pPr>
        <w:rPr>
          <w:rFonts w:hint="eastAsia" w:eastAsia="宋体"/>
          <w:color w:val="auto"/>
          <w:highlight w:val="none"/>
          <w:lang w:val="en-US" w:eastAsia="zh-CN"/>
        </w:rPr>
      </w:pPr>
      <w:r>
        <w:rPr>
          <w:rFonts w:hint="eastAsia"/>
          <w:color w:val="auto"/>
          <w:highlight w:val="none"/>
          <w:lang w:val="en-US" w:eastAsia="zh-CN"/>
        </w:rPr>
        <w:t xml:space="preserve"> </w:t>
      </w:r>
    </w:p>
    <w:p>
      <w:pPr>
        <w:ind w:firstLine="1040"/>
        <w:rPr>
          <w:rFonts w:hint="default" w:ascii="Times New Roman" w:hAnsi="Times New Roman" w:eastAsia="仿宋" w:cs="Times New Roman"/>
          <w:color w:val="auto"/>
          <w:sz w:val="44"/>
          <w:szCs w:val="44"/>
          <w:highlight w:val="none"/>
        </w:rPr>
      </w:pPr>
    </w:p>
    <w:p>
      <w:pPr>
        <w:pStyle w:val="15"/>
        <w:rPr>
          <w:rFonts w:hint="default" w:ascii="Times New Roman" w:hAnsi="Times New Roman" w:eastAsia="仿宋" w:cs="Times New Roman"/>
          <w:color w:val="auto"/>
          <w:sz w:val="44"/>
          <w:szCs w:val="44"/>
          <w:highlight w:val="none"/>
        </w:rPr>
      </w:pPr>
    </w:p>
    <w:p>
      <w:pPr>
        <w:rPr>
          <w:rFonts w:hint="default"/>
          <w:color w:val="auto"/>
          <w:highlight w:val="none"/>
        </w:rPr>
      </w:pPr>
    </w:p>
    <w:p>
      <w:pPr>
        <w:adjustRightInd w:val="0"/>
        <w:snapToGrid w:val="0"/>
        <w:spacing w:line="288" w:lineRule="auto"/>
        <w:rPr>
          <w:rFonts w:hint="default" w:ascii="Times New Roman" w:hAnsi="Times New Roman" w:eastAsia="仿宋_GB2312" w:cs="Times New Roman"/>
          <w:color w:val="auto"/>
          <w:sz w:val="36"/>
          <w:szCs w:val="36"/>
          <w:highlight w:val="none"/>
        </w:rPr>
      </w:pPr>
    </w:p>
    <w:p>
      <w:pPr>
        <w:pStyle w:val="15"/>
        <w:rPr>
          <w:rFonts w:hint="default"/>
          <w:color w:val="auto"/>
          <w:highlight w:val="none"/>
        </w:rPr>
      </w:pPr>
    </w:p>
    <w:p>
      <w:pPr>
        <w:adjustRightInd w:val="0"/>
        <w:snapToGrid w:val="0"/>
        <w:spacing w:line="288" w:lineRule="auto"/>
        <w:jc w:val="center"/>
        <w:outlineLvl w:val="0"/>
        <w:rPr>
          <w:rFonts w:hint="default" w:ascii="Times New Roman" w:hAnsi="Times New Roman" w:eastAsia="仿宋_GB2312" w:cs="Times New Roman"/>
          <w:color w:val="auto"/>
          <w:sz w:val="36"/>
          <w:szCs w:val="36"/>
          <w:highlight w:val="none"/>
          <w:u w:val="single"/>
          <w:lang w:val="en-US" w:eastAsia="zh-CN"/>
        </w:rPr>
      </w:pPr>
      <w:bookmarkStart w:id="1" w:name="_Toc6212"/>
      <w:r>
        <w:rPr>
          <w:rFonts w:hint="default" w:ascii="Times New Roman" w:hAnsi="Times New Roman" w:eastAsia="仿宋_GB2312" w:cs="Times New Roman"/>
          <w:color w:val="auto"/>
          <w:sz w:val="36"/>
          <w:szCs w:val="36"/>
          <w:highlight w:val="none"/>
        </w:rPr>
        <w:t>项目名称：</w:t>
      </w:r>
      <w:bookmarkEnd w:id="1"/>
      <w:r>
        <w:rPr>
          <w:rFonts w:hint="eastAsia" w:eastAsia="仿宋_GB2312" w:cs="Times New Roman"/>
          <w:color w:val="auto"/>
          <w:sz w:val="36"/>
          <w:szCs w:val="36"/>
          <w:highlight w:val="none"/>
          <w:u w:val="single"/>
          <w:lang w:val="en-US" w:eastAsia="zh-CN"/>
        </w:rPr>
        <w:t>遵化市益诚机械配件有限公司年产高端精密铸件5500吨数控机床配件项目</w:t>
      </w:r>
    </w:p>
    <w:p>
      <w:pPr>
        <w:adjustRightInd w:val="0"/>
        <w:snapToGrid w:val="0"/>
        <w:spacing w:line="288" w:lineRule="auto"/>
        <w:jc w:val="center"/>
        <w:rPr>
          <w:rFonts w:hint="eastAsia" w:ascii="Times New Roman" w:hAnsi="Times New Roman" w:eastAsia="仿宋_GB2312" w:cs="Times New Roman"/>
          <w:color w:val="auto"/>
          <w:sz w:val="36"/>
          <w:szCs w:val="36"/>
          <w:highlight w:val="none"/>
          <w:u w:val="single"/>
          <w:lang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eastAsia="zh-CN"/>
        </w:rPr>
        <w:t>遵化市益诚机械配件有限公司</w:t>
      </w:r>
    </w:p>
    <w:p>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u w:val="single"/>
        </w:rPr>
        <w:t>20</w:t>
      </w:r>
      <w:r>
        <w:rPr>
          <w:rFonts w:hint="eastAsia" w:ascii="Times New Roman" w:hAnsi="Times New Roman" w:eastAsia="仿宋_GB2312" w:cs="Times New Roman"/>
          <w:color w:val="auto"/>
          <w:sz w:val="36"/>
          <w:szCs w:val="36"/>
          <w:highlight w:val="none"/>
          <w:u w:val="single"/>
          <w:lang w:val="en-US" w:eastAsia="zh-CN"/>
        </w:rPr>
        <w:t>2</w:t>
      </w:r>
      <w:r>
        <w:rPr>
          <w:rFonts w:hint="eastAsia" w:eastAsia="仿宋_GB2312" w:cs="Times New Roman"/>
          <w:color w:val="auto"/>
          <w:sz w:val="36"/>
          <w:szCs w:val="36"/>
          <w:highlight w:val="none"/>
          <w:u w:val="single"/>
          <w:lang w:val="en-US" w:eastAsia="zh-CN"/>
        </w:rPr>
        <w:t>4</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3</w:t>
      </w:r>
      <w:r>
        <w:rPr>
          <w:rFonts w:hint="default" w:ascii="Times New Roman" w:hAnsi="Times New Roman" w:eastAsia="仿宋_GB2312" w:cs="Times New Roman"/>
          <w:color w:val="auto"/>
          <w:sz w:val="36"/>
          <w:szCs w:val="36"/>
          <w:highlight w:val="none"/>
          <w:u w:val="single"/>
        </w:rPr>
        <w:t>月</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634"/>
      <w:r>
        <w:rPr>
          <w:rFonts w:hint="default" w:ascii="Times New Roman" w:hAnsi="Times New Roman" w:eastAsia="楷体_GB2312" w:cs="Times New Roman"/>
          <w:color w:val="auto"/>
          <w:sz w:val="36"/>
          <w:szCs w:val="36"/>
          <w:highlight w:val="none"/>
        </w:rPr>
        <w:t>中华人民共和国生态环境部制</w:t>
      </w:r>
      <w:bookmarkEnd w:id="3"/>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sdt>
      <w:sdtPr>
        <w:rPr>
          <w:rFonts w:ascii="宋体" w:hAnsi="宋体" w:eastAsia="宋体" w:cs="Times New Roman"/>
          <w:color w:val="auto"/>
          <w:kern w:val="2"/>
          <w:sz w:val="21"/>
          <w:szCs w:val="24"/>
          <w:highlight w:val="none"/>
          <w:lang w:val="en-US" w:eastAsia="zh-CN" w:bidi="ar-SA"/>
        </w:rPr>
        <w:id w:val="147482074"/>
        <w15:color w:val="DBDBDB"/>
        <w:docPartObj>
          <w:docPartGallery w:val="Table of Contents"/>
          <w:docPartUnique/>
        </w:docPartObj>
      </w:sdtPr>
      <w:sdtEndPr>
        <w:rPr>
          <w:rFonts w:hint="default" w:ascii="Times New Roman" w:hAnsi="Times New Roman" w:eastAsia="仿宋_GB2312" w:cs="Times New Roman"/>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pPr>
            <w:pStyle w:val="96"/>
            <w:tabs>
              <w:tab w:val="right" w:leader="dot" w:pos="8844"/>
            </w:tabs>
            <w:rPr>
              <w:color w:val="auto"/>
              <w:highlight w:val="none"/>
            </w:rPr>
          </w:pPr>
          <w:r>
            <w:rPr>
              <w:rFonts w:hint="default" w:ascii="Times New Roman" w:hAnsi="Times New Roman" w:eastAsia="仿宋_GB2312" w:cs="Times New Roman"/>
              <w:color w:val="auto"/>
              <w:sz w:val="36"/>
              <w:szCs w:val="36"/>
              <w:highlight w:val="none"/>
            </w:rPr>
            <w:fldChar w:fldCharType="begin"/>
          </w:r>
          <w:r>
            <w:rPr>
              <w:rFonts w:hint="default" w:ascii="Times New Roman" w:hAnsi="Times New Roman" w:eastAsia="仿宋_GB2312" w:cs="Times New Roman"/>
              <w:color w:val="auto"/>
              <w:sz w:val="36"/>
              <w:szCs w:val="36"/>
              <w:highlight w:val="none"/>
            </w:rPr>
            <w:instrText xml:space="preserve">TOC \o "1-1" \h \u </w:instrText>
          </w:r>
          <w:r>
            <w:rPr>
              <w:rFonts w:hint="default" w:ascii="Times New Roman" w:hAnsi="Times New Roman" w:eastAsia="仿宋_GB2312" w:cs="Times New Roman"/>
              <w:color w:val="auto"/>
              <w:sz w:val="36"/>
              <w:szCs w:val="36"/>
              <w:highlight w:val="none"/>
            </w:rPr>
            <w:fldChar w:fldCharType="separate"/>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_Toc18711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_Toc26214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_Toc30819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_Toc26788 </w:instrText>
          </w:r>
          <w:r>
            <w:rPr>
              <w:rFonts w:hint="default" w:ascii="Times New Roman" w:hAnsi="Times New Roman" w:eastAsia="仿宋_GB2312" w:cs="Times New Roman"/>
              <w:color w:val="auto"/>
              <w:sz w:val="24"/>
              <w:szCs w:val="24"/>
              <w:highlight w:val="none"/>
            </w:rPr>
            <w:fldChar w:fldCharType="separate"/>
          </w:r>
          <w:r>
            <w:rPr>
              <w:rFonts w:hint="eastAsia" w:ascii="Times New Roman" w:hAnsi="Times New Roman" w:eastAsia="黑体" w:cs="Times New Roman"/>
              <w:snapToGrid w:val="0"/>
              <w:color w:val="auto"/>
              <w:sz w:val="24"/>
              <w:szCs w:val="24"/>
              <w:highlight w:val="none"/>
            </w:rPr>
            <w:t xml:space="preserve">四、 </w:t>
          </w:r>
          <w:r>
            <w:rPr>
              <w:rFonts w:hint="default" w:ascii="Times New Roman" w:hAnsi="Times New Roman" w:eastAsia="黑体" w:cs="Times New Roman"/>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_Toc26089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96"/>
            <w:tabs>
              <w:tab w:val="right" w:leader="dot" w:pos="8844"/>
            </w:tabs>
            <w:rPr>
              <w:color w:val="auto"/>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_Toc14760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Cs w:val="36"/>
              <w:highlight w:val="none"/>
            </w:rPr>
            <w:fldChar w:fldCharType="end"/>
          </w:r>
        </w:p>
      </w:sdtContent>
    </w:sdt>
    <w:p>
      <w:pPr>
        <w:pStyle w:val="17"/>
        <w:rPr>
          <w:rFonts w:hint="default" w:ascii="Times New Roman" w:hAnsi="Times New Roman" w:eastAsia="仿宋_GB2312" w:cs="Times New Roman"/>
          <w:color w:val="auto"/>
          <w:sz w:val="36"/>
          <w:szCs w:val="36"/>
          <w:highlight w:val="none"/>
        </w:rPr>
      </w:pPr>
    </w:p>
    <w:p>
      <w:pPr>
        <w:pStyle w:val="17"/>
        <w:rPr>
          <w:rFonts w:hint="default"/>
          <w:color w:val="auto"/>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30"/>
        <w:jc w:val="center"/>
        <w:outlineLvl w:val="0"/>
        <w:rPr>
          <w:rFonts w:hint="default" w:ascii="Times New Roman" w:hAnsi="Times New Roman" w:eastAsia="黑体" w:cs="Times New Roman"/>
          <w:snapToGrid w:val="0"/>
          <w:color w:val="auto"/>
          <w:sz w:val="30"/>
          <w:szCs w:val="30"/>
          <w:highlight w:val="none"/>
        </w:rPr>
      </w:pPr>
      <w:bookmarkStart w:id="4" w:name="_Toc18711"/>
      <w:r>
        <w:rPr>
          <w:rFonts w:hint="default" w:ascii="Times New Roman" w:hAnsi="Times New Roman" w:eastAsia="黑体" w:cs="Times New Roman"/>
          <w:snapToGrid w:val="0"/>
          <w:color w:val="auto"/>
          <w:sz w:val="30"/>
          <w:szCs w:val="30"/>
          <w:highlight w:val="none"/>
        </w:rPr>
        <w:t>一、建设项目基本情况</w:t>
      </w:r>
      <w:bookmarkEnd w:id="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54"/>
        <w:gridCol w:w="1124"/>
        <w:gridCol w:w="346"/>
        <w:gridCol w:w="1847"/>
        <w:gridCol w:w="1849"/>
        <w:gridCol w:w="29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031" w:type="dxa"/>
            <w:gridSpan w:val="4"/>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遵化市益诚机械配件有限公司年产高端精密铸件5500吨数控机床配件项目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031" w:type="dxa"/>
            <w:gridSpan w:val="4"/>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2402-130281-89-01-464033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snapToGrid w:val="0"/>
                <w:color w:val="auto"/>
                <w:kern w:val="0"/>
                <w:sz w:val="24"/>
                <w:szCs w:val="22"/>
                <w:highlight w:val="red"/>
                <w:lang w:val="en-US" w:eastAsia="zh-CN"/>
              </w:rPr>
              <w:t>王少军</w:t>
            </w:r>
          </w:p>
        </w:tc>
        <w:tc>
          <w:tcPr>
            <w:tcW w:w="18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highlight w:val="red"/>
                <w:lang w:val="en-US" w:eastAsia="zh-CN"/>
              </w:rPr>
              <w:t>15732500366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03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0"/>
                <w:sz w:val="24"/>
                <w:szCs w:val="22"/>
                <w:highlight w:val="none"/>
                <w:lang w:val="en-US" w:eastAsia="zh-CN"/>
              </w:rPr>
              <w:t>河北省唐山市遵化市遵化镇团练屯村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031" w:type="dxa"/>
            <w:gridSpan w:val="4"/>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eastAsia="zh-CN"/>
              </w:rPr>
              <w:t>北纬40度10分</w:t>
            </w:r>
            <w:r>
              <w:rPr>
                <w:rFonts w:hint="eastAsia" w:cs="Times New Roman"/>
                <w:color w:val="auto"/>
                <w:sz w:val="24"/>
                <w:szCs w:val="24"/>
                <w:highlight w:val="none"/>
                <w:u w:val="single"/>
                <w:lang w:val="en-US" w:eastAsia="zh-CN"/>
              </w:rPr>
              <w:t>4.525</w:t>
            </w:r>
            <w:r>
              <w:rPr>
                <w:rFonts w:hint="eastAsia" w:cs="Times New Roman"/>
                <w:color w:val="auto"/>
                <w:sz w:val="24"/>
                <w:szCs w:val="24"/>
                <w:highlight w:val="none"/>
                <w:u w:val="single"/>
                <w:lang w:eastAsia="zh-CN"/>
              </w:rPr>
              <w:t>秒，东经117度5</w:t>
            </w:r>
            <w:r>
              <w:rPr>
                <w:rFonts w:hint="eastAsia" w:cs="Times New Roman"/>
                <w:color w:val="auto"/>
                <w:sz w:val="24"/>
                <w:szCs w:val="24"/>
                <w:highlight w:val="none"/>
                <w:u w:val="single"/>
                <w:lang w:val="en-US" w:eastAsia="zh-CN"/>
              </w:rPr>
              <w:t>9</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24.139</w:t>
            </w:r>
            <w:r>
              <w:rPr>
                <w:rFonts w:hint="eastAsia" w:cs="Times New Roman"/>
                <w:color w:val="auto"/>
                <w:sz w:val="24"/>
                <w:szCs w:val="24"/>
                <w:highlight w:val="none"/>
                <w:u w:val="single"/>
                <w:lang w:eastAsia="zh-CN"/>
              </w:rPr>
              <w:t>秒</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cs="Times New Roman"/>
                <w:color w:val="auto"/>
                <w:sz w:val="24"/>
                <w:highlight w:val="none"/>
              </w:rPr>
              <w:t>C3</w:t>
            </w:r>
            <w:r>
              <w:rPr>
                <w:rFonts w:hint="eastAsia" w:ascii="Times New Roman" w:hAnsi="Times New Roman" w:cs="Times New Roman"/>
                <w:color w:val="auto"/>
                <w:sz w:val="24"/>
                <w:highlight w:val="none"/>
                <w:lang w:val="en-US" w:eastAsia="zh-CN"/>
              </w:rPr>
              <w:t>391黑色金属铸造</w:t>
            </w:r>
          </w:p>
        </w:tc>
        <w:tc>
          <w:tcPr>
            <w:tcW w:w="18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bookmarkStart w:id="5" w:name="_Hlk49843745"/>
            <w:r>
              <w:rPr>
                <w:rFonts w:hint="default" w:ascii="Times New Roman" w:hAnsi="Times New Roman" w:eastAsia="宋体" w:cs="Times New Roman"/>
                <w:snapToGrid w:val="0"/>
                <w:color w:val="auto"/>
                <w:kern w:val="0"/>
                <w:sz w:val="24"/>
                <w:szCs w:val="22"/>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bookmarkEnd w:id="5"/>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eastAsia" w:ascii="Times New Roman" w:hAnsi="Times New Roman" w:cs="Times New Roman"/>
                <w:color w:val="auto"/>
                <w:sz w:val="24"/>
                <w:highlight w:val="none"/>
                <w:lang w:val="en-US" w:eastAsia="zh-CN"/>
              </w:rPr>
              <w:t>三十</w:t>
            </w:r>
            <w:r>
              <w:rPr>
                <w:rFonts w:hint="default" w:ascii="Times New Roman" w:hAnsi="Times New Roman" w:cs="Times New Roman"/>
                <w:color w:val="auto"/>
                <w:sz w:val="24"/>
                <w:highlight w:val="none"/>
                <w:lang w:val="en-US" w:eastAsia="zh-CN"/>
              </w:rPr>
              <w:t>、金属制品业</w:t>
            </w:r>
            <w:r>
              <w:rPr>
                <w:rFonts w:hint="eastAsia" w:ascii="Times New Roman" w:hAnsi="Times New Roman" w:cs="Times New Roman"/>
                <w:color w:val="auto"/>
                <w:sz w:val="24"/>
                <w:highlight w:val="none"/>
                <w:lang w:val="en-US" w:eastAsia="zh-CN"/>
              </w:rPr>
              <w:t>33，68.铸造及其他金属制品制造339-其他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193" w:type="dxa"/>
            <w:gridSpan w:val="2"/>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新建（迁建）</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8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2989" w:type="dxa"/>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遵化市行政审批局</w:t>
            </w:r>
          </w:p>
        </w:tc>
        <w:tc>
          <w:tcPr>
            <w:tcW w:w="18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核准/</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备案</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文号</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选填</w:t>
            </w:r>
            <w:r>
              <w:rPr>
                <w:rFonts w:hint="eastAsia" w:cs="Times New Roman"/>
                <w:color w:val="auto"/>
                <w:sz w:val="24"/>
                <w:highlight w:val="none"/>
                <w:lang w:val="en-US" w:eastAsia="zh-CN"/>
              </w:rPr>
              <w:t>)</w:t>
            </w:r>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遵审投资备字[2024]30号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4000</w:t>
            </w:r>
          </w:p>
        </w:tc>
        <w:tc>
          <w:tcPr>
            <w:tcW w:w="1849"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环保投资</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万元</w:t>
            </w:r>
            <w:r>
              <w:rPr>
                <w:rFonts w:hint="eastAsia" w:cs="Times New Roman"/>
                <w:color w:val="auto"/>
                <w:sz w:val="24"/>
                <w:highlight w:val="none"/>
                <w:lang w:val="en-US" w:eastAsia="zh-CN"/>
              </w:rPr>
              <w:t>)</w:t>
            </w:r>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2524" w:type="dxa"/>
            <w:gridSpan w:val="3"/>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8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1.25</w:t>
            </w:r>
          </w:p>
        </w:tc>
        <w:tc>
          <w:tcPr>
            <w:tcW w:w="1849"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8"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849"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2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815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冷却水经冷却后循环利用</w:t>
            </w:r>
            <w:r>
              <w:rPr>
                <w:rFonts w:hint="eastAsia" w:ascii="Times New Roman" w:hAnsi="Times New Roman" w:eastAsia="宋体" w:cs="Times New Roman"/>
                <w:color w:val="auto"/>
                <w:sz w:val="24"/>
                <w:szCs w:val="24"/>
                <w:highlight w:val="none"/>
                <w:lang w:val="en-US" w:eastAsia="zh-CN"/>
              </w:rPr>
              <w:t>不外排，</w:t>
            </w:r>
            <w:r>
              <w:rPr>
                <w:rFonts w:hint="default" w:ascii="Times New Roman" w:hAnsi="Times New Roman" w:eastAsia="宋体" w:cs="Times New Roman"/>
                <w:color w:val="auto"/>
                <w:sz w:val="24"/>
                <w:szCs w:val="24"/>
                <w:highlight w:val="none"/>
                <w:lang w:val="en-US" w:eastAsia="zh-CN"/>
              </w:rPr>
              <w:t>职工</w:t>
            </w:r>
            <w:r>
              <w:rPr>
                <w:rFonts w:hint="eastAsia" w:cs="Times New Roman"/>
                <w:color w:val="auto"/>
                <w:sz w:val="24"/>
                <w:szCs w:val="24"/>
                <w:highlight w:val="none"/>
                <w:lang w:val="en-US" w:eastAsia="zh-CN"/>
              </w:rPr>
              <w:t>盥洗废水就地泼洒抑尘不外排</w:t>
            </w:r>
            <w:r>
              <w:rPr>
                <w:rFonts w:hint="eastAsia" w:ascii="Times New Roman" w:hAnsi="Times New Roman" w:eastAsia="宋体" w:cs="Times New Roman"/>
                <w:color w:val="auto"/>
                <w:sz w:val="24"/>
                <w:szCs w:val="24"/>
                <w:highlight w:val="none"/>
                <w:lang w:val="en-US" w:eastAsia="zh-CN"/>
              </w:rPr>
              <w:t>，项目无废水直接排放至外环境，不属于新增工业废水直排建设项目，也不属于新增废水直排的污水集中处理厂项目，因此，无需设地表水专项评价；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主要风险物质为</w:t>
            </w:r>
            <w:r>
              <w:rPr>
                <w:rFonts w:hint="eastAsia" w:ascii="Times New Roman" w:hAnsi="Times New Roman" w:eastAsia="宋体" w:cs="Times New Roman"/>
                <w:color w:val="auto"/>
                <w:sz w:val="24"/>
                <w:szCs w:val="24"/>
                <w:highlight w:val="none"/>
                <w:lang w:val="en-US" w:eastAsia="zh-CN"/>
              </w:rPr>
              <w:t>润滑油</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废润滑油</w:t>
            </w:r>
            <w:r>
              <w:rPr>
                <w:rFonts w:hint="eastAsia" w:cs="Times New Roman"/>
                <w:color w:val="auto"/>
                <w:sz w:val="24"/>
                <w:szCs w:val="24"/>
                <w:highlight w:val="none"/>
                <w:lang w:val="en-US" w:eastAsia="zh-CN"/>
              </w:rPr>
              <w:t>，项目润滑油储存量为0.3t、废润滑油储存量为0.1t、废油桶储存量为0.06t；润滑油临界量为2500t，废润滑油、废油桶临界量为100t，经计算，项目风险Q值为0.003064，</w:t>
            </w:r>
            <w:r>
              <w:rPr>
                <w:rFonts w:hint="eastAsia" w:ascii="Times New Roman" w:hAnsi="Times New Roman" w:eastAsia="宋体" w:cs="Times New Roman"/>
                <w:color w:val="auto"/>
                <w:sz w:val="24"/>
                <w:szCs w:val="24"/>
                <w:highlight w:val="none"/>
                <w:lang w:val="en-US" w:eastAsia="zh-CN"/>
              </w:rPr>
              <w:t>因此，无需设环境风险专项评价；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取水口下游</w:t>
            </w:r>
            <w:r>
              <w:rPr>
                <w:rFonts w:hint="default" w:ascii="Times New Roman" w:hAnsi="Times New Roman" w:eastAsia="宋体"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米范围内有重要水生生物的自然产卵场、索饵场、越冬场和洄游通道的新增河道取水的污染类建设项目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，因此，无需设生态专项评价；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直接向海排放污染物的海洋工程建设项目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，因此，无需设海洋专项评价；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项目周边不涉及集中式饮用水水源和热水、矿泉水、温泉等特殊地下水资源保护区，无需设置地下水专项评价</w:t>
            </w: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规划情况</w:t>
            </w:r>
          </w:p>
        </w:tc>
        <w:tc>
          <w:tcPr>
            <w:tcW w:w="8155"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评价情况</w:t>
            </w:r>
          </w:p>
        </w:tc>
        <w:tc>
          <w:tcPr>
            <w:tcW w:w="8155"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5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815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105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8155"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lang w:val="en-US" w:eastAsia="zh-CN"/>
              </w:rPr>
              <w:t>、“三线一单”符合性分析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根据《关于以改善环境质量为核心加强环境影响评价管理的通知》（环环评【</w:t>
            </w:r>
            <w:r>
              <w:rPr>
                <w:rFonts w:hint="default" w:ascii="Times New Roman" w:hAnsi="Times New Roman" w:eastAsia="宋体" w:cs="Times New Roman"/>
                <w:color w:val="auto"/>
                <w:sz w:val="24"/>
                <w:szCs w:val="24"/>
                <w:highlight w:val="none"/>
                <w:lang w:val="en-US" w:eastAsia="zh-CN"/>
              </w:rPr>
              <w:t>2016】150号）</w:t>
            </w:r>
            <w:r>
              <w:rPr>
                <w:rFonts w:hint="default" w:ascii="Times New Roman" w:hAnsi="Times New Roman" w:eastAsia="宋体" w:cs="Times New Roman"/>
                <w:i w:val="0"/>
                <w:iCs w:val="0"/>
                <w:color w:val="auto"/>
                <w:sz w:val="24"/>
                <w:szCs w:val="24"/>
                <w:highlight w:val="none"/>
                <w:lang w:eastAsia="zh-CN"/>
              </w:rPr>
              <w:t>，</w:t>
            </w:r>
            <w:r>
              <w:rPr>
                <w:rFonts w:hint="default" w:ascii="Times New Roman" w:hAnsi="Times New Roman" w:eastAsia="宋体" w:cs="Times New Roman"/>
                <w:color w:val="auto"/>
                <w:sz w:val="24"/>
                <w:szCs w:val="24"/>
                <w:highlight w:val="none"/>
              </w:rPr>
              <w:t>要求以生态保护红线、环境质量底线、资源利用上线和环境准入负面清单（以下简称“三线一单”）为手段，强化空间、总量和准入环境管理。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⑴生态保护红线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i w:val="0"/>
                <w:iCs w:val="0"/>
                <w:color w:val="auto"/>
                <w:sz w:val="24"/>
                <w:szCs w:val="24"/>
                <w:highlight w:val="none"/>
                <w:lang w:val="en-US" w:eastAsia="zh-CN"/>
              </w:rPr>
              <w:t>根据《遵化市生态保护红线》遵化市生态保护红线面积341.38km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ascii="Times New Roman" w:hAnsi="Times New Roman" w:eastAsia="宋体" w:cs="Times New Roman"/>
                <w:snapToGrid w:val="0"/>
                <w:color w:val="auto"/>
                <w:kern w:val="0"/>
                <w:sz w:val="24"/>
                <w:szCs w:val="22"/>
                <w:highlight w:val="none"/>
                <w:lang w:val="en-US" w:eastAsia="zh-CN"/>
              </w:rPr>
              <w:t>河北省唐山市遵化市遵化镇团练屯村</w:t>
            </w:r>
            <w:r>
              <w:rPr>
                <w:rFonts w:hint="default" w:ascii="Times New Roman" w:hAnsi="Times New Roman" w:eastAsia="宋体" w:cs="Times New Roman"/>
                <w:i w:val="0"/>
                <w:iCs w:val="0"/>
                <w:color w:val="auto"/>
                <w:sz w:val="24"/>
                <w:szCs w:val="24"/>
                <w:highlight w:val="none"/>
                <w:lang w:val="en-US" w:eastAsia="zh-CN"/>
              </w:rPr>
              <w:t>，不在上述管控区范围内，即位于《遵化市生态保护红线》确定的生态红线范围之外，距最近的生态保护红线距离为</w:t>
            </w:r>
            <w:r>
              <w:rPr>
                <w:rFonts w:hint="eastAsia" w:ascii="Times New Roman" w:hAnsi="Times New Roman" w:eastAsia="宋体" w:cs="Times New Roman"/>
                <w:i w:val="0"/>
                <w:iCs w:val="0"/>
                <w:color w:val="auto"/>
                <w:sz w:val="24"/>
                <w:szCs w:val="24"/>
                <w:highlight w:val="none"/>
                <w:lang w:val="en-US" w:eastAsia="zh-CN"/>
              </w:rPr>
              <w:t>600</w:t>
            </w:r>
            <w:r>
              <w:rPr>
                <w:rFonts w:hint="default" w:ascii="Times New Roman" w:hAnsi="Times New Roman" w:eastAsia="宋体" w:cs="Times New Roman"/>
                <w:i w:val="0"/>
                <w:iCs w:val="0"/>
                <w:color w:val="auto"/>
                <w:sz w:val="24"/>
                <w:szCs w:val="24"/>
                <w:highlight w:val="none"/>
                <w:lang w:val="en-US" w:eastAsia="zh-CN"/>
              </w:rPr>
              <w:t>m，因此项目建设符合生态红线要求。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⑵环境质量底线</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类区标准。</w:t>
            </w:r>
          </w:p>
          <w:p>
            <w:pPr>
              <w:pStyle w:val="76"/>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，本项目建设完成后</w:t>
            </w:r>
            <w:r>
              <w:rPr>
                <w:color w:val="auto"/>
                <w:sz w:val="24"/>
                <w:szCs w:val="24"/>
                <w:highlight w:val="none"/>
                <w:shd w:val="clear" w:color="auto" w:fill="auto"/>
              </w:rPr>
              <w:t>，通过</w:t>
            </w:r>
            <w:r>
              <w:rPr>
                <w:rFonts w:hint="eastAsia"/>
                <w:color w:val="auto"/>
                <w:sz w:val="24"/>
                <w:szCs w:val="24"/>
                <w:highlight w:val="none"/>
                <w:shd w:val="clear" w:color="auto" w:fill="auto"/>
                <w:lang w:eastAsia="zh-CN"/>
              </w:rPr>
              <w:t>以新带老削减等措施</w:t>
            </w:r>
            <w:r>
              <w:rPr>
                <w:color w:val="auto"/>
                <w:sz w:val="24"/>
                <w:szCs w:val="24"/>
                <w:highlight w:val="none"/>
                <w:shd w:val="clear" w:color="auto" w:fill="auto"/>
              </w:rPr>
              <w:t>，</w:t>
            </w:r>
            <w:r>
              <w:rPr>
                <w:rFonts w:hint="eastAsia"/>
                <w:color w:val="auto"/>
                <w:sz w:val="24"/>
                <w:szCs w:val="24"/>
                <w:highlight w:val="none"/>
                <w:shd w:val="clear" w:color="auto" w:fill="auto"/>
                <w:lang w:eastAsia="zh-CN"/>
              </w:rPr>
              <w:t>废气</w:t>
            </w:r>
            <w:r>
              <w:rPr>
                <w:rFonts w:hint="eastAsia"/>
                <w:color w:val="auto"/>
                <w:sz w:val="24"/>
                <w:szCs w:val="24"/>
                <w:highlight w:val="none"/>
                <w:shd w:val="clear" w:color="auto" w:fill="auto"/>
              </w:rPr>
              <w:t>污染物排放量降低</w:t>
            </w:r>
            <w:r>
              <w:rPr>
                <w:rFonts w:hint="eastAsia"/>
                <w:color w:val="auto"/>
                <w:sz w:val="24"/>
                <w:szCs w:val="24"/>
                <w:highlight w:val="none"/>
                <w:shd w:val="clear" w:color="auto" w:fill="auto"/>
                <w:lang w:eastAsia="zh-CN"/>
              </w:rPr>
              <w:t>，对周围大气环境影响较小；</w:t>
            </w: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冷却水经冷却后循环利用</w:t>
            </w:r>
            <w:r>
              <w:rPr>
                <w:rFonts w:hint="eastAsia" w:ascii="Times New Roman" w:hAnsi="Times New Roman" w:eastAsia="宋体" w:cs="Times New Roman"/>
                <w:color w:val="auto"/>
                <w:sz w:val="24"/>
                <w:szCs w:val="24"/>
                <w:highlight w:val="none"/>
                <w:lang w:val="en-US" w:eastAsia="zh-CN"/>
              </w:rPr>
              <w:t>不外排，</w:t>
            </w:r>
            <w:r>
              <w:rPr>
                <w:rFonts w:hint="default" w:ascii="Times New Roman" w:hAnsi="Times New Roman" w:eastAsia="宋体" w:cs="Times New Roman"/>
                <w:color w:val="auto"/>
                <w:sz w:val="24"/>
                <w:szCs w:val="24"/>
                <w:highlight w:val="none"/>
                <w:lang w:val="en-US" w:eastAsia="zh-CN"/>
              </w:rPr>
              <w:t>职工</w:t>
            </w:r>
            <w:r>
              <w:rPr>
                <w:rFonts w:hint="eastAsia" w:cs="Times New Roman"/>
                <w:color w:val="auto"/>
                <w:sz w:val="24"/>
                <w:szCs w:val="24"/>
                <w:highlight w:val="none"/>
                <w:lang w:val="en-US" w:eastAsia="zh-CN"/>
              </w:rPr>
              <w:t>盥洗废水就地泼洒抑尘不外排</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w:t>
            </w:r>
            <w:r>
              <w:rPr>
                <w:rFonts w:hint="eastAsia"/>
                <w:color w:val="auto"/>
                <w:sz w:val="24"/>
                <w:szCs w:val="24"/>
                <w:highlight w:val="none"/>
                <w:shd w:val="clear" w:color="auto" w:fill="auto"/>
                <w:lang w:val="en-US" w:eastAsia="zh-CN"/>
              </w:rPr>
              <w:t>建设</w:t>
            </w:r>
            <w:r>
              <w:rPr>
                <w:rFonts w:hint="eastAsia"/>
                <w:color w:val="auto"/>
                <w:sz w:val="24"/>
                <w:szCs w:val="24"/>
                <w:highlight w:val="none"/>
                <w:shd w:val="clear" w:color="auto" w:fill="auto"/>
                <w:lang w:eastAsia="zh-CN"/>
              </w:rPr>
              <w:t>完成后，不会改变区域声环境质量；项目固体废物均妥善处置；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i w:val="0"/>
                <w:iCs w:val="0"/>
                <w:color w:val="auto"/>
                <w:sz w:val="24"/>
                <w:szCs w:val="24"/>
                <w:highlight w:val="none"/>
                <w:lang w:eastAsia="zh-CN"/>
              </w:rPr>
            </w:pPr>
            <w:r>
              <w:rPr>
                <w:color w:val="auto"/>
                <w:sz w:val="24"/>
                <w:szCs w:val="24"/>
                <w:highlight w:val="none"/>
                <w:shd w:val="clear" w:color="auto" w:fill="auto"/>
              </w:rPr>
              <w:t>综上所述，本项目的建设符合环境质量底线要求。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⑶资源</w:t>
            </w:r>
            <w:r>
              <w:rPr>
                <w:rFonts w:hint="eastAsia" w:ascii="Times New Roman" w:hAnsi="Times New Roman" w:eastAsia="宋体" w:cs="Times New Roman"/>
                <w:b/>
                <w:bCs/>
                <w:i w:val="0"/>
                <w:iCs w:val="0"/>
                <w:color w:val="auto"/>
                <w:sz w:val="24"/>
                <w:szCs w:val="24"/>
                <w:highlight w:val="none"/>
                <w:lang w:eastAsia="zh-CN"/>
              </w:rPr>
              <w:t>利用上线</w:t>
            </w:r>
          </w:p>
          <w:p>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lang w:eastAsia="zh-CN"/>
              </w:rPr>
              <w:t>用水</w:t>
            </w:r>
            <w:r>
              <w:rPr>
                <w:rFonts w:hint="eastAsia" w:cs="Times New Roman"/>
                <w:color w:val="auto"/>
                <w:sz w:val="24"/>
                <w:szCs w:val="24"/>
                <w:highlight w:val="none"/>
                <w:lang w:val="en-US" w:eastAsia="zh-CN"/>
              </w:rPr>
              <w:t>由厂区内原有水井供给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由当地电网引入</w:t>
            </w:r>
            <w:r>
              <w:rPr>
                <w:rFonts w:hint="eastAsia" w:ascii="Times New Roman" w:hAnsi="Times New Roman" w:eastAsia="宋体" w:cs="Times New Roman"/>
                <w:color w:val="auto"/>
                <w:sz w:val="24"/>
                <w:szCs w:val="24"/>
                <w:highlight w:val="none"/>
                <w:lang w:val="en-US" w:eastAsia="zh-CN"/>
              </w:rPr>
              <w:t>，生产车间不采暖，办公用房采暖、制冷均采用空调。项目租用现有建设用地进行建设，</w:t>
            </w:r>
            <w:r>
              <w:rPr>
                <w:rFonts w:hint="default" w:ascii="Times New Roman" w:hAnsi="Times New Roman" w:eastAsia="宋体" w:cs="Times New Roman"/>
                <w:color w:val="auto"/>
                <w:sz w:val="24"/>
                <w:szCs w:val="24"/>
                <w:highlight w:val="none"/>
                <w:lang w:val="en-US" w:eastAsia="zh-CN"/>
              </w:rPr>
              <w:t>故本项目的建设符合资源利用上线</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jc w:val="left"/>
              <w:textAlignment w:val="auto"/>
              <w:rPr>
                <w:rFonts w:hint="eastAsia" w:ascii="Times New Roman" w:hAnsi="Times New Roman" w:cs="宋体"/>
                <w:color w:val="auto"/>
                <w:kern w:val="0"/>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eastAsia="zh-CN"/>
              </w:rPr>
              <w:t>⑷环境准入负面清单</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项目所在区域无相关环境准入负面清单。</w:t>
            </w:r>
          </w:p>
          <w:p>
            <w:pPr>
              <w:keepNext w:val="0"/>
              <w:keepLines w:val="0"/>
              <w:pageBreakBefore w:val="0"/>
              <w:widowControl w:val="0"/>
              <w:kinsoku/>
              <w:wordWrap/>
              <w:overflowPunct/>
              <w:topLinePunct w:val="0"/>
              <w:bidi w:val="0"/>
              <w:spacing w:line="480" w:lineRule="exact"/>
              <w:ind w:firstLine="482" w:firstLineChars="20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b/>
                <w:bCs/>
                <w:color w:val="auto"/>
                <w:sz w:val="24"/>
              </w:rPr>
              <w:t>与《唐山市人民政府关于实施“三线一单”生态环境分区管控的意见》符合性</w:t>
            </w:r>
            <w:r>
              <w:rPr>
                <w:rFonts w:hint="eastAsia"/>
                <w:b/>
                <w:bCs/>
                <w:color w:val="auto"/>
                <w:sz w:val="24"/>
                <w:lang w:eastAsia="zh-CN"/>
              </w:rPr>
              <w:t>分析</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w:t>
            </w:r>
            <w:bookmarkStart w:id="6" w:name="bookmark5"/>
            <w:r>
              <w:rPr>
                <w:rFonts w:hint="default" w:ascii="Times New Roman" w:hAnsi="Times New Roman" w:cs="Times New Roman"/>
                <w:color w:val="auto"/>
                <w:sz w:val="24"/>
                <w:szCs w:val="24"/>
              </w:rPr>
              <w:t>唐山市人民政府</w:t>
            </w:r>
            <w:bookmarkEnd w:id="6"/>
            <w:r>
              <w:rPr>
                <w:rFonts w:hint="eastAsia" w:ascii="Times New Roman" w:hAnsi="Times New Roman" w:eastAsia="宋体" w:cs="Times New Roman"/>
                <w:color w:val="auto"/>
                <w:sz w:val="24"/>
                <w:szCs w:val="24"/>
                <w:lang w:eastAsia="zh-CN"/>
              </w:rPr>
              <w:t>发布的</w:t>
            </w:r>
            <w:r>
              <w:rPr>
                <w:rFonts w:hint="default" w:ascii="Times New Roman" w:hAnsi="Times New Roman" w:cs="Times New Roman"/>
                <w:color w:val="auto"/>
                <w:sz w:val="24"/>
                <w:szCs w:val="24"/>
              </w:rPr>
              <w:t>《</w:t>
            </w:r>
            <w:bookmarkStart w:id="7" w:name="bookmark4"/>
            <w:bookmarkStart w:id="8" w:name="bookmark3"/>
            <w:bookmarkStart w:id="9" w:name="bookmark6"/>
            <w:r>
              <w:rPr>
                <w:rFonts w:hint="default" w:ascii="Times New Roman" w:hAnsi="Times New Roman" w:cs="Times New Roman"/>
                <w:color w:val="auto"/>
                <w:sz w:val="24"/>
                <w:szCs w:val="24"/>
              </w:rPr>
              <w:t>关于实施</w:t>
            </w:r>
            <w:r>
              <w:rPr>
                <w:rFonts w:hint="default" w:ascii="Times New Roman" w:hAnsi="Times New Roman" w:cs="Times New Roman"/>
                <w:color w:val="auto"/>
                <w:sz w:val="24"/>
                <w:szCs w:val="24"/>
                <w:lang w:val="zh-CN" w:eastAsia="zh-CN"/>
              </w:rPr>
              <w:t>“三</w:t>
            </w:r>
            <w:r>
              <w:rPr>
                <w:rFonts w:hint="default" w:ascii="Times New Roman" w:hAnsi="Times New Roman" w:cs="Times New Roman"/>
                <w:color w:val="auto"/>
                <w:sz w:val="24"/>
                <w:szCs w:val="24"/>
              </w:rPr>
              <w:t>线一单</w:t>
            </w:r>
            <w:r>
              <w:rPr>
                <w:rFonts w:hint="default" w:ascii="Times New Roman" w:hAnsi="Times New Roman" w:cs="Times New Roman"/>
                <w:color w:val="auto"/>
                <w:sz w:val="24"/>
                <w:szCs w:val="24"/>
                <w:lang w:val="en-US" w:eastAsia="en-US"/>
              </w:rPr>
              <w:t>"</w:t>
            </w:r>
            <w:r>
              <w:rPr>
                <w:rFonts w:hint="default" w:ascii="Times New Roman" w:hAnsi="Times New Roman" w:cs="Times New Roman"/>
                <w:color w:val="auto"/>
                <w:sz w:val="24"/>
                <w:szCs w:val="24"/>
              </w:rPr>
              <w:t>生态环境分区管控的意见</w:t>
            </w:r>
            <w:bookmarkEnd w:id="7"/>
            <w:bookmarkEnd w:id="8"/>
            <w:bookmarkEnd w:id="9"/>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唐政字〔2021〕48号</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中</w:t>
            </w:r>
            <w:bookmarkStart w:id="10" w:name="bookmark23"/>
            <w:bookmarkStart w:id="11" w:name="bookmark24"/>
            <w:bookmarkStart w:id="12" w:name="bookmark25"/>
            <w:r>
              <w:rPr>
                <w:rFonts w:hint="default" w:ascii="Times New Roman" w:hAnsi="Times New Roman" w:cs="Times New Roman"/>
                <w:color w:val="auto"/>
                <w:sz w:val="24"/>
                <w:szCs w:val="24"/>
              </w:rPr>
              <w:t>唐山市生态环境准入清单</w:t>
            </w:r>
            <w:bookmarkEnd w:id="10"/>
            <w:bookmarkEnd w:id="11"/>
            <w:bookmarkEnd w:id="12"/>
            <w:r>
              <w:rPr>
                <w:rFonts w:hint="default" w:ascii="Times New Roman" w:hAnsi="Times New Roman" w:cs="Times New Roman"/>
                <w:color w:val="auto"/>
                <w:sz w:val="24"/>
                <w:szCs w:val="24"/>
              </w:rPr>
              <w:t>要求，对照唐山市环境管控单元分布图</w:t>
            </w:r>
            <w:r>
              <w:rPr>
                <w:rFonts w:hint="eastAsia" w:ascii="Times New Roman" w:hAnsi="Times New Roman" w:cs="Times New Roman"/>
                <w:color w:val="auto"/>
                <w:sz w:val="24"/>
                <w:szCs w:val="24"/>
                <w:lang w:eastAsia="zh-CN"/>
              </w:rPr>
              <w:t>，本项目位于遵化市重点管控单元（见附图），</w:t>
            </w:r>
            <w:r>
              <w:rPr>
                <w:rFonts w:hint="default" w:ascii="Times New Roman" w:hAnsi="Times New Roman" w:cs="Times New Roman"/>
                <w:color w:val="auto"/>
                <w:sz w:val="24"/>
                <w:szCs w:val="24"/>
              </w:rPr>
              <w:t>本项目不属于清单中的</w:t>
            </w:r>
            <w:r>
              <w:rPr>
                <w:rFonts w:hint="eastAsia" w:ascii="Times New Roman" w:hAnsi="Times New Roman" w:eastAsia="宋体" w:cs="Times New Roman"/>
                <w:color w:val="auto"/>
                <w:sz w:val="24"/>
                <w:szCs w:val="24"/>
                <w:lang w:eastAsia="zh-CN"/>
              </w:rPr>
              <w:t>管控类项目</w:t>
            </w:r>
            <w:r>
              <w:rPr>
                <w:rFonts w:hint="default" w:ascii="Times New Roman" w:hAnsi="Times New Roman" w:cs="Times New Roman"/>
                <w:color w:val="auto"/>
                <w:sz w:val="24"/>
                <w:szCs w:val="24"/>
              </w:rPr>
              <w:t>，故</w:t>
            </w:r>
            <w:r>
              <w:rPr>
                <w:rFonts w:hint="eastAsia" w:ascii="Times New Roman" w:hAnsi="Times New Roman" w:cs="Times New Roman"/>
                <w:color w:val="auto"/>
                <w:sz w:val="24"/>
                <w:szCs w:val="24"/>
                <w:lang w:eastAsia="zh-CN"/>
              </w:rPr>
              <w:t>项目符合</w:t>
            </w:r>
            <w:r>
              <w:rPr>
                <w:rFonts w:hint="default" w:ascii="Times New Roman" w:hAnsi="Times New Roman" w:cs="Times New Roman"/>
                <w:color w:val="auto"/>
                <w:sz w:val="24"/>
                <w:szCs w:val="24"/>
              </w:rPr>
              <w:t>遵化市生态环境准入负面清单</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bidi w:val="0"/>
              <w:spacing w:line="48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唐山市生态环境准入清单动态更新成果</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符合性分析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重点管控单元</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本项目符合《</w:t>
            </w:r>
            <w:r>
              <w:rPr>
                <w:rFonts w:hint="default" w:ascii="Times New Roman" w:hAnsi="Times New Roman" w:eastAsia="宋体" w:cs="Times New Roman"/>
                <w:color w:val="auto"/>
                <w:sz w:val="24"/>
                <w:szCs w:val="24"/>
                <w:highlight w:val="none"/>
                <w:lang w:val="en-US" w:eastAsia="zh-CN"/>
              </w:rPr>
              <w:t>唐山市生态环境准入清单动态更新成果</w:t>
            </w: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p>
        </w:tc>
      </w:tr>
    </w:tbl>
    <w:p>
      <w:pPr>
        <w:spacing w:line="360" w:lineRule="auto"/>
        <w:jc w:val="center"/>
        <w:outlineLvl w:val="9"/>
        <w:rPr>
          <w:rFonts w:hint="default" w:ascii="Times New Roman" w:hAnsi="Times New Roman" w:eastAsia="黑体" w:cs="Times New Roman"/>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0"/>
          <w:sz w:val="24"/>
          <w:szCs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noWrap w:val="0"/>
            <w:vAlign w:val="center"/>
          </w:tcPr>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其</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他</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符</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合</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性</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分</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highlight w:val="none"/>
                <w:vertAlign w:val="baseline"/>
              </w:rPr>
            </w:pPr>
            <w:r>
              <w:rPr>
                <w:rFonts w:hint="default"/>
                <w:color w:val="auto"/>
                <w:sz w:val="24"/>
                <w:szCs w:val="24"/>
                <w:highlight w:val="none"/>
                <w:vertAlign w:val="baseline"/>
              </w:rPr>
              <w:t>析</w:t>
            </w:r>
          </w:p>
        </w:tc>
        <w:tc>
          <w:tcPr>
            <w:tcW w:w="13122" w:type="dxa"/>
            <w:noWrap w:val="0"/>
            <w:vAlign w:val="top"/>
          </w:tcPr>
          <w:p>
            <w:pPr>
              <w:spacing w:line="480" w:lineRule="exact"/>
              <w:jc w:val="center"/>
              <w:rPr>
                <w:b/>
                <w:bCs/>
                <w:sz w:val="24"/>
                <w:lang w:val="zh-CN"/>
              </w:rPr>
            </w:pPr>
            <w:r>
              <w:rPr>
                <w:b/>
                <w:bCs/>
                <w:sz w:val="24"/>
                <w:lang w:val="zh-CN"/>
              </w:rPr>
              <w:t>表</w:t>
            </w:r>
            <w:r>
              <w:rPr>
                <w:rFonts w:hint="eastAsia"/>
                <w:b/>
                <w:bCs/>
                <w:sz w:val="24"/>
                <w:lang w:val="en-US" w:eastAsia="zh-CN"/>
              </w:rPr>
              <w:t>1</w:t>
            </w:r>
            <w:r>
              <w:rPr>
                <w:rFonts w:hint="eastAsia"/>
                <w:b/>
                <w:bCs/>
                <w:sz w:val="24"/>
              </w:rPr>
              <w:t xml:space="preserve">  </w:t>
            </w:r>
            <w:r>
              <w:rPr>
                <w:rFonts w:hint="eastAsia"/>
                <w:b/>
                <w:bCs/>
                <w:sz w:val="24"/>
                <w:lang w:val="zh-CN"/>
              </w:rPr>
              <w:t xml:space="preserve"> </w:t>
            </w:r>
            <w:r>
              <w:rPr>
                <w:b/>
                <w:sz w:val="24"/>
              </w:rPr>
              <w:t>与 《唐山市人民政府关于实施“三线一单”生态环境分区管控的意见》（唐政字〔2021〕48号）及其动态更新成果</w:t>
            </w:r>
            <w:r>
              <w:rPr>
                <w:rFonts w:hint="eastAsia"/>
                <w:b/>
                <w:bCs/>
                <w:sz w:val="24"/>
                <w:lang w:val="zh-CN"/>
              </w:rPr>
              <w:t>符合性分析</w:t>
            </w:r>
          </w:p>
          <w:tbl>
            <w:tblPr>
              <w:tblStyle w:val="33"/>
              <w:tblW w:w="1291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715"/>
              <w:gridCol w:w="7140"/>
              <w:gridCol w:w="3678"/>
              <w:gridCol w:w="6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要素属性</w:t>
                  </w:r>
                </w:p>
              </w:tc>
              <w:tc>
                <w:tcPr>
                  <w:tcW w:w="7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管控类别</w:t>
                  </w:r>
                </w:p>
              </w:tc>
              <w:tc>
                <w:tcPr>
                  <w:tcW w:w="7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管控要求</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本项目实际</w:t>
                  </w:r>
                </w:p>
              </w:tc>
              <w:tc>
                <w:tcPr>
                  <w:tcW w:w="6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restart"/>
                  <w:tcBorders>
                    <w:tl2br w:val="nil"/>
                    <w:tr2bl w:val="nil"/>
                  </w:tcBorders>
                  <w:noWrap w:val="0"/>
                  <w:vAlign w:val="center"/>
                </w:tcPr>
                <w:p>
                  <w:pPr>
                    <w:pStyle w:val="83"/>
                    <w:keepNext w:val="0"/>
                    <w:keepLines w:val="0"/>
                    <w:pageBreakBefore w:val="0"/>
                    <w:widowControl w:val="0"/>
                    <w:tabs>
                      <w:tab w:val="left" w:pos="226"/>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eastAsia="zh-CN"/>
                    </w:rPr>
                  </w:pPr>
                  <w:r>
                    <w:rPr>
                      <w:rFonts w:ascii="Times New Roman" w:hAnsi="Times New Roman" w:cs="Times New Roman"/>
                      <w:sz w:val="21"/>
                      <w:szCs w:val="21"/>
                      <w:lang w:eastAsia="zh-CN"/>
                    </w:rPr>
                    <w:t>大气环境</w:t>
                  </w:r>
                </w:p>
              </w:tc>
              <w:tc>
                <w:tcPr>
                  <w:tcW w:w="715" w:type="dxa"/>
                  <w:vMerge w:val="restar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r>
                    <w:rPr>
                      <w:rFonts w:ascii="Times New Roman" w:hAnsi="Times New Roman" w:cs="Times New Roman"/>
                      <w:sz w:val="21"/>
                      <w:szCs w:val="21"/>
                    </w:rPr>
                    <w:t>空间布局约束</w:t>
                  </w:r>
                </w:p>
              </w:tc>
              <w:tc>
                <w:tcPr>
                  <w:tcW w:w="7140" w:type="dxa"/>
                  <w:tcBorders>
                    <w:tl2br w:val="nil"/>
                    <w:tr2bl w:val="nil"/>
                  </w:tcBorders>
                  <w:noWrap w:val="0"/>
                  <w:vAlign w:val="center"/>
                </w:tcPr>
                <w:p>
                  <w:pPr>
                    <w:pStyle w:val="83"/>
                    <w:keepNext w:val="0"/>
                    <w:keepLines w:val="0"/>
                    <w:pageBreakBefore w:val="0"/>
                    <w:widowControl w:val="0"/>
                    <w:tabs>
                      <w:tab w:val="left" w:pos="326"/>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ascii="Times New Roman" w:hAnsi="Times New Roman" w:cs="Times New Roman"/>
                      <w:color w:val="000000"/>
                      <w:sz w:val="21"/>
                      <w:szCs w:val="21"/>
                    </w:rPr>
                    <w:tab/>
                  </w:r>
                  <w:r>
                    <w:rPr>
                      <w:rFonts w:ascii="Times New Roman" w:hAnsi="Times New Roman" w:cs="Times New Roman"/>
                      <w:color w:val="000000"/>
                      <w:sz w:val="21"/>
                      <w:szCs w:val="21"/>
                    </w:rPr>
                    <w:t>全面推进沿海、迁安、滦州、迁西（遵化）4大片区规划建设，加快推进钢铁企业整合搬迁项目建设，推进</w:t>
                  </w:r>
                  <w:r>
                    <w:rPr>
                      <w:rFonts w:ascii="Times New Roman" w:hAnsi="Times New Roman" w:cs="Times New Roman"/>
                      <w:color w:val="000000"/>
                      <w:sz w:val="21"/>
                      <w:szCs w:val="21"/>
                      <w:lang w:val="zh-CN" w:eastAsia="zh-CN" w:bidi="zh-CN"/>
                    </w:rPr>
                    <w:t>“公转</w:t>
                  </w:r>
                  <w:r>
                    <w:rPr>
                      <w:rFonts w:ascii="Times New Roman" w:hAnsi="Times New Roman" w:cs="Times New Roman"/>
                      <w:color w:val="000000"/>
                      <w:sz w:val="21"/>
                      <w:szCs w:val="21"/>
                    </w:rPr>
                    <w:t>铁”、</w:t>
                  </w:r>
                  <w:r>
                    <w:rPr>
                      <w:rFonts w:ascii="Times New Roman" w:hAnsi="Times New Roman" w:cs="Times New Roman"/>
                      <w:color w:val="000000"/>
                      <w:sz w:val="21"/>
                      <w:szCs w:val="21"/>
                      <w:lang w:val="zh-CN" w:eastAsia="zh-CN" w:bidi="zh-CN"/>
                    </w:rPr>
                    <w:t>“公</w:t>
                  </w:r>
                  <w:r>
                    <w:rPr>
                      <w:rFonts w:ascii="Times New Roman" w:hAnsi="Times New Roman" w:cs="Times New Roman"/>
                      <w:color w:val="000000"/>
                      <w:sz w:val="21"/>
                      <w:szCs w:val="21"/>
                    </w:rPr>
                    <w:t>转水</w:t>
                  </w:r>
                  <w:r>
                    <w:rPr>
                      <w:rFonts w:ascii="Times New Roman" w:hAnsi="Times New Roman" w:cs="Times New Roman"/>
                      <w:color w:val="000000"/>
                      <w:sz w:val="21"/>
                      <w:szCs w:val="21"/>
                      <w:lang w:val="zh-CN" w:eastAsia="zh-CN" w:bidi="zh-CN"/>
                    </w:rPr>
                    <w:t>”和物</w:t>
                  </w:r>
                  <w:r>
                    <w:rPr>
                      <w:rFonts w:ascii="Times New Roman" w:hAnsi="Times New Roman" w:cs="Times New Roman"/>
                      <w:color w:val="000000"/>
                      <w:sz w:val="21"/>
                      <w:szCs w:val="21"/>
                    </w:rPr>
                    <w:t>料集中输送管廊项目建设，形成</w:t>
                  </w:r>
                  <w:r>
                    <w:rPr>
                      <w:rFonts w:ascii="Times New Roman" w:hAnsi="Times New Roman" w:cs="Times New Roman"/>
                      <w:color w:val="000000"/>
                      <w:sz w:val="21"/>
                      <w:szCs w:val="21"/>
                      <w:lang w:val="zh-CN" w:eastAsia="zh-CN" w:bidi="zh-CN"/>
                    </w:rPr>
                    <w:t>“沿海</w:t>
                  </w:r>
                  <w:r>
                    <w:rPr>
                      <w:rFonts w:ascii="Times New Roman" w:hAnsi="Times New Roman" w:cs="Times New Roman"/>
                      <w:color w:val="000000"/>
                      <w:sz w:val="21"/>
                      <w:szCs w:val="21"/>
                    </w:rPr>
                    <w:t>临港、铁路沿线”产业新布局。</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szCs w:val="21"/>
                    </w:rPr>
                    <w:t>本项目</w:t>
                  </w:r>
                  <w:r>
                    <w:rPr>
                      <w:rFonts w:hint="eastAsia"/>
                      <w:szCs w:val="21"/>
                    </w:rPr>
                    <w:t>原辅材料及成品主要为公路运输，项目原料、成品运输均采用</w:t>
                  </w:r>
                  <w:r>
                    <w:rPr>
                      <w:szCs w:val="21"/>
                    </w:rPr>
                    <w:t>新能源汽车或达到国六排放标准的汽车，禁止使用柴油车及国五标准以下汽车</w:t>
                  </w:r>
                </w:p>
              </w:tc>
              <w:tc>
                <w:tcPr>
                  <w:tcW w:w="6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ab/>
                  </w:r>
                  <w:r>
                    <w:rPr>
                      <w:rFonts w:ascii="Times New Roman" w:hAnsi="Times New Roman" w:cs="Times New Roman"/>
                      <w:color w:val="000000"/>
                      <w:sz w:val="21"/>
                      <w:szCs w:val="21"/>
                    </w:rPr>
                    <w:t>严禁钢铁、水泥和平板玻璃行业违规新增产能。</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本项目不涉及钢铁、水泥、平板玻璃等产能</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ab/>
                  </w:r>
                  <w:r>
                    <w:rPr>
                      <w:rFonts w:ascii="Times New Roman" w:hAnsi="Times New Roman" w:cs="Times New Roman"/>
                      <w:color w:val="000000"/>
                      <w:sz w:val="21"/>
                      <w:szCs w:val="21"/>
                    </w:rPr>
                    <w:t>新（改、扩）建项目严格执行产能置换、煤炭替代和污染物倍量削减替代制度，当地有相关园区规划的，原则上要进入园区并配套建设高效环保治理设施，符合园区规划环评、建设项目环评要求。</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hint="eastAsia"/>
                      <w:szCs w:val="21"/>
                    </w:rPr>
                    <w:t>本项目严格执行“倍量削减”方案</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6"/>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4、</w:t>
                  </w:r>
                  <w:r>
                    <w:rPr>
                      <w:rFonts w:ascii="Times New Roman" w:hAnsi="Times New Roman" w:cs="Times New Roman"/>
                      <w:color w:val="000000"/>
                      <w:sz w:val="21"/>
                      <w:szCs w:val="21"/>
                    </w:rPr>
                    <w:tab/>
                  </w:r>
                  <w:r>
                    <w:rPr>
                      <w:rFonts w:ascii="Times New Roman" w:hAnsi="Times New Roman" w:cs="Times New Roman"/>
                      <w:color w:val="000000"/>
                      <w:sz w:val="21"/>
                      <w:szCs w:val="21"/>
                    </w:rPr>
                    <w:t>加大工业炉窑淘汰力度。取缔燃煤热风炉，基本淘汰热电联产供热管网覆盖范围内的燃煤加热、烘干炉（窑）。</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本项目不涉及燃料燃烧</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ascii="Times New Roman" w:hAnsi="Times New Roman" w:cs="Times New Roman"/>
                      <w:color w:val="000000"/>
                      <w:sz w:val="21"/>
                      <w:szCs w:val="21"/>
                    </w:rPr>
                    <w:tab/>
                  </w:r>
                  <w:r>
                    <w:rPr>
                      <w:rFonts w:ascii="Times New Roman" w:hAnsi="Times New Roman" w:cs="Times New Roman"/>
                      <w:color w:val="000000"/>
                      <w:sz w:val="21"/>
                      <w:szCs w:val="21"/>
                    </w:rPr>
                    <w:t>对热效率低下、敞开未封闭，装备简易落后、自动化程度低，布局分散、规模小、无组织排放突出，以及无治理设施或治理设施工艺落后的工业炉窑，依法责令停业关闭。</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本项目不涉及工业炉窑</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p>
              </w:tc>
              <w:tc>
                <w:tcPr>
                  <w:tcW w:w="715" w:type="dxa"/>
                  <w:vMerge w:val="restar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r>
                    <w:rPr>
                      <w:rFonts w:ascii="Times New Roman" w:hAnsi="Times New Roman" w:cs="Times New Roman"/>
                      <w:sz w:val="21"/>
                      <w:szCs w:val="21"/>
                    </w:rPr>
                    <w:t>污染物排放管控</w:t>
                  </w:r>
                </w:p>
              </w:tc>
              <w:tc>
                <w:tcPr>
                  <w:tcW w:w="7140" w:type="dxa"/>
                  <w:tcBorders>
                    <w:tl2br w:val="nil"/>
                    <w:tr2bl w:val="nil"/>
                  </w:tcBorders>
                  <w:noWrap w:val="0"/>
                  <w:vAlign w:val="center"/>
                </w:tcPr>
                <w:p>
                  <w:pPr>
                    <w:pStyle w:val="83"/>
                    <w:keepNext w:val="0"/>
                    <w:keepLines w:val="0"/>
                    <w:pageBreakBefore w:val="0"/>
                    <w:widowControl w:val="0"/>
                    <w:tabs>
                      <w:tab w:val="left" w:pos="30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eastAsia="zh-CN"/>
                    </w:rPr>
                  </w:pPr>
                  <w:r>
                    <w:rPr>
                      <w:rFonts w:ascii="Times New Roman" w:hAnsi="Times New Roman" w:cs="Times New Roman"/>
                      <w:color w:val="000000"/>
                      <w:sz w:val="21"/>
                      <w:szCs w:val="21"/>
                    </w:rPr>
                    <w:t>1、细颗粒物</w:t>
                  </w:r>
                  <w:r>
                    <w:rPr>
                      <w:rFonts w:ascii="Times New Roman" w:hAnsi="Times New Roman" w:cs="Times New Roman"/>
                      <w:color w:val="000000"/>
                      <w:sz w:val="21"/>
                      <w:szCs w:val="21"/>
                      <w:lang w:val="en-US" w:eastAsia="zh-CN" w:bidi="en-US"/>
                    </w:rPr>
                    <w:t>（PM</w:t>
                  </w:r>
                  <w:r>
                    <w:rPr>
                      <w:rFonts w:hint="eastAsia" w:ascii="Times New Roman" w:hAnsi="Times New Roman" w:cs="Times New Roman"/>
                      <w:color w:val="000000"/>
                      <w:sz w:val="21"/>
                      <w:szCs w:val="21"/>
                      <w:vertAlign w:val="subscript"/>
                      <w:lang w:val="en-US" w:eastAsia="zh-CN" w:bidi="en-US"/>
                    </w:rPr>
                    <w:t>2.5</w:t>
                  </w:r>
                  <w:r>
                    <w:rPr>
                      <w:rFonts w:ascii="Times New Roman" w:hAnsi="Times New Roman" w:cs="Times New Roman"/>
                      <w:color w:val="000000"/>
                      <w:sz w:val="21"/>
                      <w:szCs w:val="21"/>
                      <w:lang w:val="en-US" w:eastAsia="zh-CN" w:bidi="en-US"/>
                    </w:rPr>
                    <w:t>）</w:t>
                  </w:r>
                  <w:r>
                    <w:rPr>
                      <w:rFonts w:ascii="Times New Roman" w:hAnsi="Times New Roman" w:cs="Times New Roman"/>
                      <w:color w:val="000000"/>
                      <w:sz w:val="21"/>
                      <w:szCs w:val="21"/>
                    </w:rPr>
                    <w:t>年平均浓度不达标的城市，二氧化硫、氮氧化物、烟粉尘、挥发性有机物四项污染物均需进行2倍削减</w:t>
                  </w:r>
                  <w:r>
                    <w:rPr>
                      <w:rFonts w:hint="eastAsia" w:ascii="Times New Roman" w:hAnsi="Times New Roman" w:cs="Times New Roman"/>
                      <w:color w:val="000000"/>
                      <w:sz w:val="21"/>
                      <w:szCs w:val="21"/>
                      <w:lang w:eastAsia="zh-CN"/>
                    </w:rPr>
                    <w:t>替代</w:t>
                  </w:r>
                  <w:r>
                    <w:rPr>
                      <w:rFonts w:ascii="Times New Roman" w:hAnsi="Times New Roman" w:cs="Times New Roman"/>
                      <w:color w:val="000000"/>
                      <w:sz w:val="21"/>
                      <w:szCs w:val="21"/>
                    </w:rPr>
                    <w:t>（燃煤发电机组大气污染物排放浓度基本达到燃气轮机组排放限值的除外）。</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highlight w:val="yellow"/>
                    </w:rPr>
                  </w:pPr>
                  <w:r>
                    <w:rPr>
                      <w:rFonts w:hint="eastAsia"/>
                      <w:szCs w:val="21"/>
                    </w:rPr>
                    <w:t>本项目严格执行“倍量削减”方案</w:t>
                  </w:r>
                </w:p>
              </w:tc>
              <w:tc>
                <w:tcPr>
                  <w:tcW w:w="6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36"/>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ab/>
                  </w:r>
                  <w:r>
                    <w:rPr>
                      <w:rFonts w:ascii="Times New Roman" w:hAnsi="Times New Roman" w:cs="Times New Roman"/>
                      <w:color w:val="000000"/>
                      <w:sz w:val="21"/>
                      <w:szCs w:val="21"/>
                    </w:rPr>
                    <w:t>全市范围内禁止新建35蒸吨/小时及以下燃煤锅炉，城市建成区、县城等人口密集区不再建设燃油、燃生物质锅炉。新建锅炉环评文件审批执行新排放标准。新建锅炉应符合质量、安全、节能、环保等各项指标要求。</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hint="eastAsia" w:ascii="Times New Roman" w:hAnsi="Times New Roman" w:cs="Times New Roman"/>
                      <w:sz w:val="21"/>
                      <w:szCs w:val="21"/>
                      <w:lang w:val="en-US" w:eastAsia="zh-CN"/>
                    </w:rPr>
                    <w:t>本项目不涉及锅炉，不进行燃煤</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0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ab/>
                  </w:r>
                  <w:r>
                    <w:rPr>
                      <w:rFonts w:ascii="Times New Roman" w:hAnsi="Times New Roman" w:cs="Times New Roman"/>
                      <w:color w:val="000000"/>
                      <w:sz w:val="21"/>
                      <w:szCs w:val="21"/>
                    </w:rPr>
                    <w:t>巩固</w:t>
                  </w:r>
                  <w:r>
                    <w:rPr>
                      <w:rFonts w:ascii="Times New Roman" w:hAnsi="Times New Roman" w:cs="Times New Roman"/>
                      <w:color w:val="000000"/>
                      <w:sz w:val="21"/>
                      <w:szCs w:val="21"/>
                      <w:lang w:val="zh-CN" w:eastAsia="zh-CN" w:bidi="zh-CN"/>
                    </w:rPr>
                    <w:t>“双代</w:t>
                  </w:r>
                  <w:r>
                    <w:rPr>
                      <w:rFonts w:ascii="Times New Roman" w:hAnsi="Times New Roman" w:cs="Times New Roman"/>
                      <w:color w:val="000000"/>
                      <w:sz w:val="21"/>
                      <w:szCs w:val="21"/>
                    </w:rPr>
                    <w:t>一清”成果，对</w:t>
                  </w:r>
                  <w:r>
                    <w:rPr>
                      <w:rFonts w:ascii="Times New Roman" w:hAnsi="Times New Roman" w:cs="Times New Roman"/>
                      <w:color w:val="000000"/>
                      <w:sz w:val="21"/>
                      <w:szCs w:val="21"/>
                      <w:lang w:val="zh-CN" w:eastAsia="zh-CN" w:bidi="zh-CN"/>
                    </w:rPr>
                    <w:t>“双代</w:t>
                  </w:r>
                  <w:r>
                    <w:rPr>
                      <w:rFonts w:ascii="Times New Roman" w:hAnsi="Times New Roman" w:cs="Times New Roman"/>
                      <w:color w:val="000000"/>
                      <w:sz w:val="21"/>
                      <w:szCs w:val="21"/>
                      <w:lang w:val="en-US" w:eastAsia="zh-CN" w:bidi="zh-CN"/>
                    </w:rPr>
                    <w:t>”</w:t>
                  </w:r>
                  <w:r>
                    <w:rPr>
                      <w:rFonts w:ascii="Times New Roman" w:hAnsi="Times New Roman" w:cs="Times New Roman"/>
                      <w:color w:val="000000"/>
                      <w:sz w:val="21"/>
                      <w:szCs w:val="21"/>
                    </w:rPr>
                    <w:t>改造外的农户，做好洁净型煤、兰炭、优质无烟煤保供和推广工作，确保洁净煤兜底全覆盖，实现温暖过冬、安全过冬、清洁过冬。</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本项目不涉及燃料燃烧</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0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4、</w:t>
                  </w:r>
                  <w:r>
                    <w:rPr>
                      <w:rFonts w:ascii="Times New Roman" w:hAnsi="Times New Roman" w:cs="Times New Roman"/>
                      <w:color w:val="000000"/>
                      <w:sz w:val="21"/>
                      <w:szCs w:val="21"/>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w:t>
                  </w:r>
                  <w:r>
                    <w:rPr>
                      <w:rFonts w:hint="eastAsia" w:ascii="Times New Roman" w:hAnsi="Times New Roman" w:cs="Times New Roman"/>
                      <w:sz w:val="21"/>
                      <w:szCs w:val="21"/>
                      <w:lang w:val="en-US" w:eastAsia="zh-CN"/>
                    </w:rPr>
                    <w:t>按照重污染天气响应规定进行停限产</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ascii="Times New Roman" w:hAnsi="Times New Roman" w:cs="Times New Roman"/>
                      <w:color w:val="000000"/>
                      <w:sz w:val="21"/>
                      <w:szCs w:val="21"/>
                    </w:rPr>
                    <w:tab/>
                  </w:r>
                  <w:r>
                    <w:rPr>
                      <w:rFonts w:ascii="Times New Roman" w:hAnsi="Times New Roman" w:cs="Times New Roman"/>
                      <w:color w:val="000000"/>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hint="eastAsia" w:ascii="Times New Roman" w:hAnsi="Times New Roman" w:cs="Times New Roman"/>
                      <w:color w:val="000000"/>
                      <w:sz w:val="21"/>
                      <w:szCs w:val="21"/>
                      <w:lang w:val="en-US" w:eastAsia="zh-CN" w:bidi="en-US"/>
                    </w:rPr>
                    <w:t>。</w:t>
                  </w:r>
                  <w:r>
                    <w:rPr>
                      <w:rFonts w:ascii="Times New Roman" w:hAnsi="Times New Roman" w:cs="Times New Roman"/>
                      <w:color w:val="000000"/>
                      <w:sz w:val="21"/>
                      <w:szCs w:val="21"/>
                    </w:rPr>
                    <w:t>己实现超低排放企业，对标行业先进，持续推动污染物排放总量降低。</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本项目不涉及新增工业炉窑</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numPr>
                      <w:ilvl w:val="0"/>
                      <w:numId w:val="1"/>
                    </w:numPr>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加快重点行业超低排放改造。深入实施工业企业排放达标计划，未达标排放的企业一律依法停产整治以钢铁、焦化等行业为重点，全面实施超低排放改造。推进工业企业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color w:val="000000"/>
                      <w:sz w:val="21"/>
                      <w:szCs w:val="21"/>
                      <w:lang w:val="zh-CN" w:eastAsia="zh-CN" w:bidi="zh-CN"/>
                    </w:rPr>
                    <w:t>“持证</w:t>
                  </w:r>
                  <w:r>
                    <w:rPr>
                      <w:rFonts w:ascii="Times New Roman" w:hAnsi="Times New Roman" w:cs="Times New Roman"/>
                      <w:color w:val="000000"/>
                      <w:sz w:val="21"/>
                      <w:szCs w:val="21"/>
                    </w:rPr>
                    <w:t>排污”、“按证排污”，推行企业排放绩效管理、实行差异化管控。</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7、</w:t>
                  </w:r>
                  <w:r>
                    <w:rPr>
                      <w:rFonts w:ascii="Times New Roman" w:hAnsi="Times New Roman" w:cs="Times New Roman"/>
                      <w:sz w:val="21"/>
                      <w:szCs w:val="21"/>
                    </w:rPr>
                    <w:t>开展钢铁、建材、火电、焦化、铸造等重点行业无组织排放排查工作，以县（市）区为单位分行业建立无组织排放改造清单和管理台账；物料存储运输等全部釆用密闭形式。</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项目于产尘点设置集气罩捕集废气以减少无组织颗粒物产生，车间全封闭可使无组织颗粒物自然沉降后无组织排放</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0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rPr>
                    <w:t>8、加快油品质量升级。按照国家部署要求，</w:t>
                  </w:r>
                  <w:r>
                    <w:rPr>
                      <w:rFonts w:hint="eastAsia" w:ascii="Times New Roman" w:hAnsi="Times New Roman" w:cs="Times New Roman"/>
                      <w:color w:val="000000"/>
                      <w:sz w:val="21"/>
                      <w:szCs w:val="21"/>
                      <w:lang w:val="en-US" w:eastAsia="zh-CN"/>
                    </w:rPr>
                    <w:t>全面</w:t>
                  </w:r>
                  <w:r>
                    <w:rPr>
                      <w:rFonts w:ascii="Times New Roman" w:hAnsi="Times New Roman" w:cs="Times New Roman"/>
                      <w:color w:val="000000"/>
                      <w:sz w:val="21"/>
                      <w:szCs w:val="21"/>
                    </w:rPr>
                    <w:t>供应符合国六标准的车用汽柴油，实现车用柴油、普通柴油、部分船舶用油</w:t>
                  </w:r>
                  <w:r>
                    <w:rPr>
                      <w:rFonts w:ascii="Times New Roman" w:hAnsi="Times New Roman" w:cs="Times New Roman"/>
                      <w:color w:val="000000"/>
                      <w:sz w:val="21"/>
                      <w:szCs w:val="21"/>
                      <w:lang w:val="zh-CN" w:eastAsia="zh-CN" w:bidi="zh-CN"/>
                    </w:rPr>
                    <w:t>“三</w:t>
                  </w:r>
                  <w:r>
                    <w:rPr>
                      <w:rFonts w:ascii="Times New Roman" w:hAnsi="Times New Roman" w:cs="Times New Roman"/>
                      <w:color w:val="000000"/>
                      <w:sz w:val="21"/>
                      <w:szCs w:val="21"/>
                    </w:rPr>
                    <w:t>油并轨</w:t>
                  </w:r>
                  <w:r>
                    <w:rPr>
                      <w:rFonts w:ascii="Times New Roman" w:hAnsi="Times New Roman" w:cs="Times New Roman"/>
                      <w:color w:val="000000"/>
                      <w:sz w:val="21"/>
                      <w:szCs w:val="21"/>
                      <w:lang w:val="en-US" w:eastAsia="zh-CN"/>
                    </w:rPr>
                    <w:t>”</w:t>
                  </w:r>
                  <w:r>
                    <w:rPr>
                      <w:rFonts w:hint="eastAsia" w:ascii="Times New Roman" w:hAnsi="Times New Roman" w:cs="Times New Roman"/>
                      <w:color w:val="000000"/>
                      <w:sz w:val="21"/>
                      <w:szCs w:val="21"/>
                      <w:lang w:val="en-US" w:eastAsia="zh-CN"/>
                    </w:rPr>
                    <w:t>。</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val="en-US" w:eastAsia="zh-CN"/>
                    </w:rPr>
                  </w:pPr>
                  <w:r>
                    <w:rPr>
                      <w:rFonts w:ascii="Times New Roman" w:hAnsi="Times New Roman" w:cs="Times New Roman"/>
                      <w:sz w:val="21"/>
                      <w:szCs w:val="21"/>
                    </w:rPr>
                    <w:t>项目原料、成品运输均采用新能源汽车或达到国六排放标准的汽车</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2"/>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9、</w:t>
                  </w:r>
                  <w:r>
                    <w:rPr>
                      <w:rFonts w:ascii="Times New Roman" w:hAnsi="Times New Roman" w:cs="Times New Roman"/>
                      <w:color w:val="000000"/>
                      <w:sz w:val="21"/>
                      <w:szCs w:val="21"/>
                    </w:rPr>
                    <w:t>加强机动车监管和尾气治理。加快柴油货车治理，推动货运经营整合升级、提质增效，加快规模化发展、连锁化</w:t>
                  </w:r>
                  <w:r>
                    <w:rPr>
                      <w:rFonts w:ascii="Times New Roman" w:hAnsi="Times New Roman" w:cs="Times New Roman"/>
                      <w:color w:val="000000"/>
                      <w:sz w:val="21"/>
                      <w:szCs w:val="21"/>
                      <w:lang w:val="zh-CN" w:eastAsia="zh-CN" w:bidi="zh-CN"/>
                    </w:rPr>
                    <w:t>经营。</w:t>
                  </w:r>
                  <w:r>
                    <w:rPr>
                      <w:rFonts w:ascii="Times New Roman" w:hAnsi="Times New Roman" w:cs="Times New Roman"/>
                      <w:color w:val="000000"/>
                      <w:sz w:val="21"/>
                      <w:szCs w:val="21"/>
                    </w:rPr>
                    <w:t>实施清洁柴油车</w:t>
                  </w:r>
                  <w:r>
                    <w:rPr>
                      <w:rFonts w:hint="eastAsia" w:ascii="Times New Roman" w:hAnsi="Times New Roman" w:cs="Times New Roman"/>
                      <w:color w:val="000000"/>
                      <w:sz w:val="21"/>
                      <w:szCs w:val="21"/>
                      <w:lang w:eastAsia="zh-CN"/>
                    </w:rPr>
                    <w:t>、</w:t>
                  </w:r>
                  <w:r>
                    <w:rPr>
                      <w:rFonts w:ascii="Times New Roman" w:hAnsi="Times New Roman" w:cs="Times New Roman"/>
                      <w:color w:val="000000"/>
                      <w:sz w:val="21"/>
                      <w:szCs w:val="21"/>
                    </w:rPr>
                    <w:t>清洁运输和清洁油品行动，降低污染排放总量。</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ascii="Times New Roman" w:hAnsi="Times New Roman" w:cs="Times New Roman"/>
                      <w:sz w:val="21"/>
                      <w:szCs w:val="21"/>
                    </w:rPr>
                    <w:t>项目原料、成品运输均采用新能源汽车或达到国六排放标准的汽车</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42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10、</w:t>
                  </w:r>
                  <w:r>
                    <w:rPr>
                      <w:rFonts w:ascii="Times New Roman" w:hAnsi="Times New Roman" w:cs="Times New Roman"/>
                      <w:color w:val="000000"/>
                      <w:sz w:val="21"/>
                      <w:szCs w:val="21"/>
                    </w:rPr>
                    <w:tab/>
                  </w:r>
                  <w:r>
                    <w:rPr>
                      <w:rFonts w:ascii="Times New Roman" w:hAnsi="Times New Roman" w:cs="Times New Roman"/>
                      <w:color w:val="000000"/>
                      <w:sz w:val="21"/>
                      <w:szCs w:val="21"/>
                    </w:rPr>
                    <w:t>加快推广应用新能源汽车，港口、机场、铁路货场等新增或更换作业车辆主要采用新能源汽车，加快完善优化充电基础设施</w:t>
                  </w:r>
                  <w:r>
                    <w:rPr>
                      <w:rFonts w:hint="eastAsia" w:ascii="Times New Roman" w:hAnsi="Times New Roman" w:cs="Times New Roman"/>
                      <w:color w:val="000000"/>
                      <w:sz w:val="21"/>
                      <w:szCs w:val="21"/>
                      <w:lang w:eastAsia="zh-CN"/>
                    </w:rPr>
                    <w:t>。</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ascii="Times New Roman" w:hAnsi="Times New Roman" w:cs="Times New Roman"/>
                      <w:sz w:val="21"/>
                      <w:szCs w:val="21"/>
                    </w:rPr>
                    <w:t>项目原料、成品运输均采用新能源汽车或达到国六排放标准的汽车</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408"/>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11、</w:t>
                  </w:r>
                  <w:r>
                    <w:rPr>
                      <w:rFonts w:ascii="Times New Roman" w:hAnsi="Times New Roman" w:cs="Times New Roman"/>
                      <w:color w:val="000000"/>
                      <w:sz w:val="21"/>
                      <w:szCs w:val="21"/>
                    </w:rPr>
                    <w:t>加快推进</w:t>
                  </w:r>
                  <w:r>
                    <w:rPr>
                      <w:rFonts w:ascii="Times New Roman" w:hAnsi="Times New Roman" w:cs="Times New Roman"/>
                      <w:color w:val="000000"/>
                      <w:sz w:val="21"/>
                      <w:szCs w:val="21"/>
                      <w:lang w:val="zh-CN" w:eastAsia="zh-CN" w:bidi="zh-CN"/>
                    </w:rPr>
                    <w:t>“公转</w:t>
                  </w:r>
                  <w:r>
                    <w:rPr>
                      <w:rFonts w:ascii="Times New Roman" w:hAnsi="Times New Roman" w:cs="Times New Roman"/>
                      <w:color w:val="000000"/>
                      <w:sz w:val="21"/>
                      <w:szCs w:val="21"/>
                    </w:rPr>
                    <w:t>铁”。构建以铁路为主的大宗物料运输和集疏运体系，打通唐山港与大型工矿企业间的铁路运输通道，有效 解决铁路运输</w:t>
                  </w:r>
                  <w:r>
                    <w:rPr>
                      <w:rFonts w:ascii="Times New Roman" w:hAnsi="Times New Roman" w:cs="Times New Roman"/>
                      <w:color w:val="000000"/>
                      <w:sz w:val="21"/>
                      <w:szCs w:val="21"/>
                      <w:lang w:val="zh-CN" w:eastAsia="zh-CN" w:bidi="zh-CN"/>
                    </w:rPr>
                    <w:t>“最</w:t>
                  </w:r>
                  <w:r>
                    <w:rPr>
                      <w:rFonts w:ascii="Times New Roman" w:hAnsi="Times New Roman" w:cs="Times New Roman"/>
                      <w:color w:val="000000"/>
                      <w:sz w:val="21"/>
                      <w:szCs w:val="21"/>
                    </w:rPr>
                    <w:t>后一公里问题”，推进大宗物料运输基本实现利用铁路集疏港。</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ascii="Times New Roman" w:hAnsi="Times New Roman" w:cs="Times New Roman"/>
                      <w:sz w:val="21"/>
                      <w:szCs w:val="21"/>
                    </w:rPr>
                    <w:t>项目原料、成品运输均采用新能源汽车或达到国六排放标准的汽车</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418"/>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ascii="Times New Roman" w:hAnsi="Times New Roman" w:cs="Times New Roman"/>
                      <w:color w:val="000000"/>
                      <w:sz w:val="21"/>
                      <w:szCs w:val="21"/>
                      <w:lang w:val="zh-CN" w:eastAsia="zh-CN" w:bidi="zh-CN"/>
                    </w:rPr>
                    <w:t>“六个</w:t>
                  </w:r>
                  <w:r>
                    <w:rPr>
                      <w:rFonts w:ascii="Times New Roman" w:hAnsi="Times New Roman" w:cs="Times New Roman"/>
                      <w:color w:val="000000"/>
                      <w:sz w:val="21"/>
                      <w:szCs w:val="21"/>
                    </w:rPr>
                    <w:t>百分之百”，建筑工地实现视频监控和</w:t>
                  </w:r>
                  <w:r>
                    <w:rPr>
                      <w:rFonts w:ascii="Times New Roman" w:hAnsi="Times New Roman" w:cs="Times New Roman"/>
                      <w:color w:val="000000"/>
                      <w:sz w:val="21"/>
                      <w:szCs w:val="21"/>
                      <w:lang w:val="en-US" w:eastAsia="zh-CN" w:bidi="en-US"/>
                    </w:rPr>
                    <w:t>PM</w:t>
                  </w:r>
                  <w:r>
                    <w:rPr>
                      <w:rFonts w:hint="eastAsia" w:ascii="Times New Roman" w:hAnsi="Times New Roman" w:cs="Times New Roman"/>
                      <w:color w:val="000000"/>
                      <w:sz w:val="21"/>
                      <w:szCs w:val="21"/>
                      <w:vertAlign w:val="subscript"/>
                      <w:lang w:val="en-US" w:eastAsia="zh-CN" w:bidi="en-US"/>
                    </w:rPr>
                    <w:t>10</w:t>
                  </w:r>
                  <w:r>
                    <w:rPr>
                      <w:rFonts w:ascii="Times New Roman" w:hAnsi="Times New Roman" w:cs="Times New Roman"/>
                      <w:color w:val="000000"/>
                      <w:sz w:val="21"/>
                      <w:szCs w:val="21"/>
                    </w:rPr>
                    <w:t>在线</w:t>
                  </w:r>
                  <w:r>
                    <w:rPr>
                      <w:rFonts w:hint="eastAsia" w:ascii="Times New Roman" w:hAnsi="Times New Roman" w:cs="Times New Roman"/>
                      <w:color w:val="000000"/>
                      <w:sz w:val="21"/>
                      <w:szCs w:val="21"/>
                      <w:lang w:eastAsia="zh-CN"/>
                    </w:rPr>
                    <w:t>监测</w:t>
                  </w:r>
                  <w:r>
                    <w:rPr>
                      <w:rFonts w:ascii="Times New Roman" w:hAnsi="Times New Roman" w:cs="Times New Roman"/>
                      <w:color w:val="000000"/>
                      <w:sz w:val="21"/>
                      <w:szCs w:val="21"/>
                    </w:rPr>
                    <w:t>联网全覆盖。实施城市土地硬化和复緑，开展国土绿化行动。加强道路扬尘综合整治。</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本项目施工期</w:t>
                  </w:r>
                  <w:r>
                    <w:rPr>
                      <w:rFonts w:ascii="Times New Roman" w:hAnsi="Times New Roman" w:cs="Times New Roman"/>
                      <w:color w:val="000000"/>
                      <w:sz w:val="21"/>
                      <w:szCs w:val="21"/>
                    </w:rPr>
                    <w:t>严格执行《河北省建筑施工扬尘防治标准》</w:t>
                  </w:r>
                  <w:r>
                    <w:rPr>
                      <w:rFonts w:hint="eastAsia" w:ascii="Times New Roman" w:hAnsi="Times New Roman" w:cs="Times New Roman"/>
                      <w:color w:val="000000"/>
                      <w:sz w:val="21"/>
                      <w:szCs w:val="21"/>
                      <w:lang w:eastAsia="zh-CN"/>
                    </w:rPr>
                    <w:t>，</w:t>
                  </w:r>
                  <w:r>
                    <w:rPr>
                      <w:rFonts w:hint="eastAsia" w:ascii="Times New Roman" w:hAnsi="Times New Roman" w:cs="Times New Roman"/>
                      <w:color w:val="000000"/>
                      <w:sz w:val="21"/>
                      <w:szCs w:val="21"/>
                      <w:lang w:val="en-US" w:eastAsia="zh-CN"/>
                    </w:rPr>
                    <w:t>施工期对周边环境影响较小</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13、全市范围内全面禁止露天焚烧秸秆、垃圾（含落叶、枯草等）。</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w:t>
                  </w:r>
                </w:p>
              </w:tc>
              <w:tc>
                <w:tcPr>
                  <w:tcW w:w="669"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p>
              </w:tc>
              <w:tc>
                <w:tcPr>
                  <w:tcW w:w="715" w:type="dxa"/>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r>
                    <w:rPr>
                      <w:rFonts w:ascii="Times New Roman" w:hAnsi="Times New Roman" w:cs="Times New Roman"/>
                      <w:sz w:val="21"/>
                      <w:szCs w:val="21"/>
                    </w:rPr>
                    <w:t>环境风险防控</w:t>
                  </w:r>
                </w:p>
              </w:tc>
              <w:tc>
                <w:tcPr>
                  <w:tcW w:w="7140" w:type="dxa"/>
                  <w:tcBorders>
                    <w:tl2br w:val="nil"/>
                    <w:tr2bl w:val="nil"/>
                  </w:tcBorders>
                  <w:noWrap w:val="0"/>
                  <w:vAlign w:val="center"/>
                </w:tcPr>
                <w:p>
                  <w:pPr>
                    <w:pStyle w:val="83"/>
                    <w:keepNext w:val="0"/>
                    <w:keepLines w:val="0"/>
                    <w:pageBreakBefore w:val="0"/>
                    <w:widowControl w:val="0"/>
                    <w:tabs>
                      <w:tab w:val="left" w:pos="398"/>
                    </w:tabs>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cs="Times New Roman"/>
                      <w:sz w:val="21"/>
                      <w:szCs w:val="21"/>
                      <w:lang w:eastAsia="zh-CN"/>
                    </w:rPr>
                  </w:pPr>
                  <w:r>
                    <w:rPr>
                      <w:rFonts w:ascii="Times New Roman" w:hAnsi="Times New Roman" w:cs="Times New Roman"/>
                      <w:color w:val="000000"/>
                      <w:sz w:val="21"/>
                      <w:szCs w:val="21"/>
                    </w:rPr>
                    <w:t>1、完善市、县、乡、村网格化环境监管体系，建立信息全面、</w:t>
                  </w:r>
                  <w:r>
                    <w:rPr>
                      <w:rFonts w:ascii="Times New Roman" w:hAnsi="Times New Roman" w:cs="Times New Roman"/>
                      <w:color w:val="000000"/>
                      <w:sz w:val="21"/>
                      <w:szCs w:val="21"/>
                      <w:lang w:val="zh-CN" w:eastAsia="zh-CN" w:bidi="zh-CN"/>
                    </w:rPr>
                    <w:t>要素齐</w:t>
                  </w:r>
                  <w:r>
                    <w:rPr>
                      <w:rFonts w:ascii="Times New Roman" w:hAnsi="Times New Roman" w:cs="Times New Roman"/>
                      <w:color w:val="000000"/>
                      <w:sz w:val="21"/>
                      <w:szCs w:val="21"/>
                    </w:rPr>
                    <w:t>全、处置高效、决策科学的市级大气环境监管大数据平台，实现对各级网格和各类污染源的集</w:t>
                  </w:r>
                  <w:r>
                    <w:rPr>
                      <w:rFonts w:hint="eastAsia" w:ascii="Times New Roman" w:hAnsi="Times New Roman" w:cs="Times New Roman"/>
                      <w:color w:val="000000"/>
                      <w:sz w:val="21"/>
                      <w:szCs w:val="21"/>
                      <w:lang w:eastAsia="zh-CN"/>
                    </w:rPr>
                    <w:t>中</w:t>
                  </w:r>
                  <w:r>
                    <w:rPr>
                      <w:rFonts w:ascii="Times New Roman" w:hAnsi="Times New Roman" w:cs="Times New Roman"/>
                      <w:color w:val="000000"/>
                      <w:sz w:val="21"/>
                      <w:szCs w:val="21"/>
                    </w:rPr>
                    <w:t>在线监测、全程监控和监管指挥</w:t>
                  </w:r>
                  <w:r>
                    <w:rPr>
                      <w:rFonts w:hint="eastAsia" w:ascii="Times New Roman" w:hAnsi="Times New Roman" w:cs="Times New Roman"/>
                      <w:color w:val="000000"/>
                      <w:sz w:val="21"/>
                      <w:szCs w:val="21"/>
                      <w:lang w:eastAsia="zh-CN"/>
                    </w:rPr>
                    <w:t>。</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szCs w:val="21"/>
                    </w:rPr>
                    <w:t>项目对可能发生的环境风险事故均采取相应措施，项目</w:t>
                  </w:r>
                  <w:r>
                    <w:rPr>
                      <w:rFonts w:hint="eastAsia"/>
                      <w:szCs w:val="21"/>
                    </w:rPr>
                    <w:t>油品储存区设置防火设施</w:t>
                  </w:r>
                  <w:r>
                    <w:rPr>
                      <w:szCs w:val="21"/>
                    </w:rPr>
                    <w:t>，厂区内采取分区防渗，制定环境风险应急预案，加强风险事故情况下的环境污染防范、应急响应和协同处置，防止对区域周边环境敏感点造成影响</w:t>
                  </w:r>
                </w:p>
              </w:tc>
              <w:tc>
                <w:tcPr>
                  <w:tcW w:w="6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rPr>
                  </w:pPr>
                </w:p>
              </w:tc>
              <w:tc>
                <w:tcPr>
                  <w:tcW w:w="715" w:type="dxa"/>
                  <w:vMerge w:val="restar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eastAsia="zh-CN"/>
                    </w:rPr>
                  </w:pPr>
                  <w:r>
                    <w:rPr>
                      <w:rFonts w:ascii="Times New Roman" w:hAnsi="Times New Roman" w:cs="Times New Roman"/>
                      <w:sz w:val="21"/>
                      <w:szCs w:val="21"/>
                    </w:rPr>
                    <w:t>资源</w:t>
                  </w:r>
                  <w:r>
                    <w:rPr>
                      <w:rFonts w:ascii="Times New Roman" w:hAnsi="Times New Roman" w:cs="Times New Roman"/>
                      <w:sz w:val="21"/>
                      <w:szCs w:val="21"/>
                      <w:lang w:eastAsia="zh-CN"/>
                    </w:rPr>
                    <w:t>开发利用</w:t>
                  </w:r>
                </w:p>
              </w:tc>
              <w:tc>
                <w:tcPr>
                  <w:tcW w:w="7140" w:type="dxa"/>
                  <w:tcBorders>
                    <w:tl2br w:val="nil"/>
                    <w:tr2bl w:val="nil"/>
                  </w:tcBorders>
                  <w:noWrap w:val="0"/>
                  <w:vAlign w:val="center"/>
                </w:tcPr>
                <w:p>
                  <w:pPr>
                    <w:pStyle w:val="83"/>
                    <w:keepNext w:val="0"/>
                    <w:keepLines w:val="0"/>
                    <w:pageBreakBefore w:val="0"/>
                    <w:widowControl w:val="0"/>
                    <w:tabs>
                      <w:tab w:val="left" w:pos="298"/>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sz w:val="21"/>
                      <w:szCs w:val="21"/>
                      <w:lang w:eastAsia="zh-CN"/>
                    </w:rPr>
                  </w:pPr>
                  <w:r>
                    <w:rPr>
                      <w:rFonts w:ascii="Times New Roman" w:hAnsi="Times New Roman" w:cs="Times New Roman"/>
                      <w:color w:val="000000"/>
                      <w:sz w:val="21"/>
                      <w:szCs w:val="21"/>
                    </w:rPr>
                    <w:t>1、对新增耗煤项目实施减量替代。</w:t>
                  </w:r>
                </w:p>
              </w:tc>
              <w:tc>
                <w:tcPr>
                  <w:tcW w:w="3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highlight w:val="yellow"/>
                    </w:rPr>
                  </w:pPr>
                  <w:r>
                    <w:rPr>
                      <w:szCs w:val="21"/>
                    </w:rPr>
                    <w:t>本项目</w:t>
                  </w:r>
                  <w:r>
                    <w:rPr>
                      <w:rFonts w:hint="eastAsia"/>
                      <w:szCs w:val="21"/>
                    </w:rPr>
                    <w:t>不耗煤</w:t>
                  </w:r>
                </w:p>
              </w:tc>
              <w:tc>
                <w:tcPr>
                  <w:tcW w:w="6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ab/>
                  </w:r>
                  <w:r>
                    <w:rPr>
                      <w:rFonts w:ascii="Times New Roman" w:hAnsi="Times New Roman" w:cs="Times New Roman"/>
                      <w:color w:val="000000"/>
                      <w:sz w:val="21"/>
                      <w:szCs w:val="21"/>
                    </w:rPr>
                    <w:t>提高能源利用效率。实施能源消耗总量和强度双控行动。健全节能标准体系，大力开发、推广节能高效技术和产品，实现重点用能行业、设备节能标准全覆盖。</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本项目能源为电能，属清洁能源，且本项目耗电设备电机均不属于淘汰设备，符合节能要求</w:t>
                  </w:r>
                </w:p>
              </w:tc>
              <w:tc>
                <w:tcPr>
                  <w:tcW w:w="669" w:type="dxa"/>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tabs>
                      <w:tab w:val="left" w:pos="326"/>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ab/>
                  </w:r>
                  <w:r>
                    <w:rPr>
                      <w:rFonts w:ascii="Times New Roman" w:hAnsi="Times New Roman" w:cs="Times New Roman"/>
                      <w:color w:val="000000"/>
                      <w:sz w:val="21"/>
                      <w:szCs w:val="21"/>
                    </w:rPr>
                    <w:t>加强重点能耗行业节能。持续开展重点企业能效对标提升，在钢铁、焦化、水泥、平板玻璃等重点耗能行业实施能效</w:t>
                  </w:r>
                  <w:r>
                    <w:rPr>
                      <w:rFonts w:ascii="Times New Roman" w:hAnsi="Times New Roman" w:cs="Times New Roman"/>
                      <w:color w:val="000000"/>
                      <w:sz w:val="21"/>
                      <w:szCs w:val="21"/>
                      <w:lang w:val="zh-CN" w:eastAsia="zh-CN" w:bidi="zh-CN"/>
                    </w:rPr>
                    <w:t>“领跑者</w:t>
                  </w:r>
                  <w:r>
                    <w:rPr>
                      <w:rFonts w:ascii="Times New Roman" w:hAnsi="Times New Roman" w:cs="Times New Roman"/>
                      <w:color w:val="000000"/>
                      <w:sz w:val="21"/>
                      <w:szCs w:val="21"/>
                      <w:lang w:val="en-US" w:eastAsia="zh-CN" w:bidi="zh-CN"/>
                    </w:rPr>
                    <w:t>”</w:t>
                  </w:r>
                  <w:r>
                    <w:rPr>
                      <w:rFonts w:ascii="Times New Roman" w:hAnsi="Times New Roman" w:cs="Times New Roman"/>
                      <w:color w:val="000000"/>
                      <w:sz w:val="21"/>
                      <w:szCs w:val="21"/>
                    </w:rPr>
                    <w:t>行动，引导企业对标提升，实施高耗煤行业节能改造，推广中高温余热余压利用、低温烟气余热深度回收、空气源热泵供暖等节能技术，推进能量系统优化，提升能源利用效率</w:t>
                  </w:r>
                  <w:r>
                    <w:rPr>
                      <w:rFonts w:hint="eastAsia" w:ascii="Times New Roman" w:hAnsi="Times New Roman" w:cs="Times New Roman"/>
                      <w:color w:val="000000"/>
                      <w:sz w:val="21"/>
                      <w:szCs w:val="21"/>
                      <w:lang w:eastAsia="zh-CN"/>
                    </w:rPr>
                    <w:t>。</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w:t>
                  </w:r>
                </w:p>
              </w:tc>
              <w:tc>
                <w:tcPr>
                  <w:tcW w:w="669" w:type="dxa"/>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cs="Times New Roman"/>
                      <w:color w:val="000000"/>
                      <w:sz w:val="21"/>
                      <w:szCs w:val="21"/>
                      <w:lang w:eastAsia="zh-CN"/>
                    </w:rPr>
                  </w:pPr>
                  <w:r>
                    <w:rPr>
                      <w:rFonts w:hint="eastAsia" w:ascii="Times New Roman" w:hAnsi="Times New Roman"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5" w:type="dxa"/>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p>
              </w:tc>
              <w:tc>
                <w:tcPr>
                  <w:tcW w:w="7140" w:type="dxa"/>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4、禁燃区内不得新建燃烧煤炭、重油、渣油等高污染燃料的设施：现有燃烧高污染燃料的设施，应当限期改用清洁能源：未改用清洁能源替代的高污染燃料设施，应当配套建设先进工艺的脱硫、脱硝、除尘装置或者釆取其他措施，控制二氧化硫、氮氧化物和烟尘等排放：仍未达到大气污染物排放标准的，应当停止使用。禁燃区内禁止</w:t>
                  </w:r>
                  <w:r>
                    <w:rPr>
                      <w:rFonts w:hint="eastAsia" w:ascii="Times New Roman" w:hAnsi="Times New Roman" w:cs="Times New Roman"/>
                      <w:color w:val="000000"/>
                      <w:sz w:val="21"/>
                      <w:szCs w:val="21"/>
                      <w:lang w:val="en-US" w:eastAsia="zh-CN"/>
                    </w:rPr>
                    <w:t>原煤</w:t>
                  </w:r>
                  <w:r>
                    <w:rPr>
                      <w:rFonts w:ascii="Times New Roman" w:hAnsi="Times New Roman" w:cs="Times New Roman"/>
                      <w:color w:val="000000"/>
                      <w:sz w:val="21"/>
                      <w:szCs w:val="21"/>
                    </w:rPr>
                    <w:t>散烧。</w:t>
                  </w:r>
                </w:p>
              </w:tc>
              <w:tc>
                <w:tcPr>
                  <w:tcW w:w="3678" w:type="dxa"/>
                  <w:tcBorders>
                    <w:tl2br w:val="nil"/>
                    <w:tr2bl w:val="nil"/>
                  </w:tcBorders>
                  <w:noWrap w:val="0"/>
                  <w:vAlign w:val="center"/>
                </w:tcPr>
                <w:p>
                  <w:pPr>
                    <w:pStyle w:val="83"/>
                    <w:keepNext w:val="0"/>
                    <w:keepLines w:val="0"/>
                    <w:pageBreakBefore w:val="0"/>
                    <w:widowControl w:val="0"/>
                    <w:tabs>
                      <w:tab w:val="left" w:pos="317"/>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本项目不涉及煤炭、重油、渣油等高污染燃料燃烧</w:t>
                  </w:r>
                </w:p>
              </w:tc>
              <w:tc>
                <w:tcPr>
                  <w:tcW w:w="669" w:type="dxa"/>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color w:val="000000"/>
                      <w:sz w:val="21"/>
                      <w:szCs w:val="21"/>
                    </w:rPr>
                  </w:pPr>
                  <w:r>
                    <w:rPr>
                      <w:rFonts w:ascii="Times New Roman" w:hAnsi="Times New Roman" w:cs="Times New Roman"/>
                      <w:sz w:val="21"/>
                      <w:szCs w:val="21"/>
                    </w:rPr>
                    <w:t>符合</w:t>
                  </w:r>
                </w:p>
              </w:tc>
            </w:tr>
          </w:tbl>
          <w:p>
            <w:pPr>
              <w:pStyle w:val="67"/>
              <w:widowControl w:val="0"/>
              <w:overflowPunct/>
              <w:autoSpaceDE/>
              <w:autoSpaceDN/>
              <w:spacing w:line="480" w:lineRule="exact"/>
              <w:ind w:firstLine="0" w:firstLineChars="0"/>
              <w:jc w:val="center"/>
              <w:rPr>
                <w:b/>
                <w:bCs/>
                <w:color w:val="auto"/>
                <w:sz w:val="24"/>
                <w:szCs w:val="24"/>
                <w:highlight w:val="none"/>
                <w:lang w:val="zh-CN"/>
              </w:rPr>
            </w:pPr>
            <w:r>
              <w:rPr>
                <w:rFonts w:ascii="Times New Roman" w:hAnsi="Times New Roman" w:eastAsia="宋体"/>
                <w:b/>
                <w:szCs w:val="24"/>
              </w:rPr>
              <w:t>表</w:t>
            </w:r>
            <w:r>
              <w:rPr>
                <w:rFonts w:hint="eastAsia" w:ascii="Times New Roman" w:hAnsi="Times New Roman" w:eastAsia="宋体"/>
                <w:b/>
                <w:szCs w:val="24"/>
                <w:lang w:val="en-US" w:eastAsia="zh-CN"/>
              </w:rPr>
              <w:t>2</w:t>
            </w:r>
            <w:r>
              <w:rPr>
                <w:rFonts w:hint="eastAsia" w:ascii="Times New Roman" w:hAnsi="Times New Roman" w:eastAsia="宋体"/>
                <w:b/>
                <w:szCs w:val="24"/>
              </w:rPr>
              <w:t xml:space="preserve"> </w:t>
            </w:r>
            <w:r>
              <w:rPr>
                <w:rFonts w:ascii="Times New Roman" w:hAnsi="Times New Roman" w:eastAsia="宋体"/>
                <w:b/>
                <w:szCs w:val="24"/>
              </w:rPr>
              <w:t xml:space="preserve">  与 “</w:t>
            </w:r>
            <w:r>
              <w:rPr>
                <w:rFonts w:hint="eastAsia" w:ascii="Times New Roman" w:hAnsi="Times New Roman" w:eastAsia="宋体"/>
                <w:b/>
                <w:szCs w:val="24"/>
                <w:lang w:val="en-US" w:eastAsia="zh-CN"/>
              </w:rPr>
              <w:t>遵化市</w:t>
            </w:r>
            <w:r>
              <w:rPr>
                <w:rFonts w:hint="eastAsia" w:ascii="Times New Roman" w:hAnsi="Times New Roman" w:eastAsia="宋体" w:cs="Times New Roman"/>
                <w:b/>
                <w:szCs w:val="24"/>
              </w:rPr>
              <w:t>生态</w:t>
            </w:r>
            <w:r>
              <w:rPr>
                <w:rFonts w:ascii="Times New Roman" w:hAnsi="Times New Roman" w:eastAsia="宋体" w:cs="Times New Roman"/>
                <w:b/>
                <w:szCs w:val="24"/>
              </w:rPr>
              <w:t>环境准入负面清单”及其动态更新成果</w:t>
            </w:r>
            <w:r>
              <w:rPr>
                <w:rFonts w:hint="eastAsia" w:ascii="Times New Roman" w:hAnsi="Times New Roman" w:eastAsia="宋体" w:cs="Times New Roman"/>
                <w:b/>
                <w:szCs w:val="24"/>
                <w:lang w:val="zh-CN"/>
              </w:rPr>
              <w:t>符合性分析</w:t>
            </w:r>
            <w:r>
              <w:rPr>
                <w:rFonts w:ascii="Times New Roman" w:hAnsi="Times New Roman" w:eastAsia="宋体" w:cs="Times New Roman"/>
                <w:b/>
                <w:szCs w:val="24"/>
              </w:rPr>
              <w:t>符合性分析</w:t>
            </w:r>
            <w:r>
              <w:rPr>
                <w:rFonts w:ascii="Times New Roman" w:hAnsi="Times New Roman" w:eastAsia="宋体"/>
                <w:b/>
                <w:szCs w:val="24"/>
              </w:rPr>
              <w:t>判定表</w:t>
            </w:r>
          </w:p>
          <w:tbl>
            <w:tblPr>
              <w:tblStyle w:val="33"/>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680"/>
              <w:gridCol w:w="848"/>
              <w:gridCol w:w="699"/>
              <w:gridCol w:w="1067"/>
              <w:gridCol w:w="997"/>
              <w:gridCol w:w="3828"/>
              <w:gridCol w:w="3094"/>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编号</w:t>
                  </w:r>
                </w:p>
              </w:tc>
              <w:tc>
                <w:tcPr>
                  <w:tcW w:w="26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区县</w:t>
                  </w:r>
                </w:p>
              </w:tc>
              <w:tc>
                <w:tcPr>
                  <w:tcW w:w="32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7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41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386"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维度</w:t>
                  </w: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本项目情况</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ZH13028120006</w:t>
                  </w:r>
                </w:p>
              </w:tc>
              <w:tc>
                <w:tcPr>
                  <w:tcW w:w="263"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遵化市</w:t>
                  </w:r>
                </w:p>
              </w:tc>
              <w:tc>
                <w:tcPr>
                  <w:tcW w:w="329"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苏家洼镇</w:t>
                  </w:r>
                  <w:r>
                    <w:rPr>
                      <w:rFonts w:hint="eastAsia"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西留村乡</w:t>
                  </w:r>
                  <w:r>
                    <w:rPr>
                      <w:rFonts w:hint="eastAsia"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西三里乡</w:t>
                  </w:r>
                  <w:r>
                    <w:rPr>
                      <w:rFonts w:hint="eastAsia" w:ascii="Times New Roman" w:hAnsi="Times New Roman" w:cs="Times New Roman"/>
                      <w:color w:val="auto"/>
                      <w:sz w:val="21"/>
                      <w:szCs w:val="21"/>
                      <w:highlight w:val="none"/>
                      <w:lang w:val="en-US" w:eastAsia="zh-CN"/>
                    </w:rPr>
                    <w:t>、</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遵化镇</w:t>
                  </w:r>
                </w:p>
              </w:tc>
              <w:tc>
                <w:tcPr>
                  <w:tcW w:w="271"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eastAsia" w:ascii="Times New Roman" w:hAnsi="Times New Roman" w:eastAsia="宋体" w:cs="Times New Roman"/>
                      <w:color w:val="auto"/>
                      <w:sz w:val="21"/>
                      <w:szCs w:val="21"/>
                      <w:highlight w:val="none"/>
                      <w:lang w:val="en-US" w:eastAsia="zh-CN"/>
                    </w:rPr>
                    <w:t>重点管控单元</w:t>
                  </w:r>
                </w:p>
              </w:tc>
              <w:tc>
                <w:tcPr>
                  <w:tcW w:w="414"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1、大气环境受体敏感重点管控区</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中城区</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水环境城镇生活污染重点管控区</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4、遵化市城镇开发边界</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5、高污染燃料禁燃区</w:t>
                  </w:r>
                </w:p>
              </w:tc>
              <w:tc>
                <w:tcPr>
                  <w:tcW w:w="386"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空间布局约束</w:t>
                  </w: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、新建企业原则上均应建在工业集聚区。对城市建成区内重污染企业、不符合安全防护距离和卫生防护距离的危化企业实施有序搬迁改造或依法关闭。</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本项目为铸造企业，不属于重污染企业，项目不需设置卫生防护距离</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禁止未按要求进行产能置换的新建、改建、扩建钢铁项目。</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本项目不属于钢铁项目</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86"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禁止布局废品收购站，经营性印刷、铁艺加工等涉 VOCs 排放行业企业，涉喷漆工序汽修行业二类以下企业。</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为铸造企业，不属于废品收购站，项目不涉及</w:t>
                  </w:r>
                  <w:r>
                    <w:rPr>
                      <w:rFonts w:hint="default" w:ascii="Times New Roman" w:hAnsi="Times New Roman" w:eastAsia="宋体" w:cs="Times New Roman"/>
                      <w:color w:val="auto"/>
                      <w:sz w:val="21"/>
                      <w:szCs w:val="21"/>
                      <w:highlight w:val="none"/>
                      <w:lang w:val="en-US" w:eastAsia="zh-CN"/>
                    </w:rPr>
                    <w:t>VOCs 排放</w:t>
                  </w:r>
                  <w:r>
                    <w:rPr>
                      <w:rFonts w:hint="eastAsia" w:ascii="Times New Roman" w:hAnsi="Times New Roman" w:cs="Times New Roman"/>
                      <w:color w:val="auto"/>
                      <w:sz w:val="21"/>
                      <w:szCs w:val="21"/>
                      <w:highlight w:val="none"/>
                      <w:lang w:val="en-US" w:eastAsia="zh-CN"/>
                    </w:rPr>
                    <w:t>，不属于汽修行业</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污染物排放控制</w:t>
                  </w: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1、城镇建成区的人口密集区域，禁止从事露天喷漆、喷涂、喷砂、电气焊等散发有毒有害气体加工作业。</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red"/>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val="en-US" w:eastAsia="zh-CN"/>
                    </w:rPr>
                    <w:t>喷漆、喷涂、喷砂、电气焊等散发有毒有害气体加工作业</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、中心城区东部的矿产资源开发活动应逐步退出，推进工矿废弃地修复利用。</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本项目不属于矿产资源开发</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环境风险防控</w:t>
                  </w: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加强重污染天气应急联动。加强污染气象条件和空气污染监测、预报预警和评估能力建设，建设全市区域污染传输监控预警系统，提高重污染天气预报预警准确度。全市具备发布空气质量预报信息的能力。</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本项目按照相关要求</w:t>
                  </w:r>
                  <w:r>
                    <w:rPr>
                      <w:rFonts w:hint="default" w:ascii="Times New Roman" w:hAnsi="Times New Roman" w:eastAsia="宋体" w:cs="Times New Roman"/>
                      <w:color w:val="auto"/>
                      <w:sz w:val="21"/>
                      <w:szCs w:val="21"/>
                      <w:highlight w:val="none"/>
                      <w:lang w:val="en-US" w:eastAsia="zh-CN"/>
                    </w:rPr>
                    <w:t>组织</w:t>
                  </w:r>
                  <w:r>
                    <w:rPr>
                      <w:rFonts w:hint="eastAsia" w:ascii="Times New Roman" w:hAnsi="Times New Roman" w:cs="Times New Roman"/>
                      <w:color w:val="auto"/>
                      <w:sz w:val="21"/>
                      <w:szCs w:val="21"/>
                      <w:highlight w:val="none"/>
                      <w:lang w:val="en-US" w:eastAsia="zh-CN"/>
                    </w:rPr>
                    <w:t>并委托编制</w:t>
                  </w:r>
                  <w:r>
                    <w:rPr>
                      <w:rFonts w:hint="default" w:ascii="Times New Roman" w:hAnsi="Times New Roman" w:eastAsia="宋体" w:cs="Times New Roman"/>
                      <w:color w:val="auto"/>
                      <w:sz w:val="21"/>
                      <w:szCs w:val="21"/>
                      <w:highlight w:val="none"/>
                      <w:lang w:val="en-US" w:eastAsia="zh-CN"/>
                    </w:rPr>
                    <w:t>《环境风险应急预案》，成立应急组织机构，定期开展应急演练，提高区域环境风险防范能力</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完善应急减排措施。</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本项目建立有效的事故风险防范体系</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29"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4"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86"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资源利用效率要求</w:t>
                  </w:r>
                </w:p>
              </w:tc>
              <w:tc>
                <w:tcPr>
                  <w:tcW w:w="148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禁燃区内禁止新建、改建、扩建燃用高污染燃料的锅炉、炉窑、炉灶等燃烧设施。</w:t>
                  </w:r>
                </w:p>
              </w:tc>
              <w:tc>
                <w:tcPr>
                  <w:tcW w:w="12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不涉及燃料燃烧</w:t>
                  </w:r>
                </w:p>
              </w:tc>
              <w:tc>
                <w:tcPr>
                  <w:tcW w:w="254"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符合</w:t>
                  </w:r>
                </w:p>
              </w:tc>
            </w:tr>
          </w:tbl>
          <w:p>
            <w:pPr>
              <w:pStyle w:val="67"/>
              <w:widowControl w:val="0"/>
              <w:overflowPunct/>
              <w:autoSpaceDE/>
              <w:autoSpaceDN/>
              <w:spacing w:line="480" w:lineRule="exact"/>
              <w:ind w:firstLine="480" w:firstLineChars="200"/>
              <w:jc w:val="both"/>
              <w:rPr>
                <w:rFonts w:hint="eastAsia" w:ascii="宋体" w:hAnsi="宋体" w:eastAsia="宋体" w:cs="宋体"/>
                <w:b w:val="0"/>
                <w:bCs w:val="0"/>
                <w:szCs w:val="24"/>
              </w:rPr>
            </w:pPr>
            <w:r>
              <w:rPr>
                <w:rFonts w:hint="eastAsia" w:ascii="宋体" w:hAnsi="宋体" w:eastAsia="宋体" w:cs="宋体"/>
                <w:b w:val="0"/>
                <w:bCs w:val="0"/>
                <w:color w:val="auto"/>
                <w:kern w:val="0"/>
                <w:sz w:val="24"/>
                <w:szCs w:val="24"/>
                <w:highlight w:val="none"/>
                <w:lang w:val="en-US" w:eastAsia="zh-CN"/>
              </w:rPr>
              <w:t>综上所述，本项目满足“三线一单”及《唐山市生态环境准入清单动态更新成果》要求。</w:t>
            </w:r>
          </w:p>
          <w:p>
            <w:pPr>
              <w:pStyle w:val="67"/>
              <w:widowControl w:val="0"/>
              <w:overflowPunct/>
              <w:autoSpaceDE/>
              <w:autoSpaceDN/>
              <w:spacing w:line="480" w:lineRule="exact"/>
              <w:ind w:firstLine="0" w:firstLineChars="0"/>
              <w:jc w:val="center"/>
              <w:rPr>
                <w:rFonts w:hint="eastAsia" w:ascii="宋体" w:hAnsi="宋体" w:eastAsia="宋体" w:cs="宋体"/>
                <w:b w:val="0"/>
                <w:bCs w:val="0"/>
                <w:szCs w:val="24"/>
              </w:rPr>
            </w:pPr>
          </w:p>
          <w:p>
            <w:pPr>
              <w:pStyle w:val="67"/>
              <w:widowControl w:val="0"/>
              <w:overflowPunct/>
              <w:autoSpaceDE/>
              <w:autoSpaceDN/>
              <w:spacing w:line="480" w:lineRule="exact"/>
              <w:ind w:firstLine="0" w:firstLineChars="0"/>
              <w:jc w:val="center"/>
              <w:rPr>
                <w:rFonts w:ascii="Times New Roman" w:hAnsi="Times New Roman" w:eastAsia="宋体"/>
                <w:b/>
                <w:szCs w:val="24"/>
              </w:rPr>
            </w:pPr>
          </w:p>
          <w:p>
            <w:pPr>
              <w:pStyle w:val="67"/>
              <w:widowControl w:val="0"/>
              <w:overflowPunct/>
              <w:autoSpaceDE/>
              <w:autoSpaceDN/>
              <w:spacing w:line="480" w:lineRule="exact"/>
              <w:ind w:firstLine="0" w:firstLineChars="0"/>
              <w:jc w:val="center"/>
              <w:rPr>
                <w:rFonts w:ascii="Times New Roman" w:hAnsi="Times New Roman" w:eastAsia="宋体"/>
                <w:b/>
                <w:szCs w:val="24"/>
              </w:rPr>
            </w:pPr>
          </w:p>
          <w:p>
            <w:pPr>
              <w:pStyle w:val="67"/>
              <w:widowControl w:val="0"/>
              <w:overflowPunct/>
              <w:autoSpaceDE/>
              <w:autoSpaceDN/>
              <w:spacing w:line="480" w:lineRule="exact"/>
              <w:ind w:firstLine="0" w:firstLineChars="0"/>
              <w:jc w:val="center"/>
              <w:rPr>
                <w:rFonts w:ascii="Times New Roman" w:hAnsi="Times New Roman" w:eastAsia="宋体"/>
                <w:b/>
                <w:szCs w:val="24"/>
              </w:rPr>
            </w:pPr>
          </w:p>
          <w:p>
            <w:pPr>
              <w:keepNext w:val="0"/>
              <w:keepLines w:val="0"/>
              <w:pageBreakBefore w:val="0"/>
              <w:widowControl w:val="0"/>
              <w:kinsoku/>
              <w:wordWrap/>
              <w:overflowPunct/>
              <w:topLinePunct w:val="0"/>
              <w:autoSpaceDE/>
              <w:autoSpaceDN/>
              <w:bidi w:val="0"/>
              <w:spacing w:line="480" w:lineRule="exact"/>
              <w:textAlignment w:val="auto"/>
              <w:rPr>
                <w:rFonts w:hint="default"/>
                <w:color w:val="auto"/>
                <w:highlight w:val="none"/>
                <w:vertAlign w:val="baseline"/>
              </w:rPr>
            </w:pPr>
          </w:p>
        </w:tc>
      </w:tr>
    </w:tbl>
    <w:p>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5" w:hRule="atLeast"/>
        </w:trPr>
        <w:tc>
          <w:tcPr>
            <w:tcW w:w="507" w:type="dxa"/>
            <w:noWrap w:val="0"/>
            <w:vAlign w:val="center"/>
          </w:tcPr>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其</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他</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符</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合</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性</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分</w:t>
            </w:r>
          </w:p>
          <w:p>
            <w:pPr>
              <w:pStyle w:val="12"/>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黑体" w:cs="Times New Roman"/>
                <w:snapToGrid w:val="0"/>
                <w:color w:val="auto"/>
                <w:sz w:val="30"/>
                <w:szCs w:val="30"/>
                <w:highlight w:val="none"/>
                <w:vertAlign w:val="baseline"/>
              </w:rPr>
            </w:pPr>
            <w:r>
              <w:rPr>
                <w:rFonts w:hint="default" w:ascii="Times New Roman" w:hAnsi="Times New Roman" w:cs="Times New Roman"/>
                <w:color w:val="auto"/>
                <w:sz w:val="24"/>
                <w:szCs w:val="24"/>
                <w:highlight w:val="none"/>
                <w:vertAlign w:val="baseline"/>
              </w:rPr>
              <w:t>析</w:t>
            </w:r>
          </w:p>
        </w:tc>
        <w:tc>
          <w:tcPr>
            <w:tcW w:w="8487" w:type="dxa"/>
            <w:noWrap w:val="0"/>
            <w:vAlign w:val="top"/>
          </w:tcPr>
          <w:p>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相关政策符合性</w:t>
            </w:r>
          </w:p>
          <w:p>
            <w:pPr>
              <w:pStyle w:val="82"/>
              <w:keepNext w:val="0"/>
              <w:keepLines w:val="0"/>
              <w:pageBreakBefore w:val="0"/>
              <w:widowControl w:val="0"/>
              <w:numPr>
                <w:ilvl w:val="0"/>
                <w:numId w:val="0"/>
              </w:numPr>
              <w:kinsoku/>
              <w:wordWrap/>
              <w:overflowPunct/>
              <w:topLinePunct w:val="0"/>
              <w:bidi w:val="0"/>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2.1产业政策符合性</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highlight w:val="none"/>
              </w:rPr>
              <w:t>本项目</w:t>
            </w:r>
            <w:r>
              <w:rPr>
                <w:rFonts w:hint="eastAsia" w:cs="Times New Roman"/>
                <w:color w:val="auto"/>
                <w:sz w:val="24"/>
                <w:highlight w:val="none"/>
                <w:lang w:val="en-US" w:eastAsia="zh-CN"/>
              </w:rPr>
              <w:t>不</w:t>
            </w:r>
            <w:r>
              <w:rPr>
                <w:rFonts w:hint="eastAsia" w:ascii="Times New Roman" w:hAnsi="Times New Roman" w:eastAsia="宋体" w:cs="Times New Roman"/>
                <w:color w:val="auto"/>
                <w:sz w:val="24"/>
                <w:highlight w:val="none"/>
                <w:lang w:eastAsia="zh-CN"/>
              </w:rPr>
              <w:t>属于</w:t>
            </w:r>
            <w:r>
              <w:rPr>
                <w:rFonts w:hint="default" w:ascii="Times New Roman" w:hAnsi="Times New Roman" w:eastAsia="宋体" w:cs="Times New Roman"/>
                <w:color w:val="auto"/>
                <w:sz w:val="24"/>
                <w:highlight w:val="none"/>
                <w:lang w:val="en-US" w:eastAsia="zh-CN"/>
              </w:rPr>
              <w:t>《产业结构调整指导目录》（2</w:t>
            </w:r>
            <w:r>
              <w:rPr>
                <w:rFonts w:hint="eastAsia" w:cs="Times New Roman"/>
                <w:color w:val="auto"/>
                <w:sz w:val="24"/>
                <w:highlight w:val="none"/>
                <w:lang w:val="en-US" w:eastAsia="zh-CN"/>
              </w:rPr>
              <w:t>024</w:t>
            </w:r>
            <w:r>
              <w:rPr>
                <w:rFonts w:hint="default" w:ascii="Times New Roman" w:hAnsi="Times New Roman" w:eastAsia="宋体" w:cs="Times New Roman"/>
                <w:color w:val="auto"/>
                <w:sz w:val="24"/>
                <w:highlight w:val="none"/>
                <w:lang w:val="en-US" w:eastAsia="zh-CN"/>
              </w:rPr>
              <w:t>年本）中的鼓励类</w:t>
            </w:r>
            <w:r>
              <w:rPr>
                <w:rFonts w:hint="eastAsia" w:cs="Times New Roman"/>
                <w:color w:val="auto"/>
                <w:sz w:val="24"/>
                <w:highlight w:val="none"/>
                <w:lang w:val="en-US" w:eastAsia="zh-CN"/>
              </w:rPr>
              <w:t>、限制类、淘汰类项目，项目为允许类项目</w:t>
            </w:r>
            <w:r>
              <w:rPr>
                <w:rFonts w:hint="default" w:ascii="Times New Roman" w:hAnsi="Times New Roman" w:eastAsia="宋体" w:cs="Times New Roman"/>
                <w:color w:val="auto"/>
                <w:sz w:val="24"/>
                <w:szCs w:val="24"/>
              </w:rPr>
              <w:t>。项目已取得</w:t>
            </w:r>
            <w:r>
              <w:rPr>
                <w:rFonts w:hint="eastAsia" w:cs="Times New Roman"/>
                <w:color w:val="auto"/>
                <w:sz w:val="24"/>
                <w:szCs w:val="24"/>
                <w:lang w:eastAsia="zh-CN"/>
              </w:rPr>
              <w:t>遵化市行政审批局</w:t>
            </w:r>
            <w:r>
              <w:rPr>
                <w:rFonts w:hint="default" w:ascii="Times New Roman" w:hAnsi="Times New Roman" w:eastAsia="宋体" w:cs="Times New Roman"/>
                <w:color w:val="auto"/>
                <w:sz w:val="24"/>
                <w:szCs w:val="24"/>
              </w:rPr>
              <w:t>出具的企业投资项目备案信息（</w:t>
            </w:r>
            <w:r>
              <w:rPr>
                <w:rFonts w:hint="eastAsia" w:cs="Times New Roman"/>
                <w:color w:val="auto"/>
                <w:sz w:val="24"/>
                <w:szCs w:val="24"/>
                <w:highlight w:val="none"/>
                <w:lang w:val="en-US" w:eastAsia="zh-CN"/>
              </w:rPr>
              <w:t>遵审投资备字[2024]30号</w:t>
            </w: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；综述，</w:t>
            </w:r>
            <w:r>
              <w:rPr>
                <w:rFonts w:hint="default" w:ascii="Times New Roman" w:hAnsi="Times New Roman" w:eastAsia="宋体" w:cs="Times New Roman"/>
                <w:color w:val="auto"/>
                <w:sz w:val="24"/>
                <w:szCs w:val="24"/>
              </w:rPr>
              <w:t>项目符合国家有关法律、法规和政策规定</w:t>
            </w:r>
            <w:r>
              <w:rPr>
                <w:rFonts w:hint="eastAsia" w:ascii="Times New Roman" w:hAnsi="Times New Roman" w:eastAsia="宋体" w:cs="Times New Roman"/>
                <w:color w:val="auto"/>
                <w:kern w:val="2"/>
                <w:sz w:val="24"/>
                <w:szCs w:val="24"/>
                <w:lang w:val="en-US" w:eastAsia="zh-CN" w:bidi="ar-SA"/>
              </w:rPr>
              <w:t>。</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2.2其他政策符合性分析</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00" w:firstLineChars="200"/>
              <w:jc w:val="left"/>
              <w:textAlignment w:val="auto"/>
              <w:rPr>
                <w:rFonts w:hint="default"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2.2.1与《唐山市钢铁行业整治提升工作方案》（</w:t>
            </w:r>
            <w:r>
              <w:rPr>
                <w:rFonts w:hint="eastAsia" w:ascii="Times New Roman" w:hAnsi="Times New Roman" w:eastAsia="宋体" w:cs="Times New Roman"/>
                <w:color w:val="auto"/>
                <w:spacing w:val="5"/>
                <w:sz w:val="24"/>
                <w:szCs w:val="24"/>
                <w:highlight w:val="none"/>
                <w:lang w:val="zh-TW" w:eastAsia="zh-CN"/>
              </w:rPr>
              <w:t>唐气领办〔2021〕15号</w:t>
            </w:r>
            <w:r>
              <w:rPr>
                <w:rFonts w:hint="eastAsia" w:ascii="Times New Roman" w:hAnsi="Times New Roman" w:eastAsia="宋体" w:cs="Times New Roman"/>
                <w:color w:val="auto"/>
                <w:spacing w:val="5"/>
                <w:sz w:val="24"/>
                <w:szCs w:val="24"/>
                <w:highlight w:val="none"/>
                <w:lang w:val="en-US" w:eastAsia="zh-CN"/>
              </w:rPr>
              <w:t>）</w:t>
            </w:r>
            <w:r>
              <w:rPr>
                <w:rFonts w:hint="default" w:ascii="Times New Roman" w:hAnsi="Times New Roman" w:eastAsia="宋体" w:cs="Times New Roman"/>
                <w:color w:val="auto"/>
                <w:spacing w:val="5"/>
                <w:sz w:val="24"/>
                <w:szCs w:val="24"/>
                <w:highlight w:val="none"/>
                <w:lang w:val="en-US" w:eastAsia="zh-CN"/>
              </w:rPr>
              <w:t>符合性分析</w:t>
            </w:r>
            <w:r>
              <w:rPr>
                <w:rFonts w:hint="eastAsia" w:ascii="Times New Roman" w:hAnsi="Times New Roman" w:eastAsia="宋体" w:cs="Times New Roman"/>
                <w:color w:val="auto"/>
                <w:spacing w:val="5"/>
                <w:sz w:val="24"/>
                <w:szCs w:val="24"/>
                <w:highlight w:val="none"/>
                <w:lang w:val="en-US" w:eastAsia="zh-CN"/>
              </w:rPr>
              <w:t>.</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3</w:t>
            </w:r>
            <w:r>
              <w:rPr>
                <w:rFonts w:hint="eastAsia" w:ascii="Times New Roman" w:hAnsi="Times New Roman" w:eastAsia="宋体" w:cs="Times New Roman"/>
                <w:b/>
                <w:bCs/>
                <w:color w:val="auto"/>
                <w:spacing w:val="5"/>
                <w:sz w:val="24"/>
                <w:szCs w:val="24"/>
                <w:highlight w:val="none"/>
                <w:lang w:val="en-US" w:eastAsia="zh-CN"/>
              </w:rPr>
              <w:t xml:space="preserve"> 本项目与《唐山市钢铁行业整治提升工作方案》（唐气领办〔2021〕15号）符合性分析</w:t>
            </w:r>
          </w:p>
          <w:tbl>
            <w:tblPr>
              <w:tblStyle w:val="33"/>
              <w:tblW w:w="8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9"/>
              <w:gridCol w:w="3265"/>
              <w:gridCol w:w="3451"/>
              <w:gridCol w:w="75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相关规定</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熔炼工序进行封闭处理，内部加装集气装置，形成负压集中收集废气，将出铁口及钢包覆盖在内，烟气集中收集后经过高效袋式除尘设施进行一次除尘，由排气筒排放，颗粒物排放浓度不高于10mg/Nm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。集气装置和除尘设施的风量和风压应充分满足生产需要，保证无烟尘外溢。</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本项目熔炼工序进行了封闭处理，内部加装集气罩，将出铁口及钢包覆盖在内，烟气负压集中收集后经过高效袋式除尘设施进行一次除尘，由排气筒排放，颗粒物排放浓度不高于10mg/Nm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。集气装置和除尘设施的风量和风压满足生产需要，无烟尘外溢。</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熔炼车间内顶部安装集气罩，配套除尘设施进行二次除尘。</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本项目熔炼车间内顶部安装集气罩，配套了二次除尘设施。</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浇注工序设置浇注区或浇注段。浇注和冷却工序采取固定式或移动式集气设备，并配备废气处理设施，待砂型冷却至无可见烟尘外逸时，环保设备方可停止运行。颗粒物排放浓度不高于10mg/Nm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本项目设有专门的浇注工位，工位上方设集气罩，废气引入相应处理设施，无可见烟尘外逸，颗粒物排放浓度不高于10mg/Nm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落砂、抛丸清理、砂处理工序应在密闭设备内操作，废气收集至除尘设施；车间不得有可见烟粉尘外逸。</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lang w:val="en-US" w:eastAsia="zh-CN"/>
                    </w:rPr>
                    <w:t>落砂、抛丸清理、砂处理</w:t>
                  </w:r>
                  <w:r>
                    <w:rPr>
                      <w:rFonts w:hint="eastAsia" w:ascii="Times New Roman" w:hAnsi="Times New Roman" w:eastAsia="宋体" w:cs="Times New Roman"/>
                      <w:color w:val="auto"/>
                      <w:sz w:val="21"/>
                      <w:szCs w:val="21"/>
                      <w:highlight w:val="none"/>
                      <w:lang w:val="en-US" w:eastAsia="zh-CN"/>
                    </w:rPr>
                    <w:t>均</w:t>
                  </w:r>
                  <w:r>
                    <w:rPr>
                      <w:rFonts w:hint="default" w:ascii="Times New Roman" w:hAnsi="Times New Roman" w:eastAsia="宋体" w:cs="Times New Roman"/>
                      <w:color w:val="auto"/>
                      <w:sz w:val="21"/>
                      <w:szCs w:val="21"/>
                      <w:highlight w:val="none"/>
                      <w:lang w:val="en-US" w:eastAsia="zh-CN"/>
                    </w:rPr>
                    <w:t>在密闭设备内操作，废气收集至除尘设施</w:t>
                  </w:r>
                  <w:r>
                    <w:rPr>
                      <w:rFonts w:hint="eastAsia" w:ascii="Times New Roman" w:hAnsi="Times New Roman" w:eastAsia="宋体" w:cs="Times New Roman"/>
                      <w:color w:val="auto"/>
                      <w:sz w:val="21"/>
                      <w:szCs w:val="21"/>
                      <w:highlight w:val="none"/>
                      <w:lang w:val="en-US" w:eastAsia="zh-CN"/>
                    </w:rPr>
                    <w:t>处理后达标排放</w:t>
                  </w:r>
                  <w:r>
                    <w:rPr>
                      <w:rFonts w:hint="default" w:ascii="Times New Roman" w:hAnsi="Times New Roman" w:eastAsia="宋体" w:cs="Times New Roman"/>
                      <w:color w:val="auto"/>
                      <w:sz w:val="21"/>
                      <w:szCs w:val="21"/>
                      <w:highlight w:val="none"/>
                      <w:lang w:val="en-US" w:eastAsia="zh-CN"/>
                    </w:rPr>
                    <w:t>；车间</w:t>
                  </w:r>
                  <w:r>
                    <w:rPr>
                      <w:rFonts w:hint="eastAsia" w:ascii="Times New Roman" w:hAnsi="Times New Roman" w:eastAsia="宋体" w:cs="Times New Roman"/>
                      <w:color w:val="auto"/>
                      <w:sz w:val="21"/>
                      <w:szCs w:val="21"/>
                      <w:highlight w:val="none"/>
                      <w:lang w:val="en-US" w:eastAsia="zh-CN"/>
                    </w:rPr>
                    <w:t>设有二次除尘设施，无</w:t>
                  </w:r>
                  <w:r>
                    <w:rPr>
                      <w:rFonts w:hint="default" w:ascii="Times New Roman" w:hAnsi="Times New Roman" w:eastAsia="宋体" w:cs="Times New Roman"/>
                      <w:color w:val="auto"/>
                      <w:sz w:val="21"/>
                      <w:szCs w:val="21"/>
                      <w:highlight w:val="none"/>
                      <w:lang w:val="en-US" w:eastAsia="zh-CN"/>
                    </w:rPr>
                    <w:t>可见烟粉尘外逸。</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制芯（热芯盒）、覆膜砂（壳型）工序 VOCs 采用活性炭吸附或更高效的处理措施；制芯（冷芯盒）工序 VOCs 采用吸收法或更高效处理措施</w:t>
                  </w:r>
                  <w:r>
                    <w:rPr>
                      <w:rFonts w:hint="eastAsia" w:ascii="Times New Roman" w:hAnsi="Times New Roman" w:eastAsia="宋体" w:cs="Times New Roman"/>
                      <w:color w:val="auto"/>
                      <w:sz w:val="21"/>
                      <w:szCs w:val="21"/>
                      <w:highlight w:val="none"/>
                      <w:lang w:val="en-US" w:eastAsia="zh-CN"/>
                    </w:rPr>
                    <w:t>；消失模、实型铸造工艺的浇注工序采用吸附脱附+蓄热燃烧、吸附脱附+催化燃烧、焚烧法等高效处理设施。VOCs排放浓度执行河北省《工业企业挥发性有机物排放控制标准》（DB13/2322-2016）中其他行业要求。</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本项目不涉及VOCs排放。</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热处理炉应使用电或天然气等清洁燃料，颗粒物排放浓度不高于10mg/Nm3。</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本项目热处理炉使用电能。</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煤粉、膨润土、</w:t>
                  </w:r>
                  <w:r>
                    <w:rPr>
                      <w:rFonts w:hint="eastAsia" w:ascii="Times New Roman" w:hAnsi="Times New Roman" w:cs="Times New Roman"/>
                      <w:color w:val="auto"/>
                      <w:sz w:val="21"/>
                      <w:szCs w:val="21"/>
                      <w:highlight w:val="none"/>
                      <w:lang w:val="en-US" w:eastAsia="zh-CN"/>
                    </w:rPr>
                    <w:t>石英砂</w:t>
                  </w:r>
                  <w:r>
                    <w:rPr>
                      <w:rFonts w:hint="default" w:ascii="Times New Roman" w:hAnsi="Times New Roman" w:eastAsia="宋体" w:cs="Times New Roman"/>
                      <w:color w:val="auto"/>
                      <w:sz w:val="21"/>
                      <w:szCs w:val="21"/>
                      <w:highlight w:val="none"/>
                      <w:lang w:val="en-US" w:eastAsia="zh-CN"/>
                    </w:rPr>
                    <w:t>等粉状物料应袋装或罐装，并储存于封闭空间。生铁、废钢、焦炭和铁合金等粒状、块状散装物料应储存于半封闭储库，半封闭储库应至少两面有围墙（围挡）及屋顶，并对物料采取覆盖或喷淋（雾）等抑尘措施；熔模制造淋砂工序在半封闭空间内操作，配备除尘设施。</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废钢、回炉料等金属物料切割破碎等原料加工工序应设置封闭操作间，并配套集气和除尘设施；禁止生产车间内散放原料，需采用全封闭式或地下料仓，生产环节必须在封闭车间内运行。</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本项目所用</w:t>
                  </w:r>
                  <w:r>
                    <w:rPr>
                      <w:rFonts w:hint="eastAsia" w:ascii="Times New Roman" w:hAnsi="Times New Roman" w:cs="Times New Roman"/>
                      <w:color w:val="auto"/>
                      <w:sz w:val="21"/>
                      <w:szCs w:val="21"/>
                      <w:highlight w:val="none"/>
                      <w:lang w:val="en-US" w:eastAsia="zh-CN"/>
                    </w:rPr>
                    <w:t>石英砂</w:t>
                  </w:r>
                  <w:r>
                    <w:rPr>
                      <w:rFonts w:hint="default" w:ascii="Times New Roman" w:hAnsi="Times New Roman" w:eastAsia="宋体" w:cs="Times New Roman"/>
                      <w:color w:val="auto"/>
                      <w:sz w:val="21"/>
                      <w:szCs w:val="21"/>
                      <w:highlight w:val="none"/>
                      <w:lang w:val="en-US" w:eastAsia="zh-CN"/>
                    </w:rPr>
                    <w:t>等粉状物料</w:t>
                  </w:r>
                  <w:r>
                    <w:rPr>
                      <w:rFonts w:hint="eastAsia" w:ascii="Times New Roman" w:hAnsi="Times New Roman" w:eastAsia="宋体" w:cs="Times New Roman"/>
                      <w:color w:val="auto"/>
                      <w:sz w:val="21"/>
                      <w:szCs w:val="21"/>
                      <w:highlight w:val="none"/>
                      <w:lang w:val="en-US" w:eastAsia="zh-CN"/>
                    </w:rPr>
                    <w:t>均采用</w:t>
                  </w:r>
                  <w:r>
                    <w:rPr>
                      <w:rFonts w:hint="default" w:ascii="Times New Roman" w:hAnsi="Times New Roman" w:eastAsia="宋体" w:cs="Times New Roman"/>
                      <w:color w:val="auto"/>
                      <w:sz w:val="21"/>
                      <w:szCs w:val="21"/>
                      <w:highlight w:val="none"/>
                      <w:lang w:val="en-US" w:eastAsia="zh-CN"/>
                    </w:rPr>
                    <w:t>袋装储存于封闭</w:t>
                  </w:r>
                  <w:r>
                    <w:rPr>
                      <w:rFonts w:hint="eastAsia" w:ascii="Times New Roman" w:hAnsi="Times New Roman" w:eastAsia="宋体" w:cs="Times New Roman"/>
                      <w:color w:val="auto"/>
                      <w:sz w:val="21"/>
                      <w:szCs w:val="21"/>
                      <w:highlight w:val="none"/>
                      <w:lang w:val="en-US" w:eastAsia="zh-CN"/>
                    </w:rPr>
                    <w:t>生产车间内</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废钢、高锰砂</w:t>
                  </w:r>
                  <w:r>
                    <w:rPr>
                      <w:rFonts w:hint="default" w:ascii="Times New Roman" w:hAnsi="Times New Roman" w:eastAsia="宋体" w:cs="Times New Roman"/>
                      <w:color w:val="auto"/>
                      <w:sz w:val="21"/>
                      <w:szCs w:val="21"/>
                      <w:highlight w:val="none"/>
                      <w:lang w:val="en-US" w:eastAsia="zh-CN"/>
                    </w:rPr>
                    <w:t>等块状散装物料储存于</w:t>
                  </w:r>
                  <w:r>
                    <w:rPr>
                      <w:rFonts w:hint="eastAsia" w:ascii="Times New Roman" w:hAnsi="Times New Roman" w:eastAsia="宋体" w:cs="Times New Roman"/>
                      <w:color w:val="auto"/>
                      <w:sz w:val="21"/>
                      <w:szCs w:val="21"/>
                      <w:highlight w:val="none"/>
                      <w:lang w:val="en-US" w:eastAsia="zh-CN"/>
                    </w:rPr>
                    <w:t>全</w:t>
                  </w:r>
                  <w:r>
                    <w:rPr>
                      <w:rFonts w:hint="default" w:ascii="Times New Roman" w:hAnsi="Times New Roman" w:eastAsia="宋体" w:cs="Times New Roman"/>
                      <w:color w:val="auto"/>
                      <w:sz w:val="21"/>
                      <w:szCs w:val="21"/>
                      <w:highlight w:val="none"/>
                      <w:lang w:val="en-US" w:eastAsia="zh-CN"/>
                    </w:rPr>
                    <w:t>封闭</w:t>
                  </w:r>
                  <w:r>
                    <w:rPr>
                      <w:rFonts w:hint="eastAsia" w:ascii="Times New Roman" w:hAnsi="Times New Roman" w:eastAsia="宋体" w:cs="Times New Roman"/>
                      <w:color w:val="auto"/>
                      <w:sz w:val="21"/>
                      <w:szCs w:val="21"/>
                      <w:highlight w:val="none"/>
                      <w:lang w:val="en-US" w:eastAsia="zh-CN"/>
                    </w:rPr>
                    <w:t>生产车间内</w:t>
                  </w:r>
                  <w:r>
                    <w:rPr>
                      <w:rFonts w:hint="default" w:ascii="Times New Roman" w:hAnsi="Times New Roman" w:eastAsia="宋体" w:cs="Times New Roman"/>
                      <w:color w:val="auto"/>
                      <w:sz w:val="21"/>
                      <w:szCs w:val="21"/>
                      <w:highlight w:val="none"/>
                      <w:lang w:val="en-US" w:eastAsia="zh-CN"/>
                    </w:rPr>
                    <w:t>生产车间内</w:t>
                  </w:r>
                  <w:r>
                    <w:rPr>
                      <w:rFonts w:hint="eastAsia" w:ascii="Times New Roman" w:hAnsi="Times New Roman" w:eastAsia="宋体" w:cs="Times New Roman"/>
                      <w:color w:val="auto"/>
                      <w:sz w:val="21"/>
                      <w:szCs w:val="21"/>
                      <w:highlight w:val="none"/>
                      <w:lang w:val="en-US" w:eastAsia="zh-CN"/>
                    </w:rPr>
                    <w:t>无</w:t>
                  </w:r>
                  <w:r>
                    <w:rPr>
                      <w:rFonts w:hint="default" w:ascii="Times New Roman" w:hAnsi="Times New Roman" w:eastAsia="宋体" w:cs="Times New Roman"/>
                      <w:color w:val="auto"/>
                      <w:sz w:val="21"/>
                      <w:szCs w:val="21"/>
                      <w:highlight w:val="none"/>
                      <w:lang w:val="en-US" w:eastAsia="zh-CN"/>
                    </w:rPr>
                    <w:t>散放</w:t>
                  </w:r>
                  <w:r>
                    <w:rPr>
                      <w:rFonts w:hint="eastAsia" w:ascii="Times New Roman" w:hAnsi="Times New Roman" w:eastAsia="宋体" w:cs="Times New Roman"/>
                      <w:color w:val="auto"/>
                      <w:sz w:val="21"/>
                      <w:szCs w:val="21"/>
                      <w:highlight w:val="none"/>
                      <w:lang w:val="en-US" w:eastAsia="zh-CN"/>
                    </w:rPr>
                    <w:t>粉状</w:t>
                  </w:r>
                  <w:r>
                    <w:rPr>
                      <w:rFonts w:hint="default" w:ascii="Times New Roman" w:hAnsi="Times New Roman" w:eastAsia="宋体" w:cs="Times New Roman"/>
                      <w:color w:val="auto"/>
                      <w:sz w:val="21"/>
                      <w:szCs w:val="21"/>
                      <w:highlight w:val="none"/>
                      <w:lang w:val="en-US" w:eastAsia="zh-CN"/>
                    </w:rPr>
                    <w:t>原料，生产环节在封闭车间内运行。</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w:t>
                  </w:r>
                </w:p>
              </w:tc>
              <w:tc>
                <w:tcPr>
                  <w:tcW w:w="198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状、粒状等易散发粉尘的物料厂内转移、输送时，应采取密闭或覆盖等抑尘措施；转移、输送、装卸过程中应采取集气除尘措施，或喷淋（雾）等抑尘措施。除尘器卸灰口应采取密闭措施，除尘灰不得直接卸落到地面。除尘灰采取袋装、罐装等密闭措施收集、存放和运输</w:t>
                  </w:r>
                </w:p>
              </w:tc>
              <w:tc>
                <w:tcPr>
                  <w:tcW w:w="210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针对粉状料转移输送采取抑尘措施，同时车间设有二次除尘设施，</w:t>
                  </w:r>
                  <w:r>
                    <w:rPr>
                      <w:rFonts w:hint="default" w:ascii="Times New Roman" w:hAnsi="Times New Roman" w:eastAsia="宋体" w:cs="Times New Roman"/>
                      <w:color w:val="auto"/>
                      <w:sz w:val="21"/>
                      <w:szCs w:val="21"/>
                      <w:highlight w:val="none"/>
                      <w:lang w:val="en-US" w:eastAsia="zh-CN"/>
                    </w:rPr>
                    <w:t>除尘器卸灰口采取密闭措施，除尘灰不得直接卸落到地面。除尘灰采取袋装收集、存放和运输</w:t>
                  </w:r>
                </w:p>
              </w:tc>
              <w:tc>
                <w:tcPr>
                  <w:tcW w:w="46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经以上分析，本项目符合《</w:t>
            </w:r>
            <w:r>
              <w:rPr>
                <w:rFonts w:hint="eastAsia" w:ascii="Times New Roman" w:hAnsi="Times New Roman" w:eastAsia="宋体" w:cs="Times New Roman"/>
                <w:color w:val="auto"/>
                <w:sz w:val="24"/>
                <w:highlight w:val="none"/>
                <w:lang w:val="en-US" w:eastAsia="zh-CN"/>
              </w:rPr>
              <w:t>唐山市钢铁行业整治提升工作方案》（</w:t>
            </w:r>
            <w:r>
              <w:rPr>
                <w:rFonts w:hint="eastAsia" w:ascii="Times New Roman" w:hAnsi="Times New Roman" w:eastAsia="宋体" w:cs="Times New Roman"/>
                <w:color w:val="auto"/>
                <w:sz w:val="24"/>
                <w:highlight w:val="none"/>
                <w:lang w:val="zh-TW"/>
              </w:rPr>
              <w:t>唐气领办〔2021〕15号</w:t>
            </w:r>
            <w:r>
              <w:rPr>
                <w:rFonts w:hint="eastAsia" w:ascii="Times New Roman" w:hAnsi="Times New Roman" w:eastAsia="宋体" w:cs="Times New Roman"/>
                <w:color w:val="auto"/>
                <w:sz w:val="24"/>
                <w:highlight w:val="none"/>
                <w:lang w:val="en-US" w:eastAsia="zh-CN"/>
              </w:rPr>
              <w:t>）的相关要求。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default"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2.2.2与《</w:t>
            </w:r>
            <w:r>
              <w:rPr>
                <w:rFonts w:hint="default" w:ascii="Times New Roman" w:hAnsi="Times New Roman" w:eastAsia="宋体" w:cs="Times New Roman"/>
                <w:color w:val="auto"/>
                <w:spacing w:val="5"/>
                <w:sz w:val="24"/>
                <w:szCs w:val="24"/>
                <w:highlight w:val="none"/>
                <w:lang w:val="en-US" w:eastAsia="zh-CN"/>
              </w:rPr>
              <w:t>工业和信息化部 国家发展和改革委员会 生态环境部关于推动铸造和锻压行业高质量发展的指导意见</w:t>
            </w:r>
            <w:r>
              <w:rPr>
                <w:rFonts w:hint="eastAsia" w:ascii="Times New Roman" w:hAnsi="Times New Roman" w:eastAsia="宋体" w:cs="Times New Roman"/>
                <w:color w:val="auto"/>
                <w:spacing w:val="5"/>
                <w:sz w:val="24"/>
                <w:szCs w:val="24"/>
                <w:highlight w:val="none"/>
                <w:lang w:val="en-US" w:eastAsia="zh-CN"/>
              </w:rPr>
              <w:t>》（工信部联通装[2023]40号）符合性分析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 xml:space="preserve">4  </w:t>
            </w:r>
            <w:r>
              <w:rPr>
                <w:rFonts w:hint="eastAsia" w:ascii="Times New Roman" w:hAnsi="Times New Roman" w:eastAsia="宋体" w:cs="Times New Roman"/>
                <w:b/>
                <w:bCs/>
                <w:color w:val="auto"/>
                <w:spacing w:val="5"/>
                <w:sz w:val="24"/>
                <w:szCs w:val="24"/>
                <w:highlight w:val="none"/>
                <w:lang w:val="en-US" w:eastAsia="zh-CN"/>
              </w:rPr>
              <w:t xml:space="preserve"> 本项目与工信部联通装[2023]40号符合性分析结果一览表</w:t>
            </w:r>
          </w:p>
          <w:tbl>
            <w:tblPr>
              <w:tblStyle w:val="33"/>
              <w:tblW w:w="82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4426"/>
              <w:gridCol w:w="2539"/>
              <w:gridCol w:w="6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26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相关规定</w:t>
                  </w:r>
                </w:p>
              </w:tc>
              <w:tc>
                <w:tcPr>
                  <w:tcW w:w="153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p>
              </w:tc>
              <w:tc>
                <w:tcPr>
                  <w:tcW w:w="38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6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重点发展高紧实度粘土砂自动化造型、高效自硬砂铸造、精密组芯造型、壳型铸造、离心铸造、金属型铸造、铁模覆砂、消失模/V 法/实型铸造、轻合金高压/挤压/差压，低压/半固态/调压铸造、硅溶胶熔模铸造、短流程铸造、砂型 3D 打印等先进铸造工艺与装备。</w:t>
                  </w:r>
                </w:p>
              </w:tc>
              <w:tc>
                <w:tcPr>
                  <w:tcW w:w="153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本项目采用</w:t>
                  </w:r>
                  <w:r>
                    <w:rPr>
                      <w:rFonts w:hint="default" w:ascii="Times New Roman" w:hAnsi="Times New Roman" w:eastAsia="宋体" w:cs="Times New Roman"/>
                      <w:color w:val="auto"/>
                      <w:sz w:val="21"/>
                      <w:szCs w:val="21"/>
                      <w:highlight w:val="none"/>
                      <w:lang w:val="en-US" w:eastAsia="zh-CN"/>
                    </w:rPr>
                    <w:t>高效自硬砂铸造</w:t>
                  </w:r>
                  <w:r>
                    <w:rPr>
                      <w:rFonts w:hint="eastAsia" w:ascii="Times New Roman" w:hAnsi="Times New Roman" w:eastAsia="宋体" w:cs="Times New Roman"/>
                      <w:color w:val="auto"/>
                      <w:sz w:val="21"/>
                      <w:szCs w:val="21"/>
                      <w:highlight w:val="none"/>
                      <w:lang w:val="en-US" w:eastAsia="zh-CN"/>
                    </w:rPr>
                    <w:t>工艺。</w:t>
                  </w:r>
                </w:p>
              </w:tc>
              <w:tc>
                <w:tcPr>
                  <w:tcW w:w="38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26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w:t>
                  </w:r>
                </w:p>
              </w:tc>
              <w:tc>
                <w:tcPr>
                  <w:tcW w:w="153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本项目不涉及上述淘汰类装备与工艺。</w:t>
                  </w:r>
                </w:p>
              </w:tc>
              <w:tc>
                <w:tcPr>
                  <w:tcW w:w="38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26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依法申领排污许可证，严格持证排污、按证排污并按排污许可证规定落实自行监测、台账记录、执行报告、信息公开等要求。铸造企业严格执行《铸造工业大气污染物排放标准》（GB 39726）及地方排放标准，加强无组织排放控制，不能稳定达标排放的，限期完成设施升级改造，不具备改造条件及改造后仍不能达标的，依法依规进行淘汰。</w:t>
                  </w:r>
                </w:p>
              </w:tc>
              <w:tc>
                <w:tcPr>
                  <w:tcW w:w="153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本项目建设完成后实际排污前依法申领排污许可证，按照</w:t>
                  </w:r>
                  <w:r>
                    <w:rPr>
                      <w:rFonts w:hint="default" w:ascii="Times New Roman" w:hAnsi="Times New Roman" w:eastAsia="宋体" w:cs="Times New Roman"/>
                      <w:color w:val="auto"/>
                      <w:sz w:val="21"/>
                      <w:szCs w:val="21"/>
                      <w:highlight w:val="none"/>
                      <w:lang w:val="en-US" w:eastAsia="zh-CN"/>
                    </w:rPr>
                    <w:t>《排污许可证申请与核发技术规范</w:t>
                  </w:r>
                  <w:r>
                    <w:rPr>
                      <w:rFonts w:hint="eastAsia" w:ascii="Times New Roman" w:hAnsi="Times New Roman" w:eastAsia="宋体" w:cs="Times New Roman"/>
                      <w:color w:val="auto"/>
                      <w:sz w:val="21"/>
                      <w:szCs w:val="21"/>
                      <w:highlight w:val="none"/>
                      <w:lang w:val="en-US" w:eastAsia="zh-CN"/>
                    </w:rPr>
                    <w:t>金属铸造工业（</w:t>
                  </w:r>
                  <w:r>
                    <w:rPr>
                      <w:rFonts w:hint="default" w:ascii="Times New Roman" w:hAnsi="Times New Roman" w:eastAsia="宋体" w:cs="Times New Roman"/>
                      <w:color w:val="auto"/>
                      <w:sz w:val="21"/>
                      <w:szCs w:val="21"/>
                      <w:highlight w:val="none"/>
                      <w:lang w:val="en-US" w:eastAsia="zh-CN"/>
                    </w:rPr>
                    <w:t>HJ11</w:t>
                  </w:r>
                  <w:r>
                    <w:rPr>
                      <w:rFonts w:hint="eastAsia"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）、《排污单位自行监测技术指南金属铸造工业》（</w:t>
                  </w:r>
                  <w:r>
                    <w:rPr>
                      <w:rFonts w:hint="default" w:ascii="Times New Roman" w:hAnsi="Times New Roman" w:eastAsia="宋体" w:cs="Times New Roman"/>
                      <w:color w:val="auto"/>
                      <w:sz w:val="21"/>
                      <w:szCs w:val="21"/>
                      <w:highlight w:val="none"/>
                      <w:lang w:val="en-US" w:eastAsia="zh-CN"/>
                    </w:rPr>
                    <w:t>HJ1</w:t>
                  </w:r>
                  <w:r>
                    <w:rPr>
                      <w:rFonts w:hint="eastAsia" w:ascii="Times New Roman" w:hAnsi="Times New Roman" w:eastAsia="宋体" w:cs="Times New Roman"/>
                      <w:color w:val="auto"/>
                      <w:sz w:val="21"/>
                      <w:szCs w:val="21"/>
                      <w:highlight w:val="none"/>
                      <w:lang w:val="en-US" w:eastAsia="zh-CN"/>
                    </w:rPr>
                    <w:t>251</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 xml:space="preserve">2）的规定落实自行监测、台账记录、执行报告、信息公开等要求。各项污染物能够满足相应的排放标准。 </w:t>
                  </w:r>
                </w:p>
              </w:tc>
              <w:tc>
                <w:tcPr>
                  <w:tcW w:w="38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26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推广短流程铸造，鼓励铸造行业冲天炉（10吨/小时及以下）改为电炉。推进铸造废砂再生处理技术应用、废旧金属循环再生与利用。</w:t>
                  </w:r>
                </w:p>
              </w:tc>
              <w:tc>
                <w:tcPr>
                  <w:tcW w:w="1530"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本项目不涉及冲天炉使用，配有自动化程度较高的废砂处理生产线。</w:t>
                  </w:r>
                </w:p>
              </w:tc>
              <w:tc>
                <w:tcPr>
                  <w:tcW w:w="38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eastAsia"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2.2.3与《</w:t>
            </w:r>
            <w:r>
              <w:rPr>
                <w:rFonts w:hint="default" w:ascii="Times New Roman" w:hAnsi="Times New Roman" w:eastAsia="宋体" w:cs="Times New Roman"/>
                <w:color w:val="auto"/>
                <w:spacing w:val="5"/>
                <w:sz w:val="24"/>
                <w:szCs w:val="24"/>
                <w:highlight w:val="none"/>
                <w:lang w:val="en-US" w:eastAsia="zh-CN"/>
              </w:rPr>
              <w:t>重污染天气重点行业应急减排措施制定</w:t>
            </w:r>
            <w:r>
              <w:rPr>
                <w:rFonts w:hint="eastAsia" w:ascii="Times New Roman" w:hAnsi="Times New Roman" w:eastAsia="宋体" w:cs="Times New Roman"/>
                <w:color w:val="auto"/>
                <w:spacing w:val="5"/>
                <w:sz w:val="24"/>
                <w:szCs w:val="24"/>
                <w:highlight w:val="none"/>
                <w:lang w:val="en-US" w:eastAsia="zh-CN"/>
              </w:rPr>
              <w:t>技术指南》符合性分析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default"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本项目采用电炉熔炼设备，与铸件企业绩效分级指标对比如下。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5</w:t>
            </w:r>
            <w:r>
              <w:rPr>
                <w:rFonts w:hint="eastAsia" w:ascii="Times New Roman" w:hAnsi="Times New Roman" w:eastAsia="宋体" w:cs="Times New Roman"/>
                <w:b/>
                <w:bCs/>
                <w:color w:val="auto"/>
                <w:spacing w:val="5"/>
                <w:sz w:val="24"/>
                <w:szCs w:val="24"/>
                <w:highlight w:val="none"/>
                <w:lang w:val="en-US" w:eastAsia="zh-CN"/>
              </w:rPr>
              <w:t xml:space="preserve"> 本项目与《</w:t>
            </w:r>
            <w:r>
              <w:rPr>
                <w:rFonts w:hint="default" w:ascii="Times New Roman" w:hAnsi="Times New Roman" w:eastAsia="宋体" w:cs="Times New Roman"/>
                <w:b/>
                <w:bCs/>
                <w:color w:val="auto"/>
                <w:spacing w:val="5"/>
                <w:sz w:val="24"/>
                <w:szCs w:val="24"/>
                <w:highlight w:val="none"/>
                <w:lang w:val="en-US" w:eastAsia="zh-CN"/>
              </w:rPr>
              <w:t>重污染天气重点行业应急减排措施制定</w:t>
            </w:r>
            <w:r>
              <w:rPr>
                <w:rFonts w:hint="eastAsia" w:ascii="Times New Roman" w:hAnsi="Times New Roman" w:eastAsia="宋体" w:cs="Times New Roman"/>
                <w:b/>
                <w:bCs/>
                <w:color w:val="auto"/>
                <w:spacing w:val="5"/>
                <w:sz w:val="24"/>
                <w:szCs w:val="24"/>
                <w:highlight w:val="none"/>
                <w:lang w:val="en-US" w:eastAsia="zh-CN"/>
              </w:rPr>
              <w:t>技术指南》符合性分析结果一览表</w:t>
            </w:r>
          </w:p>
          <w:tbl>
            <w:tblPr>
              <w:tblStyle w:val="33"/>
              <w:tblW w:w="830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3692"/>
              <w:gridCol w:w="3265"/>
              <w:gridCol w:w="65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A级企业</w:t>
                  </w:r>
                  <w:r>
                    <w:rPr>
                      <w:rFonts w:hint="default" w:ascii="Times New Roman" w:hAnsi="Times New Roman" w:eastAsia="宋体" w:cs="Times New Roman"/>
                      <w:color w:val="auto"/>
                      <w:sz w:val="21"/>
                      <w:szCs w:val="21"/>
                      <w:highlight w:val="none"/>
                      <w:lang w:val="en-US" w:eastAsia="zh-CN"/>
                    </w:rPr>
                    <w:t>相关规定</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项目情况</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评级结果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装备水平及生产工艺</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粘土砂工艺采用水平或垂直自动化造型线；2消失模工艺采用消失模自动化造型线；3、熔模铸造工艺采用硅溶胶铸造工艺、采用自动制壳线；4、压铸等其他铸造工艺暂不考虑装备水平差异，依据其污染治理水平确定绩效。</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本项目采用</w:t>
                  </w:r>
                  <w:r>
                    <w:rPr>
                      <w:rFonts w:hint="default" w:ascii="Times New Roman" w:hAnsi="Times New Roman" w:eastAsia="宋体" w:cs="Times New Roman"/>
                      <w:color w:val="auto"/>
                      <w:sz w:val="21"/>
                      <w:szCs w:val="21"/>
                      <w:highlight w:val="none"/>
                      <w:lang w:val="en-US" w:eastAsia="zh-CN"/>
                    </w:rPr>
                    <w:t>高效自硬砂铸造</w:t>
                  </w:r>
                  <w:r>
                    <w:rPr>
                      <w:rFonts w:hint="eastAsia" w:ascii="Times New Roman" w:hAnsi="Times New Roman" w:eastAsia="宋体" w:cs="Times New Roman"/>
                      <w:color w:val="auto"/>
                      <w:sz w:val="21"/>
                      <w:szCs w:val="21"/>
                      <w:highlight w:val="none"/>
                      <w:lang w:val="en-US" w:eastAsia="zh-CN"/>
                    </w:rPr>
                    <w:t>工艺，无粘土砂工艺、熔模铸造工艺、消失模铸造工艺。</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污染治理技术</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1、所使用的生产设备具有高密闭性或具有配套的良好除尘设施的工序可不设二次捕集措施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PM有逸散工序采取二次捕集措施，捕集排风罩应符合《排风罩的分类及技术条件》 (GB/T 16758) 的要求</w:t>
                  </w:r>
                  <w:r>
                    <w:rPr>
                      <w:rFonts w:hint="eastAsia" w:ascii="Times New Roman" w:hAnsi="Times New Roman" w:eastAsia="宋体" w:cs="Times New Roman"/>
                      <w:color w:val="auto"/>
                      <w:sz w:val="21"/>
                      <w:szCs w:val="21"/>
                      <w:highlight w:val="none"/>
                      <w:lang w:val="en-US" w:eastAsia="zh-CN"/>
                    </w:rPr>
                    <w:t>；2、采用袋式除尘、滤筒除尘等高效除尘工艺</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本项目各产尘工序在按照</w:t>
                  </w:r>
                  <w:r>
                    <w:rPr>
                      <w:rFonts w:hint="default" w:ascii="Times New Roman" w:hAnsi="Times New Roman" w:eastAsia="宋体" w:cs="Times New Roman"/>
                      <w:color w:val="auto"/>
                      <w:sz w:val="21"/>
                      <w:szCs w:val="21"/>
                      <w:highlight w:val="none"/>
                      <w:lang w:val="en-US" w:eastAsia="zh-CN"/>
                    </w:rPr>
                    <w:t>《排风罩的分类及技术条件》 (GB/T 16758) 的要求</w:t>
                  </w:r>
                  <w:r>
                    <w:rPr>
                      <w:rFonts w:hint="eastAsia" w:ascii="Times New Roman" w:hAnsi="Times New Roman" w:eastAsia="宋体" w:cs="Times New Roman"/>
                      <w:color w:val="auto"/>
                      <w:sz w:val="21"/>
                      <w:szCs w:val="21"/>
                      <w:highlight w:val="none"/>
                      <w:lang w:val="en-US" w:eastAsia="zh-CN"/>
                    </w:rPr>
                    <w:t>安装集气罩，烟气集中收集后经过高效袋式除尘设施进行一次除尘，由排气筒排放。熔炼车间内顶部安装集气罩，配套除尘设施进行二次除尘。</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1、制芯(热芯盒)、覆膜砂(壳型) 工序 VOCs 采用活性炭吸附或更高效的处理措施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制芯(冷芯盒) 工序VOCs 采用吸收法或更高效处理措施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浇注(树脂砂)VOCs 工序采用活性炭吸附、吸收法或更高效的处理措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消失模、实型铸造工艺的浇注工序采用吸附脱附+蓄热燃烧、吸附脱附+催化燃烧、焚烧法等高效处理设施。3、涂装工序采用吸附脱附+蓄热燃烧、吸附脱附+催化燃烧、焚烧法等高效处理设施:如使用水性、粉末、高固体分、无溶剂、辐射固化等低 VOCs 含量的涂料或采用辊涂、静电喷涂、高压无气喷涂、空气辅助无气喷涂热喷涂等涂装技术的涂装工序可采用活性 炭吸附等处理措施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使用纯无机涂料的热喷涂工艺，可采用布袋除尘等粉尘处理措施</w:t>
                  </w:r>
                  <w:r>
                    <w:rPr>
                      <w:rFonts w:hint="eastAsia" w:ascii="Times New Roman" w:hAnsi="Times New Roman" w:eastAsia="宋体" w:cs="Times New Roman"/>
                      <w:color w:val="auto"/>
                      <w:sz w:val="21"/>
                      <w:szCs w:val="21"/>
                      <w:highlight w:val="none"/>
                      <w:lang w:val="en-US" w:eastAsia="zh-CN"/>
                    </w:rPr>
                    <w:t>。</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w:t>
                  </w:r>
                  <w:r>
                    <w:rPr>
                      <w:rFonts w:hint="default" w:ascii="Times New Roman" w:hAnsi="Times New Roman" w:eastAsia="宋体" w:cs="Times New Roman"/>
                      <w:color w:val="auto"/>
                      <w:sz w:val="21"/>
                      <w:szCs w:val="21"/>
                      <w:highlight w:val="none"/>
                      <w:lang w:val="en-US" w:eastAsia="zh-CN"/>
                    </w:rPr>
                    <w:t>VOCs</w:t>
                  </w:r>
                  <w:r>
                    <w:rPr>
                      <w:rFonts w:hint="eastAsia" w:ascii="Times New Roman" w:hAnsi="Times New Roman" w:eastAsia="宋体" w:cs="Times New Roman"/>
                      <w:color w:val="auto"/>
                      <w:sz w:val="21"/>
                      <w:szCs w:val="21"/>
                      <w:highlight w:val="none"/>
                      <w:lang w:val="en-US" w:eastAsia="zh-CN"/>
                    </w:rPr>
                    <w:t>排放；</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排放限值</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1、PM、SO</w:t>
                  </w:r>
                  <w:r>
                    <w:rPr>
                      <w:rFonts w:hint="eastAsia" w:ascii="Times New Roman" w:hAnsi="Times New Roman" w:eastAsia="宋体" w:cs="Times New Roman"/>
                      <w:color w:val="auto"/>
                      <w:sz w:val="21"/>
                      <w:szCs w:val="21"/>
                      <w:highlight w:val="none"/>
                      <w:vertAlign w:val="subscript"/>
                      <w:lang w:val="en-US" w:eastAsia="zh-CN"/>
                    </w:rPr>
                    <w:t>2</w:t>
                  </w:r>
                  <w:r>
                    <w:rPr>
                      <w:rFonts w:hint="eastAsia" w:ascii="Times New Roman" w:hAnsi="Times New Roman" w:eastAsia="宋体" w:cs="Times New Roman"/>
                      <w:color w:val="auto"/>
                      <w:sz w:val="21"/>
                      <w:szCs w:val="21"/>
                      <w:highlight w:val="none"/>
                      <w:lang w:val="en-US" w:eastAsia="zh-CN"/>
                    </w:rPr>
                    <w:t>、NOx放浓度分别不高于15、50、150 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；2、在连续一年的监测数据中，车间或生产设施排气简排放的NMHC为20-30 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、TVOC为40-50 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；3、厂区内无组织排放监控点NMHC的小时平均浓度值不超过6 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、任意一次浓度值不超过20 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各工序含尘废气排放浓度不高于10mg/m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无组织排放</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1、物料储存</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煤粉、膨润土、</w:t>
                  </w:r>
                  <w:r>
                    <w:rPr>
                      <w:rFonts w:hint="eastAsia" w:ascii="Times New Roman" w:hAnsi="Times New Roman" w:cs="Times New Roman"/>
                      <w:color w:val="auto"/>
                      <w:sz w:val="21"/>
                      <w:szCs w:val="21"/>
                      <w:highlight w:val="none"/>
                      <w:lang w:val="en-US" w:eastAsia="zh-CN"/>
                    </w:rPr>
                    <w:t>石英砂</w:t>
                  </w:r>
                  <w:r>
                    <w:rPr>
                      <w:rFonts w:hint="eastAsia" w:ascii="Times New Roman" w:hAnsi="Times New Roman" w:eastAsia="宋体" w:cs="Times New Roman"/>
                      <w:color w:val="auto"/>
                      <w:sz w:val="21"/>
                      <w:szCs w:val="21"/>
                      <w:highlight w:val="none"/>
                      <w:lang w:val="en-US" w:eastAsia="zh-CN"/>
                    </w:rPr>
                    <w:t>等粉状物料应袋装或罐装并储存于封闭储库中；</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 生铁、废钢、焦炭、铁合金及其他原辅材料等粒状、块状散装物料应储存于封闭储库中。</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2、物料转移和输送</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粉状、粒状等易散发粉尘的物料厂内转移、输送时，应采取密闭或覆盖等抑尘措施；转移、输送、装卸过程中应采取集气除尘措施，或喷淋(雾) 等抑尘措施；(2) 除尘器卸灰口应采取密闭措施，除尘灰不得直接卸落到地面。除尘灰采取袋装、罐装等密闭措施收集存放和运输;</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 厂区道路硬化，并采取清扫、洒水等措施，保持清洁。</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3、铸造</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 孕育、变质、炉外精炼、除气等金属液预处理工序 PM 排放环节应安装半封闭空间，并配备除尘设施；(2) 浇注工序设置浇注区或浇注段，采用外部罩的罕口应尽可能接近污染源并覆盖污染源； 落砂、抛丸清理砂处理工序应在封闭空间内操作，废气收集至除尘设施。制芯工序在封闭或半封闭空间内操作；(3) 对于树脂砂、水玻璃砂等工艺生产特殊尺寸 (特大等) 铸件或使用地坑造型的，浇注和泠却工序在密闭车间或密闭空间内进行并配备废气处理设施，待砂型冷却至无可见烟尘外逸时，环保设备方可停止运行；落砂工序应采取有效集气除尘或抑尘措施；(4) 清理(去除浇冒口、铲飞边毛刺等) 和浇包、渣包的维修等工序宜在封闭空间内操作，废气收集至除尘设施；</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 车间不得有可见烟粉尘外逸</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w:t>
                  </w:r>
                  <w:r>
                    <w:rPr>
                      <w:rFonts w:hint="eastAsia" w:ascii="Times New Roman" w:hAnsi="Times New Roman"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粉状物料袋装存储于全封闭生产车间内，物料转运输送过程产生的粉尘采用集气罩收集送脉冲袋式除尘器处理，除尘器密闭卸灰袋装收集存放；厂区道路硬化，并采取清扫、洒水等措施，保持清洁；铸造各生产工艺产尘点均设有废气收集处置设施，车间顶部设有二次除尘设施，车间内无可见烟尘。</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监测监控水平</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1、料场出入口等易产生 PM排放环节，安装高清视频监控设施。视频监控数据保存六个月以上；2、主要生产设施与污染防治设施分表计电。</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生产车间主要出入口等易产生PM排放环节，项目建设完成后安装高清视频监控设施。视频监控数据保存六个月以上主要生产设施与污染防治设施分表计电。</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环境管理水平</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环保档案齐全：1、环评批复文件，2、排污许可证及季度、年度执行报告，3、竣工验收文件，4、废气治理设施运行管理规程；5一年内第三方废气监测报告</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按照前述要求，项目建设完成后保证公司环保档案齐全</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台账记录： 1、完整生产管理台账；生产设备运行台账原辅材料、燃料使用量，产品产量: 2、设备维护记录；3、废气治理设备清单：主要污染治理设备、设计说明书、运行记录、CEMS 小时数据等(如需) ；4、耗材记录： 包括草酸、磷酸、活性炭等耗材使用量，除尘器滤料更换记录等，5、运输管理电子台账(包括出入厂记录、车牌号、VIN 号、发动机编号和排放阶段等) ；6、固废、危废处理记录；7、废气治理设施运行管理规程。</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按照</w:t>
                  </w:r>
                  <w:r>
                    <w:rPr>
                      <w:rFonts w:hint="default" w:ascii="Times New Roman" w:hAnsi="Times New Roman" w:eastAsia="宋体" w:cs="Times New Roman"/>
                      <w:color w:val="auto"/>
                      <w:sz w:val="21"/>
                      <w:szCs w:val="21"/>
                      <w:highlight w:val="none"/>
                      <w:lang w:val="en-US" w:eastAsia="zh-CN"/>
                    </w:rPr>
                    <w:t xml:space="preserve">《排污许可证申请与核发技术规范 </w:t>
                  </w:r>
                  <w:r>
                    <w:rPr>
                      <w:rFonts w:hint="eastAsia" w:ascii="Times New Roman" w:hAnsi="Times New Roman" w:eastAsia="宋体" w:cs="Times New Roman"/>
                      <w:color w:val="auto"/>
                      <w:sz w:val="21"/>
                      <w:szCs w:val="21"/>
                      <w:highlight w:val="none"/>
                      <w:lang w:val="en-US" w:eastAsia="zh-CN"/>
                    </w:rPr>
                    <w:t>金属铸造工业</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HJ11</w:t>
                  </w:r>
                  <w:r>
                    <w:rPr>
                      <w:rFonts w:hint="eastAsia"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）相关要求进行了台账记录</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人员配置：设置环保部门，配备专职环保人员，并具备相应的环境管理能力</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公司拟设环保部门，并配备专职环保人员，具备相应的环境管理能力</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运输方式</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1、物料公路运输全部使用达到国五及以上排放标准重型载货车辆(含燃气) 或新能源车辆；2、厂内运输车辆全部达到国五及以上排放标准(含燃气) 或使用新能源车辆；3、危废运输全部使用国五及以上或新能源车辆；4、厂内非道路移动机械全部达到国三及以上排放标准或使用新能源机械</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本项目所涉及的运输车辆环保等级均采用满足国五及以上排放标准，厂内非道路移动机械全部达到国三及以上排放标准或使用新能源机械。</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运输监管</w:t>
                  </w:r>
                </w:p>
              </w:tc>
              <w:tc>
                <w:tcPr>
                  <w:tcW w:w="2222"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参照《重污染天气重点行业移动源应急管理技术指南》建立门禁系统和电子台账</w:t>
                  </w:r>
                </w:p>
              </w:tc>
              <w:tc>
                <w:tcPr>
                  <w:tcW w:w="196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公司参照《重污染天气重点行业移动源应急管理技术指南》建立了门禁系统和电子台账。</w:t>
                  </w:r>
                </w:p>
              </w:tc>
              <w:tc>
                <w:tcPr>
                  <w:tcW w:w="39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eastAsia"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综上对比分析，公司污染治理技术水平达到A级标准，应按照A级企业标准严格落实减排措施。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default"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2.2.4与《</w:t>
            </w:r>
            <w:r>
              <w:rPr>
                <w:rFonts w:hint="default" w:ascii="Times New Roman" w:hAnsi="Times New Roman" w:eastAsia="宋体" w:cs="Times New Roman"/>
                <w:color w:val="auto"/>
                <w:spacing w:val="5"/>
                <w:sz w:val="24"/>
                <w:szCs w:val="24"/>
                <w:highlight w:val="none"/>
                <w:lang w:val="en-US" w:eastAsia="zh-CN"/>
              </w:rPr>
              <w:t>铸造工业大气污染防治可行技术指南</w:t>
            </w:r>
            <w:r>
              <w:rPr>
                <w:rFonts w:hint="eastAsia" w:ascii="Times New Roman" w:hAnsi="Times New Roman" w:eastAsia="宋体" w:cs="Times New Roman"/>
                <w:color w:val="auto"/>
                <w:spacing w:val="5"/>
                <w:sz w:val="24"/>
                <w:szCs w:val="24"/>
                <w:highlight w:val="none"/>
                <w:lang w:val="en-US" w:eastAsia="zh-CN"/>
              </w:rPr>
              <w:t>》（</w:t>
            </w:r>
            <w:r>
              <w:rPr>
                <w:rFonts w:hint="default" w:ascii="Times New Roman" w:hAnsi="Times New Roman" w:eastAsia="宋体" w:cs="Times New Roman"/>
                <w:color w:val="auto"/>
                <w:spacing w:val="5"/>
                <w:sz w:val="24"/>
                <w:szCs w:val="24"/>
                <w:highlight w:val="none"/>
                <w:lang w:val="en-US" w:eastAsia="zh-CN"/>
              </w:rPr>
              <w:t>HJ 1292—2023</w:t>
            </w:r>
            <w:r>
              <w:rPr>
                <w:rFonts w:hint="eastAsia" w:ascii="Times New Roman" w:hAnsi="Times New Roman" w:eastAsia="宋体" w:cs="Times New Roman"/>
                <w:color w:val="auto"/>
                <w:spacing w:val="5"/>
                <w:sz w:val="24"/>
                <w:szCs w:val="24"/>
                <w:highlight w:val="none"/>
                <w:lang w:val="en-US" w:eastAsia="zh-CN"/>
              </w:rPr>
              <w:t>）符合性分析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 xml:space="preserve">6   </w:t>
            </w:r>
            <w:r>
              <w:rPr>
                <w:rFonts w:hint="eastAsia" w:ascii="Times New Roman" w:hAnsi="Times New Roman" w:eastAsia="宋体" w:cs="Times New Roman"/>
                <w:b/>
                <w:bCs/>
                <w:color w:val="auto"/>
                <w:spacing w:val="5"/>
                <w:sz w:val="24"/>
                <w:szCs w:val="24"/>
                <w:highlight w:val="none"/>
                <w:lang w:val="en-US" w:eastAsia="zh-CN"/>
              </w:rPr>
              <w:t xml:space="preserve"> 本项目与（</w:t>
            </w:r>
            <w:r>
              <w:rPr>
                <w:rFonts w:hint="default" w:ascii="Times New Roman" w:hAnsi="Times New Roman" w:eastAsia="宋体" w:cs="Times New Roman"/>
                <w:b/>
                <w:bCs/>
                <w:color w:val="auto"/>
                <w:spacing w:val="5"/>
                <w:sz w:val="24"/>
                <w:szCs w:val="24"/>
                <w:highlight w:val="none"/>
                <w:lang w:val="en-US" w:eastAsia="zh-CN"/>
              </w:rPr>
              <w:t>HJ 1292—2023</w:t>
            </w:r>
            <w:r>
              <w:rPr>
                <w:rFonts w:hint="eastAsia" w:ascii="Times New Roman" w:hAnsi="Times New Roman" w:eastAsia="宋体" w:cs="Times New Roman"/>
                <w:b/>
                <w:bCs/>
                <w:color w:val="auto"/>
                <w:spacing w:val="5"/>
                <w:sz w:val="24"/>
                <w:szCs w:val="24"/>
                <w:highlight w:val="none"/>
                <w:lang w:val="en-US" w:eastAsia="zh-CN"/>
              </w:rPr>
              <w:t>）符合性分析结果一览表</w:t>
            </w:r>
          </w:p>
          <w:tbl>
            <w:tblPr>
              <w:tblStyle w:val="33"/>
              <w:tblW w:w="83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4062"/>
              <w:gridCol w:w="2989"/>
              <w:gridCol w:w="6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工序</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相关规定</w:t>
                  </w:r>
                </w:p>
              </w:tc>
              <w:tc>
                <w:tcPr>
                  <w:tcW w:w="177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p>
              </w:tc>
              <w:tc>
                <w:tcPr>
                  <w:tcW w:w="38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1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金属熔炼</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炉盖与除尘一体化技术：①旋风除尘技术（可选）</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②袋式除尘技术</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滤筒除尘技术</w:t>
                  </w:r>
                </w:p>
              </w:tc>
              <w:tc>
                <w:tcPr>
                  <w:tcW w:w="177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本项目熔炼工序采用炉盖与除尘一体化脉冲袋式除尘技术。</w:t>
                  </w:r>
                </w:p>
              </w:tc>
              <w:tc>
                <w:tcPr>
                  <w:tcW w:w="38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造型制芯</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①旋风除尘技 术（可选）</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②袋式除尘技术</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滤筒除尘技术</w:t>
                  </w:r>
                </w:p>
              </w:tc>
              <w:tc>
                <w:tcPr>
                  <w:tcW w:w="177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本项目该工序采用脉冲袋式除尘技术。</w:t>
                  </w:r>
                </w:p>
              </w:tc>
              <w:tc>
                <w:tcPr>
                  <w:tcW w:w="38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浇注</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①旋风除尘技 术（可选）</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②袋式除尘技术</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滤筒除尘技术</w:t>
                  </w:r>
                </w:p>
              </w:tc>
              <w:tc>
                <w:tcPr>
                  <w:tcW w:w="177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本项目该工序采用脉冲袋式除尘技术。 </w:t>
                  </w:r>
                </w:p>
              </w:tc>
              <w:tc>
                <w:tcPr>
                  <w:tcW w:w="38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砂处理</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①旋风除尘技 术（可选）</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②袋式除尘技术</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滤筒除尘技术</w:t>
                  </w:r>
                </w:p>
              </w:tc>
              <w:tc>
                <w:tcPr>
                  <w:tcW w:w="177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本项目该工序采用脉冲袋式除尘技术。 </w:t>
                  </w:r>
                </w:p>
              </w:tc>
              <w:tc>
                <w:tcPr>
                  <w:tcW w:w="38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可行</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eastAsia"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2.2.5与《唐山市铸造行业烟气达标治理工作方案》符合性分析见表1-6。</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7</w:t>
            </w:r>
            <w:r>
              <w:rPr>
                <w:rFonts w:hint="eastAsia" w:ascii="Times New Roman" w:hAnsi="Times New Roman" w:eastAsia="宋体" w:cs="Times New Roman"/>
                <w:b/>
                <w:bCs/>
                <w:color w:val="auto"/>
                <w:spacing w:val="5"/>
                <w:sz w:val="24"/>
                <w:szCs w:val="24"/>
                <w:highlight w:val="none"/>
                <w:lang w:val="en-US" w:eastAsia="zh-CN"/>
              </w:rPr>
              <w:t xml:space="preserve"> 本项目与《唐山市铸造行业烟气达标治理工作方案》符合性分析结果一览表</w:t>
            </w:r>
          </w:p>
          <w:tbl>
            <w:tblPr>
              <w:tblStyle w:val="33"/>
              <w:tblW w:w="831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4"/>
              <w:gridCol w:w="4227"/>
              <w:gridCol w:w="2752"/>
              <w:gridCol w:w="66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相关规定</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熔炼工序在炉口上方或两侧安装集气罩，集气罩面积应将出铁口覆盖在内，烟气集中收集后经过高效袋式除尘设施进行一次除尘，由排气筒排放，颗粒物排放浓度不高于 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。鼓励将熔炼工序进行封闭处理，内部加装集气装置，形成负压集中收集废气。</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本项目熔炼工序在炉口上方安装集气罩，集气罩面积将出铁口覆盖在内，烟气集中收集后经过高效袋式除尘设施进行一次除尘，由排气筒排放，颗粒物排放浓度不高10mg/Nm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熔炼车间内顶部安装集气罩，配套除尘设施进行二次除尘。车间内不得有可视烟尘逸出，设置 24 小时视频监控，视 频资料自行保存半年以上，备查。</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熔炼车间内顶部安装集气罩，配套除尘设施进行二次除尘。设置24小时视频监控，视频资料自行保存半年以上。</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浇注及冷却区需安装配套集气罩，烟气集中收集后经过除尘设施理，颗粒物排放浓度不高10mg/Nm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 xml:space="preserve"> ；使用树脂砂、覆膜砂、真空消失模等有机物料造型的，烟气经过除尘后，需 再经过 VOCs 治理设施处理，由排气筒排放，VOCs 排放浓度执行河北省《 工业企业挥发性 有机物排放控制标准 》 （DB13/2322-2016）中其他行业要求</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浇注及冷却区安装配套集气罩，烟气集中收集后经过除尘设施理，颗粒物排放浓度不高10mg/Nm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 xml:space="preserve"> ；不涉及VOCs 排放。</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造型、制芯设备出砂口上方安装集气装置和除尘设施；落砂、磁选、清理（去除浇冒口、铲飞边毛刺等）、旧砂回用、 废砂再生工序应设置固定工位，采取封闭措施，并安装集气装置和除尘设施，颗粒物排放浓度不高于10mg/Nm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造型、制芯设备出砂口上方安装集气装置和除尘设施；落砂、磁选、清理、旧砂回用工序设有固定工位，采取封闭措施，并设有集气装置和除尘设施，颗粒物排放浓度不高于10mg/Nm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39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2543"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抛丸工序全密闭，并安装集气装置，经过除尘设施处理，颗粒物排放浓度不高于10mg/Nm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165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抛丸工序全密闭，并安装集气装置，经过除尘设施处理，颗粒物排放浓度不高于10mg/Nm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c>
                <w:tcPr>
                  <w:tcW w:w="401"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eastAsia"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根据表</w:t>
            </w:r>
            <w:r>
              <w:rPr>
                <w:rFonts w:hint="eastAsia" w:cs="Times New Roman"/>
                <w:color w:val="auto"/>
                <w:spacing w:val="5"/>
                <w:sz w:val="24"/>
                <w:szCs w:val="24"/>
                <w:highlight w:val="none"/>
                <w:lang w:val="en-US" w:eastAsia="zh-CN"/>
              </w:rPr>
              <w:t>7</w:t>
            </w:r>
            <w:r>
              <w:rPr>
                <w:rFonts w:hint="eastAsia" w:ascii="Times New Roman" w:hAnsi="Times New Roman" w:eastAsia="宋体" w:cs="Times New Roman"/>
                <w:color w:val="auto"/>
                <w:spacing w:val="5"/>
                <w:sz w:val="24"/>
                <w:szCs w:val="24"/>
                <w:highlight w:val="none"/>
                <w:lang w:val="en-US" w:eastAsia="zh-CN"/>
              </w:rPr>
              <w:t>，本项目符合《唐山市铸造行业烟气达标治理工作方案》的相关要求。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00" w:firstLineChars="200"/>
              <w:textAlignment w:val="auto"/>
              <w:rPr>
                <w:rFonts w:hint="default" w:ascii="Times New Roman" w:hAnsi="Times New Roman" w:eastAsia="宋体" w:cs="Times New Roman"/>
                <w:color w:val="auto"/>
                <w:spacing w:val="5"/>
                <w:sz w:val="24"/>
                <w:szCs w:val="24"/>
                <w:highlight w:val="none"/>
                <w:lang w:val="en-US" w:eastAsia="zh-CN"/>
              </w:rPr>
            </w:pPr>
            <w:r>
              <w:rPr>
                <w:rFonts w:hint="eastAsia" w:ascii="Times New Roman" w:hAnsi="Times New Roman" w:eastAsia="宋体" w:cs="Times New Roman"/>
                <w:color w:val="auto"/>
                <w:spacing w:val="5"/>
                <w:sz w:val="24"/>
                <w:szCs w:val="24"/>
                <w:highlight w:val="none"/>
                <w:lang w:val="en-US" w:eastAsia="zh-CN"/>
              </w:rPr>
              <w:t>2.2.6与《铸造企业规范条件》（T/CFA0310021-</w:t>
            </w:r>
            <w:r>
              <w:rPr>
                <w:rFonts w:hint="default" w:ascii="Times New Roman" w:hAnsi="Times New Roman" w:eastAsia="宋体" w:cs="Times New Roman"/>
                <w:color w:val="auto"/>
                <w:spacing w:val="5"/>
                <w:sz w:val="24"/>
                <w:szCs w:val="24"/>
                <w:highlight w:val="none"/>
                <w:lang w:val="en-US" w:eastAsia="zh-CN"/>
              </w:rPr>
              <w:t>2023</w:t>
            </w:r>
            <w:r>
              <w:rPr>
                <w:rFonts w:hint="eastAsia" w:ascii="Times New Roman" w:hAnsi="Times New Roman" w:eastAsia="宋体" w:cs="Times New Roman"/>
                <w:color w:val="auto"/>
                <w:spacing w:val="5"/>
                <w:sz w:val="24"/>
                <w:szCs w:val="24"/>
                <w:highlight w:val="none"/>
                <w:lang w:val="en-US" w:eastAsia="zh-CN"/>
              </w:rPr>
              <w:t>）符合性分析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b/>
                <w:bCs/>
                <w:color w:val="auto"/>
                <w:spacing w:val="5"/>
                <w:sz w:val="24"/>
                <w:szCs w:val="24"/>
                <w:highlight w:val="none"/>
                <w:lang w:val="en-US" w:eastAsia="zh-CN"/>
              </w:rPr>
            </w:pPr>
            <w:r>
              <w:rPr>
                <w:rFonts w:hint="eastAsia" w:ascii="Times New Roman" w:hAnsi="Times New Roman" w:eastAsia="宋体" w:cs="Times New Roman"/>
                <w:b/>
                <w:bCs/>
                <w:color w:val="auto"/>
                <w:spacing w:val="5"/>
                <w:sz w:val="24"/>
                <w:szCs w:val="24"/>
                <w:highlight w:val="none"/>
                <w:lang w:val="en-US" w:eastAsia="zh-CN"/>
              </w:rPr>
              <w:t>表</w:t>
            </w:r>
            <w:r>
              <w:rPr>
                <w:rFonts w:hint="eastAsia" w:cs="Times New Roman"/>
                <w:b/>
                <w:bCs/>
                <w:color w:val="auto"/>
                <w:spacing w:val="5"/>
                <w:sz w:val="24"/>
                <w:szCs w:val="24"/>
                <w:highlight w:val="none"/>
                <w:lang w:val="en-US" w:eastAsia="zh-CN"/>
              </w:rPr>
              <w:t>8</w:t>
            </w:r>
            <w:r>
              <w:rPr>
                <w:rFonts w:hint="eastAsia" w:ascii="Times New Roman" w:hAnsi="Times New Roman" w:eastAsia="宋体" w:cs="Times New Roman"/>
                <w:b/>
                <w:bCs/>
                <w:color w:val="auto"/>
                <w:spacing w:val="5"/>
                <w:sz w:val="24"/>
                <w:szCs w:val="24"/>
                <w:highlight w:val="none"/>
                <w:lang w:val="en-US" w:eastAsia="zh-CN"/>
              </w:rPr>
              <w:t xml:space="preserve"> 本项目与《铸造企业规范条件》（T/CFA0310021-</w:t>
            </w:r>
            <w:r>
              <w:rPr>
                <w:rFonts w:hint="default" w:ascii="Times New Roman" w:hAnsi="Times New Roman" w:eastAsia="宋体" w:cs="Times New Roman"/>
                <w:b/>
                <w:bCs/>
                <w:color w:val="auto"/>
                <w:spacing w:val="5"/>
                <w:sz w:val="24"/>
                <w:szCs w:val="24"/>
                <w:highlight w:val="none"/>
                <w:lang w:val="en-US" w:eastAsia="zh-CN"/>
              </w:rPr>
              <w:t>2023</w:t>
            </w:r>
            <w:r>
              <w:rPr>
                <w:rFonts w:hint="eastAsia" w:ascii="Times New Roman" w:hAnsi="Times New Roman" w:eastAsia="宋体" w:cs="Times New Roman"/>
                <w:b/>
                <w:bCs/>
                <w:color w:val="auto"/>
                <w:spacing w:val="5"/>
                <w:sz w:val="24"/>
                <w:szCs w:val="24"/>
                <w:highlight w:val="none"/>
                <w:lang w:val="en-US" w:eastAsia="zh-CN"/>
              </w:rPr>
              <w:t>）符合性分析结果一览表</w:t>
            </w:r>
          </w:p>
          <w:tbl>
            <w:tblPr>
              <w:tblStyle w:val="33"/>
              <w:tblW w:w="835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47"/>
              <w:gridCol w:w="4039"/>
              <w:gridCol w:w="2664"/>
              <w:gridCol w:w="7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相关规定</w:t>
                  </w:r>
                </w:p>
              </w:tc>
              <w:tc>
                <w:tcPr>
                  <w:tcW w:w="159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p>
              </w:tc>
              <w:tc>
                <w:tcPr>
                  <w:tcW w:w="41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5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工艺</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企业不应使用国家明令淘汰的生产工艺，不应采用粘土砂干型/芯、油砂制芯、七O砂制型/芯等落后铸造工艺；粘土砂工艺批量生产铸件不应采用手工造型；水玻璃模精密铸造模亮硬化不应采用氯化铵硬化工艺；铝合金精炼不应采用六氯乙烷等有毒有害的精炼剂。2、 新（改、扩）建粘土砂型铸造项目应采用自动化造型；新(改、扩)建模精密铸造项目不应采用水玻璃熔模精密铸造工艺。</w:t>
                  </w:r>
                </w:p>
              </w:tc>
              <w:tc>
                <w:tcPr>
                  <w:tcW w:w="159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本项目不涉及国家明令淘汰的生产工艺，不应采用粘土砂干型/芯、油砂制芯、七O砂制型/芯等落后铸造工艺，不使用粘土砂型工艺。</w:t>
                  </w:r>
                </w:p>
              </w:tc>
              <w:tc>
                <w:tcPr>
                  <w:tcW w:w="41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w:t>
                  </w:r>
                </w:p>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装备</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铸造企业不得采用无芯工频感应电炉、无磁轭（≥0.25吨）铝壳中频感应电炉。</w:t>
                  </w:r>
                </w:p>
              </w:tc>
              <w:tc>
                <w:tcPr>
                  <w:tcW w:w="159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本项目不涉及上述淘汰类装备。</w:t>
                  </w:r>
                </w:p>
              </w:tc>
              <w:tc>
                <w:tcPr>
                  <w:tcW w:w="41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5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成型设备</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企业应配备与产品及生产能力相匹配的造型、制芯及其他成型设备，如粘土砂造型机（线）、树脂混砂机、壳型(芯)机、铁模砂生产线、水玻璃砂生产线，消失模、V法、实型铸造设备、离心铸造设备、压铸设备、低压铸造设备、重力铸造设备、挤压铸造设备、差压铸造设备、熔模铸造设备、制芯设备、快速成型设备等</w:t>
                  </w:r>
                </w:p>
              </w:tc>
              <w:tc>
                <w:tcPr>
                  <w:tcW w:w="159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公司配备了与产品及生产能力相匹配的造型、制芯及其他成型设备。</w:t>
                  </w:r>
                </w:p>
              </w:tc>
              <w:tc>
                <w:tcPr>
                  <w:tcW w:w="41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567"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砂处理及再生设备</w:t>
                  </w:r>
                </w:p>
              </w:tc>
              <w:tc>
                <w:tcPr>
                  <w:tcW w:w="2418"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采用树脂自硬砂、水玻璃砂铸造工艺的企业应配备完善的砂处理及砂再生设备。</w:t>
                  </w:r>
                </w:p>
              </w:tc>
              <w:tc>
                <w:tcPr>
                  <w:tcW w:w="1595"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公司水玻璃砂铸造工艺配备了相应的砂处理及再生设备，旧砂回用率大于80%。 </w:t>
                  </w:r>
                </w:p>
              </w:tc>
              <w:tc>
                <w:tcPr>
                  <w:tcW w:w="419" w:type="pc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480" w:lineRule="exact"/>
              <w:ind w:firstLine="488" w:firstLineChars="200"/>
              <w:jc w:val="left"/>
              <w:textAlignment w:val="auto"/>
              <w:rPr>
                <w:rFonts w:ascii="Times New Roman" w:hAnsi="Times New Roman"/>
                <w:color w:val="auto"/>
                <w:spacing w:val="2"/>
                <w:kern w:val="0"/>
                <w:sz w:val="24"/>
                <w:szCs w:val="24"/>
              </w:rPr>
            </w:pPr>
            <w:r>
              <w:rPr>
                <w:rFonts w:ascii="Times New Roman" w:hAnsi="Times New Roman"/>
                <w:color w:val="auto"/>
                <w:spacing w:val="2"/>
                <w:kern w:val="0"/>
                <w:sz w:val="24"/>
                <w:szCs w:val="24"/>
              </w:rPr>
              <w:t>综上所述，本项目的建设符合国家</w:t>
            </w:r>
            <w:r>
              <w:rPr>
                <w:rFonts w:hint="eastAsia" w:ascii="Times New Roman" w:hAnsi="Times New Roman"/>
                <w:color w:val="auto"/>
                <w:spacing w:val="2"/>
                <w:kern w:val="0"/>
                <w:sz w:val="24"/>
                <w:szCs w:val="24"/>
              </w:rPr>
              <w:t>及地方</w:t>
            </w:r>
            <w:r>
              <w:rPr>
                <w:rFonts w:ascii="Times New Roman" w:hAnsi="Times New Roman"/>
                <w:color w:val="auto"/>
                <w:spacing w:val="2"/>
                <w:kern w:val="0"/>
                <w:sz w:val="24"/>
                <w:szCs w:val="24"/>
              </w:rPr>
              <w:t>产业政策</w:t>
            </w:r>
            <w:r>
              <w:rPr>
                <w:rFonts w:hint="eastAsia" w:ascii="Times New Roman" w:hAnsi="Times New Roman"/>
                <w:color w:val="auto"/>
                <w:spacing w:val="2"/>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2.3项目选址合理性分析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2.3.1</w:t>
            </w:r>
            <w:r>
              <w:rPr>
                <w:rFonts w:hint="eastAsia" w:ascii="Times New Roman" w:hAnsi="Times New Roman" w:eastAsia="宋体" w:cs="Times New Roman"/>
                <w:color w:val="auto"/>
                <w:kern w:val="0"/>
                <w:sz w:val="24"/>
                <w:szCs w:val="24"/>
                <w:highlight w:val="none"/>
                <w:lang w:val="en-US" w:eastAsia="zh-CN" w:bidi="ar-SA"/>
              </w:rPr>
              <w:t>相关规划符合性</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项目位于</w:t>
            </w:r>
            <w:r>
              <w:rPr>
                <w:rFonts w:hint="eastAsia" w:ascii="Times New Roman" w:hAnsi="Times New Roman" w:eastAsia="宋体" w:cs="Times New Roman"/>
                <w:snapToGrid w:val="0"/>
                <w:color w:val="auto"/>
                <w:kern w:val="0"/>
                <w:sz w:val="24"/>
                <w:szCs w:val="22"/>
                <w:highlight w:val="none"/>
                <w:lang w:val="en-US" w:eastAsia="zh-CN"/>
              </w:rPr>
              <w:t>河北省唐山市遵化市遵化镇团练屯村</w:t>
            </w:r>
            <w:r>
              <w:rPr>
                <w:rFonts w:hint="eastAsia" w:ascii="Times New Roman" w:hAnsi="Times New Roman" w:eastAsia="宋体" w:cs="Times New Roman"/>
                <w:color w:val="auto"/>
                <w:kern w:val="0"/>
                <w:sz w:val="24"/>
                <w:szCs w:val="24"/>
                <w:highlight w:val="none"/>
                <w:lang w:val="en-US" w:eastAsia="zh-CN" w:bidi="ar-SA"/>
              </w:rPr>
              <w:t>，项目选址不在自然保护区、风景名胜区、世界文化和自然遗产地、饮用水源保护区范围内。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因此本厂选址符合</w:t>
            </w:r>
            <w:r>
              <w:rPr>
                <w:rFonts w:hint="eastAsia" w:cs="Times New Roman"/>
                <w:color w:val="auto"/>
                <w:kern w:val="0"/>
                <w:sz w:val="24"/>
                <w:szCs w:val="24"/>
                <w:highlight w:val="none"/>
                <w:lang w:val="en-US" w:eastAsia="zh-CN" w:bidi="ar-SA"/>
              </w:rPr>
              <w:t>区域要求</w:t>
            </w:r>
            <w:r>
              <w:rPr>
                <w:rFonts w:hint="eastAsia"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2.3.2</w:t>
            </w:r>
            <w:r>
              <w:rPr>
                <w:rFonts w:hint="eastAsia" w:ascii="Times New Roman" w:hAnsi="Times New Roman" w:eastAsia="宋体" w:cs="Times New Roman"/>
                <w:color w:val="auto"/>
                <w:kern w:val="0"/>
                <w:sz w:val="24"/>
                <w:szCs w:val="24"/>
                <w:highlight w:val="none"/>
                <w:lang w:val="en-US" w:eastAsia="zh-CN" w:bidi="ar-SA"/>
              </w:rPr>
              <w:t>基础设施及交通状况分析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lang w:eastAsia="zh-CN"/>
              </w:rPr>
              <w:t>用水</w:t>
            </w:r>
            <w:r>
              <w:rPr>
                <w:rFonts w:hint="eastAsia" w:cs="Times New Roman"/>
                <w:color w:val="auto"/>
                <w:sz w:val="24"/>
                <w:szCs w:val="24"/>
                <w:highlight w:val="none"/>
                <w:lang w:val="en-US" w:eastAsia="zh-CN"/>
              </w:rPr>
              <w:t>由厂区内原有水井供给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由当地电网引入</w:t>
            </w:r>
            <w:r>
              <w:rPr>
                <w:rFonts w:hint="eastAsia" w:ascii="Times New Roman" w:hAnsi="Times New Roman" w:eastAsia="宋体" w:cs="Times New Roman"/>
                <w:color w:val="auto"/>
                <w:sz w:val="24"/>
                <w:szCs w:val="24"/>
                <w:highlight w:val="none"/>
                <w:lang w:val="en-US" w:eastAsia="zh-CN"/>
              </w:rPr>
              <w:t>，生产车间不采暖，办公用房采暖、制冷均采用空调</w:t>
            </w:r>
            <w:r>
              <w:rPr>
                <w:rFonts w:hint="eastAsia" w:ascii="Times New Roman" w:hAnsi="Times New Roman" w:eastAsia="宋体" w:cs="Times New Roman"/>
                <w:color w:val="auto"/>
                <w:kern w:val="0"/>
                <w:sz w:val="24"/>
                <w:szCs w:val="24"/>
                <w:highlight w:val="none"/>
                <w:lang w:val="en-US" w:eastAsia="zh-CN" w:bidi="ar-SA"/>
              </w:rPr>
              <w:t>。厂区紧邻道路，交通方便。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2.3.3</w:t>
            </w:r>
            <w:r>
              <w:rPr>
                <w:rFonts w:hint="eastAsia" w:ascii="Times New Roman" w:hAnsi="Times New Roman" w:eastAsia="宋体" w:cs="Times New Roman"/>
                <w:color w:val="auto"/>
                <w:kern w:val="0"/>
                <w:sz w:val="24"/>
                <w:szCs w:val="24"/>
                <w:highlight w:val="none"/>
                <w:lang w:val="en-US" w:eastAsia="zh-CN" w:bidi="ar-SA"/>
              </w:rPr>
              <w:t>环境影响评价结果分析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本项目生产过程中采用了较完善的环保治理措施，大气污染物全部达标排放，对评价范围内环境敏感点影响较小；</w:t>
            </w:r>
            <w:r>
              <w:rPr>
                <w:rFonts w:hint="default" w:ascii="Times New Roman" w:hAnsi="Times New Roman" w:eastAsia="宋体" w:cs="Times New Roman"/>
                <w:color w:val="auto"/>
                <w:kern w:val="0"/>
                <w:sz w:val="24"/>
                <w:szCs w:val="24"/>
                <w:highlight w:val="none"/>
                <w:lang w:val="en-US" w:eastAsia="zh-CN" w:bidi="ar-SA"/>
              </w:rPr>
              <w:t>职工生活污水</w:t>
            </w:r>
            <w:r>
              <w:rPr>
                <w:rFonts w:hint="eastAsia" w:cs="Times New Roman"/>
                <w:color w:val="auto"/>
                <w:kern w:val="0"/>
                <w:sz w:val="24"/>
                <w:szCs w:val="24"/>
                <w:highlight w:val="none"/>
                <w:lang w:val="en-US" w:eastAsia="zh-CN" w:bidi="ar-SA"/>
              </w:rPr>
              <w:t>就地泼洒抑尘不外排</w:t>
            </w:r>
            <w:r>
              <w:rPr>
                <w:rFonts w:hint="default" w:ascii="Times New Roman" w:hAnsi="Times New Roman" w:eastAsia="宋体"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冷却水经冷却后循环利用</w:t>
            </w:r>
            <w:r>
              <w:rPr>
                <w:rFonts w:hint="eastAsia" w:ascii="Times New Roman" w:hAnsi="Times New Roman" w:eastAsia="宋体" w:cs="Times New Roman"/>
                <w:color w:val="auto"/>
                <w:sz w:val="24"/>
                <w:szCs w:val="24"/>
                <w:highlight w:val="none"/>
                <w:lang w:val="en-US" w:eastAsia="zh-CN"/>
              </w:rPr>
              <w:t>不外排</w:t>
            </w:r>
            <w:r>
              <w:rPr>
                <w:rFonts w:hint="eastAsia" w:ascii="Times New Roman" w:hAnsi="Times New Roman" w:eastAsia="宋体" w:cs="Times New Roman"/>
                <w:color w:val="auto"/>
                <w:kern w:val="0"/>
                <w:sz w:val="24"/>
                <w:szCs w:val="24"/>
                <w:highlight w:val="none"/>
                <w:lang w:val="en-US" w:eastAsia="zh-CN" w:bidi="ar-SA"/>
              </w:rPr>
              <w:t>；项目生产过程对地下水水质影响较小；固体废物合理处置。本项目对周围环境影响较小。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2.3.4</w:t>
            </w:r>
            <w:r>
              <w:rPr>
                <w:rFonts w:hint="eastAsia" w:ascii="Times New Roman" w:hAnsi="Times New Roman" w:eastAsia="宋体" w:cs="Times New Roman"/>
                <w:color w:val="auto"/>
                <w:kern w:val="0"/>
                <w:sz w:val="24"/>
                <w:szCs w:val="24"/>
                <w:highlight w:val="none"/>
                <w:lang w:val="en-US" w:eastAsia="zh-CN" w:bidi="ar-SA"/>
              </w:rPr>
              <w:t>环境功能区划符合性分析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本项目拟建场地周围没有文物、古迹、自然保护区等环境敏感点，所在区域为环境空气质量二类功能区，声功能区为</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类区，本项目各类污染物经防治措施处理后均符合相关标准。本项目建设不会改变功能区现状，因此项目选址符合环境功能区划要求。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2.3.5</w:t>
            </w:r>
            <w:r>
              <w:rPr>
                <w:rFonts w:hint="eastAsia" w:ascii="Times New Roman" w:hAnsi="Times New Roman" w:eastAsia="宋体" w:cs="Times New Roman"/>
                <w:color w:val="auto"/>
                <w:kern w:val="0"/>
                <w:sz w:val="24"/>
                <w:szCs w:val="24"/>
                <w:highlight w:val="none"/>
                <w:lang w:val="en-US" w:eastAsia="zh-CN" w:bidi="ar-SA"/>
              </w:rPr>
              <w:t>与生态红线关系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本项目与生态红线不冲突，符合其保护要求。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2.3.6</w:t>
            </w:r>
            <w:r>
              <w:rPr>
                <w:rFonts w:hint="eastAsia" w:ascii="Times New Roman" w:hAnsi="Times New Roman" w:eastAsia="宋体" w:cs="Times New Roman"/>
                <w:color w:val="auto"/>
                <w:kern w:val="0"/>
                <w:sz w:val="24"/>
                <w:szCs w:val="24"/>
                <w:highlight w:val="none"/>
                <w:lang w:val="en-US" w:eastAsia="zh-CN" w:bidi="ar-SA"/>
              </w:rPr>
              <w:t>防护距离要求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本工程无需设置大气环境防护距离。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综上所述，项目选址合理。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p>
          <w:p>
            <w:pPr>
              <w:pStyle w:val="30"/>
              <w:jc w:val="both"/>
              <w:outlineLvl w:val="9"/>
              <w:rPr>
                <w:rFonts w:hint="default" w:ascii="Times New Roman" w:hAnsi="Times New Roman" w:eastAsia="黑体" w:cs="Times New Roman"/>
                <w:snapToGrid w:val="0"/>
                <w:color w:val="auto"/>
                <w:sz w:val="30"/>
                <w:szCs w:val="30"/>
                <w:highlight w:val="none"/>
                <w:vertAlign w:val="baseline"/>
              </w:rPr>
            </w:pPr>
          </w:p>
        </w:tc>
      </w:tr>
    </w:tbl>
    <w:p>
      <w:pPr>
        <w:rPr>
          <w:rFonts w:hint="default" w:ascii="Times New Roman" w:hAnsi="Times New Roman" w:eastAsia="黑体" w:cs="Times New Roman"/>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outlineLvl w:val="0"/>
        <w:rPr>
          <w:rFonts w:hint="default" w:ascii="Times New Roman" w:hAnsi="Times New Roman" w:eastAsia="黑体" w:cs="Times New Roman"/>
          <w:snapToGrid w:val="0"/>
          <w:color w:val="auto"/>
          <w:sz w:val="30"/>
          <w:szCs w:val="30"/>
          <w:highlight w:val="none"/>
        </w:rPr>
      </w:pPr>
      <w:bookmarkStart w:id="13" w:name="_Toc26214"/>
      <w:r>
        <w:rPr>
          <w:rFonts w:hint="default" w:ascii="Times New Roman" w:hAnsi="Times New Roman" w:eastAsia="黑体" w:cs="Times New Roman"/>
          <w:snapToGrid w:val="0"/>
          <w:color w:val="auto"/>
          <w:sz w:val="30"/>
          <w:szCs w:val="30"/>
          <w:highlight w:val="none"/>
        </w:rPr>
        <w:t>二、建设项目工程分析</w:t>
      </w:r>
      <w:bookmarkEnd w:id="13"/>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98"/>
        <w:gridCol w:w="8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5" w:type="dxa"/>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容</w:t>
            </w:r>
          </w:p>
        </w:tc>
        <w:tc>
          <w:tcPr>
            <w:tcW w:w="860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项目由来</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项目由来：</w:t>
            </w:r>
            <w:r>
              <w:rPr>
                <w:rFonts w:hint="eastAsia" w:ascii="Times New Roman" w:hAnsi="Times New Roman" w:eastAsia="宋体" w:cs="Times New Roman"/>
                <w:color w:val="auto"/>
                <w:sz w:val="24"/>
                <w:highlight w:val="none"/>
                <w:lang w:eastAsia="zh-CN"/>
              </w:rPr>
              <w:t>遵化市益诚机械配件有限公司</w:t>
            </w:r>
            <w:r>
              <w:rPr>
                <w:rFonts w:hint="eastAsia" w:ascii="Times New Roman" w:hAnsi="Times New Roman" w:eastAsia="宋体" w:cs="Times New Roman"/>
                <w:color w:val="auto"/>
                <w:sz w:val="24"/>
                <w:highlight w:val="none"/>
                <w:lang w:val="en-US" w:eastAsia="zh-CN"/>
              </w:rPr>
              <w:t>在经济逐步复苏的大环境下，进行了市场调研，发现数控机床配件铸件产品需求量增加，为了尽快</w:t>
            </w:r>
            <w:r>
              <w:rPr>
                <w:rFonts w:hint="eastAsia" w:cs="Times New Roman"/>
                <w:color w:val="auto"/>
                <w:sz w:val="24"/>
                <w:highlight w:val="none"/>
                <w:lang w:val="en-US" w:eastAsia="zh-CN"/>
              </w:rPr>
              <w:t>占领</w:t>
            </w:r>
            <w:r>
              <w:rPr>
                <w:rFonts w:hint="eastAsia" w:ascii="Times New Roman" w:hAnsi="Times New Roman" w:eastAsia="宋体" w:cs="Times New Roman"/>
                <w:color w:val="auto"/>
                <w:sz w:val="24"/>
                <w:highlight w:val="none"/>
                <w:lang w:val="en-US" w:eastAsia="zh-CN"/>
              </w:rPr>
              <w:t>市场份额，努力满足市场需求，推动区域经济发展，</w:t>
            </w:r>
            <w:r>
              <w:rPr>
                <w:rFonts w:hint="eastAsia" w:ascii="Times New Roman" w:hAnsi="Times New Roman" w:eastAsia="宋体" w:cs="Times New Roman"/>
                <w:color w:val="auto"/>
                <w:sz w:val="24"/>
                <w:highlight w:val="none"/>
                <w:lang w:eastAsia="zh-CN"/>
              </w:rPr>
              <w:t>遵化市益诚机械配件有限公司</w:t>
            </w:r>
            <w:r>
              <w:rPr>
                <w:rFonts w:hint="eastAsia" w:ascii="Times New Roman" w:hAnsi="Times New Roman" w:eastAsia="宋体" w:cs="Times New Roman"/>
                <w:color w:val="auto"/>
                <w:sz w:val="24"/>
                <w:highlight w:val="none"/>
                <w:lang w:val="en-US" w:eastAsia="zh-CN"/>
              </w:rPr>
              <w:t>拟投资4000万元实施“</w:t>
            </w:r>
            <w:r>
              <w:rPr>
                <w:rFonts w:hint="eastAsia" w:cs="Times New Roman"/>
                <w:color w:val="auto"/>
                <w:sz w:val="24"/>
                <w:szCs w:val="24"/>
                <w:highlight w:val="none"/>
                <w:lang w:val="en-US" w:eastAsia="zh-CN"/>
              </w:rPr>
              <w:t>年产高端精密铸件5500吨数控机床配件项目</w:t>
            </w:r>
            <w:r>
              <w:rPr>
                <w:rFonts w:hint="eastAsia" w:ascii="Times New Roman" w:hAnsi="Times New Roman" w:eastAsia="宋体" w:cs="Times New Roman"/>
                <w:color w:val="auto"/>
                <w:sz w:val="24"/>
                <w:highlight w:val="none"/>
                <w:lang w:val="en-US" w:eastAsia="zh-CN"/>
              </w:rPr>
              <w:t>”，项目占地2000m</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，主要利旧改新建设的生产车间及配套附属设施。项目建成后可年产高端精密铸件5500吨</w:t>
            </w:r>
            <w:r>
              <w:rPr>
                <w:rFonts w:hint="eastAsia" w:ascii="Times New Roman" w:hAnsi="Times New Roman" w:eastAsia="宋体" w:cs="Times New Roman"/>
                <w:color w:val="auto"/>
                <w:sz w:val="24"/>
                <w:highlight w:val="none"/>
                <w:lang w:eastAsia="zh-CN"/>
              </w:rPr>
              <w:t>：数控机床配件</w:t>
            </w:r>
            <w:r>
              <w:rPr>
                <w:rFonts w:hint="eastAsia" w:ascii="Times New Roman" w:hAnsi="Times New Roman" w:eastAsia="宋体" w:cs="Times New Roman"/>
                <w:color w:val="auto"/>
                <w:sz w:val="24"/>
                <w:highlight w:val="none"/>
                <w:lang w:val="en-US" w:eastAsia="zh-CN"/>
              </w:rPr>
              <w:t>（产品不涉及地条钢</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000000"/>
                <w:sz w:val="24"/>
                <w:szCs w:val="24"/>
                <w:highlight w:val="none"/>
              </w:rPr>
              <w:t>按照《中华人民共和国环境保护法》、《中华人民共和国环境影响评价法》以及国务院第682号令的要求，该项目应进行环境影响评价；根据《建设项目环境保护管理条例》和《建设项目环境影响评价分类管理名录》（</w:t>
            </w:r>
            <w:r>
              <w:rPr>
                <w:rFonts w:hint="default" w:ascii="Times New Roman" w:hAnsi="Times New Roman" w:eastAsia="宋体" w:cs="Times New Roman"/>
                <w:color w:val="000000"/>
                <w:sz w:val="24"/>
                <w:szCs w:val="24"/>
                <w:highlight w:val="none"/>
                <w:lang w:val="en-US" w:eastAsia="zh-CN"/>
              </w:rPr>
              <w:t>部令第16号</w:t>
            </w:r>
            <w:r>
              <w:rPr>
                <w:rFonts w:hint="default" w:ascii="Times New Roman" w:hAnsi="Times New Roman" w:eastAsia="宋体" w:cs="Times New Roman"/>
                <w:color w:val="000000"/>
                <w:sz w:val="24"/>
                <w:szCs w:val="24"/>
                <w:highlight w:val="none"/>
              </w:rPr>
              <w:t>）中有关规定要求，</w:t>
            </w:r>
            <w:r>
              <w:rPr>
                <w:rFonts w:hint="default" w:ascii="Times New Roman" w:hAnsi="Times New Roman" w:eastAsia="宋体" w:cs="Times New Roman"/>
                <w:color w:val="000000"/>
                <w:sz w:val="24"/>
                <w:szCs w:val="24"/>
                <w:highlight w:val="none"/>
                <w:lang w:val="en-US" w:eastAsia="zh-CN"/>
              </w:rPr>
              <w:t>本</w:t>
            </w:r>
            <w:r>
              <w:rPr>
                <w:rFonts w:hint="default" w:ascii="Times New Roman" w:hAnsi="Times New Roman" w:eastAsia="宋体" w:cs="Times New Roman"/>
                <w:color w:val="000000"/>
                <w:sz w:val="24"/>
                <w:szCs w:val="24"/>
                <w:highlight w:val="none"/>
              </w:rPr>
              <w:t>项目</w:t>
            </w:r>
            <w:r>
              <w:rPr>
                <w:rFonts w:hint="default" w:ascii="Times New Roman" w:hAnsi="Times New Roman" w:eastAsia="宋体" w:cs="Times New Roman"/>
                <w:color w:val="000000"/>
                <w:sz w:val="24"/>
                <w:szCs w:val="24"/>
                <w:highlight w:val="none"/>
                <w:lang w:val="en-US" w:eastAsia="zh-CN"/>
              </w:rPr>
              <w:t>黑色金属铸造属于名录三十、金属制品业68.铸造及其他金属制品制造-其他，应编制环境影响报告表</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auto"/>
                <w:sz w:val="24"/>
                <w:highlight w:val="none"/>
                <w:lang w:eastAsia="zh-CN"/>
              </w:rPr>
              <w:t>遵化市益诚机械配件有限公司</w:t>
            </w:r>
            <w:r>
              <w:rPr>
                <w:rFonts w:hint="default" w:ascii="Times New Roman" w:hAnsi="Times New Roman" w:eastAsia="宋体" w:cs="Times New Roman"/>
                <w:color w:val="000000"/>
                <w:sz w:val="24"/>
                <w:szCs w:val="24"/>
                <w:highlight w:val="none"/>
              </w:rPr>
              <w:t>委托我公司对该项目进行环境影响评价。我单位接受委托后，立即开展了现场踏勘，资料收集等工作，并按照</w:t>
            </w:r>
            <w:r>
              <w:rPr>
                <w:rFonts w:hint="default" w:ascii="Times New Roman" w:hAnsi="Times New Roman" w:eastAsia="宋体" w:cs="Times New Roman"/>
                <w:color w:val="000000"/>
                <w:sz w:val="24"/>
                <w:szCs w:val="24"/>
                <w:highlight w:val="none"/>
                <w:lang w:eastAsia="zh-CN"/>
              </w:rPr>
              <w:t>《建设项目环境影响报告表编制技术指南（污染影响类）（试行）》</w:t>
            </w:r>
            <w:r>
              <w:rPr>
                <w:rFonts w:hint="default" w:ascii="Times New Roman" w:hAnsi="Times New Roman" w:eastAsia="宋体" w:cs="Times New Roman"/>
                <w:color w:val="000000"/>
                <w:sz w:val="24"/>
                <w:szCs w:val="24"/>
                <w:highlight w:val="none"/>
                <w:lang w:val="en-US" w:eastAsia="zh-CN"/>
              </w:rPr>
              <w:t>等</w:t>
            </w:r>
            <w:r>
              <w:rPr>
                <w:rFonts w:hint="default" w:ascii="Times New Roman" w:hAnsi="Times New Roman" w:eastAsia="宋体" w:cs="Times New Roman"/>
                <w:color w:val="000000"/>
                <w:sz w:val="24"/>
                <w:szCs w:val="24"/>
                <w:highlight w:val="none"/>
              </w:rPr>
              <w:t>有关环评技术规范要求，编制完成该项目环境影响报告表。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auto"/>
                <w:sz w:val="24"/>
                <w:szCs w:val="24"/>
                <w:highlight w:val="none"/>
              </w:rPr>
            </w:pPr>
            <w:r>
              <w:rPr>
                <w:rFonts w:hint="default" w:ascii="Times New Roman" w:hAnsi="Times New Roman" w:cs="Times New Roman"/>
                <w:b/>
                <w:bCs/>
                <w:color w:val="auto"/>
                <w:sz w:val="24"/>
                <w:szCs w:val="24"/>
                <w:highlight w:val="none"/>
                <w:lang w:val="en-US" w:eastAsia="zh-CN"/>
              </w:rPr>
              <w:t>2</w:t>
            </w:r>
            <w:r>
              <w:rPr>
                <w:b/>
                <w:bCs/>
                <w:color w:val="auto"/>
                <w:sz w:val="24"/>
                <w:szCs w:val="24"/>
                <w:highlight w:val="none"/>
              </w:rPr>
              <w:t>、</w:t>
            </w:r>
            <w:r>
              <w:rPr>
                <w:rFonts w:hint="eastAsia"/>
                <w:b/>
                <w:bCs/>
                <w:color w:val="auto"/>
                <w:sz w:val="24"/>
                <w:szCs w:val="24"/>
                <w:highlight w:val="none"/>
                <w:lang w:val="en-US" w:eastAsia="zh-CN"/>
              </w:rPr>
              <w:t>项目</w:t>
            </w:r>
            <w:r>
              <w:rPr>
                <w:b/>
                <w:bCs/>
                <w:color w:val="auto"/>
                <w:sz w:val="24"/>
                <w:szCs w:val="24"/>
                <w:highlight w:val="none"/>
              </w:rPr>
              <w:t>工程概况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项目名称：</w:t>
            </w:r>
            <w:r>
              <w:rPr>
                <w:rFonts w:hint="eastAsia"/>
                <w:color w:val="auto"/>
                <w:sz w:val="24"/>
                <w:szCs w:val="24"/>
                <w:highlight w:val="none"/>
                <w:lang w:eastAsia="zh-CN"/>
              </w:rPr>
              <w:t>遵化市益诚机械配件有限公司年产高端精密铸件5500吨数控机床配件项目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建设单位：</w:t>
            </w:r>
            <w:r>
              <w:rPr>
                <w:rFonts w:hint="eastAsia"/>
                <w:color w:val="auto"/>
                <w:sz w:val="24"/>
                <w:szCs w:val="24"/>
                <w:highlight w:val="none"/>
                <w:lang w:eastAsia="zh-CN"/>
              </w:rPr>
              <w:t>遵化市益诚机械配件有限公司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建设性质：</w:t>
            </w:r>
            <w:r>
              <w:rPr>
                <w:rFonts w:hint="eastAsia"/>
                <w:color w:val="auto"/>
                <w:sz w:val="24"/>
                <w:szCs w:val="24"/>
                <w:highlight w:val="none"/>
                <w:lang w:val="en-US" w:eastAsia="zh-CN"/>
              </w:rPr>
              <w:t>新建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）主要建设内容及规模：项目占地</w:t>
            </w:r>
            <w:r>
              <w:rPr>
                <w:rFonts w:hint="eastAsia" w:ascii="Times New Roman" w:hAnsi="Times New Roman" w:eastAsia="宋体" w:cs="Times New Roman"/>
                <w:color w:val="auto"/>
                <w:sz w:val="24"/>
                <w:szCs w:val="24"/>
                <w:highlight w:val="none"/>
                <w:lang w:val="en-US" w:eastAsia="zh-CN"/>
              </w:rPr>
              <w:t>3亩，总建筑面积2000平方米。主要利旧改新建设的生产车间及配套附属设施。项目建成后可年产高端精密铸件5500吨</w:t>
            </w:r>
            <w:r>
              <w:rPr>
                <w:rFonts w:hint="eastAsia" w:ascii="Times New Roman" w:hAnsi="Times New Roman" w:eastAsia="宋体" w:cs="Times New Roman"/>
                <w:color w:val="auto"/>
                <w:sz w:val="24"/>
                <w:szCs w:val="24"/>
                <w:highlight w:val="none"/>
                <w:lang w:eastAsia="zh-CN"/>
              </w:rPr>
              <w:t>：数控机床配件</w:t>
            </w:r>
            <w:r>
              <w:rPr>
                <w:rFonts w:hint="eastAsia" w:ascii="Times New Roman" w:hAnsi="Times New Roman" w:eastAsia="宋体" w:cs="Times New Roman"/>
                <w:color w:val="auto"/>
                <w:sz w:val="24"/>
                <w:szCs w:val="24"/>
                <w:highlight w:val="none"/>
                <w:lang w:val="en-US" w:eastAsia="zh-CN"/>
              </w:rPr>
              <w:t>（产品不涉及地条钢</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项目建设组成一览表见下表</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snapToGrid w:val="0"/>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snapToGrid w:val="0"/>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sz w:val="24"/>
                <w:szCs w:val="24"/>
                <w:highlight w:val="none"/>
                <w:lang w:val="zh-CN" w:eastAsia="zh-CN"/>
              </w:rPr>
            </w:pPr>
            <w:r>
              <w:rPr>
                <w:rFonts w:hint="default" w:ascii="Times New Roman" w:hAnsi="Times New Roman" w:eastAsia="宋体" w:cs="Times New Roman"/>
                <w:b/>
                <w:snapToGrid w:val="0"/>
                <w:color w:val="auto"/>
                <w:kern w:val="0"/>
                <w:sz w:val="24"/>
                <w:szCs w:val="24"/>
                <w:highlight w:val="none"/>
                <w:lang w:val="zh-CN"/>
              </w:rPr>
              <w:t>表</w:t>
            </w:r>
            <w:r>
              <w:rPr>
                <w:rFonts w:hint="eastAsia" w:cs="Times New Roman"/>
                <w:b/>
                <w:snapToGrid w:val="0"/>
                <w:color w:val="auto"/>
                <w:kern w:val="0"/>
                <w:sz w:val="24"/>
                <w:szCs w:val="24"/>
                <w:highlight w:val="none"/>
                <w:lang w:val="en-US" w:eastAsia="zh-CN"/>
              </w:rPr>
              <w:t>9</w:t>
            </w:r>
            <w:r>
              <w:rPr>
                <w:rFonts w:hint="default" w:ascii="Times New Roman" w:hAnsi="Times New Roman" w:eastAsia="宋体" w:cs="Times New Roman"/>
                <w:b/>
                <w:snapToGrid w:val="0"/>
                <w:color w:val="auto"/>
                <w:kern w:val="0"/>
                <w:sz w:val="24"/>
                <w:szCs w:val="24"/>
                <w:highlight w:val="none"/>
              </w:rPr>
              <w:t xml:space="preserve">    项目</w:t>
            </w:r>
            <w:r>
              <w:rPr>
                <w:rFonts w:hint="default" w:ascii="Times New Roman" w:hAnsi="Times New Roman" w:eastAsia="宋体" w:cs="Times New Roman"/>
                <w:b/>
                <w:snapToGrid w:val="0"/>
                <w:color w:val="auto"/>
                <w:kern w:val="0"/>
                <w:sz w:val="24"/>
                <w:szCs w:val="24"/>
                <w:highlight w:val="none"/>
                <w:lang w:val="zh-CN"/>
              </w:rPr>
              <w:t>组成一览表</w:t>
            </w:r>
          </w:p>
          <w:tbl>
            <w:tblPr>
              <w:tblStyle w:val="33"/>
              <w:tblW w:w="85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07"/>
              <w:gridCol w:w="1213"/>
              <w:gridCol w:w="62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工程名称</w:t>
                  </w: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4"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主体工程</w:t>
                  </w: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rPr>
                  </w:pPr>
                  <w:r>
                    <w:rPr>
                      <w:rFonts w:hint="default" w:ascii="Times New Roman" w:hAnsi="Times New Roman" w:eastAsia="宋体" w:cs="Times New Roman"/>
                      <w:color w:val="auto"/>
                      <w:sz w:val="21"/>
                      <w:szCs w:val="21"/>
                      <w:highlight w:val="none"/>
                      <w:lang w:eastAsia="zh-CN"/>
                    </w:rPr>
                    <w:t>项目</w:t>
                  </w:r>
                  <w:r>
                    <w:rPr>
                      <w:rFonts w:hint="eastAsia" w:ascii="Times New Roman" w:hAnsi="Times New Roman" w:eastAsia="宋体" w:cs="Times New Roman"/>
                      <w:color w:val="auto"/>
                      <w:sz w:val="21"/>
                      <w:szCs w:val="21"/>
                      <w:highlight w:val="none"/>
                      <w:lang w:val="en-US" w:eastAsia="zh-CN"/>
                    </w:rPr>
                    <w:t>主要利旧改新建设的生产车间</w:t>
                  </w:r>
                  <w:r>
                    <w:rPr>
                      <w:rFonts w:hint="default" w:ascii="Times New Roman" w:hAnsi="Times New Roman" w:eastAsia="宋体" w:cs="Times New Roman"/>
                      <w:color w:val="auto"/>
                      <w:sz w:val="21"/>
                      <w:szCs w:val="21"/>
                      <w:highlight w:val="none"/>
                      <w:lang w:eastAsia="zh-CN"/>
                    </w:rPr>
                    <w:t>，建</w:t>
                  </w:r>
                  <w:r>
                    <w:rPr>
                      <w:rFonts w:hint="default" w:ascii="Times New Roman" w:hAnsi="Times New Roman" w:eastAsia="宋体" w:cs="Times New Roman"/>
                      <w:color w:val="auto"/>
                      <w:sz w:val="21"/>
                      <w:szCs w:val="21"/>
                      <w:highlight w:val="none"/>
                    </w:rPr>
                    <w:t>筑面积为</w:t>
                  </w:r>
                  <w:r>
                    <w:rPr>
                      <w:rFonts w:hint="eastAsia" w:cs="Times New Roman"/>
                      <w:color w:val="auto"/>
                      <w:sz w:val="21"/>
                      <w:szCs w:val="21"/>
                      <w:highlight w:val="none"/>
                      <w:lang w:val="en-US" w:eastAsia="zh-CN"/>
                    </w:rPr>
                    <w:t>200</w:t>
                  </w:r>
                  <w:r>
                    <w:rPr>
                      <w:rFonts w:hint="default" w:ascii="Times New Roman" w:hAnsi="Times New Roman" w:eastAsia="宋体" w:cs="Times New Roman"/>
                      <w:color w:val="auto"/>
                      <w:sz w:val="21"/>
                      <w:szCs w:val="21"/>
                      <w:highlight w:val="none"/>
                      <w:lang w:val="en-US" w:eastAsia="zh-CN"/>
                    </w:rPr>
                    <w:t>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1.5m高砖混墙体+单层彩钢结构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4"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辅助工程</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办公室</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本项目于生产车间内设置办公室：</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5</w:t>
                  </w:r>
                  <w:r>
                    <w:rPr>
                      <w:rFonts w:hint="default" w:ascii="Times New Roman" w:hAnsi="Times New Roman" w:eastAsia="宋体" w:cs="Times New Roman"/>
                      <w:bCs/>
                      <w:i w:val="0"/>
                      <w:iCs w:val="0"/>
                      <w:snapToGrid w:val="0"/>
                      <w:color w:val="auto"/>
                      <w:kern w:val="0"/>
                      <w:sz w:val="21"/>
                      <w:szCs w:val="21"/>
                      <w:highlight w:val="none"/>
                      <w:lang w:val="en-US" w:eastAsia="zh-CN"/>
                    </w:rPr>
                    <w:t>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zh-CN" w:eastAsia="zh-CN"/>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循环冷却水系统</w:t>
                  </w:r>
                </w:p>
              </w:tc>
              <w:tc>
                <w:tcPr>
                  <w:tcW w:w="3643" w:type="pct"/>
                  <w:tcBorders>
                    <w:tl2br w:val="nil"/>
                    <w:tr2bl w:val="nil"/>
                  </w:tcBorders>
                  <w:noWrap w:val="0"/>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设置</w:t>
                  </w:r>
                  <w:r>
                    <w:rPr>
                      <w:rFonts w:hint="eastAsia" w:ascii="Times New Roman" w:hAnsi="Times New Roman" w:eastAsia="宋体" w:cs="Times New Roman"/>
                      <w:color w:val="auto"/>
                      <w:sz w:val="21"/>
                      <w:szCs w:val="21"/>
                      <w:highlight w:val="none"/>
                      <w:lang w:val="en-US" w:eastAsia="zh-CN"/>
                    </w:rPr>
                    <w:t>1台冷却塔，处理能力10</w:t>
                  </w:r>
                  <w:r>
                    <w:rPr>
                      <w:rFonts w:hint="default" w:ascii="Times New Roman" w:hAnsi="Times New Roman" w:eastAsia="宋体" w:cs="Times New Roman"/>
                      <w:color w:val="auto"/>
                      <w:sz w:val="21"/>
                      <w:szCs w:val="21"/>
                      <w:highlight w:val="none"/>
                      <w:lang w:val="en-US" w:eastAsia="zh-CN"/>
                    </w:rPr>
                    <w:t>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座</w:t>
                  </w:r>
                  <w:r>
                    <w:rPr>
                      <w:rFonts w:hint="default" w:ascii="Times New Roman" w:hAnsi="Times New Roman" w:eastAsia="宋体" w:cs="Times New Roman"/>
                      <w:color w:val="auto"/>
                      <w:sz w:val="21"/>
                      <w:szCs w:val="21"/>
                      <w:highlight w:val="none"/>
                      <w:lang w:val="en-US" w:eastAsia="zh-CN"/>
                    </w:rPr>
                    <w:t>循环水池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储运工程</w:t>
                  </w:r>
                </w:p>
              </w:tc>
              <w:tc>
                <w:tcPr>
                  <w:tcW w:w="712"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lang w:val="en-US" w:eastAsia="zh-CN"/>
                    </w:rPr>
                    <w:t>成品</w:t>
                  </w:r>
                  <w:r>
                    <w:rPr>
                      <w:rFonts w:hint="default" w:ascii="Times New Roman" w:hAnsi="Times New Roman" w:eastAsia="宋体" w:cs="Times New Roman"/>
                      <w:color w:val="auto"/>
                      <w:sz w:val="21"/>
                      <w:szCs w:val="21"/>
                      <w:highlight w:val="none"/>
                    </w:rPr>
                    <w:t>库</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位于生产车间内</w:t>
                  </w:r>
                  <w:r>
                    <w:rPr>
                      <w:rFonts w:hint="default"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lang w:val="en-US" w:eastAsia="zh-CN"/>
                    </w:rPr>
                    <w:t>占地区域</w:t>
                  </w:r>
                  <w:r>
                    <w:rPr>
                      <w:rFonts w:hint="default" w:ascii="Times New Roman" w:hAnsi="Times New Roman" w:eastAsia="宋体" w:cs="Times New Roman"/>
                      <w:color w:val="auto"/>
                      <w:kern w:val="0"/>
                      <w:sz w:val="21"/>
                      <w:szCs w:val="21"/>
                      <w:highlight w:val="none"/>
                    </w:rPr>
                    <w:t>长</w:t>
                  </w:r>
                  <w:r>
                    <w:rPr>
                      <w:rFonts w:hint="eastAsia" w:ascii="Times New Roman" w:hAnsi="Times New Roman" w:eastAsia="宋体" w:cs="Times New Roman"/>
                      <w:color w:val="auto"/>
                      <w:kern w:val="0"/>
                      <w:sz w:val="21"/>
                      <w:szCs w:val="21"/>
                      <w:highlight w:val="none"/>
                      <w:lang w:val="en-US" w:eastAsia="zh-CN"/>
                    </w:rPr>
                    <w:t>20</w:t>
                  </w:r>
                  <w:r>
                    <w:rPr>
                      <w:rFonts w:hint="default" w:ascii="Times New Roman" w:hAnsi="Times New Roman" w:eastAsia="宋体" w:cs="Times New Roman"/>
                      <w:color w:val="auto"/>
                      <w:kern w:val="0"/>
                      <w:sz w:val="21"/>
                      <w:szCs w:val="21"/>
                      <w:highlight w:val="none"/>
                    </w:rPr>
                    <w:t>m、宽</w:t>
                  </w:r>
                  <w:r>
                    <w:rPr>
                      <w:rFonts w:hint="eastAsia"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sz w:val="21"/>
                      <w:szCs w:val="21"/>
                      <w:highlight w:val="none"/>
                    </w:rPr>
                    <w:t>，主要用于</w:t>
                  </w:r>
                  <w:r>
                    <w:rPr>
                      <w:rFonts w:hint="default"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color w:val="auto"/>
                      <w:sz w:val="21"/>
                      <w:szCs w:val="21"/>
                      <w:highlight w:val="none"/>
                    </w:rPr>
                    <w:t>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sz w:val="21"/>
                      <w:szCs w:val="21"/>
                      <w:highlight w:val="none"/>
                    </w:rPr>
                  </w:pPr>
                </w:p>
              </w:tc>
              <w:tc>
                <w:tcPr>
                  <w:tcW w:w="712"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原料库</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位于生产车间内</w:t>
                  </w:r>
                  <w:r>
                    <w:rPr>
                      <w:rFonts w:hint="default"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lang w:val="en-US" w:eastAsia="zh-CN"/>
                    </w:rPr>
                    <w:t>占地区域</w:t>
                  </w:r>
                  <w:r>
                    <w:rPr>
                      <w:rFonts w:hint="default" w:ascii="Times New Roman" w:hAnsi="Times New Roman" w:eastAsia="宋体" w:cs="Times New Roman"/>
                      <w:color w:val="auto"/>
                      <w:kern w:val="0"/>
                      <w:sz w:val="21"/>
                      <w:szCs w:val="21"/>
                      <w:highlight w:val="none"/>
                    </w:rPr>
                    <w:t>长</w:t>
                  </w:r>
                  <w:r>
                    <w:rPr>
                      <w:rFonts w:hint="eastAsia" w:ascii="Times New Roman" w:hAnsi="Times New Roman" w:eastAsia="宋体" w:cs="Times New Roman"/>
                      <w:color w:val="auto"/>
                      <w:kern w:val="0"/>
                      <w:sz w:val="21"/>
                      <w:szCs w:val="21"/>
                      <w:highlight w:val="none"/>
                      <w:lang w:val="en-US" w:eastAsia="zh-CN"/>
                    </w:rPr>
                    <w:t>15</w:t>
                  </w:r>
                  <w:r>
                    <w:rPr>
                      <w:rFonts w:hint="default" w:ascii="Times New Roman" w:hAnsi="Times New Roman" w:eastAsia="宋体" w:cs="Times New Roman"/>
                      <w:color w:val="auto"/>
                      <w:kern w:val="0"/>
                      <w:sz w:val="21"/>
                      <w:szCs w:val="21"/>
                      <w:highlight w:val="none"/>
                    </w:rPr>
                    <w:t>m、宽</w:t>
                  </w:r>
                  <w:r>
                    <w:rPr>
                      <w:rFonts w:hint="eastAsia"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sz w:val="21"/>
                      <w:szCs w:val="21"/>
                      <w:highlight w:val="none"/>
                    </w:rPr>
                    <w:t>，主要用于</w:t>
                  </w:r>
                  <w:r>
                    <w:rPr>
                      <w:rFonts w:hint="eastAsia" w:ascii="Times New Roman" w:hAnsi="Times New Roman" w:eastAsia="宋体" w:cs="Times New Roman"/>
                      <w:color w:val="auto"/>
                      <w:sz w:val="21"/>
                      <w:szCs w:val="21"/>
                      <w:highlight w:val="none"/>
                      <w:lang w:val="en-US" w:eastAsia="zh-CN"/>
                    </w:rPr>
                    <w:t>原料</w:t>
                  </w:r>
                  <w:r>
                    <w:rPr>
                      <w:rFonts w:hint="default" w:ascii="Times New Roman" w:hAnsi="Times New Roman" w:eastAsia="宋体" w:cs="Times New Roman"/>
                      <w:color w:val="auto"/>
                      <w:sz w:val="21"/>
                      <w:szCs w:val="21"/>
                      <w:highlight w:val="none"/>
                    </w:rPr>
                    <w:t>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sz w:val="21"/>
                      <w:szCs w:val="21"/>
                      <w:highlight w:val="none"/>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sz w:val="21"/>
                      <w:szCs w:val="21"/>
                      <w:highlight w:val="none"/>
                      <w:lang w:val="en-US" w:eastAsia="zh-CN"/>
                    </w:rPr>
                  </w:pPr>
                  <w:r>
                    <w:rPr>
                      <w:rFonts w:hint="eastAsia"/>
                      <w:sz w:val="21"/>
                      <w:szCs w:val="21"/>
                      <w:highlight w:val="none"/>
                      <w:lang w:val="en-US" w:eastAsia="zh-CN"/>
                    </w:rPr>
                    <w:t>润滑油储存区</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cs="Times New Roman"/>
                      <w:bCs/>
                      <w:snapToGrid w:val="0"/>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位于生产车间内</w:t>
                  </w:r>
                  <w:r>
                    <w:rPr>
                      <w:rFonts w:hint="default"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lang w:val="en-US" w:eastAsia="zh-CN"/>
                    </w:rPr>
                    <w:t>占地区域</w:t>
                  </w:r>
                  <w:r>
                    <w:rPr>
                      <w:rFonts w:hint="default" w:ascii="Times New Roman" w:hAnsi="Times New Roman" w:eastAsia="宋体" w:cs="Times New Roman"/>
                      <w:color w:val="auto"/>
                      <w:kern w:val="0"/>
                      <w:sz w:val="21"/>
                      <w:szCs w:val="21"/>
                      <w:highlight w:val="none"/>
                    </w:rPr>
                    <w:t>长</w:t>
                  </w:r>
                  <w:r>
                    <w:rPr>
                      <w:rFonts w:hint="eastAsia"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m、宽</w:t>
                  </w:r>
                  <w:r>
                    <w:rPr>
                      <w:rFonts w:hint="eastAsia"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底部设置钢板焊接托盘，</w:t>
                  </w:r>
                  <w:r>
                    <w:rPr>
                      <w:rFonts w:hint="default" w:ascii="Times New Roman" w:hAnsi="Times New Roman" w:eastAsia="宋体" w:cs="Times New Roman"/>
                      <w:color w:val="auto"/>
                      <w:sz w:val="21"/>
                      <w:szCs w:val="21"/>
                      <w:highlight w:val="none"/>
                    </w:rPr>
                    <w:t>用于</w:t>
                  </w:r>
                  <w:r>
                    <w:rPr>
                      <w:rFonts w:hint="eastAsia" w:ascii="Times New Roman" w:hAnsi="Times New Roman" w:eastAsia="宋体" w:cs="Times New Roman"/>
                      <w:color w:val="auto"/>
                      <w:sz w:val="21"/>
                      <w:szCs w:val="21"/>
                      <w:highlight w:val="none"/>
                      <w:lang w:val="en-US" w:eastAsia="zh-CN"/>
                    </w:rPr>
                    <w:t>润滑油储存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4"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公用工程</w:t>
                  </w:r>
                </w:p>
              </w:tc>
              <w:tc>
                <w:tcPr>
                  <w:tcW w:w="71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color w:val="auto"/>
                      <w:sz w:val="21"/>
                      <w:szCs w:val="21"/>
                      <w:highlight w:val="none"/>
                    </w:rPr>
                    <w:t>供电</w:t>
                  </w:r>
                </w:p>
              </w:tc>
              <w:tc>
                <w:tcPr>
                  <w:tcW w:w="364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当地电网统一供给，项目用电量为</w:t>
                  </w:r>
                  <w:r>
                    <w:rPr>
                      <w:rFonts w:hint="eastAsia" w:cs="Times New Roman"/>
                      <w:color w:val="auto"/>
                      <w:sz w:val="21"/>
                      <w:szCs w:val="21"/>
                      <w:highlight w:val="none"/>
                      <w:lang w:val="en-US" w:eastAsia="zh-CN"/>
                    </w:rPr>
                    <w:t>51.2</w:t>
                  </w:r>
                  <w:r>
                    <w:rPr>
                      <w:rFonts w:hint="default" w:ascii="Times New Roman" w:hAnsi="Times New Roman" w:eastAsia="宋体" w:cs="Times New Roman"/>
                      <w:color w:val="auto"/>
                      <w:sz w:val="21"/>
                      <w:szCs w:val="21"/>
                      <w:highlight w:val="none"/>
                      <w:lang w:val="en-US" w:eastAsia="zh-CN"/>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noWrap w:val="0"/>
                  <w:vAlign w:val="center"/>
                </w:tcPr>
                <w:p>
                  <w:pPr>
                    <w:pStyle w:val="2"/>
                    <w:keepNext w:val="0"/>
                    <w:keepLines w:val="0"/>
                    <w:pageBreakBefore w:val="0"/>
                    <w:widowControl w:val="0"/>
                    <w:kinsoku/>
                    <w:wordWrap/>
                    <w:overflowPunct/>
                    <w:topLinePunct w:val="0"/>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zh-CN"/>
                    </w:rPr>
                  </w:pPr>
                </w:p>
              </w:tc>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新水</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项目生产用水主要为</w:t>
                  </w:r>
                  <w:r>
                    <w:rPr>
                      <w:rFonts w:hint="eastAsia" w:cs="Times New Roman"/>
                      <w:color w:val="auto"/>
                      <w:kern w:val="2"/>
                      <w:sz w:val="21"/>
                      <w:szCs w:val="21"/>
                      <w:highlight w:val="none"/>
                      <w:lang w:val="en-US" w:eastAsia="zh-CN" w:bidi="ar-SA"/>
                    </w:rPr>
                    <w:t>冷却用水，冷却水循环利用，新水为补水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21"/>
                      <w:szCs w:val="21"/>
                      <w:highlight w:val="none"/>
                    </w:rPr>
                  </w:pPr>
                </w:p>
              </w:tc>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21"/>
                      <w:szCs w:val="21"/>
                      <w:highlight w:val="none"/>
                    </w:rPr>
                  </w:pP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生活用水主要为职工盥洗、饮用用水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排水</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ascii="Times New Roman" w:hAnsi="Times New Roman" w:eastAsia="宋体" w:cs="Times New Roman"/>
                      <w:color w:val="auto"/>
                      <w:kern w:val="2"/>
                      <w:sz w:val="21"/>
                      <w:szCs w:val="21"/>
                      <w:highlight w:val="none"/>
                      <w:lang w:val="en-US" w:eastAsia="zh-CN" w:bidi="ar-SA"/>
                    </w:rPr>
                    <w:t>冷却水循环利用不外排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rPr>
                  </w:pP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ascii="Times New Roman" w:hAnsi="Times New Roman" w:eastAsia="宋体" w:cs="Times New Roman"/>
                      <w:color w:val="auto"/>
                      <w:kern w:val="2"/>
                      <w:sz w:val="21"/>
                      <w:szCs w:val="21"/>
                      <w:highlight w:val="none"/>
                      <w:lang w:val="en-US" w:eastAsia="zh-CN" w:bidi="ar-SA"/>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4"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1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w:t>
                  </w:r>
                  <w:r>
                    <w:rPr>
                      <w:rFonts w:hint="eastAsia" w:ascii="Times New Roman" w:hAnsi="Times New Roman" w:eastAsia="宋体" w:cs="Times New Roman"/>
                      <w:color w:val="auto"/>
                      <w:sz w:val="21"/>
                      <w:szCs w:val="21"/>
                      <w:highlight w:val="none"/>
                      <w:lang w:val="en-US" w:eastAsia="zh-CN"/>
                    </w:rPr>
                    <w:t>暖、制冷</w:t>
                  </w:r>
                </w:p>
              </w:tc>
              <w:tc>
                <w:tcPr>
                  <w:tcW w:w="364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生产车间不供暖，项目办公室供热、制冷均采用空调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环保工程</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废气</w:t>
                  </w: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①熔炼废气通过脉冲袋式除尘器（</w:t>
                  </w:r>
                  <w:r>
                    <w:rPr>
                      <w:rFonts w:hint="eastAsia" w:cs="Times New Roman"/>
                      <w:color w:val="auto"/>
                      <w:kern w:val="2"/>
                      <w:sz w:val="21"/>
                      <w:szCs w:val="21"/>
                      <w:highlight w:val="none"/>
                      <w:lang w:val="en-US" w:eastAsia="zh-CN" w:bidi="ar-SA"/>
                    </w:rPr>
                    <w:t>10000</w:t>
                  </w:r>
                  <w:r>
                    <w:rPr>
                      <w:rFonts w:hint="default" w:ascii="Times New Roman" w:hAnsi="Times New Roman" w:eastAsia="宋体" w:cs="Times New Roman"/>
                      <w:color w:val="auto"/>
                      <w:kern w:val="2"/>
                      <w:sz w:val="21"/>
                      <w:szCs w:val="21"/>
                      <w:highlight w:val="none"/>
                      <w:lang w:val="en-US" w:eastAsia="zh-CN" w:bidi="ar-SA"/>
                    </w:rPr>
                    <w:t>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/h）处理后经1根高15高排气筒（</w:t>
                  </w:r>
                  <w:r>
                    <w:rPr>
                      <w:rFonts w:hint="eastAsia" w:ascii="Times New Roman" w:hAnsi="Times New Roman" w:eastAsia="宋体" w:cs="Times New Roman"/>
                      <w:color w:val="auto"/>
                      <w:kern w:val="2"/>
                      <w:sz w:val="21"/>
                      <w:szCs w:val="21"/>
                      <w:highlight w:val="none"/>
                      <w:lang w:val="en-US" w:eastAsia="zh-CN" w:bidi="ar-SA"/>
                    </w:rPr>
                    <w:t>DA001</w:t>
                  </w:r>
                  <w:r>
                    <w:rPr>
                      <w:rFonts w:hint="default" w:ascii="Times New Roman" w:hAnsi="Times New Roman" w:eastAsia="宋体" w:cs="Times New Roman"/>
                      <w:color w:val="auto"/>
                      <w:kern w:val="2"/>
                      <w:sz w:val="21"/>
                      <w:szCs w:val="21"/>
                      <w:highlight w:val="none"/>
                      <w:lang w:val="en-US" w:eastAsia="zh-CN" w:bidi="ar-SA"/>
                    </w:rPr>
                    <w:t>）排放；②</w:t>
                  </w:r>
                  <w:r>
                    <w:rPr>
                      <w:rFonts w:hint="eastAsia" w:ascii="Times New Roman" w:hAnsi="Times New Roman" w:eastAsia="宋体" w:cs="Times New Roman"/>
                      <w:color w:val="auto"/>
                      <w:kern w:val="2"/>
                      <w:sz w:val="21"/>
                      <w:szCs w:val="21"/>
                      <w:highlight w:val="none"/>
                      <w:lang w:val="en-US" w:eastAsia="zh-CN" w:bidi="ar-SA"/>
                    </w:rPr>
                    <w:t>浇注、</w:t>
                  </w:r>
                  <w:r>
                    <w:rPr>
                      <w:rFonts w:hint="default" w:ascii="Times New Roman" w:hAnsi="Times New Roman" w:eastAsia="宋体" w:cs="Times New Roman"/>
                      <w:color w:val="auto"/>
                      <w:kern w:val="2"/>
                      <w:sz w:val="21"/>
                      <w:szCs w:val="21"/>
                      <w:highlight w:val="none"/>
                      <w:lang w:val="en-US" w:eastAsia="zh-CN" w:bidi="ar-SA"/>
                    </w:rPr>
                    <w:t>砂处理</w:t>
                  </w:r>
                  <w:r>
                    <w:rPr>
                      <w:rFonts w:hint="eastAsia" w:ascii="Times New Roman" w:hAnsi="Times New Roman" w:eastAsia="宋体" w:cs="Times New Roman"/>
                      <w:color w:val="auto"/>
                      <w:kern w:val="2"/>
                      <w:sz w:val="21"/>
                      <w:szCs w:val="21"/>
                      <w:highlight w:val="none"/>
                      <w:lang w:val="en-US" w:eastAsia="zh-CN" w:bidi="ar-SA"/>
                    </w:rPr>
                    <w:t>、混砂、打磨</w:t>
                  </w:r>
                  <w:r>
                    <w:rPr>
                      <w:rFonts w:hint="default" w:ascii="Times New Roman" w:hAnsi="Times New Roman" w:eastAsia="宋体" w:cs="Times New Roman"/>
                      <w:color w:val="auto"/>
                      <w:kern w:val="2"/>
                      <w:sz w:val="21"/>
                      <w:szCs w:val="21"/>
                      <w:highlight w:val="none"/>
                      <w:lang w:val="en-US" w:eastAsia="zh-CN" w:bidi="ar-SA"/>
                    </w:rPr>
                    <w:t>含尘</w:t>
                  </w:r>
                  <w:r>
                    <w:rPr>
                      <w:rFonts w:hint="eastAsia" w:ascii="Times New Roman" w:hAnsi="Times New Roman" w:eastAsia="宋体" w:cs="Times New Roman"/>
                      <w:color w:val="auto"/>
                      <w:kern w:val="2"/>
                      <w:sz w:val="21"/>
                      <w:szCs w:val="21"/>
                      <w:highlight w:val="none"/>
                      <w:lang w:val="en-US" w:eastAsia="zh-CN" w:bidi="ar-SA"/>
                    </w:rPr>
                    <w:t>以及顶吸废气</w:t>
                  </w:r>
                  <w:r>
                    <w:rPr>
                      <w:rFonts w:hint="default" w:ascii="Times New Roman" w:hAnsi="Times New Roman" w:eastAsia="宋体" w:cs="Times New Roman"/>
                      <w:color w:val="auto"/>
                      <w:kern w:val="2"/>
                      <w:sz w:val="21"/>
                      <w:szCs w:val="21"/>
                      <w:highlight w:val="none"/>
                      <w:lang w:val="en-US" w:eastAsia="zh-CN" w:bidi="ar-SA"/>
                    </w:rPr>
                    <w:t>通过脉冲袋式除尘器（</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0000m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/h）处理后经1根高15高排气筒（</w:t>
                  </w:r>
                  <w:r>
                    <w:rPr>
                      <w:rFonts w:hint="eastAsia" w:ascii="Times New Roman" w:hAnsi="Times New Roman" w:eastAsia="宋体" w:cs="Times New Roman"/>
                      <w:color w:val="auto"/>
                      <w:kern w:val="2"/>
                      <w:sz w:val="21"/>
                      <w:szCs w:val="21"/>
                      <w:highlight w:val="none"/>
                      <w:lang w:val="en-US" w:eastAsia="zh-CN" w:bidi="ar-SA"/>
                    </w:rPr>
                    <w:t>DA002</w:t>
                  </w:r>
                  <w:r>
                    <w:rPr>
                      <w:rFonts w:hint="default" w:ascii="Times New Roman" w:hAnsi="Times New Roman" w:eastAsia="宋体" w:cs="Times New Roman"/>
                      <w:color w:val="auto"/>
                      <w:kern w:val="2"/>
                      <w:sz w:val="21"/>
                      <w:szCs w:val="21"/>
                      <w:highlight w:val="none"/>
                      <w:lang w:val="en-US" w:eastAsia="zh-CN" w:bidi="ar-SA"/>
                    </w:rPr>
                    <w:t>）排放</w:t>
                  </w:r>
                  <w:r>
                    <w:rPr>
                      <w:rFonts w:hint="eastAsia" w:ascii="Times New Roman" w:hAnsi="Times New Roman" w:eastAsia="宋体" w:cs="Times New Roman"/>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废水</w:t>
                  </w: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ascii="Times New Roman" w:hAnsi="Times New Roman" w:eastAsia="宋体" w:cs="Times New Roman"/>
                      <w:color w:val="auto"/>
                      <w:kern w:val="2"/>
                      <w:sz w:val="21"/>
                      <w:szCs w:val="21"/>
                      <w:highlight w:val="none"/>
                      <w:lang w:val="en-US" w:eastAsia="zh-CN" w:bidi="ar-SA"/>
                    </w:rPr>
                    <w:t>冷却水循环利用不外排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ascii="Times New Roman" w:hAnsi="Times New Roman" w:eastAsia="宋体" w:cs="Times New Roman"/>
                      <w:color w:val="auto"/>
                      <w:kern w:val="2"/>
                      <w:sz w:val="21"/>
                      <w:szCs w:val="21"/>
                      <w:highlight w:val="none"/>
                      <w:lang w:val="en-US" w:eastAsia="zh-CN" w:bidi="ar-SA"/>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噪声</w:t>
                  </w:r>
                </w:p>
              </w:tc>
              <w:tc>
                <w:tcPr>
                  <w:tcW w:w="435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项目噪声源为主要为</w:t>
                  </w:r>
                  <w:r>
                    <w:rPr>
                      <w:rFonts w:hint="eastAsia" w:ascii="Times New Roman" w:hAnsi="Times New Roman" w:eastAsia="宋体" w:cs="Times New Roman"/>
                      <w:color w:val="auto"/>
                      <w:kern w:val="2"/>
                      <w:sz w:val="21"/>
                      <w:szCs w:val="21"/>
                      <w:highlight w:val="none"/>
                      <w:lang w:val="en-US" w:eastAsia="zh-CN" w:bidi="ar-SA"/>
                    </w:rPr>
                    <w:t>电炉、退火炉、砂处理设备、震击式造型机、滚砂机、混砂机、天车、角磨机、风机、空压机</w:t>
                  </w:r>
                  <w:r>
                    <w:rPr>
                      <w:rFonts w:hint="default" w:ascii="Times New Roman" w:hAnsi="Times New Roman" w:eastAsia="宋体" w:cs="Times New Roman"/>
                      <w:color w:val="auto"/>
                      <w:kern w:val="2"/>
                      <w:sz w:val="21"/>
                      <w:szCs w:val="21"/>
                      <w:highlight w:val="none"/>
                      <w:lang w:val="en-US" w:eastAsia="zh-CN" w:bidi="ar-SA"/>
                    </w:rPr>
                    <w:t>等，设备安装基础减振，风机设置软连接，经封闭厂房隔声后，</w:t>
                  </w:r>
                  <w:r>
                    <w:rPr>
                      <w:rFonts w:hint="eastAsia" w:ascii="Times New Roman" w:hAnsi="Times New Roman" w:eastAsia="宋体" w:cs="Times New Roman"/>
                      <w:color w:val="auto"/>
                      <w:kern w:val="2"/>
                      <w:sz w:val="21"/>
                      <w:szCs w:val="21"/>
                      <w:highlight w:val="none"/>
                      <w:lang w:val="en-US" w:eastAsia="zh-CN" w:bidi="ar-SA"/>
                    </w:rPr>
                    <w:t>四周</w:t>
                  </w:r>
                  <w:r>
                    <w:rPr>
                      <w:rFonts w:hint="default" w:ascii="Times New Roman" w:hAnsi="Times New Roman" w:eastAsia="宋体" w:cs="Times New Roman"/>
                      <w:color w:val="auto"/>
                      <w:kern w:val="2"/>
                      <w:sz w:val="21"/>
                      <w:szCs w:val="21"/>
                      <w:highlight w:val="none"/>
                      <w:lang w:val="en-US" w:eastAsia="zh-CN" w:bidi="ar-SA"/>
                    </w:rPr>
                    <w:t>厂界噪声预测值满足《工业企业厂界环境噪声排放标准》(GB12348-2008)</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固废</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一般固废暂存</w:t>
                  </w:r>
                  <w:r>
                    <w:rPr>
                      <w:rFonts w:hint="eastAsia" w:cs="Times New Roman"/>
                      <w:color w:val="auto"/>
                      <w:kern w:val="2"/>
                      <w:sz w:val="21"/>
                      <w:szCs w:val="21"/>
                      <w:highlight w:val="none"/>
                      <w:lang w:val="en-US" w:eastAsia="zh-CN" w:bidi="ar-SA"/>
                    </w:rPr>
                    <w:t>区</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生产车间内部</w:t>
                  </w:r>
                  <w:r>
                    <w:rPr>
                      <w:rFonts w:hint="default" w:ascii="Times New Roman" w:hAnsi="Times New Roman" w:eastAsia="宋体" w:cs="Times New Roman"/>
                      <w:color w:val="auto"/>
                      <w:kern w:val="2"/>
                      <w:sz w:val="21"/>
                      <w:szCs w:val="21"/>
                      <w:highlight w:val="none"/>
                      <w:lang w:val="en-US" w:eastAsia="zh-CN" w:bidi="ar-SA"/>
                    </w:rPr>
                    <w:t>设置</w:t>
                  </w:r>
                  <w:r>
                    <w:rPr>
                      <w:rFonts w:hint="eastAsia" w:cs="Times New Roman"/>
                      <w:color w:val="auto"/>
                      <w:kern w:val="2"/>
                      <w:sz w:val="21"/>
                      <w:szCs w:val="21"/>
                      <w:highlight w:val="none"/>
                      <w:lang w:val="en-US" w:eastAsia="zh-CN" w:bidi="ar-SA"/>
                    </w:rPr>
                    <w:t>一般固废暂存区</w:t>
                  </w:r>
                  <w:r>
                    <w:rPr>
                      <w:rFonts w:hint="default" w:ascii="Times New Roman" w:hAnsi="Times New Roman" w:eastAsia="宋体" w:cs="Times New Roman"/>
                      <w:color w:val="auto"/>
                      <w:kern w:val="2"/>
                      <w:sz w:val="21"/>
                      <w:szCs w:val="21"/>
                      <w:highlight w:val="none"/>
                      <w:lang w:val="en-US" w:eastAsia="zh-CN" w:bidi="ar-SA"/>
                    </w:rPr>
                    <w:t>，尺寸长</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m、宽</w:t>
                  </w:r>
                  <w:r>
                    <w:rPr>
                      <w:rFonts w:hint="eastAsia"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m，占地面积</w:t>
                  </w:r>
                  <w:r>
                    <w:rPr>
                      <w:rFonts w:hint="eastAsia" w:ascii="Times New Roman" w:hAnsi="Times New Roman" w:eastAsia="宋体" w:cs="Times New Roman"/>
                      <w:color w:val="auto"/>
                      <w:kern w:val="2"/>
                      <w:sz w:val="21"/>
                      <w:szCs w:val="21"/>
                      <w:highlight w:val="none"/>
                      <w:lang w:val="en-US" w:eastAsia="zh-CN" w:bidi="ar-SA"/>
                    </w:rPr>
                    <w:t>12</w:t>
                  </w:r>
                  <w:r>
                    <w:rPr>
                      <w:rFonts w:hint="default" w:ascii="Times New Roman" w:hAnsi="Times New Roman" w:eastAsia="宋体" w:cs="Times New Roman"/>
                      <w:color w:val="auto"/>
                      <w:kern w:val="2"/>
                      <w:sz w:val="21"/>
                      <w:szCs w:val="21"/>
                      <w:highlight w:val="none"/>
                      <w:lang w:val="en-US" w:eastAsia="zh-CN" w:bidi="ar-SA"/>
                    </w:rPr>
                    <w:t>m</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，用于储存一般固废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危废间</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厂区</w:t>
                  </w:r>
                  <w:r>
                    <w:rPr>
                      <w:rFonts w:hint="eastAsia" w:ascii="Times New Roman" w:hAnsi="Times New Roman" w:eastAsia="宋体" w:cs="Times New Roman"/>
                      <w:color w:val="auto"/>
                      <w:kern w:val="2"/>
                      <w:sz w:val="21"/>
                      <w:szCs w:val="21"/>
                      <w:highlight w:val="none"/>
                      <w:lang w:val="en-US" w:eastAsia="zh-CN" w:bidi="ar-SA"/>
                    </w:rPr>
                    <w:t>东</w:t>
                  </w:r>
                  <w:r>
                    <w:rPr>
                      <w:rFonts w:hint="default" w:ascii="Times New Roman" w:hAnsi="Times New Roman" w:eastAsia="宋体" w:cs="Times New Roman"/>
                      <w:color w:val="auto"/>
                      <w:kern w:val="2"/>
                      <w:sz w:val="21"/>
                      <w:szCs w:val="21"/>
                      <w:highlight w:val="none"/>
                      <w:lang w:val="en-US" w:eastAsia="zh-CN" w:bidi="ar-SA"/>
                    </w:rPr>
                    <w:t>侧设置危废间，砖混结构，尺寸长</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m、宽</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m、高3m，砖混结构、占地面积</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m</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，用于储存危险废物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一般固废</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除尘灰集中收集至吨包袋后外售综合利用、熔炼渣集中收集后外售综合利用，切冒口及砂处理磁选出废铁回用于生产，砂处理产生的废砂吨包袋包装后定期由厂家回收利用，废布袋定期由厂家回收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危险废物</w:t>
                  </w:r>
                </w:p>
              </w:tc>
              <w:tc>
                <w:tcPr>
                  <w:tcW w:w="3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w:t>
                  </w:r>
                  <w:r>
                    <w:rPr>
                      <w:rFonts w:hint="default" w:ascii="Times New Roman" w:hAnsi="Times New Roman" w:eastAsia="宋体" w:cs="Times New Roman"/>
                      <w:color w:val="auto"/>
                      <w:kern w:val="2"/>
                      <w:sz w:val="21"/>
                      <w:szCs w:val="21"/>
                      <w:highlight w:val="none"/>
                      <w:lang w:val="en-US" w:eastAsia="zh-CN" w:bidi="ar-SA"/>
                    </w:rPr>
                    <w:t>矿物油</w:t>
                  </w:r>
                  <w:r>
                    <w:rPr>
                      <w:rFonts w:hint="eastAsia" w:ascii="Times New Roman" w:hAnsi="Times New Roman" w:eastAsia="宋体" w:cs="Times New Roman"/>
                      <w:color w:val="auto"/>
                      <w:kern w:val="2"/>
                      <w:sz w:val="21"/>
                      <w:szCs w:val="21"/>
                      <w:highlight w:val="none"/>
                      <w:lang w:val="en-US" w:eastAsia="zh-CN" w:bidi="ar-SA"/>
                    </w:rPr>
                    <w:t>、废油桶暂存于危废间，委托有资质单位处置</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（5）建构筑物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本项</w:t>
            </w:r>
            <w:r>
              <w:rPr>
                <w:rFonts w:hint="eastAsia" w:ascii="Times New Roman" w:hAnsi="Times New Roman" w:eastAsia="宋体" w:cs="Times New Roman"/>
                <w:color w:val="auto"/>
                <w:sz w:val="24"/>
                <w:szCs w:val="24"/>
                <w:highlight w:val="none"/>
                <w:lang w:val="en-US" w:eastAsia="zh-CN"/>
              </w:rPr>
              <w:t>目主要利旧改新建设的生产车间。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snapToGrid w:val="0"/>
                <w:color w:val="auto"/>
                <w:kern w:val="0"/>
                <w:sz w:val="24"/>
                <w:highlight w:val="none"/>
              </w:rPr>
            </w:pPr>
            <w:r>
              <w:rPr>
                <w:rFonts w:hint="default" w:ascii="Times New Roman" w:hAnsi="Times New Roman" w:cs="Times New Roman"/>
                <w:b/>
                <w:snapToGrid w:val="0"/>
                <w:color w:val="auto"/>
                <w:kern w:val="0"/>
                <w:sz w:val="24"/>
                <w:highlight w:val="none"/>
              </w:rPr>
              <w:t>表</w:t>
            </w:r>
            <w:r>
              <w:rPr>
                <w:rFonts w:hint="eastAsia" w:cs="Times New Roman"/>
                <w:b/>
                <w:snapToGrid w:val="0"/>
                <w:color w:val="auto"/>
                <w:kern w:val="0"/>
                <w:sz w:val="24"/>
                <w:highlight w:val="none"/>
                <w:lang w:val="en-US" w:eastAsia="zh-CN"/>
              </w:rPr>
              <w:t>10</w:t>
            </w:r>
            <w:r>
              <w:rPr>
                <w:rFonts w:hint="default" w:ascii="Times New Roman" w:hAnsi="Times New Roman" w:cs="Times New Roman"/>
                <w:b/>
                <w:snapToGrid w:val="0"/>
                <w:color w:val="auto"/>
                <w:kern w:val="0"/>
                <w:sz w:val="24"/>
                <w:highlight w:val="none"/>
              </w:rPr>
              <w:t xml:space="preserve">      项目主要建构筑物一览表</w:t>
            </w:r>
          </w:p>
          <w:tbl>
            <w:tblPr>
              <w:tblStyle w:val="33"/>
              <w:tblW w:w="84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99"/>
              <w:gridCol w:w="1014"/>
              <w:gridCol w:w="1062"/>
              <w:gridCol w:w="1038"/>
              <w:gridCol w:w="47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序号</w:t>
                  </w:r>
                </w:p>
              </w:tc>
              <w:tc>
                <w:tcPr>
                  <w:tcW w:w="10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名称</w:t>
                  </w:r>
                </w:p>
              </w:tc>
              <w:tc>
                <w:tcPr>
                  <w:tcW w:w="10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占地面积</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建筑面积</w:t>
                  </w:r>
                </w:p>
              </w:tc>
              <w:tc>
                <w:tcPr>
                  <w:tcW w:w="4709" w:type="dxa"/>
                  <w:tcBorders>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99" w:type="dxa"/>
                  <w:tcBorders>
                    <w:lef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w:t>
                  </w:r>
                </w:p>
              </w:tc>
              <w:tc>
                <w:tcPr>
                  <w:tcW w:w="10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eastAsia="zh-CN"/>
                    </w:rPr>
                    <w:t>生产车间</w:t>
                  </w:r>
                </w:p>
              </w:tc>
              <w:tc>
                <w:tcPr>
                  <w:tcW w:w="10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val="en-US" w:eastAsia="zh-CN"/>
                    </w:rPr>
                    <w:t>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val="en-US" w:eastAsia="zh-CN"/>
                    </w:rPr>
                    <w:t>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4709" w:type="dxa"/>
                  <w:tcBorders>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1.5m高砖混结构墙体+单层彩钢结构</w:t>
                  </w:r>
                  <w:r>
                    <w:rPr>
                      <w:rFonts w:hint="eastAsia" w:cs="Times New Roman"/>
                      <w:color w:val="auto"/>
                      <w:sz w:val="21"/>
                      <w:szCs w:val="21"/>
                      <w:highlight w:val="none"/>
                      <w:lang w:val="en-US" w:eastAsia="zh-CN"/>
                    </w:rPr>
                    <w:t>，内部设置办公室、危险废物暂存间、一般固废暂存区、原料储存区、成品储存区</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产品方案</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5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11</w:t>
            </w:r>
            <w:r>
              <w:rPr>
                <w:rFonts w:hint="default" w:ascii="Times New Roman" w:hAnsi="Times New Roman" w:eastAsia="宋体" w:cs="Times New Roman"/>
                <w:b/>
                <w:color w:val="auto"/>
                <w:sz w:val="24"/>
                <w:szCs w:val="24"/>
                <w:highlight w:val="none"/>
              </w:rPr>
              <w:t xml:space="preserve">     项目产品方案一览表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1533"/>
              <w:gridCol w:w="641"/>
              <w:gridCol w:w="736"/>
              <w:gridCol w:w="47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9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产品型号</w:t>
                  </w:r>
                </w:p>
              </w:tc>
              <w:tc>
                <w:tcPr>
                  <w:tcW w:w="3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w:t>
                  </w:r>
                </w:p>
              </w:tc>
              <w:tc>
                <w:tcPr>
                  <w:tcW w:w="2856"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402" w:type="pct"/>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9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数控机床配件</w:t>
                  </w:r>
                </w:p>
              </w:tc>
              <w:tc>
                <w:tcPr>
                  <w:tcW w:w="3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5500</w:t>
                  </w:r>
                </w:p>
              </w:tc>
              <w:tc>
                <w:tcPr>
                  <w:tcW w:w="2856"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主要产品尺寸在0.5-1m，成品暂存于成品储存区</w:t>
                  </w:r>
                </w:p>
              </w:tc>
            </w:tr>
          </w:tbl>
          <w:p>
            <w:pPr>
              <w:keepNext w:val="0"/>
              <w:keepLines w:val="0"/>
              <w:pageBreakBefore w:val="0"/>
              <w:widowControl w:val="0"/>
              <w:tabs>
                <w:tab w:val="left" w:pos="324"/>
              </w:tabs>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rFonts w:hint="eastAsia"/>
                <w:color w:val="auto"/>
                <w:sz w:val="24"/>
                <w:szCs w:val="24"/>
                <w:highlight w:val="none"/>
                <w:lang w:val="en-US" w:eastAsia="zh-CN"/>
              </w:rPr>
              <w:t>原辅材料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rPr>
              <w:t>本项目原辅材料见下表。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auto"/>
                <w:sz w:val="24"/>
                <w:highlight w:val="none"/>
              </w:rPr>
            </w:pPr>
            <w:r>
              <w:rPr>
                <w:b/>
                <w:bCs/>
                <w:color w:val="auto"/>
                <w:sz w:val="24"/>
                <w:highlight w:val="none"/>
              </w:rPr>
              <w:t>表</w:t>
            </w:r>
            <w:r>
              <w:rPr>
                <w:rFonts w:hint="eastAsia"/>
                <w:b/>
                <w:bCs/>
                <w:color w:val="auto"/>
                <w:sz w:val="24"/>
                <w:highlight w:val="none"/>
                <w:lang w:val="en-US" w:eastAsia="zh-CN"/>
              </w:rPr>
              <w:t>12</w:t>
            </w:r>
            <w:r>
              <w:rPr>
                <w:b/>
                <w:bCs/>
                <w:color w:val="auto"/>
                <w:sz w:val="24"/>
                <w:highlight w:val="none"/>
              </w:rPr>
              <w:t xml:space="preserve"> </w:t>
            </w:r>
            <w:r>
              <w:rPr>
                <w:rFonts w:hint="eastAsia"/>
                <w:b/>
                <w:bCs/>
                <w:color w:val="auto"/>
                <w:sz w:val="24"/>
                <w:highlight w:val="none"/>
              </w:rPr>
              <w:t xml:space="preserve">    本项目原辅材料清单</w:t>
            </w:r>
          </w:p>
          <w:tbl>
            <w:tblPr>
              <w:tblStyle w:val="33"/>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284"/>
              <w:gridCol w:w="1503"/>
              <w:gridCol w:w="1364"/>
              <w:gridCol w:w="3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消耗量</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废钢</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4602.4498</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进厂时进行放射性检测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高锰钢</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进厂时进行放射性检测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石英砂</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750</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耐火材料</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284"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水玻璃</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清渣剂</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钢托</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若干</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用于成品包装，循环利用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8</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m3/a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13680</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厂区原有水井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w:t>
                  </w:r>
                </w:p>
              </w:tc>
              <w:tc>
                <w:tcPr>
                  <w:tcW w:w="12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万kwh/a</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51.2</w:t>
                  </w:r>
                </w:p>
              </w:tc>
              <w:tc>
                <w:tcPr>
                  <w:tcW w:w="3667"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园区电网提供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tcBorders>
                    <w:left w:val="nil"/>
                  </w:tcBorders>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12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矿物油</w:t>
                  </w:r>
                </w:p>
              </w:tc>
              <w:tc>
                <w:tcPr>
                  <w:tcW w:w="15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ascii="Times New Roman" w:hAnsi="Times New Roman" w:eastAsia="宋体" w:cs="Times New Roman"/>
                      <w:color w:val="auto"/>
                      <w:sz w:val="21"/>
                      <w:szCs w:val="21"/>
                      <w:highlight w:val="none"/>
                    </w:rPr>
                    <w:t>/a</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667" w:type="dxa"/>
                  <w:tcBorders>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需要时外购，不在厂区内储存</w:t>
                  </w:r>
                </w:p>
              </w:tc>
            </w:tr>
          </w:tbl>
          <w:p>
            <w:pPr>
              <w:spacing w:line="480" w:lineRule="exact"/>
              <w:ind w:firstLine="472" w:firstLineChars="200"/>
              <w:rPr>
                <w:bCs/>
                <w:color w:val="auto"/>
                <w:sz w:val="24"/>
                <w:highlight w:val="none"/>
              </w:rPr>
            </w:pPr>
            <w:r>
              <w:rPr>
                <w:rFonts w:hint="eastAsia" w:ascii="宋体" w:hAnsi="宋体" w:eastAsia="宋体" w:cs="宋体"/>
                <w:color w:val="auto"/>
                <w:spacing w:val="-2"/>
                <w:sz w:val="24"/>
                <w:szCs w:val="24"/>
                <w:highlight w:val="none"/>
                <w:lang w:val="en-US" w:eastAsia="zh-CN"/>
              </w:rPr>
              <w:t>本项目主要</w:t>
            </w:r>
            <w:r>
              <w:rPr>
                <w:bCs/>
                <w:color w:val="auto"/>
                <w:sz w:val="24"/>
                <w:highlight w:val="none"/>
              </w:rPr>
              <w:t>原辅材料</w:t>
            </w:r>
            <w:r>
              <w:rPr>
                <w:rFonts w:hint="default"/>
                <w:bCs/>
                <w:color w:val="auto"/>
                <w:sz w:val="24"/>
                <w:highlight w:val="none"/>
                <w:lang w:eastAsia="zh-CN"/>
              </w:rPr>
              <w:t>理化性质</w:t>
            </w:r>
            <w:r>
              <w:rPr>
                <w:bCs/>
                <w:color w:val="auto"/>
                <w:sz w:val="24"/>
                <w:highlight w:val="none"/>
              </w:rPr>
              <w:t>见表</w:t>
            </w:r>
            <w:r>
              <w:rPr>
                <w:rFonts w:hint="eastAsia"/>
                <w:bCs/>
                <w:color w:val="auto"/>
                <w:sz w:val="24"/>
                <w:highlight w:val="none"/>
                <w:lang w:val="en-US" w:eastAsia="zh-CN"/>
              </w:rPr>
              <w:t>13</w:t>
            </w:r>
            <w:r>
              <w:rPr>
                <w:bCs/>
                <w:color w:val="auto"/>
                <w:sz w:val="24"/>
                <w:highlight w:val="none"/>
              </w:rPr>
              <w:t>。</w:t>
            </w:r>
          </w:p>
          <w:p>
            <w:pPr>
              <w:spacing w:line="480" w:lineRule="exact"/>
              <w:jc w:val="center"/>
              <w:rPr>
                <w:rFonts w:hint="default" w:ascii="Times New Roman" w:hAnsi="Times New Roman" w:eastAsia="宋体" w:cs="Times New Roman"/>
                <w:b/>
                <w:bCs/>
                <w:snapToGrid w:val="0"/>
                <w:color w:val="auto"/>
                <w:sz w:val="24"/>
                <w:highlight w:val="none"/>
                <w:lang w:eastAsia="zh-CN"/>
              </w:rPr>
            </w:pPr>
            <w:r>
              <w:rPr>
                <w:rFonts w:hint="default" w:ascii="Times New Roman" w:hAnsi="Times New Roman" w:eastAsia="宋体" w:cs="Times New Roman"/>
                <w:b/>
                <w:bCs/>
                <w:snapToGrid w:val="0"/>
                <w:color w:val="auto"/>
                <w:sz w:val="24"/>
                <w:highlight w:val="none"/>
                <w:lang w:eastAsia="zh-CN"/>
              </w:rPr>
              <w:t>表</w:t>
            </w:r>
            <w:r>
              <w:rPr>
                <w:rFonts w:hint="eastAsia" w:cs="Times New Roman"/>
                <w:b/>
                <w:bCs/>
                <w:snapToGrid w:val="0"/>
                <w:color w:val="auto"/>
                <w:sz w:val="24"/>
                <w:highlight w:val="none"/>
                <w:lang w:val="en-US" w:eastAsia="zh-CN"/>
              </w:rPr>
              <w:t>13</w:t>
            </w:r>
            <w:r>
              <w:rPr>
                <w:rFonts w:hint="default" w:ascii="Times New Roman" w:hAnsi="Times New Roman" w:eastAsia="宋体" w:cs="Times New Roman"/>
                <w:b/>
                <w:bCs/>
                <w:snapToGrid w:val="0"/>
                <w:color w:val="auto"/>
                <w:sz w:val="24"/>
                <w:highlight w:val="none"/>
                <w:lang w:val="en-US" w:eastAsia="zh-CN"/>
              </w:rPr>
              <w:t xml:space="preserve"> </w:t>
            </w:r>
            <w:r>
              <w:rPr>
                <w:rFonts w:hint="eastAsia" w:ascii="Times New Roman" w:hAnsi="Times New Roman" w:eastAsia="宋体" w:cs="Times New Roman"/>
                <w:b/>
                <w:bCs/>
                <w:snapToGrid w:val="0"/>
                <w:color w:val="auto"/>
                <w:sz w:val="24"/>
                <w:highlight w:val="none"/>
                <w:lang w:val="en-US" w:eastAsia="zh-CN"/>
              </w:rPr>
              <w:t xml:space="preserve">  本</w:t>
            </w:r>
            <w:r>
              <w:rPr>
                <w:rFonts w:hint="default" w:ascii="Times New Roman" w:hAnsi="Times New Roman" w:eastAsia="宋体" w:cs="Times New Roman"/>
                <w:b/>
                <w:bCs/>
                <w:snapToGrid w:val="0"/>
                <w:color w:val="auto"/>
                <w:sz w:val="24"/>
                <w:highlight w:val="none"/>
                <w:lang w:eastAsia="zh-CN"/>
              </w:rPr>
              <w:t>项目原材料理化性质一览表</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5" w:hRule="atLeast"/>
                <w:jc w:val="center"/>
              </w:trPr>
              <w:tc>
                <w:tcPr>
                  <w:tcW w:w="721"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7667"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93" w:hRule="atLeast"/>
                <w:jc w:val="center"/>
              </w:trPr>
              <w:tc>
                <w:tcPr>
                  <w:tcW w:w="721"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清渣剂</w:t>
                  </w:r>
                </w:p>
              </w:tc>
              <w:tc>
                <w:tcPr>
                  <w:tcW w:w="7667"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清渣剂是一种中性物质，在高温作用下会膨胀或熔融，膨胀后形成比重低、中空气孔，熔融后具有一定的粘结性，主要是有由加工工艺决定。除渣剂在钢铁冶炼及铸造中使用正是由于其在1200以上的高温作业下熔融，并具有粘结性，能有效聚集和吸附金属溶液表面的浮渣和夹渣，并且其化学性质稳定，不会对金属熔液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水玻璃</w:t>
                  </w:r>
                </w:p>
              </w:tc>
              <w:tc>
                <w:tcPr>
                  <w:tcW w:w="7667"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硅酸钠，俗称泡花碱，是一种无机物，化学式为Na</w:t>
                  </w:r>
                  <w:r>
                    <w:rPr>
                      <w:rFonts w:hint="eastAsia" w:ascii="Times New Roman" w:hAnsi="Times New Roman" w:eastAsia="宋体" w:cs="Times New Roman"/>
                      <w:color w:val="auto"/>
                      <w:sz w:val="21"/>
                      <w:szCs w:val="21"/>
                      <w:highlight w:val="none"/>
                      <w:vertAlign w:val="subscript"/>
                      <w:lang w:val="en-US" w:eastAsia="zh-CN"/>
                    </w:rPr>
                    <w:t>2</w:t>
                  </w:r>
                  <w:r>
                    <w:rPr>
                      <w:rFonts w:hint="eastAsia" w:ascii="Times New Roman" w:hAnsi="Times New Roman" w:eastAsia="宋体" w:cs="Times New Roman"/>
                      <w:color w:val="auto"/>
                      <w:sz w:val="21"/>
                      <w:szCs w:val="21"/>
                      <w:highlight w:val="none"/>
                      <w:lang w:val="en-US" w:eastAsia="zh-CN"/>
                    </w:rPr>
                    <w:t>O·nSiO</w:t>
                  </w:r>
                  <w:r>
                    <w:rPr>
                      <w:rFonts w:hint="eastAsia" w:ascii="Times New Roman" w:hAnsi="Times New Roman" w:eastAsia="宋体" w:cs="Times New Roman"/>
                      <w:color w:val="auto"/>
                      <w:sz w:val="21"/>
                      <w:szCs w:val="21"/>
                      <w:highlight w:val="none"/>
                      <w:vertAlign w:val="subscript"/>
                      <w:lang w:val="en-US" w:eastAsia="zh-CN"/>
                    </w:rPr>
                    <w:t>2</w:t>
                  </w:r>
                  <w:r>
                    <w:rPr>
                      <w:rFonts w:hint="eastAsia" w:ascii="Times New Roman" w:hAnsi="Times New Roman" w:eastAsia="宋体" w:cs="Times New Roman"/>
                      <w:color w:val="auto"/>
                      <w:sz w:val="21"/>
                      <w:szCs w:val="21"/>
                      <w:highlight w:val="none"/>
                      <w:lang w:val="en-US" w:eastAsia="zh-CN"/>
                    </w:rPr>
                    <w:t>，其水溶液俗称水玻璃，是一种矿黏合剂。它是一种可溶性的无机硅酸盐，是无色、略带颜色的半透明或透明块状玻璃体，具有广泛的用途。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耐火</w:t>
                  </w:r>
                </w:p>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材料</w:t>
                  </w:r>
                </w:p>
              </w:tc>
              <w:tc>
                <w:tcPr>
                  <w:tcW w:w="7667" w:type="dxa"/>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主要成分为铝矾土与石英粉。其中铝矾土主要成分为氧化铝，耐火度超过 1700℃，石英粉主要成分为二氧化硅，耐火度达到1700℃；氧化铝和二氧化硅均为无机物，浇注过程不会释放有机废气。耐火材料每月进货一次，为袋装储存。</w:t>
                  </w:r>
                </w:p>
              </w:tc>
            </w:tr>
          </w:tbl>
          <w:p>
            <w:pPr>
              <w:numPr>
                <w:ilvl w:val="0"/>
                <w:numId w:val="0"/>
              </w:numPr>
              <w:spacing w:line="480" w:lineRule="exact"/>
              <w:ind w:firstLine="480" w:firstLineChars="200"/>
              <w:rPr>
                <w:rFonts w:hint="eastAsia"/>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8</w:t>
            </w:r>
            <w:r>
              <w:rPr>
                <w:rFonts w:hint="eastAsia"/>
                <w:color w:val="auto"/>
                <w:sz w:val="24"/>
                <w:highlight w:val="none"/>
                <w:lang w:eastAsia="zh-CN"/>
              </w:rPr>
              <w:t>）</w:t>
            </w:r>
            <w:r>
              <w:rPr>
                <w:rFonts w:hint="eastAsia"/>
                <w:color w:val="auto"/>
                <w:sz w:val="24"/>
                <w:highlight w:val="none"/>
                <w:lang w:val="en-US" w:eastAsia="zh-CN"/>
              </w:rPr>
              <w:t>物料平衡</w:t>
            </w:r>
          </w:p>
          <w:p>
            <w:pPr>
              <w:pStyle w:val="40"/>
              <w:spacing w:line="480" w:lineRule="exact"/>
              <w:ind w:firstLine="480"/>
              <w:jc w:val="both"/>
              <w:rPr>
                <w:rFonts w:hint="default" w:ascii="Times New Roman" w:hAnsi="Times New Roman" w:eastAsia="宋体" w:cs="Times New Roman"/>
                <w:spacing w:val="0"/>
                <w:sz w:val="24"/>
                <w:highlight w:val="none"/>
                <w:lang w:val="en-US" w:eastAsia="zh-CN"/>
              </w:rPr>
            </w:pPr>
            <w:r>
              <w:rPr>
                <w:rFonts w:hint="eastAsia" w:ascii="Times New Roman" w:hAnsi="Times New Roman" w:eastAsia="宋体" w:cs="Times New Roman"/>
                <w:spacing w:val="0"/>
                <w:sz w:val="24"/>
                <w:highlight w:val="none"/>
                <w:lang w:val="en-US" w:eastAsia="zh-CN"/>
              </w:rPr>
              <w:t>本项目物料平衡情况见表</w:t>
            </w:r>
            <w:r>
              <w:rPr>
                <w:rFonts w:hint="eastAsia" w:cs="Times New Roman"/>
                <w:spacing w:val="0"/>
                <w:sz w:val="24"/>
                <w:highlight w:val="none"/>
                <w:lang w:val="en-US" w:eastAsia="zh-CN"/>
              </w:rPr>
              <w:t>14</w:t>
            </w:r>
            <w:r>
              <w:rPr>
                <w:rFonts w:hint="eastAsia" w:ascii="Times New Roman" w:hAnsi="Times New Roman" w:eastAsia="宋体" w:cs="Times New Roman"/>
                <w:spacing w:val="0"/>
                <w:sz w:val="24"/>
                <w:highlight w:val="none"/>
                <w:lang w:val="en-US" w:eastAsia="zh-CN"/>
              </w:rPr>
              <w:t>。</w:t>
            </w:r>
          </w:p>
          <w:p>
            <w:pPr>
              <w:spacing w:line="480" w:lineRule="exact"/>
              <w:jc w:val="center"/>
              <w:rPr>
                <w:rFonts w:hint="eastAsia" w:ascii="Times New Roman" w:hAnsi="Times New Roman" w:eastAsia="宋体" w:cs="Times New Roman"/>
                <w:b/>
                <w:bCs/>
                <w:snapToGrid w:val="0"/>
                <w:color w:val="auto"/>
                <w:sz w:val="24"/>
                <w:highlight w:val="none"/>
                <w:lang w:val="en-US" w:eastAsia="zh-CN"/>
              </w:rPr>
            </w:pPr>
          </w:p>
          <w:p>
            <w:pPr>
              <w:spacing w:line="480" w:lineRule="exact"/>
              <w:jc w:val="center"/>
              <w:rPr>
                <w:rFonts w:hint="eastAsia" w:ascii="Times New Roman" w:hAnsi="Times New Roman" w:eastAsia="宋体" w:cs="Times New Roman"/>
                <w:b/>
                <w:bCs/>
                <w:snapToGrid w:val="0"/>
                <w:color w:val="auto"/>
                <w:sz w:val="24"/>
                <w:highlight w:val="none"/>
                <w:lang w:val="en-US" w:eastAsia="zh-CN"/>
              </w:rPr>
            </w:pPr>
          </w:p>
          <w:p>
            <w:pPr>
              <w:spacing w:line="480" w:lineRule="exact"/>
              <w:jc w:val="center"/>
              <w:rPr>
                <w:rFonts w:hint="eastAsia" w:ascii="Times New Roman" w:hAnsi="Times New Roman" w:eastAsia="宋体" w:cs="Times New Roman"/>
                <w:b/>
                <w:bCs/>
                <w:snapToGrid w:val="0"/>
                <w:color w:val="auto"/>
                <w:sz w:val="24"/>
                <w:highlight w:val="none"/>
                <w:lang w:val="en-US" w:eastAsia="zh-CN"/>
              </w:rPr>
            </w:pPr>
            <w:r>
              <w:rPr>
                <w:rFonts w:hint="eastAsia" w:ascii="Times New Roman" w:hAnsi="Times New Roman" w:eastAsia="宋体" w:cs="Times New Roman"/>
                <w:b/>
                <w:bCs/>
                <w:snapToGrid w:val="0"/>
                <w:color w:val="auto"/>
                <w:sz w:val="24"/>
                <w:highlight w:val="none"/>
                <w:lang w:val="en-US" w:eastAsia="zh-CN"/>
              </w:rPr>
              <w:t>表</w:t>
            </w:r>
            <w:r>
              <w:rPr>
                <w:rFonts w:hint="eastAsia" w:cs="Times New Roman"/>
                <w:b/>
                <w:bCs/>
                <w:snapToGrid w:val="0"/>
                <w:color w:val="auto"/>
                <w:sz w:val="24"/>
                <w:highlight w:val="none"/>
                <w:lang w:val="en-US" w:eastAsia="zh-CN"/>
              </w:rPr>
              <w:t>14</w:t>
            </w:r>
            <w:r>
              <w:rPr>
                <w:rFonts w:hint="eastAsia" w:ascii="Times New Roman" w:hAnsi="Times New Roman" w:eastAsia="宋体" w:cs="Times New Roman"/>
                <w:b/>
                <w:bCs/>
                <w:snapToGrid w:val="0"/>
                <w:color w:val="auto"/>
                <w:sz w:val="24"/>
                <w:highlight w:val="none"/>
                <w:lang w:val="en-US" w:eastAsia="zh-CN"/>
              </w:rPr>
              <w:t xml:space="preserve">    物料平衡一览表    单位t/a</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44"/>
              <w:gridCol w:w="1219"/>
              <w:gridCol w:w="788"/>
              <w:gridCol w:w="211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top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2463" w:type="dxa"/>
                  <w:gridSpan w:val="2"/>
                  <w:tcBorders>
                    <w:top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投入</w:t>
                  </w:r>
                </w:p>
              </w:tc>
              <w:tc>
                <w:tcPr>
                  <w:tcW w:w="788" w:type="dxa"/>
                  <w:tcBorders>
                    <w:top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4236" w:type="dxa"/>
                  <w:gridSpan w:val="2"/>
                  <w:tcBorders>
                    <w:top w:val="single" w:color="auto" w:sz="12" w:space="0"/>
                    <w:righ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废钢</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4602.4498</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产品</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高锰钢</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熔炼渣</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石英砂</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750</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切冒口及磁选废铁</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耐火材料</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再生砂</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清渣剂</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废砂</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147.1688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水玻璃</w:t>
                  </w: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w:t>
                  </w: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除尘灰</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39.482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244"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21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788"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211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外排粉尘</w:t>
                  </w:r>
                </w:p>
              </w:tc>
              <w:tc>
                <w:tcPr>
                  <w:tcW w:w="2125" w:type="dxa"/>
                  <w:tcBorders>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gridSpan w:val="2"/>
                  <w:tcBorders>
                    <w:left w:val="nil"/>
                    <w:bottom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总计</w:t>
                  </w:r>
                </w:p>
              </w:tc>
              <w:tc>
                <w:tcPr>
                  <w:tcW w:w="1219" w:type="dxa"/>
                  <w:tcBorders>
                    <w:bottom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6407.0498</w:t>
                  </w:r>
                </w:p>
              </w:tc>
              <w:tc>
                <w:tcPr>
                  <w:tcW w:w="2899" w:type="dxa"/>
                  <w:gridSpan w:val="2"/>
                  <w:tcBorders>
                    <w:bottom w:val="single" w:color="auto" w:sz="12" w:space="0"/>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合计</w:t>
                  </w:r>
                </w:p>
              </w:tc>
              <w:tc>
                <w:tcPr>
                  <w:tcW w:w="2125" w:type="dxa"/>
                  <w:tcBorders>
                    <w:bottom w:val="single" w:color="auto" w:sz="12"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6407.0498</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highlight w:val="none"/>
              </w:rPr>
              <w:t>设备设施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lang w:val="en-US" w:eastAsia="zh-CN"/>
              </w:rPr>
              <w:t>本项目生产所需设备</w:t>
            </w:r>
            <w:r>
              <w:rPr>
                <w:rFonts w:hint="eastAsia"/>
                <w:color w:val="auto"/>
                <w:sz w:val="24"/>
                <w:highlight w:val="none"/>
              </w:rPr>
              <w:t>如下表所示。</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r>
              <w:rPr>
                <w:rFonts w:hint="default" w:ascii="Times New Roman" w:hAnsi="Times New Roman" w:eastAsia="宋体" w:cs="Times New Roman"/>
                <w:b/>
                <w:snapToGrid w:val="0"/>
                <w:color w:val="auto"/>
                <w:kern w:val="0"/>
                <w:sz w:val="24"/>
                <w:szCs w:val="22"/>
                <w:highlight w:val="none"/>
                <w:lang w:val="zh-CN"/>
              </w:rPr>
              <w:t>表</w:t>
            </w:r>
            <w:r>
              <w:rPr>
                <w:rFonts w:hint="eastAsia" w:cs="Times New Roman"/>
                <w:b/>
                <w:snapToGrid w:val="0"/>
                <w:color w:val="auto"/>
                <w:kern w:val="0"/>
                <w:sz w:val="24"/>
                <w:szCs w:val="22"/>
                <w:highlight w:val="none"/>
                <w:lang w:val="en-US" w:eastAsia="zh-CN"/>
              </w:rPr>
              <w:t>15</w:t>
            </w:r>
            <w:r>
              <w:rPr>
                <w:rFonts w:hint="default" w:ascii="Times New Roman" w:hAnsi="Times New Roman" w:eastAsia="宋体" w:cs="Times New Roman"/>
                <w:b/>
                <w:snapToGrid w:val="0"/>
                <w:color w:val="auto"/>
                <w:kern w:val="0"/>
                <w:sz w:val="24"/>
                <w:szCs w:val="22"/>
                <w:highlight w:val="none"/>
                <w:lang w:val="zh-CN"/>
              </w:rPr>
              <w:t xml:space="preserve">     项目生产设备、设施一览表</w:t>
            </w:r>
          </w:p>
          <w:tbl>
            <w:tblPr>
              <w:tblStyle w:val="33"/>
              <w:tblW w:w="85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67"/>
              <w:gridCol w:w="2627"/>
              <w:gridCol w:w="682"/>
              <w:gridCol w:w="668"/>
              <w:gridCol w:w="18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设备名称</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型号与规格</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数量</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磁</w:t>
                  </w:r>
                  <w:r>
                    <w:rPr>
                      <w:rFonts w:hint="default" w:ascii="Times New Roman" w:hAnsi="Times New Roman" w:eastAsia="宋体" w:cs="Times New Roman"/>
                      <w:color w:val="auto"/>
                      <w:sz w:val="21"/>
                      <w:szCs w:val="21"/>
                      <w:highlight w:val="none"/>
                      <w:lang w:val="en-US" w:eastAsia="zh-CN"/>
                    </w:rPr>
                    <w:t>轭钢壳感应电炉</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2t</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砂处理设备</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HPX1</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包括上料仓、振筛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斗式提升机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滚砂机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皮带输送机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钢水包</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个</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水环真空泵</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碾轮式混砂机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震击式造型机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天车</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角磨机</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退火炉</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RTP001</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脉冲袋式除尘器</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40000m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/h，过滤风速为</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m/min，过滤面积667m</w:t>
                  </w:r>
                  <w:r>
                    <w:rPr>
                      <w:rFonts w:hint="eastAsia" w:ascii="Times New Roman" w:hAnsi="Times New Roman" w:eastAsia="宋体" w:cs="Times New Roman"/>
                      <w:color w:val="auto"/>
                      <w:sz w:val="21"/>
                      <w:szCs w:val="21"/>
                      <w:highlight w:val="none"/>
                      <w:vertAlign w:val="superscript"/>
                      <w:lang w:val="en-US" w:eastAsia="zh-CN"/>
                    </w:rPr>
                    <w:t>2</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用于</w:t>
                  </w:r>
                  <w:r>
                    <w:rPr>
                      <w:rFonts w:hint="eastAsia" w:ascii="Times New Roman" w:hAnsi="Times New Roman" w:eastAsia="宋体" w:cs="Times New Roman"/>
                      <w:color w:val="auto"/>
                      <w:sz w:val="21"/>
                      <w:szCs w:val="21"/>
                      <w:highlight w:val="none"/>
                      <w:lang w:val="en-US" w:eastAsia="zh-CN"/>
                    </w:rPr>
                    <w:t>顶吸+砂再生</w:t>
                  </w:r>
                  <w:r>
                    <w:rPr>
                      <w:rFonts w:hint="eastAsia" w:cs="Times New Roman"/>
                      <w:color w:val="auto"/>
                      <w:sz w:val="21"/>
                      <w:szCs w:val="21"/>
                      <w:highlight w:val="none"/>
                      <w:lang w:val="en-US" w:eastAsia="zh-CN"/>
                    </w:rPr>
                    <w:t>+二次除尘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脉冲袋式除尘器</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/h，过滤风速为</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m/min，过滤面积</w:t>
                  </w:r>
                  <w:r>
                    <w:rPr>
                      <w:rFonts w:hint="eastAsia" w:cs="Times New Roman"/>
                      <w:color w:val="auto"/>
                      <w:sz w:val="21"/>
                      <w:szCs w:val="21"/>
                      <w:highlight w:val="none"/>
                      <w:lang w:val="en-US" w:eastAsia="zh-CN"/>
                    </w:rPr>
                    <w:t>167</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用于</w:t>
                  </w:r>
                  <w:r>
                    <w:rPr>
                      <w:rFonts w:hint="eastAsia" w:ascii="Times New Roman" w:hAnsi="Times New Roman" w:eastAsia="宋体" w:cs="Times New Roman"/>
                      <w:color w:val="auto"/>
                      <w:sz w:val="21"/>
                      <w:szCs w:val="21"/>
                      <w:highlight w:val="none"/>
                      <w:lang w:val="en-US" w:eastAsia="zh-CN"/>
                    </w:rPr>
                    <w:t>熔炼</w:t>
                  </w:r>
                  <w:r>
                    <w:rPr>
                      <w:rFonts w:hint="eastAsia" w:cs="Times New Roman"/>
                      <w:color w:val="auto"/>
                      <w:sz w:val="21"/>
                      <w:szCs w:val="21"/>
                      <w:highlight w:val="none"/>
                      <w:lang w:val="en-US" w:eastAsia="zh-CN"/>
                    </w:rPr>
                    <w:t>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变压器</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S7-500/10</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放射性检测仪</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便携式</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废钢放射性检测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1154"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铲车</w:t>
                  </w:r>
                </w:p>
              </w:tc>
              <w:tc>
                <w:tcPr>
                  <w:tcW w:w="154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国四</w:t>
                  </w:r>
                </w:p>
              </w:tc>
              <w:tc>
                <w:tcPr>
                  <w:tcW w:w="40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辆</w:t>
                  </w:r>
                </w:p>
              </w:tc>
              <w:tc>
                <w:tcPr>
                  <w:tcW w:w="392"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061"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10</w:t>
            </w:r>
            <w:r>
              <w:rPr>
                <w:rFonts w:hint="eastAsia"/>
                <w:color w:val="auto"/>
                <w:sz w:val="24"/>
                <w:szCs w:val="24"/>
                <w:highlight w:val="none"/>
                <w:lang w:eastAsia="zh-CN"/>
              </w:rPr>
              <w:t>）工作制度：</w:t>
            </w:r>
            <w:r>
              <w:rPr>
                <w:rFonts w:hint="default" w:ascii="Times New Roman" w:hAnsi="Times New Roman" w:cs="Times New Roman"/>
                <w:snapToGrid w:val="0"/>
                <w:color w:val="auto"/>
                <w:kern w:val="0"/>
                <w:sz w:val="24"/>
                <w:highlight w:val="none"/>
              </w:rPr>
              <w:t>项目全年工作日</w:t>
            </w:r>
            <w:r>
              <w:rPr>
                <w:rFonts w:hint="eastAsia" w:cs="Times New Roman"/>
                <w:snapToGrid w:val="0"/>
                <w:color w:val="auto"/>
                <w:kern w:val="0"/>
                <w:sz w:val="24"/>
                <w:highlight w:val="none"/>
                <w:lang w:val="en-US" w:eastAsia="zh-CN"/>
              </w:rPr>
              <w:t>300</w:t>
            </w:r>
            <w:r>
              <w:rPr>
                <w:rFonts w:hint="default" w:ascii="Times New Roman" w:hAnsi="Times New Roman" w:cs="Times New Roman"/>
                <w:snapToGrid w:val="0"/>
                <w:color w:val="auto"/>
                <w:kern w:val="0"/>
                <w:sz w:val="24"/>
                <w:highlight w:val="none"/>
              </w:rPr>
              <w:t>天，</w:t>
            </w:r>
            <w:r>
              <w:rPr>
                <w:rFonts w:hint="default" w:ascii="Times New Roman" w:hAnsi="Times New Roman" w:cs="Times New Roman"/>
                <w:snapToGrid w:val="0"/>
                <w:color w:val="auto"/>
                <w:kern w:val="0"/>
                <w:sz w:val="24"/>
                <w:highlight w:val="none"/>
                <w:lang w:eastAsia="zh-CN"/>
              </w:rPr>
              <w:t>每天</w:t>
            </w:r>
            <w:r>
              <w:rPr>
                <w:rFonts w:hint="eastAsia" w:cs="Times New Roman"/>
                <w:snapToGrid w:val="0"/>
                <w:color w:val="auto"/>
                <w:kern w:val="0"/>
                <w:sz w:val="24"/>
                <w:highlight w:val="none"/>
                <w:lang w:val="en-US" w:eastAsia="zh-CN"/>
              </w:rPr>
              <w:t>1</w:t>
            </w:r>
            <w:r>
              <w:rPr>
                <w:rFonts w:hint="default" w:ascii="Times New Roman" w:hAnsi="Times New Roman" w:cs="Times New Roman"/>
                <w:snapToGrid w:val="0"/>
                <w:color w:val="auto"/>
                <w:kern w:val="0"/>
                <w:sz w:val="24"/>
                <w:highlight w:val="none"/>
                <w:lang w:eastAsia="zh-CN"/>
              </w:rPr>
              <w:t>班、每班</w:t>
            </w:r>
            <w:r>
              <w:rPr>
                <w:rFonts w:hint="default" w:ascii="Times New Roman" w:hAnsi="Times New Roman" w:cs="Times New Roman"/>
                <w:snapToGrid w:val="0"/>
                <w:color w:val="auto"/>
                <w:kern w:val="0"/>
                <w:sz w:val="24"/>
                <w:highlight w:val="none"/>
                <w:lang w:val="en-US" w:eastAsia="zh-CN"/>
              </w:rPr>
              <w:t>8小时工作制</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年有效工作</w:t>
            </w:r>
            <w:r>
              <w:rPr>
                <w:rFonts w:hint="eastAsia" w:ascii="Times New Roman" w:hAnsi="Times New Roman" w:cs="Times New Roman"/>
                <w:bCs/>
                <w:color w:val="auto"/>
                <w:sz w:val="24"/>
                <w:highlight w:val="none"/>
                <w:lang w:val="en-US" w:eastAsia="zh-CN"/>
              </w:rPr>
              <w:t>24</w:t>
            </w:r>
            <w:r>
              <w:rPr>
                <w:rFonts w:hint="default" w:ascii="Times New Roman" w:hAnsi="Times New Roman" w:cs="Times New Roman"/>
                <w:bCs/>
                <w:color w:val="auto"/>
                <w:sz w:val="24"/>
                <w:highlight w:val="none"/>
                <w:lang w:val="en-US" w:eastAsia="zh-CN"/>
              </w:rPr>
              <w:t>00h</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11</w:t>
            </w:r>
            <w:r>
              <w:rPr>
                <w:rFonts w:hint="eastAsia"/>
                <w:color w:val="auto"/>
                <w:sz w:val="24"/>
                <w:szCs w:val="24"/>
                <w:highlight w:val="none"/>
                <w:lang w:eastAsia="zh-CN"/>
              </w:rPr>
              <w:t>）劳动定员</w:t>
            </w:r>
            <w:r>
              <w:rPr>
                <w:color w:val="auto"/>
                <w:sz w:val="24"/>
                <w:szCs w:val="24"/>
                <w:highlight w:val="none"/>
              </w:rPr>
              <w:t>：</w:t>
            </w:r>
            <w:r>
              <w:rPr>
                <w:rFonts w:hint="default" w:ascii="Times New Roman" w:hAnsi="Times New Roman" w:cs="Times New Roman"/>
                <w:snapToGrid w:val="0"/>
                <w:color w:val="auto"/>
                <w:kern w:val="0"/>
                <w:sz w:val="24"/>
                <w:highlight w:val="none"/>
              </w:rPr>
              <w:t>本项目劳动定员</w:t>
            </w:r>
            <w:r>
              <w:rPr>
                <w:rFonts w:hint="eastAsia" w:cs="Times New Roman"/>
                <w:snapToGrid w:val="0"/>
                <w:color w:val="auto"/>
                <w:kern w:val="0"/>
                <w:sz w:val="24"/>
                <w:highlight w:val="none"/>
                <w:lang w:val="en-US" w:eastAsia="zh-CN"/>
              </w:rPr>
              <w:t>20</w:t>
            </w:r>
            <w:r>
              <w:rPr>
                <w:rFonts w:hint="default" w:ascii="Times New Roman" w:hAnsi="Times New Roman" w:cs="Times New Roman"/>
                <w:snapToGrid w:val="0"/>
                <w:color w:val="auto"/>
                <w:kern w:val="0"/>
                <w:sz w:val="24"/>
                <w:highlight w:val="none"/>
                <w:lang w:val="en-US" w:eastAsia="zh-CN"/>
              </w:rPr>
              <w:t>人</w:t>
            </w:r>
            <w:r>
              <w:rPr>
                <w:rFonts w:hint="eastAsia" w:cs="Times New Roman"/>
                <w:snapToGrid w:val="0"/>
                <w:color w:val="auto"/>
                <w:kern w:val="0"/>
                <w:sz w:val="24"/>
                <w:highlight w:val="none"/>
                <w:lang w:val="en-US" w:eastAsia="zh-CN"/>
              </w:rPr>
              <w:t>，其中管理人员2人，工作人员18人</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12</w:t>
            </w:r>
            <w:r>
              <w:rPr>
                <w:rFonts w:hint="eastAsia"/>
                <w:color w:val="auto"/>
                <w:sz w:val="24"/>
                <w:szCs w:val="24"/>
                <w:highlight w:val="none"/>
                <w:lang w:eastAsia="zh-CN"/>
              </w:rPr>
              <w:t>）</w:t>
            </w:r>
            <w:r>
              <w:rPr>
                <w:rFonts w:hint="eastAsia"/>
                <w:color w:val="auto"/>
                <w:sz w:val="24"/>
                <w:szCs w:val="24"/>
                <w:highlight w:val="none"/>
              </w:rPr>
              <w:t>周边关系</w:t>
            </w:r>
            <w:r>
              <w:rPr>
                <w:color w:val="auto"/>
                <w:sz w:val="24"/>
                <w:szCs w:val="24"/>
                <w:highlight w:val="none"/>
              </w:rPr>
              <w:t>：</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租用现有车间利旧改新进行建设，厂区北侧为生产厂区，西侧、南侧均为坑地，东侧为待用空地</w:t>
            </w:r>
            <w:r>
              <w:rPr>
                <w:color w:val="auto"/>
                <w:sz w:val="24"/>
                <w:szCs w:val="24"/>
                <w:highlight w:val="none"/>
              </w:rPr>
              <w:t>。</w:t>
            </w:r>
            <w:r>
              <w:rPr>
                <w:rFonts w:hint="eastAsia"/>
                <w:color w:val="auto"/>
                <w:sz w:val="24"/>
                <w:szCs w:val="24"/>
                <w:highlight w:val="none"/>
                <w:lang w:val="en-US" w:eastAsia="zh-CN"/>
              </w:rPr>
              <w:t>项目最近敏感点为项目南侧63m、西侧82m处的团练屯村。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13</w:t>
            </w:r>
            <w:r>
              <w:rPr>
                <w:rFonts w:hint="eastAsia"/>
                <w:color w:val="auto"/>
                <w:sz w:val="24"/>
                <w:szCs w:val="24"/>
                <w:highlight w:val="none"/>
                <w:lang w:eastAsia="zh-CN"/>
              </w:rPr>
              <w:t>）</w:t>
            </w:r>
            <w:r>
              <w:rPr>
                <w:color w:val="auto"/>
                <w:sz w:val="24"/>
                <w:szCs w:val="24"/>
                <w:highlight w:val="none"/>
              </w:rPr>
              <w:t>平面布置：</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大门设置于厂区西侧，生产车间位于厂区东侧，原料储存区设置于生产车间北部、生产区位于车间中部，成品储存区位于车间南部。危险废物暂存间位于车间内东南角</w:t>
            </w:r>
            <w:r>
              <w:rPr>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、公辅工程：</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给排水</w:t>
            </w:r>
            <w:r>
              <w:rPr>
                <w:rFonts w:hint="eastAsia"/>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用水由厂区内原有水井供给。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eastAsia="宋体"/>
                <w:spacing w:val="0"/>
                <w:sz w:val="24"/>
                <w:highlight w:val="none"/>
              </w:rPr>
              <w:t>项目生产用水主要为中频炉</w:t>
            </w:r>
            <w:r>
              <w:rPr>
                <w:rFonts w:hint="eastAsia" w:eastAsia="宋体"/>
                <w:spacing w:val="0"/>
                <w:sz w:val="24"/>
                <w:highlight w:val="none"/>
                <w:lang w:eastAsia="zh-CN"/>
              </w:rPr>
              <w:t>、</w:t>
            </w:r>
            <w:r>
              <w:rPr>
                <w:rFonts w:hint="eastAsia" w:eastAsia="宋体"/>
                <w:spacing w:val="0"/>
                <w:sz w:val="24"/>
                <w:highlight w:val="none"/>
                <w:lang w:val="en-US" w:eastAsia="zh-CN"/>
              </w:rPr>
              <w:t>退火炉</w:t>
            </w:r>
            <w:r>
              <w:rPr>
                <w:rFonts w:eastAsia="宋体"/>
                <w:spacing w:val="0"/>
                <w:sz w:val="24"/>
                <w:highlight w:val="none"/>
              </w:rPr>
              <w:t>循环冷却用水。中频炉循环冷却水每天补充</w:t>
            </w:r>
            <w:r>
              <w:rPr>
                <w:rFonts w:hint="eastAsia" w:eastAsia="宋体"/>
                <w:spacing w:val="0"/>
                <w:sz w:val="24"/>
                <w:highlight w:val="none"/>
                <w:lang w:val="en-US" w:eastAsia="zh-CN"/>
              </w:rPr>
              <w:t>5</w:t>
            </w:r>
            <w:r>
              <w:rPr>
                <w:rFonts w:eastAsia="宋体"/>
                <w:bCs/>
                <w:spacing w:val="0"/>
                <w:sz w:val="24"/>
                <w:highlight w:val="none"/>
              </w:rPr>
              <w:t>m</w:t>
            </w:r>
            <w:r>
              <w:rPr>
                <w:rFonts w:eastAsia="宋体"/>
                <w:bCs/>
                <w:spacing w:val="0"/>
                <w:sz w:val="24"/>
                <w:highlight w:val="none"/>
                <w:vertAlign w:val="superscript"/>
              </w:rPr>
              <w:t>3</w:t>
            </w:r>
            <w:r>
              <w:rPr>
                <w:rFonts w:eastAsia="宋体"/>
                <w:bCs/>
                <w:spacing w:val="0"/>
                <w:sz w:val="24"/>
                <w:highlight w:val="none"/>
              </w:rPr>
              <w:t>/d</w:t>
            </w:r>
            <w:r>
              <w:rPr>
                <w:rFonts w:eastAsia="宋体"/>
                <w:spacing w:val="0"/>
                <w:sz w:val="24"/>
                <w:highlight w:val="none"/>
              </w:rPr>
              <w:t>新鲜水，循环水量60</w:t>
            </w:r>
            <w:r>
              <w:rPr>
                <w:rFonts w:eastAsia="宋体"/>
                <w:bCs/>
                <w:spacing w:val="0"/>
                <w:sz w:val="24"/>
                <w:highlight w:val="none"/>
              </w:rPr>
              <w:t>m</w:t>
            </w:r>
            <w:r>
              <w:rPr>
                <w:rFonts w:eastAsia="宋体"/>
                <w:bCs/>
                <w:spacing w:val="0"/>
                <w:sz w:val="24"/>
                <w:highlight w:val="none"/>
                <w:vertAlign w:val="superscript"/>
              </w:rPr>
              <w:t>3</w:t>
            </w:r>
            <w:r>
              <w:rPr>
                <w:rFonts w:eastAsia="宋体"/>
                <w:bCs/>
                <w:spacing w:val="0"/>
                <w:sz w:val="24"/>
                <w:highlight w:val="none"/>
              </w:rPr>
              <w:t>/d</w:t>
            </w:r>
            <w:r>
              <w:rPr>
                <w:rFonts w:eastAsia="宋体"/>
                <w:spacing w:val="0"/>
                <w:sz w:val="24"/>
                <w:highlight w:val="none"/>
              </w:rPr>
              <w:t>；</w:t>
            </w:r>
            <w:r>
              <w:rPr>
                <w:rFonts w:hint="eastAsia" w:eastAsia="宋体"/>
                <w:spacing w:val="0"/>
                <w:sz w:val="24"/>
                <w:highlight w:val="none"/>
                <w:lang w:val="en-US" w:eastAsia="zh-CN"/>
              </w:rPr>
              <w:t>退火工序</w:t>
            </w:r>
            <w:r>
              <w:rPr>
                <w:rFonts w:eastAsia="宋体"/>
                <w:spacing w:val="0"/>
                <w:sz w:val="24"/>
                <w:highlight w:val="none"/>
              </w:rPr>
              <w:t>循环冷却水每天补充</w:t>
            </w:r>
            <w:r>
              <w:rPr>
                <w:rFonts w:hint="eastAsia" w:eastAsia="宋体"/>
                <w:spacing w:val="0"/>
                <w:sz w:val="24"/>
                <w:highlight w:val="none"/>
                <w:lang w:val="en-US" w:eastAsia="zh-CN"/>
              </w:rPr>
              <w:t>0.5</w:t>
            </w:r>
            <w:r>
              <w:rPr>
                <w:rFonts w:eastAsia="宋体"/>
                <w:bCs/>
                <w:spacing w:val="0"/>
                <w:sz w:val="24"/>
                <w:highlight w:val="none"/>
              </w:rPr>
              <w:t>m</w:t>
            </w:r>
            <w:r>
              <w:rPr>
                <w:rFonts w:eastAsia="宋体"/>
                <w:bCs/>
                <w:spacing w:val="0"/>
                <w:sz w:val="24"/>
                <w:highlight w:val="none"/>
                <w:vertAlign w:val="superscript"/>
              </w:rPr>
              <w:t>3</w:t>
            </w:r>
            <w:r>
              <w:rPr>
                <w:rFonts w:eastAsia="宋体"/>
                <w:spacing w:val="0"/>
                <w:sz w:val="24"/>
                <w:highlight w:val="none"/>
              </w:rPr>
              <w:t>新鲜水，循环水量30</w:t>
            </w:r>
            <w:r>
              <w:rPr>
                <w:rFonts w:eastAsia="宋体"/>
                <w:bCs/>
                <w:spacing w:val="0"/>
                <w:sz w:val="24"/>
                <w:highlight w:val="none"/>
              </w:rPr>
              <w:t>m</w:t>
            </w:r>
            <w:r>
              <w:rPr>
                <w:rFonts w:eastAsia="宋体"/>
                <w:bCs/>
                <w:spacing w:val="0"/>
                <w:sz w:val="24"/>
                <w:highlight w:val="none"/>
                <w:vertAlign w:val="superscript"/>
              </w:rPr>
              <w:t>3</w:t>
            </w:r>
            <w:r>
              <w:rPr>
                <w:rFonts w:eastAsia="宋体"/>
                <w:bCs/>
                <w:spacing w:val="0"/>
                <w:sz w:val="24"/>
                <w:highlight w:val="none"/>
              </w:rPr>
              <w:t>/d</w:t>
            </w:r>
            <w:r>
              <w:rPr>
                <w:rFonts w:eastAsia="宋体"/>
                <w:spacing w:val="0"/>
                <w:sz w:val="24"/>
                <w:highlight w:val="none"/>
              </w:rPr>
              <w:t>，则生产用水量90</w:t>
            </w:r>
            <w:r>
              <w:rPr>
                <w:rFonts w:eastAsia="宋体"/>
                <w:bCs/>
                <w:spacing w:val="0"/>
                <w:sz w:val="24"/>
                <w:highlight w:val="none"/>
              </w:rPr>
              <w:t>m</w:t>
            </w:r>
            <w:r>
              <w:rPr>
                <w:rFonts w:eastAsia="宋体"/>
                <w:bCs/>
                <w:spacing w:val="0"/>
                <w:sz w:val="24"/>
                <w:highlight w:val="none"/>
                <w:vertAlign w:val="superscript"/>
              </w:rPr>
              <w:t>3</w:t>
            </w:r>
            <w:r>
              <w:rPr>
                <w:rFonts w:eastAsia="宋体"/>
                <w:bCs/>
                <w:spacing w:val="0"/>
                <w:sz w:val="24"/>
                <w:highlight w:val="none"/>
              </w:rPr>
              <w:t>/d</w:t>
            </w:r>
            <w:r>
              <w:rPr>
                <w:rFonts w:eastAsia="宋体"/>
                <w:spacing w:val="0"/>
                <w:sz w:val="24"/>
                <w:highlight w:val="none"/>
              </w:rPr>
              <w:t>，新鲜水用水量</w:t>
            </w:r>
            <w:r>
              <w:rPr>
                <w:rFonts w:hint="eastAsia" w:eastAsia="宋体"/>
                <w:spacing w:val="0"/>
                <w:sz w:val="24"/>
                <w:highlight w:val="none"/>
                <w:lang w:val="en-US" w:eastAsia="zh-CN"/>
              </w:rPr>
              <w:t>5.5</w:t>
            </w:r>
            <w:r>
              <w:rPr>
                <w:rFonts w:eastAsia="宋体"/>
                <w:bCs/>
                <w:spacing w:val="0"/>
                <w:sz w:val="24"/>
                <w:highlight w:val="none"/>
              </w:rPr>
              <w:t>m</w:t>
            </w:r>
            <w:r>
              <w:rPr>
                <w:rFonts w:eastAsia="宋体"/>
                <w:bCs/>
                <w:spacing w:val="0"/>
                <w:sz w:val="24"/>
                <w:highlight w:val="none"/>
                <w:vertAlign w:val="superscript"/>
              </w:rPr>
              <w:t>3</w:t>
            </w:r>
            <w:r>
              <w:rPr>
                <w:rFonts w:eastAsia="宋体"/>
                <w:bCs/>
                <w:spacing w:val="0"/>
                <w:sz w:val="24"/>
                <w:highlight w:val="none"/>
              </w:rPr>
              <w:t>/d</w:t>
            </w:r>
            <w:r>
              <w:rPr>
                <w:rFonts w:eastAsia="宋体"/>
                <w:spacing w:val="0"/>
                <w:sz w:val="24"/>
                <w:highlight w:val="none"/>
              </w:rPr>
              <w:t>，生产中循环水利用率为9</w:t>
            </w:r>
            <w:r>
              <w:rPr>
                <w:rFonts w:hint="eastAsia" w:eastAsia="宋体"/>
                <w:spacing w:val="0"/>
                <w:sz w:val="24"/>
                <w:highlight w:val="none"/>
                <w:lang w:val="en-US" w:eastAsia="zh-CN"/>
              </w:rPr>
              <w:t>4</w:t>
            </w:r>
            <w:r>
              <w:rPr>
                <w:rFonts w:eastAsia="宋体"/>
                <w:spacing w:val="0"/>
                <w:sz w:val="24"/>
                <w:highlight w:val="none"/>
              </w:rPr>
              <w:t>%。根据《河北省用水定额》，员工生活用水按10L/人·d计</w:t>
            </w:r>
            <w:r>
              <w:rPr>
                <w:rFonts w:eastAsia="宋体"/>
                <w:bCs/>
                <w:spacing w:val="0"/>
                <w:sz w:val="24"/>
                <w:highlight w:val="none"/>
              </w:rPr>
              <w:t>，生活用水量为0.2m</w:t>
            </w:r>
            <w:r>
              <w:rPr>
                <w:rFonts w:eastAsia="宋体"/>
                <w:bCs/>
                <w:spacing w:val="0"/>
                <w:sz w:val="24"/>
                <w:highlight w:val="none"/>
                <w:vertAlign w:val="superscript"/>
              </w:rPr>
              <w:t>3</w:t>
            </w:r>
            <w:r>
              <w:rPr>
                <w:rFonts w:eastAsia="宋体"/>
                <w:bCs/>
                <w:spacing w:val="0"/>
                <w:sz w:val="24"/>
                <w:highlight w:val="none"/>
              </w:rPr>
              <w:t>/d</w:t>
            </w:r>
            <w:r>
              <w:rPr>
                <w:rFonts w:hint="eastAsia"/>
                <w:bCs/>
                <w:spacing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pacing w:val="0"/>
                <w:sz w:val="24"/>
                <w:highlight w:val="none"/>
                <w:lang w:val="en-US" w:eastAsia="zh-CN"/>
              </w:rPr>
            </w:pPr>
            <w:r>
              <w:rPr>
                <w:rFonts w:ascii="Times New Roman" w:hAnsi="Times New Roman" w:eastAsia="宋体" w:cs="Times New Roman"/>
                <w:spacing w:val="0"/>
                <w:sz w:val="24"/>
                <w:highlight w:val="none"/>
              </w:rPr>
              <w:t>本项目生产用水循环利用、不外排；</w:t>
            </w:r>
            <w:r>
              <w:rPr>
                <w:rFonts w:hint="eastAsia" w:ascii="Times New Roman" w:hAnsi="Times New Roman" w:eastAsia="宋体" w:cs="Times New Roman"/>
                <w:spacing w:val="0"/>
                <w:sz w:val="24"/>
                <w:highlight w:val="none"/>
                <w:lang w:val="en-US" w:eastAsia="zh-CN"/>
              </w:rPr>
              <w:t>员工盥洗废水就地泼洒抑尘。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本项目用排水平衡</w:t>
            </w:r>
            <w:r>
              <w:rPr>
                <w:rFonts w:hint="eastAsia" w:cs="Times New Roman"/>
                <w:color w:val="auto"/>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16</w:t>
            </w:r>
            <w:r>
              <w:rPr>
                <w:rFonts w:hint="default" w:ascii="Times New Roman" w:hAnsi="Times New Roman" w:eastAsia="宋体" w:cs="Times New Roman"/>
                <w:b/>
                <w:color w:val="auto"/>
                <w:sz w:val="24"/>
                <w:highlight w:val="none"/>
              </w:rPr>
              <w:t xml:space="preserve">      项目用</w:t>
            </w:r>
            <w:r>
              <w:rPr>
                <w:rFonts w:hint="default" w:ascii="Times New Roman" w:hAnsi="Times New Roman" w:eastAsia="宋体" w:cs="Times New Roman"/>
                <w:b/>
                <w:color w:val="auto"/>
                <w:sz w:val="24"/>
                <w:highlight w:val="none"/>
                <w:lang w:val="en-US" w:eastAsia="zh-CN"/>
              </w:rPr>
              <w:t>排</w:t>
            </w:r>
            <w:r>
              <w:rPr>
                <w:rFonts w:hint="default" w:ascii="Times New Roman" w:hAnsi="Times New Roman" w:eastAsia="宋体" w:cs="Times New Roman"/>
                <w:b/>
                <w:color w:val="auto"/>
                <w:sz w:val="24"/>
                <w:highlight w:val="none"/>
              </w:rPr>
              <w:t>水量一览表</w:t>
            </w:r>
          </w:p>
          <w:tbl>
            <w:tblPr>
              <w:tblStyle w:val="33"/>
              <w:tblW w:w="83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0"/>
              <w:gridCol w:w="1134"/>
              <w:gridCol w:w="914"/>
              <w:gridCol w:w="1077"/>
              <w:gridCol w:w="914"/>
              <w:gridCol w:w="873"/>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restar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677"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总用水量</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新水量</w:t>
                  </w:r>
                </w:p>
              </w:tc>
              <w:tc>
                <w:tcPr>
                  <w:tcW w:w="643"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循环</w:t>
                  </w:r>
                  <w:r>
                    <w:rPr>
                      <w:rFonts w:hint="default" w:ascii="Times New Roman" w:hAnsi="Times New Roman" w:eastAsia="宋体" w:cs="Times New Roman"/>
                      <w:b/>
                      <w:caps/>
                      <w:color w:val="auto"/>
                      <w:sz w:val="21"/>
                      <w:szCs w:val="21"/>
                      <w:highlight w:val="none"/>
                    </w:rPr>
                    <w:t>水量</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损耗量</w:t>
                  </w:r>
                </w:p>
              </w:tc>
              <w:tc>
                <w:tcPr>
                  <w:tcW w:w="521"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废</w:t>
                  </w:r>
                  <w:r>
                    <w:rPr>
                      <w:rFonts w:hint="default" w:ascii="Times New Roman" w:hAnsi="Times New Roman" w:eastAsia="宋体" w:cs="Times New Roman"/>
                      <w:b/>
                      <w:caps/>
                      <w:color w:val="auto"/>
                      <w:sz w:val="21"/>
                      <w:szCs w:val="21"/>
                      <w:highlight w:val="none"/>
                    </w:rPr>
                    <w:t>水量</w:t>
                  </w:r>
                </w:p>
              </w:tc>
              <w:tc>
                <w:tcPr>
                  <w:tcW w:w="990" w:type="pct"/>
                  <w:vMerge w:val="restart"/>
                  <w:tcBorders>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continue"/>
                  <w:tcBorders>
                    <w:lef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p>
              </w:tc>
              <w:tc>
                <w:tcPr>
                  <w:tcW w:w="677"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643"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21"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990" w:type="pct"/>
                  <w:vMerge w:val="continue"/>
                  <w:tcBorders>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restart"/>
                  <w:tcBorders>
                    <w:lef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生产</w:t>
                  </w:r>
                </w:p>
              </w:tc>
              <w:tc>
                <w:tcPr>
                  <w:tcW w:w="651" w:type="pct"/>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退火工序</w:t>
                  </w:r>
                </w:p>
              </w:tc>
              <w:tc>
                <w:tcPr>
                  <w:tcW w:w="677"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30</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0.5</w:t>
                  </w:r>
                </w:p>
              </w:tc>
              <w:tc>
                <w:tcPr>
                  <w:tcW w:w="643"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29.5</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0.5</w:t>
                  </w:r>
                </w:p>
              </w:tc>
              <w:tc>
                <w:tcPr>
                  <w:tcW w:w="521"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990" w:type="pct"/>
                  <w:vMerge w:val="restart"/>
                  <w:tcBorders>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经冷却后循环利用不外排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23" w:type="pct"/>
                  <w:vMerge w:val="continue"/>
                  <w:tcBorders>
                    <w:lef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rPr>
                  </w:pPr>
                </w:p>
              </w:tc>
              <w:tc>
                <w:tcPr>
                  <w:tcW w:w="651" w:type="pct"/>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电炉冷却</w:t>
                  </w:r>
                </w:p>
              </w:tc>
              <w:tc>
                <w:tcPr>
                  <w:tcW w:w="677"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60</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643"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55</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521"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990" w:type="pct"/>
                  <w:vMerge w:val="continue"/>
                  <w:tcBorders>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aps/>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23" w:type="pct"/>
                  <w:tcBorders>
                    <w:lef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生活</w:t>
                  </w:r>
                </w:p>
              </w:tc>
              <w:tc>
                <w:tcPr>
                  <w:tcW w:w="651" w:type="pct"/>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生活用水</w:t>
                  </w:r>
                </w:p>
              </w:tc>
              <w:tc>
                <w:tcPr>
                  <w:tcW w:w="677"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0.2</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0.2</w:t>
                  </w:r>
                </w:p>
              </w:tc>
              <w:tc>
                <w:tcPr>
                  <w:tcW w:w="643"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w:t>
                  </w:r>
                </w:p>
              </w:tc>
              <w:tc>
                <w:tcPr>
                  <w:tcW w:w="546"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0.04</w:t>
                  </w:r>
                </w:p>
              </w:tc>
              <w:tc>
                <w:tcPr>
                  <w:tcW w:w="521" w:type="pct"/>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0.16</w:t>
                  </w:r>
                </w:p>
              </w:tc>
              <w:tc>
                <w:tcPr>
                  <w:tcW w:w="990" w:type="pct"/>
                  <w:tcBorders>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就地泼洒抑尘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lef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合计</w:t>
                  </w:r>
                </w:p>
              </w:tc>
              <w:tc>
                <w:tcPr>
                  <w:tcW w:w="1134" w:type="dxa"/>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90.2</w:t>
                  </w:r>
                </w:p>
              </w:tc>
              <w:tc>
                <w:tcPr>
                  <w:tcW w:w="914" w:type="dxa"/>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5.7</w:t>
                  </w:r>
                </w:p>
              </w:tc>
              <w:tc>
                <w:tcPr>
                  <w:tcW w:w="1077" w:type="dxa"/>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84.5</w:t>
                  </w:r>
                </w:p>
              </w:tc>
              <w:tc>
                <w:tcPr>
                  <w:tcW w:w="914" w:type="dxa"/>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5.54</w:t>
                  </w:r>
                </w:p>
              </w:tc>
              <w:tc>
                <w:tcPr>
                  <w:tcW w:w="873" w:type="dxa"/>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0.16</w:t>
                  </w:r>
                </w:p>
              </w:tc>
              <w:tc>
                <w:tcPr>
                  <w:tcW w:w="990" w:type="pct"/>
                  <w:tcBorders>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lang w:eastAsia="zh-CN" w:bidi="ar"/>
              </w:rPr>
            </w:pPr>
            <w:r>
              <w:rPr>
                <w:rFonts w:hint="default" w:ascii="Times New Roman" w:hAnsi="Times New Roman" w:eastAsia="宋体" w:cs="Times New Roman"/>
                <w:b/>
                <w:color w:val="auto"/>
                <w:sz w:val="24"/>
                <w:highlight w:val="none"/>
                <w:lang w:eastAsia="zh-CN" w:bidi="ar"/>
              </w:rPr>
              <w:object>
                <v:shape id="_x0000_i1027" o:spt="75" alt="" type="#_x0000_t75" style="height:145.3pt;width:241.95pt;" o:ole="t" filled="f" o:preferrelative="t" stroked="f" coordsize="21600,21600">
                  <v:path/>
                  <v:fill on="f" focussize="0,0"/>
                  <v:stroke on="f"/>
                  <v:imagedata r:id="rId9" o:title=""/>
                  <o:lock v:ext="edit" aspectratio="f"/>
                  <w10:wrap type="none"/>
                  <w10:anchorlock/>
                </v:shape>
                <o:OLEObject Type="Embed" ProgID="Visio.Drawing.11" ShapeID="_x0000_i1027" DrawAspect="Content" ObjectID="_1468075725" r:id="rId8">
                  <o:LockedField>false</o:LockedField>
                </o:OLEObject>
              </w:objec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bidi="ar"/>
              </w:rPr>
              <w:t>图</w:t>
            </w:r>
            <w:r>
              <w:rPr>
                <w:rFonts w:hint="eastAsia" w:cs="Times New Roman"/>
                <w:b/>
                <w:color w:val="auto"/>
                <w:sz w:val="24"/>
                <w:highlight w:val="none"/>
                <w:lang w:val="en-US" w:eastAsia="zh-CN" w:bidi="ar"/>
              </w:rPr>
              <w:t>1</w:t>
            </w:r>
            <w:r>
              <w:rPr>
                <w:rFonts w:hint="default" w:ascii="Times New Roman" w:hAnsi="Times New Roman" w:eastAsia="宋体" w:cs="Times New Roman"/>
                <w:b/>
                <w:color w:val="auto"/>
                <w:sz w:val="24"/>
                <w:highlight w:val="none"/>
                <w:lang w:val="en-US" w:eastAsia="zh-CN" w:bidi="ar"/>
              </w:rPr>
              <w:t xml:space="preserve">  项目水平衡图  单位m</w:t>
            </w:r>
            <w:r>
              <w:rPr>
                <w:rFonts w:hint="default" w:ascii="Times New Roman" w:hAnsi="Times New Roman" w:eastAsia="宋体" w:cs="Times New Roman"/>
                <w:b/>
                <w:color w:val="auto"/>
                <w:sz w:val="24"/>
                <w:highlight w:val="none"/>
                <w:vertAlign w:val="superscript"/>
                <w:lang w:val="en-US" w:eastAsia="zh-CN" w:bidi="ar"/>
              </w:rPr>
              <w:t>3</w:t>
            </w:r>
            <w:r>
              <w:rPr>
                <w:rFonts w:hint="default" w:ascii="Times New Roman" w:hAnsi="Times New Roman" w:eastAsia="宋体" w:cs="Times New Roman"/>
                <w:b/>
                <w:color w:val="auto"/>
                <w:sz w:val="24"/>
                <w:highlight w:val="none"/>
                <w:lang w:val="en-US" w:eastAsia="zh-CN" w:bidi="ar"/>
              </w:rPr>
              <w:t>/d</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②供电：</w:t>
            </w:r>
            <w:r>
              <w:rPr>
                <w:rFonts w:hint="default" w:ascii="Times New Roman" w:hAnsi="Times New Roman" w:cs="Times New Roman"/>
                <w:snapToGrid w:val="0"/>
                <w:color w:val="auto"/>
                <w:kern w:val="0"/>
                <w:sz w:val="24"/>
                <w:szCs w:val="24"/>
                <w:highlight w:val="none"/>
                <w:lang w:eastAsia="zh-CN"/>
              </w:rPr>
              <w:t>项目用电由当地电网供给，</w:t>
            </w:r>
            <w:r>
              <w:rPr>
                <w:rFonts w:hint="eastAsia" w:cs="Times New Roman"/>
                <w:snapToGrid w:val="0"/>
                <w:color w:val="auto"/>
                <w:kern w:val="0"/>
                <w:sz w:val="24"/>
                <w:szCs w:val="24"/>
                <w:highlight w:val="none"/>
                <w:lang w:val="en-US" w:eastAsia="zh-CN"/>
              </w:rPr>
              <w:t>项目全厂耗电量为51.2</w:t>
            </w:r>
            <w:r>
              <w:rPr>
                <w:rFonts w:hint="default" w:ascii="Times New Roman" w:hAnsi="Times New Roman" w:eastAsia="宋体" w:cs="Times New Roman"/>
                <w:bCs/>
                <w:snapToGrid w:val="0"/>
                <w:color w:val="auto"/>
                <w:kern w:val="0"/>
                <w:sz w:val="24"/>
                <w:szCs w:val="24"/>
                <w:highlight w:val="none"/>
              </w:rPr>
              <w:t>万kWh</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color w:val="auto"/>
                <w:highlight w:val="none"/>
                <w:lang w:val="en-US" w:eastAsia="zh-CN"/>
              </w:rPr>
            </w:pPr>
            <w:r>
              <w:rPr>
                <w:color w:val="auto"/>
                <w:sz w:val="24"/>
                <w:szCs w:val="24"/>
                <w:highlight w:val="none"/>
              </w:rPr>
              <w:t>③</w:t>
            </w:r>
            <w:r>
              <w:rPr>
                <w:rFonts w:hint="default" w:ascii="Times New Roman" w:hAnsi="Times New Roman" w:eastAsia="宋体" w:cs="Times New Roman"/>
                <w:snapToGrid w:val="0"/>
                <w:color w:val="auto"/>
                <w:kern w:val="0"/>
                <w:sz w:val="24"/>
                <w:szCs w:val="24"/>
                <w:highlight w:val="none"/>
                <w:lang w:eastAsia="zh-CN"/>
              </w:rPr>
              <w:t>供</w:t>
            </w:r>
            <w:r>
              <w:rPr>
                <w:rFonts w:hint="eastAsia" w:cs="Times New Roman"/>
                <w:snapToGrid w:val="0"/>
                <w:color w:val="auto"/>
                <w:kern w:val="0"/>
                <w:sz w:val="24"/>
                <w:szCs w:val="24"/>
                <w:highlight w:val="none"/>
                <w:lang w:val="en-US" w:eastAsia="zh-CN"/>
              </w:rPr>
              <w:t>暖、制冷</w:t>
            </w:r>
            <w:r>
              <w:rPr>
                <w:rFonts w:hint="default" w:ascii="Times New Roman" w:hAnsi="Times New Roman" w:eastAsia="宋体"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生产车间不供暖，项目办公室供热、制冷均采用空调</w:t>
            </w:r>
            <w:r>
              <w:rPr>
                <w:rFonts w:hint="eastAsia" w:ascii="Times New Roman" w:hAnsi="Times New Roman" w:eastAsia="宋体" w:cs="Times New Roman"/>
                <w:snapToGrid w:val="0"/>
                <w:color w:val="auto"/>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8" w:hRule="atLeast"/>
          <w:jc w:val="center"/>
        </w:trPr>
        <w:tc>
          <w:tcPr>
            <w:tcW w:w="455" w:type="dxa"/>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艺</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流</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程</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节</w:t>
            </w:r>
          </w:p>
        </w:tc>
        <w:tc>
          <w:tcPr>
            <w:tcW w:w="8604" w:type="dxa"/>
            <w:gridSpan w:val="2"/>
            <w:noWrap w:val="0"/>
            <w:vAlign w:val="top"/>
          </w:tcPr>
          <w:p>
            <w:pPr>
              <w:spacing w:line="500" w:lineRule="exact"/>
              <w:rPr>
                <w:rFonts w:hint="eastAsia"/>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Bg7cqaMAQAAKAMAAA4AAAAAAAAAAQAgAAAAJwEAAGRycy9l&#10;Mm9Eb2MueG1sUEsFBgAAAAAGAAYAWQEAACU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0VR6tgAAAAJAQAADwAAAAAAAAABACAAAAAiAAAAZHJzL2Rvd25y&#10;ZXYueG1sUEsBAhQAFAAAAAgAh07iQBezrJOMAQAAKAMAAA4AAAAAAAAAAQAgAAAAJwEAAGRycy9l&#10;Mm9Eb2MueG1sUEsFBgAAAAAGAAYAWQEAACUFAAAAAA==&#10;">
                      <v:fill on="f" focussize="0,0"/>
                      <v:stroke on="f"/>
                      <v:imagedata o:title=""/>
                      <o:lock v:ext="edit" aspectratio="f"/>
                    </v:line>
                  </w:pict>
                </mc:Fallback>
              </mc:AlternateContent>
            </w:r>
            <w:r>
              <w:rPr>
                <w:b/>
                <w:color w:val="auto"/>
                <w:sz w:val="24"/>
                <w:highlight w:val="none"/>
              </w:rPr>
              <w:t>工艺流程简述(图示)：</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highlight w:val="none"/>
              </w:rPr>
            </w:pPr>
            <w:r>
              <w:rPr>
                <w:rFonts w:hint="eastAsia"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涉及工艺主要为铸造、砂处理等，生产</w:t>
            </w:r>
            <w:r>
              <w:rPr>
                <w:rFonts w:hint="default" w:ascii="Times New Roman" w:hAnsi="Times New Roman" w:eastAsia="宋体" w:cs="Times New Roman"/>
                <w:color w:val="auto"/>
                <w:sz w:val="24"/>
                <w:highlight w:val="none"/>
              </w:rPr>
              <w:t>工艺过程</w:t>
            </w:r>
            <w:r>
              <w:rPr>
                <w:rFonts w:hint="eastAsia" w:ascii="Times New Roman" w:hAnsi="Times New Roman" w:eastAsia="宋体" w:cs="Times New Roman"/>
                <w:color w:val="auto"/>
                <w:sz w:val="24"/>
                <w:highlight w:val="none"/>
                <w:lang w:val="en-US" w:eastAsia="zh-CN"/>
              </w:rPr>
              <w:t>简述如下</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一、铸造生产工艺</w:t>
            </w:r>
          </w:p>
          <w:p>
            <w:pPr>
              <w:keepNext w:val="0"/>
              <w:keepLines w:val="0"/>
              <w:pageBreakBefore w:val="0"/>
              <w:widowControl w:val="0"/>
              <w:kinsoku/>
              <w:wordWrap/>
              <w:overflowPunct/>
              <w:topLinePunct w:val="0"/>
              <w:autoSpaceDE/>
              <w:autoSpaceDN/>
              <w:bidi w:val="0"/>
              <w:spacing w:line="240" w:lineRule="auto"/>
              <w:ind w:firstLine="482" w:firstLineChars="200"/>
              <w:jc w:val="center"/>
              <w:textAlignment w:val="auto"/>
              <w:rPr>
                <w:b/>
                <w:bCs/>
                <w:snapToGrid w:val="0"/>
                <w:color w:val="auto"/>
                <w:sz w:val="24"/>
                <w:highlight w:val="none"/>
              </w:rPr>
            </w:pPr>
            <w:r>
              <w:rPr>
                <w:b/>
                <w:bCs/>
                <w:snapToGrid w:val="0"/>
                <w:color w:val="auto"/>
                <w:sz w:val="24"/>
                <w:highlight w:val="none"/>
              </w:rPr>
              <w:object>
                <v:shape id="_x0000_i1026" o:spt="75" type="#_x0000_t75" style="height:354.75pt;width:376.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keepNext w:val="0"/>
              <w:keepLines w:val="0"/>
              <w:pageBreakBefore w:val="0"/>
              <w:widowControl w:val="0"/>
              <w:kinsoku/>
              <w:wordWrap/>
              <w:overflowPunct/>
              <w:topLinePunct w:val="0"/>
              <w:autoSpaceDE/>
              <w:autoSpaceDN/>
              <w:bidi w:val="0"/>
              <w:spacing w:line="480" w:lineRule="exact"/>
              <w:ind w:firstLine="482" w:firstLineChars="200"/>
              <w:jc w:val="center"/>
              <w:textAlignment w:val="auto"/>
              <w:rPr>
                <w:rFonts w:hint="eastAsia"/>
                <w:b/>
                <w:bCs/>
                <w:snapToGrid w:val="0"/>
                <w:color w:val="auto"/>
                <w:sz w:val="24"/>
                <w:highlight w:val="none"/>
                <w:vertAlign w:val="baseline"/>
                <w:lang w:val="en-US" w:eastAsia="zh-CN"/>
              </w:rPr>
            </w:pPr>
            <w:r>
              <w:rPr>
                <w:b/>
                <w:bCs/>
                <w:snapToGrid w:val="0"/>
                <w:color w:val="auto"/>
                <w:sz w:val="24"/>
                <w:highlight w:val="none"/>
              </w:rPr>
              <w:t>图</w:t>
            </w:r>
            <w:r>
              <w:rPr>
                <w:rFonts w:hint="eastAsia"/>
                <w:b/>
                <w:bCs/>
                <w:snapToGrid w:val="0"/>
                <w:color w:val="auto"/>
                <w:sz w:val="24"/>
                <w:highlight w:val="none"/>
                <w:lang w:val="en-US" w:eastAsia="zh-CN"/>
              </w:rPr>
              <w:t>2   生产工艺流程及排污节点</w:t>
            </w:r>
            <w:r>
              <w:rPr>
                <w:b/>
                <w:bCs/>
                <w:snapToGrid w:val="0"/>
                <w:color w:val="auto"/>
                <w:sz w:val="24"/>
                <w:highlight w:val="none"/>
              </w:rPr>
              <w:t>图</w:t>
            </w:r>
            <w:r>
              <w:rPr>
                <w:rFonts w:hint="eastAsia"/>
                <w:b/>
                <w:bCs/>
                <w:snapToGrid w:val="0"/>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制砂模</w:t>
            </w:r>
            <w:r>
              <w:rPr>
                <w:rFonts w:hint="eastAsia" w:ascii="Times New Roman" w:hAnsi="Times New Roman" w:eastAsia="宋体" w:cs="Times New Roman"/>
                <w:color w:val="auto"/>
                <w:sz w:val="24"/>
                <w:highlight w:val="none"/>
                <w:lang w:val="en-US" w:eastAsia="zh-CN"/>
              </w:rPr>
              <w:t xml:space="preserve">工序 </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将外购的</w:t>
            </w:r>
            <w:r>
              <w:rPr>
                <w:rFonts w:hint="eastAsia" w:ascii="Times New Roman" w:hAnsi="Times New Roman"/>
                <w:sz w:val="24"/>
                <w:highlight w:val="none"/>
                <w:lang w:val="en-US" w:eastAsia="zh-CN"/>
              </w:rPr>
              <w:t>模具</w:t>
            </w:r>
            <w:r>
              <w:rPr>
                <w:rFonts w:hint="eastAsia" w:ascii="Times New Roman" w:hAnsi="Times New Roman"/>
                <w:sz w:val="24"/>
                <w:highlight w:val="none"/>
              </w:rPr>
              <w:t>运至生产车间备用</w:t>
            </w:r>
            <w:r>
              <w:rPr>
                <w:rFonts w:ascii="Times New Roman" w:hAnsi="Times New Roman"/>
                <w:sz w:val="24"/>
                <w:highlight w:val="none"/>
              </w:rPr>
              <w:t>。</w:t>
            </w:r>
            <w:r>
              <w:rPr>
                <w:rFonts w:hint="eastAsia" w:ascii="Times New Roman" w:hAnsi="Times New Roman"/>
                <w:sz w:val="24"/>
                <w:highlight w:val="none"/>
                <w:lang w:val="en-US" w:eastAsia="zh-CN"/>
              </w:rPr>
              <w:t>石英砂、耐火材料</w:t>
            </w:r>
            <w:r>
              <w:rPr>
                <w:rFonts w:ascii="Times New Roman" w:hAnsi="Times New Roman"/>
                <w:sz w:val="24"/>
                <w:highlight w:val="none"/>
              </w:rPr>
              <w:t>由人工送到</w:t>
            </w:r>
            <w:r>
              <w:rPr>
                <w:rFonts w:hint="eastAsia" w:ascii="Times New Roman" w:hAnsi="Times New Roman"/>
                <w:sz w:val="24"/>
                <w:highlight w:val="none"/>
              </w:rPr>
              <w:t>全封闭</w:t>
            </w:r>
            <w:r>
              <w:rPr>
                <w:rFonts w:ascii="Times New Roman" w:hAnsi="Times New Roman"/>
                <w:sz w:val="24"/>
                <w:highlight w:val="none"/>
              </w:rPr>
              <w:t>皮带输送机上，经皮带输送进入</w:t>
            </w:r>
            <w:r>
              <w:rPr>
                <w:rFonts w:hint="eastAsia" w:ascii="Times New Roman" w:hAnsi="Times New Roman"/>
                <w:sz w:val="24"/>
                <w:highlight w:val="none"/>
              </w:rPr>
              <w:t>碾</w:t>
            </w:r>
            <w:r>
              <w:rPr>
                <w:rFonts w:hint="eastAsia" w:ascii="Times New Roman" w:hAnsi="Times New Roman"/>
                <w:sz w:val="24"/>
                <w:highlight w:val="none"/>
                <w:lang w:val="en-US" w:eastAsia="zh-CN"/>
              </w:rPr>
              <w:t>轮式混</w:t>
            </w:r>
            <w:r>
              <w:rPr>
                <w:rFonts w:hint="eastAsia" w:ascii="Times New Roman" w:hAnsi="Times New Roman"/>
                <w:sz w:val="24"/>
                <w:highlight w:val="none"/>
              </w:rPr>
              <w:t>砂机</w:t>
            </w:r>
            <w:r>
              <w:rPr>
                <w:rFonts w:ascii="Times New Roman" w:hAnsi="Times New Roman"/>
                <w:sz w:val="24"/>
                <w:highlight w:val="none"/>
              </w:rPr>
              <w:t>进行搅拌，搅拌过程中按比例加入水玻璃，充分混合后成水玻璃砂，准备造型。在砂箱中放入指定的</w:t>
            </w:r>
            <w:r>
              <w:rPr>
                <w:rFonts w:hint="eastAsia" w:ascii="Times New Roman" w:hAnsi="Times New Roman"/>
                <w:sz w:val="24"/>
                <w:highlight w:val="none"/>
                <w:lang w:val="en-US" w:eastAsia="zh-CN"/>
              </w:rPr>
              <w:t>模具</w:t>
            </w:r>
            <w:r>
              <w:rPr>
                <w:rFonts w:ascii="Times New Roman" w:hAnsi="Times New Roman"/>
                <w:sz w:val="24"/>
                <w:highlight w:val="none"/>
              </w:rPr>
              <w:t>，并在</w:t>
            </w:r>
            <w:r>
              <w:rPr>
                <w:rFonts w:hint="eastAsia" w:ascii="Times New Roman" w:hAnsi="Times New Roman"/>
                <w:sz w:val="24"/>
                <w:highlight w:val="none"/>
                <w:lang w:val="en-US" w:eastAsia="zh-CN"/>
              </w:rPr>
              <w:t>模具</w:t>
            </w:r>
            <w:r>
              <w:rPr>
                <w:rFonts w:ascii="Times New Roman" w:hAnsi="Times New Roman"/>
                <w:sz w:val="24"/>
                <w:highlight w:val="none"/>
              </w:rPr>
              <w:t>周边填满砂子</w:t>
            </w:r>
            <w:r>
              <w:rPr>
                <w:rFonts w:ascii="Times New Roman" w:hAnsi="Times New Roman" w:eastAsia="宋体" w:cs="Times New Roman"/>
                <w:sz w:val="24"/>
                <w:highlight w:val="none"/>
              </w:rPr>
              <w:t>，</w:t>
            </w:r>
            <w:r>
              <w:rPr>
                <w:rFonts w:hint="eastAsia" w:ascii="Times New Roman" w:hAnsi="Times New Roman"/>
                <w:sz w:val="24"/>
                <w:highlight w:val="none"/>
                <w:lang w:val="en-US" w:eastAsia="zh-CN"/>
              </w:rPr>
              <w:t>利用</w:t>
            </w:r>
            <w:r>
              <w:rPr>
                <w:rFonts w:hint="eastAsia" w:ascii="Times New Roman" w:hAnsi="Times New Roman" w:eastAsia="宋体" w:cs="Times New Roman"/>
                <w:sz w:val="24"/>
                <w:highlight w:val="none"/>
              </w:rPr>
              <w:t>震击式造型机</w:t>
            </w:r>
            <w:r>
              <w:rPr>
                <w:rFonts w:hint="eastAsia" w:ascii="Times New Roman" w:hAnsi="Times New Roman" w:eastAsia="宋体" w:cs="Times New Roman"/>
                <w:sz w:val="24"/>
                <w:highlight w:val="none"/>
                <w:lang w:val="en-US" w:eastAsia="zh-CN"/>
              </w:rPr>
              <w:t>进行造型，</w:t>
            </w:r>
            <w:r>
              <w:rPr>
                <w:rFonts w:ascii="Times New Roman" w:hAnsi="Times New Roman" w:eastAsia="宋体" w:cs="Times New Roman"/>
                <w:sz w:val="24"/>
                <w:highlight w:val="none"/>
              </w:rPr>
              <w:t>水玻璃</w:t>
            </w:r>
            <w:r>
              <w:rPr>
                <w:rFonts w:ascii="Times New Roman" w:hAnsi="Times New Roman"/>
                <w:sz w:val="24"/>
                <w:highlight w:val="none"/>
              </w:rPr>
              <w:t>砂变硬后取出模具，扣箱，留出浇冒口。</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Times New Roman" w:hAnsi="Times New Roman" w:eastAsia="宋体" w:cs="Times New Roman"/>
                <w:color w:val="auto"/>
                <w:sz w:val="24"/>
                <w:highlight w:val="none"/>
                <w:lang w:val="en-US" w:eastAsia="zh-CN"/>
              </w:rPr>
            </w:pPr>
            <w:r>
              <w:rPr>
                <w:rFonts w:ascii="Times New Roman" w:hAnsi="Times New Roman"/>
                <w:b/>
                <w:bCs/>
                <w:sz w:val="24"/>
                <w:highlight w:val="none"/>
              </w:rPr>
              <w:t>排污节点</w:t>
            </w:r>
            <w:r>
              <w:rPr>
                <w:rFonts w:ascii="Times New Roman" w:hAnsi="Times New Roman"/>
                <w:sz w:val="24"/>
                <w:highlight w:val="none"/>
              </w:rPr>
              <w:t>为：混砂过程产生的颗粒物，砂模制作中产生的废砂，</w:t>
            </w:r>
            <w:r>
              <w:rPr>
                <w:rFonts w:hint="eastAsia" w:ascii="Times New Roman" w:hAnsi="Times New Roman"/>
                <w:sz w:val="24"/>
                <w:highlight w:val="none"/>
                <w:lang w:val="en-US" w:eastAsia="zh-CN"/>
              </w:rPr>
              <w:t>皮带输送机、</w:t>
            </w:r>
            <w:r>
              <w:rPr>
                <w:rFonts w:ascii="Times New Roman" w:hAnsi="Times New Roman"/>
                <w:sz w:val="24"/>
                <w:highlight w:val="none"/>
              </w:rPr>
              <w:t>混砂机</w:t>
            </w:r>
            <w:r>
              <w:rPr>
                <w:rFonts w:hint="eastAsia" w:ascii="Times New Roman" w:hAnsi="Times New Roman"/>
                <w:sz w:val="24"/>
                <w:highlight w:val="none"/>
                <w:lang w:eastAsia="zh-CN"/>
              </w:rPr>
              <w:t>、</w:t>
            </w:r>
            <w:r>
              <w:rPr>
                <w:rFonts w:hint="eastAsia" w:ascii="Times New Roman" w:hAnsi="Times New Roman" w:eastAsia="宋体" w:cs="Times New Roman"/>
                <w:sz w:val="24"/>
                <w:highlight w:val="none"/>
              </w:rPr>
              <w:t>震击式造型机</w:t>
            </w:r>
            <w:r>
              <w:rPr>
                <w:rFonts w:ascii="Times New Roman" w:hAnsi="Times New Roman"/>
                <w:sz w:val="24"/>
                <w:highlight w:val="none"/>
              </w:rPr>
              <w:t>产生的噪声</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、熔炼工序：将购买的废钢</w:t>
            </w:r>
            <w:r>
              <w:rPr>
                <w:rFonts w:hint="eastAsia" w:ascii="Times New Roman" w:hAnsi="Times New Roman" w:cs="Times New Roman"/>
                <w:color w:val="auto"/>
                <w:sz w:val="24"/>
                <w:highlight w:val="none"/>
                <w:lang w:val="en-US" w:eastAsia="zh-CN"/>
              </w:rPr>
              <w:t>、高锰钢</w:t>
            </w:r>
            <w:r>
              <w:rPr>
                <w:rFonts w:hint="eastAsia" w:ascii="Times New Roman" w:hAnsi="Times New Roman" w:eastAsia="宋体" w:cs="Times New Roman"/>
                <w:color w:val="auto"/>
                <w:sz w:val="24"/>
                <w:highlight w:val="none"/>
                <w:lang w:val="en-US" w:eastAsia="zh-CN"/>
              </w:rPr>
              <w:t>等原料投入磁</w:t>
            </w:r>
            <w:r>
              <w:rPr>
                <w:rFonts w:hint="default" w:ascii="Times New Roman" w:hAnsi="Times New Roman" w:eastAsia="宋体" w:cs="Times New Roman"/>
                <w:color w:val="auto"/>
                <w:sz w:val="24"/>
                <w:highlight w:val="none"/>
                <w:lang w:val="en-US" w:eastAsia="zh-CN"/>
              </w:rPr>
              <w:t>轭钢壳感应电炉</w:t>
            </w:r>
            <w:r>
              <w:rPr>
                <w:rFonts w:hint="eastAsia" w:ascii="Times New Roman" w:hAnsi="Times New Roman" w:eastAsia="宋体" w:cs="Times New Roman"/>
                <w:color w:val="auto"/>
                <w:sz w:val="24"/>
                <w:highlight w:val="none"/>
                <w:lang w:val="en-US" w:eastAsia="zh-CN"/>
              </w:rPr>
              <w:t>进行熔化。熔化好的铁水倒进钢水包中，通过</w:t>
            </w:r>
            <w:r>
              <w:rPr>
                <w:rFonts w:hint="eastAsia" w:ascii="Times New Roman" w:hAnsi="Times New Roman" w:cs="Times New Roman"/>
                <w:color w:val="auto"/>
                <w:sz w:val="24"/>
                <w:highlight w:val="none"/>
                <w:lang w:val="en-US" w:eastAsia="zh-CN"/>
              </w:rPr>
              <w:t>天成</w:t>
            </w:r>
            <w:r>
              <w:rPr>
                <w:rFonts w:hint="eastAsia" w:ascii="Times New Roman" w:hAnsi="Times New Roman" w:eastAsia="宋体" w:cs="Times New Roman"/>
                <w:color w:val="auto"/>
                <w:sz w:val="24"/>
                <w:highlight w:val="none"/>
                <w:lang w:val="en-US" w:eastAsia="zh-CN"/>
              </w:rPr>
              <w:t xml:space="preserve">运送至浇注场地进行浇注。熔化及铁水倒出主要产生废气为粉尘颗粒物，固废为炉渣等。 </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sz w:val="24"/>
                <w:highlight w:val="none"/>
                <w:lang w:eastAsia="zh-CN"/>
              </w:rPr>
            </w:pP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、浇注工序：熔化好的铁水进入浇注线，倒入准备好的</w:t>
            </w:r>
            <w:r>
              <w:rPr>
                <w:rFonts w:hint="eastAsia" w:ascii="Times New Roman" w:hAnsi="Times New Roman" w:cs="Times New Roman"/>
                <w:color w:val="auto"/>
                <w:sz w:val="24"/>
                <w:highlight w:val="none"/>
                <w:lang w:val="en-US" w:eastAsia="zh-CN"/>
              </w:rPr>
              <w:t>砂</w:t>
            </w:r>
            <w:r>
              <w:rPr>
                <w:rFonts w:hint="eastAsia" w:ascii="Times New Roman" w:hAnsi="Times New Roman" w:eastAsia="宋体" w:cs="Times New Roman"/>
                <w:color w:val="auto"/>
                <w:sz w:val="24"/>
                <w:highlight w:val="none"/>
                <w:lang w:val="en-US" w:eastAsia="zh-CN"/>
              </w:rPr>
              <w:t>模型内，待冷却即可。</w:t>
            </w:r>
            <w:r>
              <w:rPr>
                <w:rFonts w:ascii="Times New Roman" w:hAnsi="Times New Roman"/>
                <w:sz w:val="24"/>
                <w:highlight w:val="none"/>
              </w:rPr>
              <w:t>倾斜倒入砂模内。铁水经自然冷却凝固，冷却时间约为1~4小时不等</w:t>
            </w:r>
            <w:r>
              <w:rPr>
                <w:rFonts w:hint="eastAsia" w:ascii="Times New Roman" w:hAnsi="Times New Roman"/>
                <w:sz w:val="24"/>
                <w:highlight w:val="none"/>
                <w:lang w:eastAsia="zh-CN"/>
              </w:rPr>
              <w:t>。</w:t>
            </w:r>
          </w:p>
          <w:p>
            <w:pPr>
              <w:spacing w:line="500" w:lineRule="exact"/>
              <w:ind w:left="420" w:leftChars="200"/>
              <w:rPr>
                <w:rFonts w:ascii="Times New Roman" w:hAnsi="Times New Roman"/>
                <w:sz w:val="24"/>
                <w:highlight w:val="none"/>
              </w:rPr>
            </w:pPr>
            <w:r>
              <w:rPr>
                <w:rFonts w:hint="eastAsia"/>
                <w:sz w:val="24"/>
                <w:highlight w:val="none"/>
                <w:lang w:val="en-US" w:eastAsia="zh-CN"/>
              </w:rPr>
              <w:t>4</w:t>
            </w:r>
            <w:r>
              <w:rPr>
                <w:rFonts w:ascii="Times New Roman" w:hAnsi="Times New Roman"/>
                <w:sz w:val="24"/>
                <w:highlight w:val="none"/>
              </w:rPr>
              <w:t>、脱模</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浇铸后的模具在浇铸区自然降温，冷却至300℃以下，借助风镐敲打砂型模具将毛坯件从模具取出。</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主要为脱模过程产生的废砂。</w:t>
            </w:r>
          </w:p>
          <w:p>
            <w:pPr>
              <w:keepNext w:val="0"/>
              <w:keepLines w:val="0"/>
              <w:pageBreakBefore w:val="0"/>
              <w:widowControl w:val="0"/>
              <w:numPr>
                <w:numId w:val="0"/>
              </w:numPr>
              <w:kinsoku/>
              <w:wordWrap/>
              <w:overflowPunct/>
              <w:topLinePunct w:val="0"/>
              <w:autoSpaceDE/>
              <w:autoSpaceDN/>
              <w:bidi w:val="0"/>
              <w:spacing w:line="480" w:lineRule="exact"/>
              <w:ind w:firstLine="480" w:firstLineChars="200"/>
              <w:textAlignment w:val="auto"/>
              <w:rPr>
                <w:rFonts w:hint="default" w:ascii="Times New Roman" w:hAnsi="宋体" w:eastAsia="宋体" w:cs="Times New Roman"/>
                <w:sz w:val="24"/>
                <w:highlight w:val="none"/>
                <w:lang w:val="en-US" w:eastAsia="zh-CN"/>
              </w:rPr>
            </w:pPr>
            <w:r>
              <w:rPr>
                <w:rFonts w:hint="eastAsia" w:hAnsi="宋体" w:cs="Times New Roman"/>
                <w:sz w:val="24"/>
                <w:highlight w:val="none"/>
                <w:lang w:val="en-US" w:eastAsia="zh-CN"/>
              </w:rPr>
              <w:t>5、</w:t>
            </w:r>
            <w:r>
              <w:rPr>
                <w:rFonts w:hint="eastAsia" w:ascii="Times New Roman" w:hAnsi="宋体" w:eastAsia="宋体" w:cs="Times New Roman"/>
                <w:sz w:val="24"/>
                <w:highlight w:val="none"/>
                <w:lang w:val="en-US" w:eastAsia="zh-CN"/>
              </w:rPr>
              <w:t>热处理：分离出的毛坯铸件经检验合格后进行切冒口处理，由天车转运至电热退火炉进行退火处理，以保证铸件的性能，最终得到成品暂存于成品库待售。</w:t>
            </w:r>
          </w:p>
          <w:p>
            <w:pPr>
              <w:keepNext w:val="0"/>
              <w:keepLines w:val="0"/>
              <w:pageBreakBefore w:val="0"/>
              <w:widowControl w:val="0"/>
              <w:numPr>
                <w:ilvl w:val="0"/>
                <w:numId w:val="2"/>
              </w:numPr>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砂处理工艺</w:t>
            </w:r>
          </w:p>
          <w:p>
            <w:pPr>
              <w:pStyle w:val="2"/>
              <w:rPr>
                <w:rFonts w:hint="eastAsia"/>
                <w:highlight w:val="none"/>
                <w:lang w:val="en-US" w:eastAsia="zh-CN"/>
              </w:rPr>
            </w:pPr>
            <w:r>
              <w:rPr>
                <w:highlight w:val="none"/>
              </w:rPr>
              <w:drawing>
                <wp:inline distT="0" distB="0" distL="114300" distR="114300">
                  <wp:extent cx="4524375" cy="1724025"/>
                  <wp:effectExtent l="0" t="0" r="9525" b="952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4524375" cy="17240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highlight w:val="none"/>
              </w:rPr>
            </w:pPr>
            <w:r>
              <w:rPr>
                <w:rFonts w:hint="eastAsia"/>
                <w:b/>
                <w:bCs/>
                <w:snapToGrid w:val="0"/>
                <w:color w:val="auto"/>
                <w:sz w:val="24"/>
                <w:highlight w:val="none"/>
                <w:lang w:val="en-US" w:eastAsia="zh-CN"/>
              </w:rPr>
              <w:t xml:space="preserve">    </w:t>
            </w:r>
            <w:r>
              <w:rPr>
                <w:b/>
                <w:bCs/>
                <w:snapToGrid w:val="0"/>
                <w:color w:val="auto"/>
                <w:sz w:val="24"/>
                <w:highlight w:val="none"/>
              </w:rPr>
              <w:t>图</w:t>
            </w:r>
            <w:r>
              <w:rPr>
                <w:rFonts w:hint="eastAsia"/>
                <w:b/>
                <w:bCs/>
                <w:snapToGrid w:val="0"/>
                <w:color w:val="auto"/>
                <w:sz w:val="24"/>
                <w:highlight w:val="none"/>
                <w:lang w:val="en-US" w:eastAsia="zh-CN"/>
              </w:rPr>
              <w:t>3 砂处理工艺流程及排污节点图</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1、上料：人工用铲车将砂从砂堆送入上料仓。</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主要为铲车倒砂过程产生的废气。</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2、振筛：上料仓落料口打开，砂自流至下方的振动筛，振动筛将大块杂物与砂初步分离，振动筛为封闭装置，仅有进出料口，进料口与上料仓落料口采用软管封闭连接。振动筛设有一定角度，经振动处理的砂自然落入链式提升机，振动筛出料口与链式提升机入料口封闭连接。</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主要为振动筛筛分过程产生的废气，振动筛产生的噪声及筛出的砂粒杂物。</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3、滚筛：链式提升机将砂提升后倒入滚筒筛，链式提升机出料口与滚筒筛入料口封闭连接。滚筒筛将砂与杂物再次分离。滚筒筛为封闭装置，仅有进出料口。滚筒筛设有一定角度，经滚动处理的砂自然落入冷却滚筒。</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主要为滚筒筛筛分过程产生的废气，设备运行时产生的噪声及筛出的杂物。</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4、冷却：冷却滚筒采用水冷却方式，冷却水循环使用不外排。冷却后的砂进入链式提升机。</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主要为冷却滚筒出料产生的废气。</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5、入仓：链式提升机将砂提升至成品仓，成品仓封闭设置，提升机出料口与成品仓入料口封闭连接。</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链式提升机运行时产生的噪声。</w:t>
            </w:r>
          </w:p>
          <w:p>
            <w:pPr>
              <w:spacing w:line="500" w:lineRule="exact"/>
              <w:ind w:firstLine="480" w:firstLineChars="200"/>
              <w:rPr>
                <w:rFonts w:ascii="Times New Roman" w:hAnsi="Times New Roman"/>
                <w:sz w:val="24"/>
                <w:highlight w:val="none"/>
              </w:rPr>
            </w:pPr>
            <w:r>
              <w:rPr>
                <w:rFonts w:ascii="Times New Roman" w:hAnsi="Times New Roman"/>
                <w:sz w:val="24"/>
                <w:highlight w:val="none"/>
              </w:rPr>
              <w:t>6、落砂：打开成品仓落料口，落砂经皮带输送至混砂机中，进入熔铸生产线；皮带输送机采用封闭的皮带通廊，成品仓落料口与皮带通廊入料口封闭连接。</w:t>
            </w:r>
          </w:p>
          <w:p>
            <w:pPr>
              <w:spacing w:line="500" w:lineRule="exact"/>
              <w:ind w:firstLine="482" w:firstLineChars="200"/>
              <w:rPr>
                <w:rFonts w:ascii="Times New Roman" w:hAnsi="Times New Roman"/>
                <w:sz w:val="24"/>
                <w:highlight w:val="none"/>
              </w:rPr>
            </w:pPr>
            <w:r>
              <w:rPr>
                <w:rFonts w:ascii="Times New Roman" w:hAnsi="Times New Roman"/>
                <w:b/>
                <w:bCs/>
                <w:sz w:val="24"/>
                <w:highlight w:val="none"/>
              </w:rPr>
              <w:t>排污节点：</w:t>
            </w:r>
            <w:r>
              <w:rPr>
                <w:rFonts w:ascii="Times New Roman" w:hAnsi="Times New Roman"/>
                <w:sz w:val="24"/>
                <w:highlight w:val="none"/>
              </w:rPr>
              <w:t>主要为落砂过程产生废气。</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、配套设施产污情况</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color w:val="auto"/>
                <w:sz w:val="24"/>
                <w:highlight w:val="none"/>
              </w:rPr>
              <w:t>办公、生活设施：职工办公、生活将产生一定量的生活污水和生活垃圾。</w:t>
            </w:r>
            <w:r>
              <w:rPr>
                <w:rFonts w:hint="eastAsia" w:ascii="Times New Roman" w:hAnsi="Times New Roman" w:eastAsia="宋体" w:cs="Times New Roman"/>
                <w:sz w:val="24"/>
                <w:highlight w:val="none"/>
                <w:lang w:val="en-US" w:eastAsia="zh-CN"/>
              </w:rPr>
              <w:t>生活污水</w:t>
            </w:r>
            <w:r>
              <w:rPr>
                <w:rFonts w:hint="eastAsia" w:ascii="Times New Roman" w:hAnsi="Times New Roman" w:cs="Times New Roman"/>
                <w:sz w:val="24"/>
                <w:highlight w:val="none"/>
                <w:lang w:val="en-US" w:eastAsia="zh-CN"/>
              </w:rPr>
              <w:t>主要为员工盥洗废水，就地泼洒抑尘不外排</w:t>
            </w:r>
            <w:r>
              <w:rPr>
                <w:rFonts w:hint="default" w:ascii="Times New Roman" w:hAnsi="Times New Roman" w:eastAsia="宋体" w:cs="Times New Roman"/>
                <w:color w:val="auto"/>
                <w:sz w:val="24"/>
                <w:highlight w:val="none"/>
              </w:rPr>
              <w:t>；生活垃圾收集后，由环卫部门定期清运。</w:t>
            </w:r>
          </w:p>
          <w:p>
            <w:pPr>
              <w:keepNext w:val="0"/>
              <w:keepLines w:val="0"/>
              <w:pageBreakBefore w:val="0"/>
              <w:widowControl w:val="0"/>
              <w:kinsoku/>
              <w:wordWrap/>
              <w:overflowPunct/>
              <w:topLinePunct w:val="0"/>
              <w:autoSpaceDE/>
              <w:autoSpaceDN/>
              <w:bidi w:val="0"/>
              <w:adjustRightInd w:val="0"/>
              <w:snapToGrid w:val="0"/>
              <w:spacing w:line="480" w:lineRule="exact"/>
              <w:ind w:firstLine="470" w:firstLineChars="196"/>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）其他：设备</w:t>
            </w:r>
            <w:r>
              <w:rPr>
                <w:rFonts w:hint="eastAsia" w:ascii="Times New Roman" w:hAnsi="Times New Roman" w:eastAsia="宋体" w:cs="Times New Roman"/>
                <w:color w:val="auto"/>
                <w:sz w:val="24"/>
                <w:highlight w:val="none"/>
                <w:lang w:val="en-US" w:eastAsia="zh-CN"/>
              </w:rPr>
              <w:t>维修及</w:t>
            </w:r>
            <w:r>
              <w:rPr>
                <w:rFonts w:hint="default" w:ascii="Times New Roman" w:hAnsi="Times New Roman" w:eastAsia="宋体" w:cs="Times New Roman"/>
                <w:color w:val="auto"/>
                <w:sz w:val="24"/>
                <w:highlight w:val="none"/>
              </w:rPr>
              <w:t>保养产生</w:t>
            </w:r>
            <w:r>
              <w:rPr>
                <w:rFonts w:hint="eastAsia"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少量废</w:t>
            </w:r>
            <w:r>
              <w:rPr>
                <w:rFonts w:hint="eastAsia" w:ascii="Times New Roman" w:hAnsi="Times New Roman" w:eastAsia="宋体" w:cs="Times New Roman"/>
                <w:color w:val="auto"/>
                <w:sz w:val="24"/>
                <w:highlight w:val="none"/>
                <w:lang w:val="en-US" w:eastAsia="zh-CN"/>
              </w:rPr>
              <w:t>矿物</w:t>
            </w:r>
            <w:r>
              <w:rPr>
                <w:rFonts w:hint="default" w:ascii="Times New Roman" w:hAnsi="Times New Roman" w:eastAsia="宋体" w:cs="Times New Roman"/>
                <w:color w:val="auto"/>
                <w:sz w:val="24"/>
                <w:highlight w:val="none"/>
              </w:rPr>
              <w:t>油</w:t>
            </w:r>
            <w:r>
              <w:rPr>
                <w:rFonts w:hint="eastAsia" w:ascii="Times New Roman" w:hAnsi="Times New Roman" w:eastAsia="宋体" w:cs="Times New Roman"/>
                <w:color w:val="auto"/>
                <w:sz w:val="24"/>
                <w:highlight w:val="none"/>
                <w:lang w:val="en-US" w:eastAsia="zh-CN"/>
              </w:rPr>
              <w:t>和废油桶</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经</w:t>
            </w:r>
            <w:r>
              <w:rPr>
                <w:rFonts w:hint="default" w:ascii="Times New Roman" w:hAnsi="Times New Roman" w:eastAsia="宋体" w:cs="Times New Roman"/>
                <w:color w:val="auto"/>
                <w:sz w:val="24"/>
                <w:highlight w:val="none"/>
              </w:rPr>
              <w:t>集中收集后</w:t>
            </w:r>
            <w:r>
              <w:rPr>
                <w:rFonts w:hint="eastAsia" w:ascii="Times New Roman" w:hAnsi="Times New Roman" w:cs="Times New Roman"/>
                <w:color w:val="auto"/>
                <w:sz w:val="24"/>
                <w:highlight w:val="none"/>
                <w:lang w:val="en-US" w:eastAsia="zh-CN"/>
              </w:rPr>
              <w:t>暂存于厂区危险废物暂存间内，定期委托有</w:t>
            </w:r>
            <w:r>
              <w:rPr>
                <w:rFonts w:hint="default" w:ascii="Times New Roman" w:hAnsi="Times New Roman" w:eastAsia="宋体" w:cs="Times New Roman"/>
                <w:color w:val="auto"/>
                <w:sz w:val="24"/>
                <w:highlight w:val="none"/>
                <w:lang w:val="en-US" w:eastAsia="zh-CN"/>
              </w:rPr>
              <w:t>资质的危险废物处置单位处置</w:t>
            </w:r>
            <w:r>
              <w:rPr>
                <w:rFonts w:hint="eastAsia" w:ascii="Times New Roman" w:hAnsi="Times New Roman" w:eastAsia="宋体" w:cs="Times New Roman"/>
                <w:color w:val="auto"/>
                <w:sz w:val="24"/>
                <w:highlight w:val="none"/>
                <w:lang w:val="en-US" w:eastAsia="zh-CN"/>
              </w:rPr>
              <w:t>，袋式除尘器定期更换的废布袋，定期外售综合利用</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color w:val="auto"/>
                <w:sz w:val="24"/>
                <w:highlight w:val="none"/>
                <w:lang w:val="en-US" w:eastAsia="zh-CN"/>
              </w:rPr>
              <w:t>项目污染源及防治措施见表17</w:t>
            </w:r>
            <w:r>
              <w:rPr>
                <w:rFonts w:hint="default" w:ascii="Times New Roman" w:hAnsi="Times New Roman" w:eastAsia="宋体" w:cs="Times New Roman"/>
                <w:color w:val="auto"/>
                <w:sz w:val="24"/>
                <w:szCs w:val="24"/>
                <w:highlight w:val="none"/>
                <w:lang w:val="en-US"/>
              </w:rPr>
              <w:t>。</w:t>
            </w:r>
          </w:p>
          <w:p>
            <w:pPr>
              <w:spacing w:line="480" w:lineRule="exact"/>
              <w:jc w:val="center"/>
              <w:rPr>
                <w:rFonts w:hint="eastAsia"/>
                <w:highlight w:val="none"/>
              </w:rPr>
            </w:pPr>
            <w:r>
              <w:rPr>
                <w:rFonts w:hint="eastAsia" w:ascii="Times New Roman" w:hAnsi="Times New Roman" w:eastAsia="宋体" w:cs="Times New Roman"/>
                <w:b/>
                <w:bCs/>
                <w:snapToGrid w:val="0"/>
                <w:color w:val="auto"/>
                <w:sz w:val="24"/>
                <w:highlight w:val="none"/>
              </w:rPr>
              <w:t>表</w:t>
            </w:r>
            <w:r>
              <w:rPr>
                <w:rFonts w:hint="eastAsia" w:cs="Times New Roman"/>
                <w:b/>
                <w:bCs/>
                <w:snapToGrid w:val="0"/>
                <w:color w:val="auto"/>
                <w:sz w:val="24"/>
                <w:highlight w:val="none"/>
                <w:lang w:val="en-US" w:eastAsia="zh-CN"/>
              </w:rPr>
              <w:t>1</w:t>
            </w:r>
            <w:r>
              <w:rPr>
                <w:rFonts w:hint="eastAsia" w:ascii="Times New Roman" w:hAnsi="Times New Roman" w:eastAsia="宋体" w:cs="Times New Roman"/>
                <w:b/>
                <w:bCs/>
                <w:snapToGrid w:val="0"/>
                <w:color w:val="auto"/>
                <w:sz w:val="24"/>
                <w:highlight w:val="none"/>
                <w:lang w:val="en-US" w:eastAsia="zh-CN"/>
              </w:rPr>
              <w:t>7</w:t>
            </w:r>
            <w:r>
              <w:rPr>
                <w:rFonts w:hint="eastAsia" w:ascii="Times New Roman" w:hAnsi="Times New Roman" w:eastAsia="宋体" w:cs="Times New Roman"/>
                <w:b/>
                <w:bCs/>
                <w:snapToGrid w:val="0"/>
                <w:color w:val="auto"/>
                <w:sz w:val="24"/>
                <w:highlight w:val="none"/>
              </w:rPr>
              <w:t xml:space="preserve">   本项目污染源及防治措施一览表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40"/>
              <w:gridCol w:w="1966"/>
              <w:gridCol w:w="1939"/>
              <w:gridCol w:w="2445"/>
              <w:gridCol w:w="1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序号</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污染源名称</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污染因子</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rPr>
                    <w:t>治理措施</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1</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熔炼废气</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颗粒物</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kern w:val="2"/>
                      <w:sz w:val="21"/>
                      <w:szCs w:val="21"/>
                      <w:highlight w:val="none"/>
                      <w:lang w:val="en-US" w:eastAsia="zh-CN" w:bidi="ar-SA"/>
                    </w:rPr>
                    <w:t>集气罩+脉冲袋式除尘器+15m高排气筒</w:t>
                  </w:r>
                  <w:r>
                    <w:rPr>
                      <w:rFonts w:hint="eastAsia" w:ascii="Times New Roman" w:hAnsi="Times New Roman" w:eastAsia="宋体" w:cs="Times New Roman"/>
                      <w:color w:val="auto"/>
                      <w:spacing w:val="-10"/>
                      <w:kern w:val="2"/>
                      <w:sz w:val="21"/>
                      <w:szCs w:val="21"/>
                      <w:highlight w:val="none"/>
                      <w:lang w:val="en-US" w:eastAsia="zh-CN" w:bidi="ar-SA"/>
                    </w:rPr>
                    <w:t>DA001</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2</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浇注、砂处理、混砂、打磨、顶吸</w:t>
                  </w:r>
                  <w:r>
                    <w:rPr>
                      <w:rFonts w:hint="default" w:ascii="Times New Roman" w:hAnsi="Times New Roman" w:eastAsia="宋体" w:cs="Times New Roman"/>
                      <w:color w:val="auto"/>
                      <w:spacing w:val="-10"/>
                      <w:sz w:val="21"/>
                      <w:szCs w:val="21"/>
                      <w:highlight w:val="none"/>
                      <w:lang w:val="en-US" w:eastAsia="zh-CN"/>
                    </w:rPr>
                    <w:t>废气</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颗粒物</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kern w:val="2"/>
                      <w:sz w:val="21"/>
                      <w:szCs w:val="21"/>
                      <w:highlight w:val="none"/>
                      <w:lang w:val="en-US" w:eastAsia="zh-CN" w:bidi="ar-SA"/>
                    </w:rPr>
                    <w:t>集气罩+脉冲袋式除尘器+15m高排气筒</w:t>
                  </w:r>
                  <w:r>
                    <w:rPr>
                      <w:rFonts w:hint="eastAsia" w:ascii="Times New Roman" w:hAnsi="Times New Roman" w:eastAsia="宋体" w:cs="Times New Roman"/>
                      <w:color w:val="auto"/>
                      <w:spacing w:val="-10"/>
                      <w:kern w:val="2"/>
                      <w:sz w:val="21"/>
                      <w:szCs w:val="21"/>
                      <w:highlight w:val="none"/>
                      <w:lang w:val="en-US" w:eastAsia="zh-CN" w:bidi="ar-SA"/>
                    </w:rPr>
                    <w:t>DA002</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3</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生产车间</w:t>
                  </w:r>
                  <w:r>
                    <w:rPr>
                      <w:rFonts w:hint="default" w:ascii="Times New Roman" w:hAnsi="Times New Roman" w:eastAsia="宋体" w:cs="Times New Roman"/>
                      <w:color w:val="auto"/>
                      <w:spacing w:val="-10"/>
                      <w:sz w:val="21"/>
                      <w:szCs w:val="21"/>
                      <w:highlight w:val="none"/>
                      <w:lang w:val="en-US" w:eastAsia="zh-CN"/>
                    </w:rPr>
                    <w:t>无组织废气</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颗粒物</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车间全封闭，设有二次除尘装置</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 xml:space="preserve">序号 </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污染源名称</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污染因子</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治理措施</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spacing w:val="-10"/>
                      <w:sz w:val="21"/>
                      <w:szCs w:val="21"/>
                      <w:highlight w:val="none"/>
                      <w:lang w:val="en-US" w:eastAsia="zh-CN"/>
                    </w:rPr>
                    <w:t>1</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生活污水</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SS、COD</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泼洒抑尘</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spacing w:val="-10"/>
                      <w:sz w:val="21"/>
                      <w:szCs w:val="21"/>
                      <w:highlight w:val="none"/>
                      <w:lang w:val="en-US" w:eastAsia="zh-CN"/>
                    </w:rPr>
                    <w:t>2</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循环冷却水</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SS</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循环利用</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序号</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污染源名称</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降噪措施</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排放特征</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1</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电炉、退火炉、砂处理设备、震击式造型机、滚砂机、混砂机、天车、角磨机、风机、空压机</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厂房隔声</w:t>
                  </w:r>
                  <w:r>
                    <w:rPr>
                      <w:rFonts w:hint="eastAsia" w:ascii="Times New Roman" w:hAnsi="Times New Roman" w:eastAsia="宋体" w:cs="Times New Roman"/>
                      <w:color w:val="auto"/>
                      <w:spacing w:val="-10"/>
                      <w:sz w:val="21"/>
                      <w:szCs w:val="21"/>
                      <w:highlight w:val="none"/>
                      <w:lang w:val="en-US" w:eastAsia="zh-CN"/>
                    </w:rPr>
                    <w:t>、基础减振</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连续</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序号</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污染源名称</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固废性质</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治理措施</w:t>
                  </w:r>
                </w:p>
              </w:tc>
              <w:tc>
                <w:tcPr>
                  <w:tcW w:w="773"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1</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除尘灰</w:t>
                  </w:r>
                </w:p>
              </w:tc>
              <w:tc>
                <w:tcPr>
                  <w:tcW w:w="1155" w:type="pct"/>
                  <w:vMerge w:val="restar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一般工业固体废物</w:t>
                  </w: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外售综合利用</w:t>
                  </w:r>
                </w:p>
              </w:tc>
              <w:tc>
                <w:tcPr>
                  <w:tcW w:w="773" w:type="pct"/>
                  <w:vMerge w:val="restar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全部综合利用或妥善处置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lang w:val="en-US" w:eastAsia="zh-CN"/>
                    </w:rPr>
                    <w:t>2</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熔炼渣</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外售综合利用</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3</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切冒口</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回用于生产</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4</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砂处理磁选出废铁</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回用于生产</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5</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废砂</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定期由厂家回收处理</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7</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废布袋</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p>
              </w:tc>
              <w:tc>
                <w:tcPr>
                  <w:tcW w:w="1457"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定期由厂家回收处理</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green"/>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9</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w:t>
                  </w:r>
                  <w:r>
                    <w:rPr>
                      <w:rFonts w:hint="default" w:ascii="Times New Roman" w:hAnsi="Times New Roman" w:eastAsia="宋体" w:cs="Times New Roman"/>
                      <w:color w:val="auto"/>
                      <w:sz w:val="21"/>
                      <w:szCs w:val="21"/>
                      <w:highlight w:val="none"/>
                      <w:lang w:val="en-US" w:eastAsia="zh-CN"/>
                    </w:rPr>
                    <w:t>矿物油</w:t>
                  </w:r>
                </w:p>
              </w:tc>
              <w:tc>
                <w:tcPr>
                  <w:tcW w:w="1155" w:type="pct"/>
                  <w:vMerge w:val="restar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spacing w:val="-10"/>
                      <w:sz w:val="21"/>
                      <w:szCs w:val="21"/>
                      <w:highlight w:val="none"/>
                      <w:lang w:val="en-US" w:eastAsia="zh-CN"/>
                    </w:rPr>
                    <w:t>危险废物</w:t>
                  </w:r>
                </w:p>
              </w:tc>
              <w:tc>
                <w:tcPr>
                  <w:tcW w:w="1457" w:type="pct"/>
                  <w:vMerge w:val="restar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spacing w:val="-10"/>
                      <w:sz w:val="21"/>
                      <w:szCs w:val="21"/>
                      <w:highlight w:val="none"/>
                      <w:lang w:val="en-US" w:eastAsia="zh-CN"/>
                    </w:rPr>
                    <w:t>暂存于</w:t>
                  </w:r>
                  <w:r>
                    <w:rPr>
                      <w:rFonts w:hint="eastAsia" w:ascii="Times New Roman" w:hAnsi="Times New Roman" w:cs="Times New Roman"/>
                      <w:color w:val="auto"/>
                      <w:spacing w:val="-10"/>
                      <w:sz w:val="21"/>
                      <w:szCs w:val="21"/>
                      <w:highlight w:val="none"/>
                      <w:lang w:val="en-US" w:eastAsia="zh-CN"/>
                    </w:rPr>
                    <w:t>危险废物暂存间</w:t>
                  </w:r>
                  <w:r>
                    <w:rPr>
                      <w:rFonts w:hint="eastAsia" w:ascii="Times New Roman" w:hAnsi="Times New Roman" w:eastAsia="宋体" w:cs="Times New Roman"/>
                      <w:color w:val="auto"/>
                      <w:spacing w:val="-10"/>
                      <w:sz w:val="21"/>
                      <w:szCs w:val="21"/>
                      <w:highlight w:val="none"/>
                      <w:lang w:val="en-US" w:eastAsia="zh-CN"/>
                    </w:rPr>
                    <w:t>由有资质的单位处置</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green"/>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10</w:t>
                  </w:r>
                </w:p>
              </w:tc>
              <w:tc>
                <w:tcPr>
                  <w:tcW w:w="1171" w:type="pct"/>
                  <w:tcBorders>
                    <w:tl2br w:val="nil"/>
                    <w:tr2bl w:val="nil"/>
                  </w:tcBorders>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w:t>
                  </w:r>
                  <w:r>
                    <w:rPr>
                      <w:rFonts w:hint="default" w:ascii="Times New Roman" w:hAnsi="Times New Roman" w:eastAsia="宋体" w:cs="Times New Roman"/>
                      <w:color w:val="auto"/>
                      <w:sz w:val="21"/>
                      <w:szCs w:val="21"/>
                      <w:highlight w:val="none"/>
                      <w:lang w:val="en-US" w:eastAsia="zh-CN"/>
                    </w:rPr>
                    <w:t>油桶</w:t>
                  </w:r>
                </w:p>
              </w:tc>
              <w:tc>
                <w:tcPr>
                  <w:tcW w:w="1155"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p>
              </w:tc>
              <w:tc>
                <w:tcPr>
                  <w:tcW w:w="1457"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11</w:t>
                  </w:r>
                </w:p>
              </w:tc>
              <w:tc>
                <w:tcPr>
                  <w:tcW w:w="1171"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生活垃圾</w:t>
                  </w:r>
                </w:p>
              </w:tc>
              <w:tc>
                <w:tcPr>
                  <w:tcW w:w="1155"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w:t>
                  </w:r>
                </w:p>
              </w:tc>
              <w:tc>
                <w:tcPr>
                  <w:tcW w:w="1457" w:type="pct"/>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委托环卫部门处置</w:t>
                  </w:r>
                </w:p>
              </w:tc>
              <w:tc>
                <w:tcPr>
                  <w:tcW w:w="773" w:type="pct"/>
                  <w:vMerge w:val="continue"/>
                  <w:tcBorders>
                    <w:tl2br w:val="nil"/>
                    <w:tr2bl w:val="nil"/>
                  </w:tcBorders>
                  <w:noWrap w:val="0"/>
                  <w:vAlign w:val="center"/>
                </w:tcPr>
                <w:p>
                  <w:pPr>
                    <w:topLinePunct/>
                    <w:spacing w:line="240" w:lineRule="atLeast"/>
                    <w:jc w:val="center"/>
                    <w:rPr>
                      <w:rFonts w:hint="default" w:ascii="Times New Roman" w:hAnsi="Times New Roman" w:eastAsia="宋体" w:cs="Times New Roman"/>
                      <w:color w:val="auto"/>
                      <w:spacing w:val="-10"/>
                      <w:sz w:val="21"/>
                      <w:szCs w:val="21"/>
                      <w:highlight w:val="green"/>
                      <w:lang w:val="en-US" w:eastAsia="zh-CN"/>
                    </w:rPr>
                  </w:pPr>
                </w:p>
              </w:tc>
            </w:tr>
          </w:tbl>
          <w:p>
            <w:pPr>
              <w:spacing w:line="480" w:lineRule="exact"/>
              <w:jc w:val="center"/>
              <w:rPr>
                <w:rFonts w:hint="eastAsia" w:ascii="Times New Roman" w:hAnsi="Times New Roman" w:eastAsia="宋体" w:cs="Times New Roman"/>
                <w:b/>
                <w:bCs/>
                <w:snapToGrid w:val="0"/>
                <w:color w:val="auto"/>
                <w:sz w:val="24"/>
                <w:highlight w:val="none"/>
              </w:rPr>
            </w:pPr>
          </w:p>
          <w:p>
            <w:pPr>
              <w:spacing w:line="480" w:lineRule="exact"/>
              <w:jc w:val="center"/>
              <w:rPr>
                <w:rFonts w:hint="eastAsia" w:ascii="Times New Roman" w:hAnsi="Times New Roman" w:eastAsia="宋体" w:cs="Times New Roman"/>
                <w:b/>
                <w:bCs/>
                <w:snapToGrid w:val="0"/>
                <w:color w:val="auto"/>
                <w:sz w:val="24"/>
                <w:highlight w:val="none"/>
              </w:rPr>
            </w:pPr>
          </w:p>
          <w:p>
            <w:pPr>
              <w:spacing w:line="480" w:lineRule="exact"/>
              <w:jc w:val="center"/>
              <w:rPr>
                <w:rFonts w:hint="eastAsia" w:ascii="Times New Roman" w:hAnsi="Times New Roman" w:eastAsia="宋体" w:cs="Times New Roman"/>
                <w:b/>
                <w:bCs/>
                <w:snapToGrid w:val="0"/>
                <w:color w:val="auto"/>
                <w:sz w:val="24"/>
                <w:highlight w:val="none"/>
              </w:rPr>
            </w:pPr>
          </w:p>
          <w:p>
            <w:pPr>
              <w:spacing w:line="500" w:lineRule="exact"/>
              <w:rPr>
                <w:rFonts w:hint="default" w:ascii="Times New Roman" w:hAnsi="Times New Roman" w:eastAsia="宋体" w:cs="Times New Roman"/>
                <w:color w:val="auto"/>
                <w:sz w:val="21"/>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853" w:type="dxa"/>
            <w:gridSpan w:val="2"/>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与项目有关的原有环境污染问题</w:t>
            </w:r>
          </w:p>
        </w:tc>
        <w:tc>
          <w:tcPr>
            <w:tcW w:w="82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color w:val="auto"/>
                <w:sz w:val="24"/>
                <w:highlight w:val="none"/>
                <w:lang w:val="en-US" w:eastAsia="zh-CN"/>
              </w:rPr>
              <w:t>本项目为新建项目，原厂区无遗留环保问题，不存在与本项目相关的原有环境污染问题</w:t>
            </w:r>
            <w:r>
              <w:rPr>
                <w:rFonts w:hint="eastAsia" w:cs="Times New Roman"/>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r>
    </w:tbl>
    <w:p>
      <w:pPr>
        <w:pStyle w:val="30"/>
        <w:jc w:val="center"/>
        <w:rPr>
          <w:rFonts w:hint="default" w:ascii="Times New Roman" w:hAnsi="Times New Roman" w:eastAsia="黑体" w:cs="Times New Roman"/>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32" w:name="_GoBack"/>
      <w:bookmarkEnd w:id="32"/>
      <w:bookmarkStart w:id="14" w:name="_Toc30819"/>
      <w:bookmarkStart w:id="15" w:name="_Toc26788"/>
      <w:bookmarkStart w:id="16" w:name="_Toc4849"/>
      <w:r>
        <w:rPr>
          <w:rFonts w:hint="default" w:ascii="Times New Roman" w:hAnsi="Times New Roman" w:eastAsia="黑体" w:cs="Times New Roman"/>
          <w:snapToGrid w:val="0"/>
          <w:color w:val="auto"/>
          <w:sz w:val="30"/>
          <w:szCs w:val="30"/>
          <w:highlight w:val="none"/>
        </w:rPr>
        <w:t>三、区域环境质量现状、环境保护目标及评价标准</w:t>
      </w:r>
      <w:bookmarkEnd w:id="1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域</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状</w:t>
            </w:r>
          </w:p>
        </w:tc>
        <w:tc>
          <w:tcPr>
            <w:tcW w:w="8544" w:type="dxa"/>
            <w:noWrap w:val="0"/>
            <w:vAlign w:val="center"/>
          </w:tcPr>
          <w:p>
            <w:pPr>
              <w:keepNext/>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1环境空气</w:t>
            </w:r>
          </w:p>
          <w:p>
            <w:pPr>
              <w:pStyle w:val="17"/>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空气质量达标区判定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color w:val="auto"/>
                <w:kern w:val="21"/>
                <w:sz w:val="24"/>
                <w:szCs w:val="24"/>
                <w:highlight w:val="none"/>
              </w:rPr>
              <w:t>根据《20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color w:val="auto"/>
                <w:kern w:val="21"/>
                <w:sz w:val="24"/>
                <w:szCs w:val="24"/>
                <w:highlight w:val="none"/>
                <w:lang w:val="en-US"/>
              </w:rPr>
              <w:t>202</w:t>
            </w:r>
            <w:r>
              <w:rPr>
                <w:rFonts w:hint="eastAsia"/>
                <w:color w:val="auto"/>
                <w:kern w:val="21"/>
                <w:sz w:val="24"/>
                <w:szCs w:val="24"/>
                <w:highlight w:val="none"/>
                <w:lang w:val="en-US" w:eastAsia="zh-CN"/>
              </w:rPr>
              <w:t>2</w:t>
            </w:r>
            <w:r>
              <w:rPr>
                <w:color w:val="auto"/>
                <w:kern w:val="21"/>
                <w:sz w:val="24"/>
                <w:szCs w:val="24"/>
                <w:highlight w:val="none"/>
                <w:lang w:val="en-US"/>
              </w:rPr>
              <w:t>年</w:t>
            </w:r>
            <w:r>
              <w:rPr>
                <w:color w:val="auto"/>
                <w:kern w:val="21"/>
                <w:sz w:val="24"/>
                <w:szCs w:val="24"/>
                <w:highlight w:val="none"/>
              </w:rPr>
              <w:t>全市细颗粒物（PM</w:t>
            </w:r>
            <w:r>
              <w:rPr>
                <w:color w:val="auto"/>
                <w:kern w:val="21"/>
                <w:sz w:val="24"/>
                <w:szCs w:val="24"/>
                <w:highlight w:val="none"/>
                <w:vertAlign w:val="subscript"/>
              </w:rPr>
              <w:t>2.5</w:t>
            </w:r>
            <w:r>
              <w:rPr>
                <w:color w:val="auto"/>
                <w:kern w:val="21"/>
                <w:sz w:val="24"/>
                <w:szCs w:val="24"/>
                <w:highlight w:val="none"/>
              </w:rPr>
              <w:t>）年平均浓度为</w:t>
            </w:r>
            <w:r>
              <w:rPr>
                <w:rFonts w:hint="eastAsia"/>
                <w:color w:val="auto"/>
                <w:kern w:val="21"/>
                <w:sz w:val="24"/>
                <w:szCs w:val="24"/>
                <w:highlight w:val="none"/>
                <w:lang w:val="en-US" w:eastAsia="zh-CN"/>
              </w:rPr>
              <w:t>37</w:t>
            </w:r>
            <w:r>
              <w:rPr>
                <w:color w:val="auto"/>
                <w:kern w:val="21"/>
                <w:sz w:val="24"/>
                <w:szCs w:val="24"/>
                <w:highlight w:val="none"/>
              </w:rPr>
              <w:t>微克/立方米，可吸入颗粒物（PM</w:t>
            </w:r>
            <w:r>
              <w:rPr>
                <w:color w:val="auto"/>
                <w:kern w:val="21"/>
                <w:sz w:val="24"/>
                <w:szCs w:val="24"/>
                <w:highlight w:val="none"/>
                <w:vertAlign w:val="subscript"/>
              </w:rPr>
              <w:t>10</w:t>
            </w:r>
            <w:r>
              <w:rPr>
                <w:color w:val="auto"/>
                <w:kern w:val="21"/>
                <w:sz w:val="24"/>
                <w:szCs w:val="24"/>
                <w:highlight w:val="none"/>
              </w:rPr>
              <w:t>）年平均浓度为</w:t>
            </w:r>
            <w:r>
              <w:rPr>
                <w:rFonts w:hint="eastAsia"/>
                <w:color w:val="auto"/>
                <w:kern w:val="21"/>
                <w:sz w:val="24"/>
                <w:szCs w:val="24"/>
                <w:highlight w:val="none"/>
                <w:lang w:val="en-US" w:eastAsia="zh-CN"/>
              </w:rPr>
              <w:t>67</w:t>
            </w:r>
            <w:r>
              <w:rPr>
                <w:color w:val="auto"/>
                <w:kern w:val="21"/>
                <w:sz w:val="24"/>
                <w:szCs w:val="24"/>
                <w:highlight w:val="none"/>
              </w:rPr>
              <w:t>微克/立方米，二氧化硫（SO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8</w:t>
            </w:r>
            <w:r>
              <w:rPr>
                <w:color w:val="auto"/>
                <w:kern w:val="21"/>
                <w:sz w:val="24"/>
                <w:szCs w:val="24"/>
                <w:highlight w:val="none"/>
              </w:rPr>
              <w:t>微克/立方米，二氧化氮（NO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32</w:t>
            </w:r>
            <w:r>
              <w:rPr>
                <w:color w:val="auto"/>
                <w:kern w:val="21"/>
                <w:sz w:val="24"/>
                <w:szCs w:val="24"/>
                <w:highlight w:val="none"/>
              </w:rPr>
              <w:t>微克/立方米，一氧化碳（CO）日均值第95百分位浓度平均为</w:t>
            </w:r>
            <w:r>
              <w:rPr>
                <w:rFonts w:hint="eastAsia"/>
                <w:color w:val="auto"/>
                <w:kern w:val="21"/>
                <w:sz w:val="24"/>
                <w:szCs w:val="24"/>
                <w:highlight w:val="none"/>
                <w:lang w:val="en-US" w:eastAsia="zh-CN"/>
              </w:rPr>
              <w:t>1.5</w:t>
            </w:r>
            <w:r>
              <w:rPr>
                <w:color w:val="auto"/>
                <w:kern w:val="21"/>
                <w:sz w:val="24"/>
                <w:szCs w:val="24"/>
                <w:highlight w:val="none"/>
              </w:rPr>
              <w:t>毫克/立方米，臭氧（O</w:t>
            </w:r>
            <w:r>
              <w:rPr>
                <w:color w:val="auto"/>
                <w:kern w:val="21"/>
                <w:sz w:val="24"/>
                <w:szCs w:val="24"/>
                <w:highlight w:val="none"/>
                <w:vertAlign w:val="subscript"/>
              </w:rPr>
              <w:t>3</w:t>
            </w:r>
            <w:r>
              <w:rPr>
                <w:color w:val="auto"/>
                <w:kern w:val="21"/>
                <w:sz w:val="24"/>
                <w:szCs w:val="24"/>
                <w:highlight w:val="none"/>
              </w:rPr>
              <w:t>）日最大8小时平均第90百分位浓度平均为</w:t>
            </w:r>
            <w:r>
              <w:rPr>
                <w:rFonts w:hint="eastAsia"/>
                <w:color w:val="auto"/>
                <w:kern w:val="21"/>
                <w:sz w:val="24"/>
                <w:szCs w:val="24"/>
                <w:highlight w:val="none"/>
                <w:lang w:val="en-US" w:eastAsia="zh-CN"/>
              </w:rPr>
              <w:t>182</w:t>
            </w:r>
            <w:r>
              <w:rPr>
                <w:color w:val="auto"/>
                <w:kern w:val="21"/>
                <w:sz w:val="24"/>
                <w:szCs w:val="24"/>
                <w:highlight w:val="none"/>
              </w:rPr>
              <w:t>微克/立方米。PM</w:t>
            </w:r>
            <w:r>
              <w:rPr>
                <w:color w:val="auto"/>
                <w:kern w:val="21"/>
                <w:sz w:val="24"/>
                <w:szCs w:val="24"/>
                <w:highlight w:val="none"/>
                <w:vertAlign w:val="subscript"/>
              </w:rPr>
              <w:t>2.5</w:t>
            </w:r>
            <w:r>
              <w:rPr>
                <w:color w:val="auto"/>
                <w:kern w:val="21"/>
                <w:sz w:val="24"/>
                <w:szCs w:val="24"/>
                <w:highlight w:val="none"/>
              </w:rPr>
              <w:t>、PM</w:t>
            </w:r>
            <w:r>
              <w:rPr>
                <w:color w:val="auto"/>
                <w:kern w:val="21"/>
                <w:sz w:val="24"/>
                <w:szCs w:val="24"/>
                <w:highlight w:val="none"/>
                <w:vertAlign w:val="subscript"/>
              </w:rPr>
              <w:t>10</w:t>
            </w:r>
            <w:r>
              <w:rPr>
                <w:color w:val="auto"/>
                <w:kern w:val="21"/>
                <w:sz w:val="24"/>
                <w:szCs w:val="24"/>
                <w:highlight w:val="none"/>
              </w:rPr>
              <w:t>、SO</w:t>
            </w:r>
            <w:r>
              <w:rPr>
                <w:color w:val="auto"/>
                <w:kern w:val="21"/>
                <w:sz w:val="24"/>
                <w:szCs w:val="24"/>
                <w:highlight w:val="none"/>
                <w:vertAlign w:val="subscript"/>
              </w:rPr>
              <w:t>2</w:t>
            </w:r>
            <w:r>
              <w:rPr>
                <w:color w:val="auto"/>
                <w:kern w:val="21"/>
                <w:sz w:val="24"/>
                <w:szCs w:val="24"/>
                <w:highlight w:val="none"/>
              </w:rPr>
              <w:t>、NO</w:t>
            </w:r>
            <w:r>
              <w:rPr>
                <w:color w:val="auto"/>
                <w:kern w:val="21"/>
                <w:sz w:val="24"/>
                <w:szCs w:val="24"/>
                <w:highlight w:val="none"/>
                <w:vertAlign w:val="subscript"/>
              </w:rPr>
              <w:t>2</w:t>
            </w:r>
            <w:r>
              <w:rPr>
                <w:color w:val="auto"/>
                <w:kern w:val="21"/>
                <w:sz w:val="24"/>
                <w:szCs w:val="24"/>
                <w:highlight w:val="none"/>
              </w:rPr>
              <w:t>、CO-95per平均浓度分别下降</w:t>
            </w:r>
            <w:r>
              <w:rPr>
                <w:rFonts w:hint="eastAsia"/>
                <w:color w:val="auto"/>
                <w:kern w:val="21"/>
                <w:sz w:val="24"/>
                <w:szCs w:val="24"/>
                <w:highlight w:val="none"/>
                <w:lang w:val="en-US" w:eastAsia="zh-CN"/>
              </w:rPr>
              <w:t>13.95</w:t>
            </w:r>
            <w:r>
              <w:rPr>
                <w:color w:val="auto"/>
                <w:kern w:val="21"/>
                <w:sz w:val="24"/>
                <w:szCs w:val="24"/>
                <w:highlight w:val="none"/>
              </w:rPr>
              <w:t>%、1</w:t>
            </w:r>
            <w:r>
              <w:rPr>
                <w:rFonts w:hint="eastAsia"/>
                <w:color w:val="auto"/>
                <w:kern w:val="21"/>
                <w:sz w:val="24"/>
                <w:szCs w:val="24"/>
                <w:highlight w:val="none"/>
                <w:lang w:val="en-US" w:eastAsia="zh-CN"/>
              </w:rPr>
              <w:t>5.19</w:t>
            </w:r>
            <w:r>
              <w:rPr>
                <w:color w:val="auto"/>
                <w:kern w:val="21"/>
                <w:sz w:val="24"/>
                <w:szCs w:val="24"/>
                <w:highlight w:val="none"/>
              </w:rPr>
              <w:t>%、</w:t>
            </w:r>
            <w:r>
              <w:rPr>
                <w:rFonts w:hint="eastAsia"/>
                <w:color w:val="auto"/>
                <w:kern w:val="21"/>
                <w:sz w:val="24"/>
                <w:szCs w:val="24"/>
                <w:highlight w:val="none"/>
                <w:lang w:val="en-US" w:eastAsia="zh-CN"/>
              </w:rPr>
              <w:t>20</w:t>
            </w:r>
            <w:r>
              <w:rPr>
                <w:color w:val="auto"/>
                <w:kern w:val="21"/>
                <w:sz w:val="24"/>
                <w:szCs w:val="24"/>
                <w:highlight w:val="none"/>
              </w:rPr>
              <w:t>%、</w:t>
            </w:r>
            <w:r>
              <w:rPr>
                <w:rFonts w:hint="eastAsia"/>
                <w:color w:val="auto"/>
                <w:kern w:val="21"/>
                <w:sz w:val="24"/>
                <w:szCs w:val="24"/>
                <w:highlight w:val="none"/>
                <w:lang w:val="en-US" w:eastAsia="zh-CN"/>
              </w:rPr>
              <w:t>17.95</w:t>
            </w:r>
            <w:r>
              <w:rPr>
                <w:color w:val="auto"/>
                <w:kern w:val="21"/>
                <w:sz w:val="24"/>
                <w:szCs w:val="24"/>
                <w:highlight w:val="none"/>
              </w:rPr>
              <w:t>%、</w:t>
            </w:r>
            <w:r>
              <w:rPr>
                <w:rFonts w:hint="eastAsia"/>
                <w:color w:val="auto"/>
                <w:kern w:val="21"/>
                <w:sz w:val="24"/>
                <w:szCs w:val="24"/>
                <w:highlight w:val="none"/>
                <w:lang w:val="en-US" w:eastAsia="zh-CN"/>
              </w:rPr>
              <w:t>21.05</w:t>
            </w:r>
            <w:r>
              <w:rPr>
                <w:color w:val="auto"/>
                <w:kern w:val="21"/>
                <w:sz w:val="24"/>
                <w:szCs w:val="24"/>
                <w:highlight w:val="none"/>
              </w:rPr>
              <w:t>%</w:t>
            </w:r>
            <w:r>
              <w:rPr>
                <w:rFonts w:hint="eastAsia"/>
                <w:color w:val="auto"/>
                <w:kern w:val="21"/>
                <w:sz w:val="24"/>
                <w:szCs w:val="24"/>
                <w:highlight w:val="none"/>
                <w:lang w:eastAsia="zh-CN"/>
              </w:rPr>
              <w:t>，</w:t>
            </w:r>
            <w:r>
              <w:rPr>
                <w:color w:val="auto"/>
                <w:kern w:val="21"/>
                <w:sz w:val="24"/>
                <w:szCs w:val="24"/>
                <w:highlight w:val="none"/>
              </w:rPr>
              <w:t>、O</w:t>
            </w:r>
            <w:r>
              <w:rPr>
                <w:color w:val="auto"/>
                <w:kern w:val="21"/>
                <w:sz w:val="24"/>
                <w:szCs w:val="24"/>
                <w:highlight w:val="none"/>
                <w:vertAlign w:val="subscript"/>
              </w:rPr>
              <w:t>3</w:t>
            </w:r>
            <w:r>
              <w:rPr>
                <w:color w:val="auto"/>
                <w:kern w:val="21"/>
                <w:sz w:val="24"/>
                <w:szCs w:val="24"/>
                <w:highlight w:val="none"/>
              </w:rPr>
              <w:t>-8H-90per平均浓度分别</w:t>
            </w:r>
            <w:r>
              <w:rPr>
                <w:rFonts w:hint="eastAsia"/>
                <w:color w:val="auto"/>
                <w:kern w:val="21"/>
                <w:sz w:val="24"/>
                <w:szCs w:val="24"/>
                <w:highlight w:val="none"/>
                <w:lang w:val="en-US" w:eastAsia="zh-CN"/>
              </w:rPr>
              <w:t>上升13.04</w:t>
            </w:r>
            <w:r>
              <w:rPr>
                <w:color w:val="auto"/>
                <w:kern w:val="21"/>
                <w:sz w:val="24"/>
                <w:szCs w:val="24"/>
                <w:highlight w:val="none"/>
              </w:rPr>
              <w:t>%</w:t>
            </w:r>
            <w:r>
              <w:rPr>
                <w:color w:val="auto"/>
                <w:sz w:val="24"/>
                <w:szCs w:val="24"/>
                <w:highlight w:val="none"/>
              </w:rPr>
              <w:t>。评价结果见</w:t>
            </w:r>
            <w:r>
              <w:rPr>
                <w:rFonts w:hint="eastAsia"/>
                <w:color w:val="auto"/>
                <w:sz w:val="24"/>
                <w:szCs w:val="24"/>
                <w:highlight w:val="none"/>
                <w:lang w:eastAsia="zh-CN"/>
              </w:rPr>
              <w:t>下</w:t>
            </w:r>
            <w:r>
              <w:rPr>
                <w:color w:val="auto"/>
                <w:sz w:val="24"/>
                <w:szCs w:val="24"/>
                <w:highlight w:val="none"/>
              </w:rPr>
              <w:t>表</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表</w:t>
            </w:r>
            <w:r>
              <w:rPr>
                <w:rFonts w:hint="eastAsia" w:cs="Times New Roman"/>
                <w:b/>
                <w:color w:val="auto"/>
                <w:kern w:val="0"/>
                <w:sz w:val="24"/>
                <w:szCs w:val="24"/>
                <w:highlight w:val="none"/>
                <w:lang w:val="en-US" w:eastAsia="zh-CN"/>
              </w:rPr>
              <w:t>18</w:t>
            </w:r>
            <w:r>
              <w:rPr>
                <w:rFonts w:hint="default" w:ascii="Times New Roman" w:hAnsi="Times New Roman" w:eastAsia="宋体" w:cs="Times New Roman"/>
                <w:b/>
                <w:color w:val="auto"/>
                <w:kern w:val="0"/>
                <w:sz w:val="24"/>
                <w:szCs w:val="24"/>
                <w:highlight w:val="none"/>
              </w:rPr>
              <w:t xml:space="preserve">   区域空气质量现状评价一览表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8"/>
              <w:gridCol w:w="1140"/>
              <w:gridCol w:w="946"/>
              <w:gridCol w:w="1212"/>
              <w:gridCol w:w="1175"/>
              <w:gridCol w:w="968"/>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指标</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CO</w:t>
                  </w:r>
                  <w:r>
                    <w:rPr>
                      <w:rFonts w:hint="eastAsia"/>
                      <w:color w:val="auto"/>
                      <w:szCs w:val="21"/>
                      <w:highlight w:val="none"/>
                      <w:lang w:val="en-US" w:eastAsia="zh-CN"/>
                    </w:rPr>
                    <w:t>m</w:t>
                  </w:r>
                  <w:r>
                    <w:rPr>
                      <w:color w:val="auto"/>
                      <w:szCs w:val="21"/>
                      <w:highlight w:val="none"/>
                    </w:rPr>
                    <w:t>g/m</w:t>
                  </w:r>
                  <w:r>
                    <w:rPr>
                      <w:color w:val="auto"/>
                      <w:szCs w:val="21"/>
                      <w:highlight w:val="none"/>
                      <w:vertAlign w:val="superscript"/>
                    </w:rPr>
                    <w:t>3</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202</w:t>
                  </w:r>
                  <w:r>
                    <w:rPr>
                      <w:rFonts w:hint="eastAsia"/>
                      <w:color w:val="auto"/>
                      <w:szCs w:val="21"/>
                      <w:highlight w:val="none"/>
                      <w:lang w:val="en-US" w:eastAsia="zh-CN"/>
                    </w:rPr>
                    <w:t>2</w:t>
                  </w:r>
                  <w:r>
                    <w:rPr>
                      <w:color w:val="auto"/>
                      <w:szCs w:val="21"/>
                      <w:highlight w:val="none"/>
                    </w:rPr>
                    <w:t>平均值</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32</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67</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37</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1.5</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年均值标准</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60</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40</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70</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35</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color w:val="auto"/>
                      <w:szCs w:val="21"/>
                      <w:highlight w:val="none"/>
                      <w:lang w:eastAsia="zh-CN"/>
                    </w:rPr>
                  </w:pPr>
                  <w:r>
                    <w:rPr>
                      <w:rFonts w:hint="eastAsia"/>
                      <w:color w:val="auto"/>
                      <w:szCs w:val="21"/>
                      <w:highlight w:val="none"/>
                      <w:lang w:val="en-US" w:eastAsia="zh-CN"/>
                    </w:rPr>
                    <w:t>达标</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5.71</w:t>
                  </w:r>
                  <w:r>
                    <w:rPr>
                      <w:color w:val="auto"/>
                      <w:szCs w:val="21"/>
                      <w:highlight w:val="none"/>
                    </w:rPr>
                    <w:t>%</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日均值标准</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80</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150</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75</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4</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达标</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7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3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70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color w:val="auto"/>
                      <w:szCs w:val="21"/>
                      <w:highlight w:val="none"/>
                    </w:rPr>
                    <w:t>—</w:t>
                  </w:r>
                </w:p>
              </w:tc>
              <w:tc>
                <w:tcPr>
                  <w:tcW w:w="98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szCs w:val="21"/>
                      <w:highlight w:val="none"/>
                    </w:rPr>
                  </w:pPr>
                  <w:r>
                    <w:rPr>
                      <w:rFonts w:hint="eastAsia"/>
                      <w:color w:val="auto"/>
                      <w:szCs w:val="21"/>
                      <w:highlight w:val="none"/>
                      <w:lang w:val="en-US" w:eastAsia="zh-CN"/>
                    </w:rPr>
                    <w:t>13.75</w:t>
                  </w:r>
                  <w:r>
                    <w:rPr>
                      <w:color w:val="auto"/>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由上表可知，项目所在区域一氧化碳年均浓度值、二氧化氮、二氧化硫、PM</w:t>
            </w:r>
            <w:r>
              <w:rPr>
                <w:rFonts w:hint="default" w:ascii="Times New Roman" w:hAnsi="Times New Roman" w:cs="Times New Roman"/>
                <w:color w:val="auto"/>
                <w:sz w:val="24"/>
                <w:szCs w:val="24"/>
                <w:highlight w:val="none"/>
                <w:vertAlign w:val="subscript"/>
              </w:rPr>
              <w:t>10</w:t>
            </w:r>
            <w:r>
              <w:rPr>
                <w:rFonts w:hint="default" w:ascii="Times New Roman" w:hAnsi="Times New Roman" w:cs="Times New Roman"/>
                <w:color w:val="auto"/>
                <w:sz w:val="24"/>
                <w:szCs w:val="24"/>
                <w:highlight w:val="none"/>
              </w:rPr>
              <w:t>年均浓度值满足空气质量标准要求；臭氧日最大8小时年均浓度值、PM</w:t>
            </w:r>
            <w:r>
              <w:rPr>
                <w:rFonts w:hint="default" w:ascii="Times New Roman" w:hAnsi="Times New Roman" w:cs="Times New Roman"/>
                <w:color w:val="auto"/>
                <w:sz w:val="24"/>
                <w:szCs w:val="24"/>
                <w:highlight w:val="none"/>
                <w:vertAlign w:val="subscript"/>
              </w:rPr>
              <w:t>2.5</w:t>
            </w:r>
            <w:r>
              <w:rPr>
                <w:rFonts w:hint="default" w:ascii="Times New Roman" w:hAnsi="Times New Roman" w:cs="Times New Roman"/>
                <w:color w:val="auto"/>
                <w:sz w:val="24"/>
                <w:szCs w:val="24"/>
                <w:highlight w:val="none"/>
              </w:rPr>
              <w:t>超过环境质量标准要求，即项目所在区域为不达标区。</w:t>
            </w:r>
          </w:p>
          <w:p>
            <w:pPr>
              <w:pStyle w:val="76"/>
              <w:keepNext w:val="0"/>
              <w:keepLines w:val="0"/>
              <w:pageBreakBefore w:val="0"/>
              <w:widowControl w:val="0"/>
              <w:numPr>
                <w:ilvl w:val="0"/>
                <w:numId w:val="0"/>
              </w:numPr>
              <w:tabs>
                <w:tab w:val="left" w:pos="4200"/>
              </w:tabs>
              <w:kinsoku/>
              <w:wordWrap/>
              <w:overflowPunct/>
              <w:topLinePunct w:val="0"/>
              <w:autoSpaceDE/>
              <w:autoSpaceDN/>
              <w:bidi w:val="0"/>
              <w:adjustRightInd/>
              <w:spacing w:line="50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2</w:t>
            </w:r>
            <w:r>
              <w:rPr>
                <w:rFonts w:hint="eastAsia" w:ascii="Times New Roman" w:hAnsi="Times New Roman"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项目所在区域污染物环境质量现状</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color w:val="auto"/>
                <w:sz w:val="24"/>
                <w:szCs w:val="24"/>
              </w:rPr>
              <w:t>本项目基本</w:t>
            </w:r>
            <w:r>
              <w:rPr>
                <w:rFonts w:hint="eastAsia"/>
                <w:color w:val="auto"/>
                <w:sz w:val="24"/>
                <w:szCs w:val="24"/>
                <w:lang w:val="en-US" w:eastAsia="zh-CN"/>
              </w:rPr>
              <w:t>污</w:t>
            </w:r>
            <w:r>
              <w:rPr>
                <w:rFonts w:hint="default"/>
                <w:color w:val="auto"/>
                <w:sz w:val="24"/>
                <w:szCs w:val="24"/>
              </w:rPr>
              <w:t>染物环境质量现状数据使用唐山市生态环境局网站公布的《</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年唐山市环境状况公报》</w:t>
            </w:r>
            <w:r>
              <w:rPr>
                <w:rFonts w:hint="default" w:ascii="Times New Roman" w:hAnsi="Times New Roman" w:eastAsia="宋体" w:cs="Times New Roman"/>
                <w:color w:val="auto"/>
                <w:sz w:val="24"/>
                <w:szCs w:val="24"/>
                <w:lang w:val="en-US" w:eastAsia="zh-CN"/>
              </w:rPr>
              <w:t>中</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年常规污染物年均浓度以及在相应保证率下各个污染物的日均浓度的达标情况，结果见</w:t>
            </w:r>
            <w:r>
              <w:rPr>
                <w:rFonts w:hint="default" w:ascii="Times New Roman" w:hAnsi="Times New Roman" w:eastAsia="宋体" w:cs="Times New Roman"/>
                <w:color w:val="auto"/>
                <w:sz w:val="24"/>
                <w:szCs w:val="24"/>
                <w:lang w:eastAsia="zh-CN"/>
              </w:rPr>
              <w:t>下</w:t>
            </w:r>
            <w:r>
              <w:rPr>
                <w:rFonts w:hint="default" w:ascii="Times New Roman" w:hAnsi="Times New Roman" w:eastAsia="宋体" w:cs="Times New Roman"/>
                <w:color w:val="auto"/>
                <w:sz w:val="24"/>
                <w:szCs w:val="24"/>
              </w:rPr>
              <w:t>表。</w:t>
            </w: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lang w:val="en-US" w:eastAsia="zh-CN"/>
              </w:rPr>
            </w:pPr>
          </w:p>
          <w:p>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w:t>
            </w:r>
            <w:r>
              <w:rPr>
                <w:rFonts w:hint="eastAsia" w:ascii="Times New Roman" w:cs="Times New Roman"/>
                <w:b/>
                <w:bCs/>
                <w:color w:val="auto"/>
                <w:sz w:val="24"/>
                <w:szCs w:val="24"/>
                <w:lang w:val="en-US" w:eastAsia="zh-CN"/>
              </w:rPr>
              <w:t xml:space="preserve">19   </w:t>
            </w:r>
            <w:r>
              <w:rPr>
                <w:rFonts w:hint="default" w:ascii="Times New Roman" w:hAnsi="Times New Roman" w:eastAsia="宋体" w:cs="Times New Roman"/>
                <w:b/>
                <w:bCs/>
                <w:color w:val="auto"/>
                <w:sz w:val="24"/>
                <w:szCs w:val="24"/>
                <w:lang w:val="en-US" w:eastAsia="zh-CN"/>
              </w:rPr>
              <w:t xml:space="preserve">  </w:t>
            </w:r>
            <w:r>
              <w:rPr>
                <w:rFonts w:hint="eastAsia" w:ascii="Times New Roman" w:cs="Times New Roman"/>
                <w:b/>
                <w:bCs/>
                <w:color w:val="auto"/>
                <w:sz w:val="24"/>
                <w:szCs w:val="24"/>
                <w:lang w:val="en-US" w:eastAsia="zh-CN"/>
              </w:rPr>
              <w:t>遵化市</w:t>
            </w:r>
            <w:r>
              <w:rPr>
                <w:rFonts w:hint="default" w:ascii="Times New Roman" w:hAnsi="Times New Roman" w:eastAsia="宋体" w:cs="Times New Roman"/>
                <w:b/>
                <w:bCs/>
                <w:color w:val="auto"/>
                <w:sz w:val="24"/>
                <w:szCs w:val="24"/>
                <w:lang w:val="en-US" w:eastAsia="zh-CN"/>
              </w:rPr>
              <w:t>202</w:t>
            </w:r>
            <w:r>
              <w:rPr>
                <w:rFonts w:hint="eastAsia" w:asci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rPr>
              <w:t>常规污染物年均值统计</w:t>
            </w:r>
          </w:p>
          <w:tbl>
            <w:tblPr>
              <w:tblStyle w:val="34"/>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年评价指标</w:t>
                  </w:r>
                </w:p>
              </w:tc>
              <w:tc>
                <w:tcPr>
                  <w:tcW w:w="1102"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p>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lang w:val="en-US" w:eastAsia="zh-CN"/>
                    </w:rPr>
                    <w:t>2</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60</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lang w:val="en-US" w:eastAsia="zh-CN"/>
                    </w:rPr>
                    <w:t>2</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32</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第95百分位浓度日平均浓度值</w:t>
                  </w:r>
                </w:p>
              </w:tc>
              <w:tc>
                <w:tcPr>
                  <w:tcW w:w="1102" w:type="dxa"/>
                  <w:tcBorders/>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1600</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lang w:val="en-US" w:eastAsia="zh-CN"/>
                    </w:rPr>
                    <w:t>3</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日最大8小时平均第90百分位浓度</w:t>
                  </w:r>
                </w:p>
              </w:tc>
              <w:tc>
                <w:tcPr>
                  <w:tcW w:w="1102" w:type="dxa"/>
                  <w:tcBorders/>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179</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10</w:t>
                  </w:r>
                </w:p>
              </w:tc>
              <w:tc>
                <w:tcPr>
                  <w:tcW w:w="3357"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65</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2.5</w:t>
                  </w:r>
                </w:p>
              </w:tc>
              <w:tc>
                <w:tcPr>
                  <w:tcW w:w="3357" w:type="dxa"/>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w:t>
                  </w:r>
                </w:p>
              </w:tc>
              <w:tc>
                <w:tcPr>
                  <w:tcW w:w="1275" w:type="dxa"/>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35</w:t>
                  </w:r>
                </w:p>
              </w:tc>
              <w:tc>
                <w:tcPr>
                  <w:tcW w:w="1200" w:type="dxa"/>
                  <w:tcBorders>
                    <w:right w:val="nil"/>
                  </w:tcBorders>
                  <w:vAlign w:val="center"/>
                </w:tcPr>
                <w:p>
                  <w:pPr>
                    <w:pStyle w:val="4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bl>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由上表可知，20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常规污染物监测数据显示，</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w:t>
            </w:r>
            <w:r>
              <w:rPr>
                <w:rFonts w:hint="default" w:ascii="Times New Roman" w:hAnsi="Times New Roman" w:eastAsia="宋体" w:cs="Times New Roman"/>
                <w:color w:val="auto"/>
                <w:sz w:val="24"/>
                <w:szCs w:val="24"/>
                <w:lang w:val="en-US" w:eastAsia="zh-CN"/>
              </w:rPr>
              <w:t>浓</w:t>
            </w:r>
            <w:r>
              <w:rPr>
                <w:rFonts w:hint="default" w:ascii="Times New Roman" w:hAnsi="Times New Roman" w:eastAsia="宋体" w:cs="Times New Roman"/>
                <w:color w:val="auto"/>
                <w:sz w:val="24"/>
                <w:szCs w:val="24"/>
                <w:vertAlign w:val="baseline"/>
                <w:lang w:val="en-US" w:eastAsia="zh-CN"/>
              </w:rPr>
              <w:t>度</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年平均质量浓度、CO第95百分位浓度日平均浓度值</w:t>
            </w:r>
            <w:r>
              <w:rPr>
                <w:rFonts w:hint="eastAsia" w:cs="Times New Roman"/>
                <w:color w:val="auto"/>
                <w:sz w:val="24"/>
                <w:szCs w:val="24"/>
                <w:vertAlign w:val="baseline"/>
                <w:lang w:val="en-US" w:eastAsia="zh-CN"/>
              </w:rPr>
              <w:t>均</w:t>
            </w:r>
            <w:r>
              <w:rPr>
                <w:rFonts w:hint="default" w:ascii="Times New Roman" w:hAnsi="Times New Roman" w:eastAsia="宋体" w:cs="Times New Roman"/>
                <w:color w:val="auto"/>
                <w:sz w:val="24"/>
                <w:szCs w:val="24"/>
                <w:vertAlign w:val="baseline"/>
                <w:lang w:val="en-US" w:eastAsia="zh-CN"/>
              </w:rPr>
              <w:t>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vertAlign w:val="baseline"/>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日最大8小时平均第90百分位浓度不满足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tabs>
                <w:tab w:val="left" w:pos="1200"/>
              </w:tabs>
              <w:kinsoku/>
              <w:wordWrap/>
              <w:overflowPunct/>
              <w:topLinePunct w:val="0"/>
              <w:autoSpaceDE/>
              <w:autoSpaceDN/>
              <w:bidi w:val="0"/>
              <w:adjustRightInd w:val="0"/>
              <w:snapToGrid w:val="0"/>
              <w:spacing w:line="500" w:lineRule="exact"/>
              <w:ind w:left="0" w:right="0" w:firstLine="496" w:firstLineChars="200"/>
              <w:textAlignment w:val="auto"/>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pPr>
              <w:pStyle w:val="30"/>
              <w:keepNext w:val="0"/>
              <w:keepLines w:val="0"/>
              <w:pageBreakBefore w:val="0"/>
              <w:kinsoku/>
              <w:wordWrap/>
              <w:overflowPunct/>
              <w:topLinePunct w:val="0"/>
              <w:autoSpaceDE/>
              <w:autoSpaceDN/>
              <w:bidi w:val="0"/>
              <w:adjustRightInd/>
              <w:snapToGrid/>
              <w:spacing w:before="0" w:beforeAutospacing="0" w:after="0" w:afterAutospacing="0" w:line="480" w:lineRule="exact"/>
              <w:ind w:left="8" w:right="113" w:firstLine="408" w:firstLineChars="170"/>
              <w:textAlignment w:val="auto"/>
              <w:rPr>
                <w:rFonts w:ascii="Times New Roman" w:hAnsi="Times New Roman"/>
                <w:color w:val="auto"/>
                <w:kern w:val="2"/>
                <w:sz w:val="24"/>
                <w:szCs w:val="24"/>
                <w:highlight w:val="yellow"/>
                <w:lang w:val="zh-CN" w:eastAsia="zh-CN"/>
              </w:rPr>
            </w:pPr>
            <w:r>
              <w:rPr>
                <w:rFonts w:ascii="Times New Roman" w:hAnsi="Times New Roman"/>
                <w:color w:val="auto"/>
                <w:kern w:val="2"/>
                <w:sz w:val="24"/>
                <w:szCs w:val="24"/>
                <w:lang w:val="zh-CN" w:eastAsia="zh-CN"/>
              </w:rPr>
              <w:t>本次评价中</w:t>
            </w:r>
            <w:r>
              <w:rPr>
                <w:rFonts w:ascii="Times New Roman" w:hAnsi="Times New Roman"/>
                <w:color w:val="auto"/>
                <w:kern w:val="2"/>
                <w:sz w:val="24"/>
                <w:szCs w:val="24"/>
                <w:lang w:val="en-US" w:eastAsia="zh-CN"/>
              </w:rPr>
              <w:t>TSP</w:t>
            </w:r>
            <w:r>
              <w:rPr>
                <w:rFonts w:ascii="Times New Roman" w:hAnsi="Times New Roman"/>
                <w:color w:val="auto"/>
                <w:kern w:val="2"/>
                <w:sz w:val="24"/>
                <w:szCs w:val="24"/>
                <w:lang w:val="zh-CN" w:eastAsia="zh-CN"/>
              </w:rPr>
              <w:t>环境质量现状监测数据引用《</w:t>
            </w:r>
            <w:r>
              <w:rPr>
                <w:rFonts w:hint="eastAsia" w:ascii="Times New Roman" w:hAnsi="Times New Roman"/>
                <w:color w:val="auto"/>
                <w:kern w:val="2"/>
                <w:sz w:val="24"/>
                <w:szCs w:val="24"/>
                <w:lang w:val="zh-CN" w:eastAsia="zh-CN"/>
              </w:rPr>
              <w:t>河北中安四通建筑科技有限公司环境空气现状检测报告</w:t>
            </w:r>
            <w:r>
              <w:rPr>
                <w:rFonts w:ascii="Times New Roman" w:hAnsi="Times New Roman"/>
                <w:color w:val="auto"/>
                <w:kern w:val="2"/>
                <w:sz w:val="24"/>
                <w:szCs w:val="24"/>
                <w:lang w:val="zh-CN" w:eastAsia="zh-CN"/>
              </w:rPr>
              <w:t>》中环境质量现状监测数据，监测点位为本项目</w:t>
            </w:r>
            <w:r>
              <w:rPr>
                <w:rFonts w:hint="eastAsia" w:ascii="Times New Roman" w:hAnsi="Times New Roman"/>
                <w:color w:val="auto"/>
                <w:kern w:val="2"/>
                <w:sz w:val="24"/>
                <w:szCs w:val="24"/>
                <w:lang w:val="zh-CN" w:eastAsia="zh-CN"/>
              </w:rPr>
              <w:t>南</w:t>
            </w:r>
            <w:r>
              <w:rPr>
                <w:rFonts w:ascii="Times New Roman" w:hAnsi="Times New Roman"/>
                <w:color w:val="auto"/>
                <w:kern w:val="2"/>
                <w:sz w:val="24"/>
                <w:szCs w:val="24"/>
                <w:lang w:val="zh-CN" w:eastAsia="zh-CN"/>
              </w:rPr>
              <w:t>侧</w:t>
            </w:r>
            <w:r>
              <w:rPr>
                <w:rFonts w:hint="eastAsia" w:ascii="Times New Roman" w:hAnsi="Times New Roman"/>
                <w:color w:val="auto"/>
                <w:kern w:val="2"/>
                <w:sz w:val="24"/>
                <w:szCs w:val="24"/>
                <w:lang w:val="en-US" w:eastAsia="zh-CN"/>
              </w:rPr>
              <w:t>的庄户村</w:t>
            </w:r>
            <w:r>
              <w:rPr>
                <w:rFonts w:ascii="Times New Roman" w:hAnsi="Times New Roman"/>
                <w:color w:val="auto"/>
                <w:kern w:val="2"/>
                <w:sz w:val="24"/>
                <w:szCs w:val="24"/>
                <w:lang w:val="zh-CN" w:eastAsia="zh-CN"/>
              </w:rPr>
              <w:t>。</w:t>
            </w:r>
            <w:r>
              <w:rPr>
                <w:rFonts w:hint="eastAsia"/>
                <w:sz w:val="24"/>
                <w:szCs w:val="20"/>
              </w:rPr>
              <w:t>项目</w:t>
            </w:r>
            <w:r>
              <w:rPr>
                <w:rFonts w:hint="eastAsia"/>
                <w:sz w:val="24"/>
                <w:szCs w:val="20"/>
                <w:lang w:val="en-US" w:eastAsia="zh-CN"/>
              </w:rPr>
              <w:t>与</w:t>
            </w:r>
            <w:r>
              <w:rPr>
                <w:rFonts w:hint="eastAsia" w:ascii="Times New Roman" w:hAnsi="Times New Roman"/>
                <w:color w:val="auto"/>
                <w:kern w:val="2"/>
                <w:sz w:val="24"/>
                <w:szCs w:val="24"/>
                <w:lang w:val="zh-CN" w:eastAsia="zh-CN"/>
              </w:rPr>
              <w:t>河北中安四通建筑科技有限公司环</w:t>
            </w:r>
            <w:r>
              <w:rPr>
                <w:rFonts w:hint="default" w:ascii="Times New Roman" w:hAnsi="Times New Roman" w:cs="Times New Roman"/>
                <w:color w:val="auto"/>
                <w:kern w:val="2"/>
                <w:sz w:val="24"/>
                <w:szCs w:val="24"/>
                <w:lang w:val="zh-CN" w:eastAsia="zh-CN"/>
              </w:rPr>
              <w:t>境空气</w:t>
            </w:r>
            <w:r>
              <w:rPr>
                <w:rFonts w:hint="default" w:ascii="Times New Roman" w:hAnsi="Times New Roman" w:cs="Times New Roman"/>
                <w:sz w:val="24"/>
                <w:szCs w:val="20"/>
                <w:lang w:val="en-US" w:eastAsia="zh-CN"/>
              </w:rPr>
              <w:t>现状监测点位“庄户村”距离</w:t>
            </w:r>
            <w:r>
              <w:rPr>
                <w:rFonts w:hint="default" w:ascii="Times New Roman" w:hAnsi="Times New Roman" w:cs="Times New Roman"/>
                <w:sz w:val="24"/>
                <w:szCs w:val="20"/>
                <w:highlight w:val="none"/>
                <w:lang w:val="en-US" w:eastAsia="zh-CN"/>
              </w:rPr>
              <w:t>为100</w:t>
            </w:r>
            <w:r>
              <w:rPr>
                <w:rFonts w:hint="default" w:ascii="Times New Roman" w:hAnsi="Times New Roman" w:cs="Times New Roman"/>
                <w:sz w:val="24"/>
                <w:szCs w:val="20"/>
                <w:highlight w:val="none"/>
              </w:rPr>
              <w:t>m，</w:t>
            </w:r>
            <w:r>
              <w:rPr>
                <w:rFonts w:hint="default" w:ascii="Times New Roman" w:hAnsi="Times New Roman" w:cs="Times New Roman"/>
                <w:sz w:val="24"/>
                <w:szCs w:val="20"/>
              </w:rPr>
              <w:t>引用数据符合“建设项目周边5千米范围内近3年的现有监测数据”要求，监测数据有效可行。</w:t>
            </w:r>
            <w:r>
              <w:rPr>
                <w:rFonts w:hint="default" w:ascii="Times New Roman" w:hAnsi="Times New Roman" w:cs="Times New Roman"/>
                <w:color w:val="auto"/>
                <w:kern w:val="2"/>
                <w:sz w:val="24"/>
                <w:szCs w:val="24"/>
                <w:lang w:val="zh-CN" w:eastAsia="zh-CN"/>
              </w:rPr>
              <w:t>该环境质量现状由</w:t>
            </w:r>
            <w:r>
              <w:rPr>
                <w:rFonts w:hint="default" w:ascii="Times New Roman" w:hAnsi="Times New Roman" w:cs="Times New Roman"/>
                <w:color w:val="auto"/>
                <w:kern w:val="2"/>
                <w:sz w:val="24"/>
                <w:szCs w:val="24"/>
                <w:lang w:val="en-US" w:eastAsia="zh-CN"/>
              </w:rPr>
              <w:t>河</w:t>
            </w:r>
            <w:r>
              <w:rPr>
                <w:rFonts w:ascii="Times New Roman" w:hAnsi="Times New Roman"/>
                <w:color w:val="auto"/>
                <w:kern w:val="2"/>
                <w:sz w:val="24"/>
                <w:szCs w:val="24"/>
                <w:lang w:val="en-US" w:eastAsia="zh-CN"/>
              </w:rPr>
              <w:t>北</w:t>
            </w:r>
            <w:r>
              <w:rPr>
                <w:rFonts w:hint="eastAsia" w:ascii="Times New Roman" w:hAnsi="Times New Roman"/>
                <w:color w:val="auto"/>
                <w:kern w:val="2"/>
                <w:sz w:val="24"/>
                <w:szCs w:val="24"/>
                <w:lang w:val="en-US" w:eastAsia="zh-CN"/>
              </w:rPr>
              <w:t>拓维</w:t>
            </w:r>
            <w:r>
              <w:rPr>
                <w:rFonts w:ascii="Times New Roman" w:hAnsi="Times New Roman"/>
                <w:color w:val="auto"/>
                <w:kern w:val="2"/>
                <w:sz w:val="24"/>
                <w:szCs w:val="24"/>
                <w:lang w:val="zh-CN" w:eastAsia="zh-CN"/>
              </w:rPr>
              <w:t>检测</w:t>
            </w:r>
            <w:r>
              <w:rPr>
                <w:rFonts w:hint="eastAsia" w:ascii="Times New Roman" w:hAnsi="Times New Roman"/>
                <w:color w:val="auto"/>
                <w:kern w:val="2"/>
                <w:sz w:val="24"/>
                <w:szCs w:val="24"/>
                <w:lang w:val="zh-CN" w:eastAsia="zh-CN"/>
              </w:rPr>
              <w:t>技术</w:t>
            </w:r>
            <w:r>
              <w:rPr>
                <w:rFonts w:ascii="Times New Roman" w:hAnsi="Times New Roman"/>
                <w:color w:val="auto"/>
                <w:kern w:val="2"/>
                <w:sz w:val="24"/>
                <w:szCs w:val="24"/>
                <w:lang w:val="zh-CN" w:eastAsia="zh-CN"/>
              </w:rPr>
              <w:t>有限公司进行监测，</w:t>
            </w:r>
            <w:r>
              <w:rPr>
                <w:rFonts w:ascii="Times New Roman" w:hAnsi="Times New Roman"/>
                <w:color w:val="auto"/>
                <w:kern w:val="2"/>
                <w:sz w:val="24"/>
                <w:szCs w:val="24"/>
                <w:lang w:val="en-US" w:eastAsia="zh-CN"/>
              </w:rPr>
              <w:t>检测报告编号为：</w:t>
            </w:r>
            <w:r>
              <w:rPr>
                <w:rFonts w:hint="eastAsia" w:ascii="Times New Roman" w:hAnsi="Times New Roman"/>
                <w:color w:val="auto"/>
                <w:kern w:val="2"/>
                <w:sz w:val="24"/>
                <w:szCs w:val="24"/>
                <w:lang w:val="en-US" w:eastAsia="zh-CN"/>
              </w:rPr>
              <w:t>拓维</w:t>
            </w:r>
            <w:r>
              <w:rPr>
                <w:rFonts w:ascii="Times New Roman" w:hAnsi="Times New Roman"/>
                <w:color w:val="auto"/>
                <w:kern w:val="2"/>
                <w:sz w:val="24"/>
                <w:szCs w:val="24"/>
                <w:lang w:val="en-US" w:eastAsia="zh-CN"/>
              </w:rPr>
              <w:t>检字（20</w:t>
            </w:r>
            <w:r>
              <w:rPr>
                <w:rFonts w:hint="eastAsia" w:ascii="Times New Roman" w:hAnsi="Times New Roman"/>
                <w:color w:val="auto"/>
                <w:kern w:val="2"/>
                <w:sz w:val="24"/>
                <w:szCs w:val="24"/>
                <w:lang w:val="en-US" w:eastAsia="zh-CN"/>
              </w:rPr>
              <w:t>21</w:t>
            </w:r>
            <w:r>
              <w:rPr>
                <w:rFonts w:ascii="Times New Roman" w:hAnsi="Times New Roman"/>
                <w:color w:val="auto"/>
                <w:kern w:val="2"/>
                <w:sz w:val="24"/>
                <w:szCs w:val="24"/>
                <w:lang w:val="en-US" w:eastAsia="zh-CN"/>
              </w:rPr>
              <w:t>）第</w:t>
            </w:r>
            <w:r>
              <w:rPr>
                <w:rFonts w:hint="eastAsia" w:ascii="Times New Roman" w:hAnsi="Times New Roman"/>
                <w:color w:val="auto"/>
                <w:kern w:val="2"/>
                <w:sz w:val="24"/>
                <w:szCs w:val="24"/>
                <w:lang w:val="en-US" w:eastAsia="zh-CN"/>
              </w:rPr>
              <w:t>020203</w:t>
            </w:r>
            <w:r>
              <w:rPr>
                <w:rFonts w:ascii="Times New Roman" w:hAnsi="Times New Roman"/>
                <w:color w:val="auto"/>
                <w:kern w:val="2"/>
                <w:sz w:val="24"/>
                <w:szCs w:val="24"/>
                <w:lang w:val="en-US" w:eastAsia="zh-CN"/>
              </w:rPr>
              <w:t>号</w:t>
            </w:r>
            <w:r>
              <w:rPr>
                <w:rFonts w:ascii="Times New Roman" w:hAnsi="Times New Roman"/>
                <w:color w:val="auto"/>
                <w:kern w:val="2"/>
                <w:sz w:val="24"/>
                <w:szCs w:val="24"/>
                <w:lang w:val="zh-CN" w:eastAsia="zh-CN"/>
              </w:rPr>
              <w:t>，大气监测时间为2</w:t>
            </w:r>
            <w:r>
              <w:rPr>
                <w:rFonts w:ascii="Times New Roman" w:hAnsi="Times New Roman"/>
                <w:color w:val="auto"/>
                <w:kern w:val="2"/>
                <w:sz w:val="24"/>
                <w:szCs w:val="24"/>
                <w:lang w:val="en-US" w:eastAsia="zh-CN"/>
              </w:rPr>
              <w:t>0</w:t>
            </w:r>
            <w:r>
              <w:rPr>
                <w:rFonts w:hint="eastAsia" w:ascii="Times New Roman" w:hAnsi="Times New Roman"/>
                <w:color w:val="auto"/>
                <w:kern w:val="2"/>
                <w:sz w:val="24"/>
                <w:szCs w:val="24"/>
                <w:lang w:val="en-US" w:eastAsia="zh-CN"/>
              </w:rPr>
              <w:t>21</w:t>
            </w:r>
            <w:r>
              <w:rPr>
                <w:rFonts w:ascii="Times New Roman" w:hAnsi="Times New Roman"/>
                <w:color w:val="auto"/>
                <w:kern w:val="2"/>
                <w:sz w:val="24"/>
                <w:szCs w:val="24"/>
                <w:lang w:val="zh-CN" w:eastAsia="zh-CN"/>
              </w:rPr>
              <w:t>年</w:t>
            </w:r>
            <w:r>
              <w:rPr>
                <w:rFonts w:hint="eastAsia" w:ascii="Times New Roman" w:hAnsi="Times New Roman"/>
                <w:color w:val="auto"/>
                <w:kern w:val="2"/>
                <w:sz w:val="24"/>
                <w:szCs w:val="24"/>
                <w:lang w:val="en-US" w:eastAsia="zh-CN"/>
              </w:rPr>
              <w:t>2</w:t>
            </w:r>
            <w:r>
              <w:rPr>
                <w:rFonts w:ascii="Times New Roman" w:hAnsi="Times New Roman"/>
                <w:color w:val="auto"/>
                <w:kern w:val="2"/>
                <w:sz w:val="24"/>
                <w:szCs w:val="24"/>
                <w:lang w:val="zh-CN" w:eastAsia="zh-CN"/>
              </w:rPr>
              <w:t>月</w:t>
            </w:r>
            <w:r>
              <w:rPr>
                <w:rFonts w:hint="eastAsia" w:ascii="Times New Roman" w:hAnsi="Times New Roman"/>
                <w:color w:val="auto"/>
                <w:kern w:val="2"/>
                <w:sz w:val="24"/>
                <w:szCs w:val="24"/>
                <w:lang w:val="en-US" w:eastAsia="zh-CN"/>
              </w:rPr>
              <w:t>3</w:t>
            </w:r>
            <w:r>
              <w:rPr>
                <w:rFonts w:ascii="Times New Roman" w:hAnsi="Times New Roman"/>
                <w:color w:val="auto"/>
                <w:kern w:val="2"/>
                <w:sz w:val="24"/>
                <w:szCs w:val="24"/>
                <w:lang w:val="zh-CN" w:eastAsia="zh-CN"/>
              </w:rPr>
              <w:t>日～20</w:t>
            </w:r>
            <w:r>
              <w:rPr>
                <w:rFonts w:hint="eastAsia" w:ascii="Times New Roman" w:hAnsi="Times New Roman"/>
                <w:color w:val="auto"/>
                <w:kern w:val="2"/>
                <w:sz w:val="24"/>
                <w:szCs w:val="24"/>
                <w:lang w:val="en-US" w:eastAsia="zh-CN"/>
              </w:rPr>
              <w:t>21</w:t>
            </w:r>
            <w:r>
              <w:rPr>
                <w:rFonts w:ascii="Times New Roman" w:hAnsi="Times New Roman"/>
                <w:color w:val="auto"/>
                <w:kern w:val="2"/>
                <w:sz w:val="24"/>
                <w:szCs w:val="24"/>
                <w:lang w:val="zh-CN" w:eastAsia="zh-CN"/>
              </w:rPr>
              <w:t>年</w:t>
            </w:r>
            <w:r>
              <w:rPr>
                <w:rFonts w:hint="eastAsia" w:ascii="Times New Roman" w:hAnsi="Times New Roman"/>
                <w:color w:val="auto"/>
                <w:kern w:val="2"/>
                <w:sz w:val="24"/>
                <w:szCs w:val="24"/>
                <w:lang w:val="en-US" w:eastAsia="zh-CN"/>
              </w:rPr>
              <w:t>2</w:t>
            </w:r>
            <w:r>
              <w:rPr>
                <w:rFonts w:ascii="Times New Roman" w:hAnsi="Times New Roman"/>
                <w:color w:val="auto"/>
                <w:kern w:val="2"/>
                <w:sz w:val="24"/>
                <w:szCs w:val="24"/>
                <w:lang w:val="zh-CN" w:eastAsia="zh-CN"/>
              </w:rPr>
              <w:t>月</w:t>
            </w:r>
            <w:r>
              <w:rPr>
                <w:rFonts w:hint="eastAsia" w:ascii="Times New Roman" w:hAnsi="Times New Roman"/>
                <w:color w:val="auto"/>
                <w:kern w:val="2"/>
                <w:sz w:val="24"/>
                <w:szCs w:val="24"/>
                <w:lang w:val="en-US" w:eastAsia="zh-CN"/>
              </w:rPr>
              <w:t>9</w:t>
            </w:r>
            <w:r>
              <w:rPr>
                <w:rFonts w:ascii="Times New Roman" w:hAnsi="Times New Roman"/>
                <w:color w:val="auto"/>
                <w:kern w:val="2"/>
                <w:sz w:val="24"/>
                <w:szCs w:val="24"/>
                <w:lang w:val="zh-CN" w:eastAsia="zh-CN"/>
              </w:rPr>
              <w:t>日。</w:t>
            </w:r>
          </w:p>
          <w:p>
            <w:pPr>
              <w:pStyle w:val="30"/>
              <w:keepNext w:val="0"/>
              <w:keepLines w:val="0"/>
              <w:pageBreakBefore w:val="0"/>
              <w:kinsoku/>
              <w:wordWrap/>
              <w:overflowPunct/>
              <w:topLinePunct w:val="0"/>
              <w:autoSpaceDE/>
              <w:autoSpaceDN/>
              <w:bidi w:val="0"/>
              <w:adjustRightInd/>
              <w:snapToGrid/>
              <w:spacing w:before="0" w:beforeAutospacing="0" w:after="0" w:afterAutospacing="0" w:line="480" w:lineRule="exact"/>
              <w:ind w:left="8" w:right="113" w:firstLine="408" w:firstLineChars="170"/>
              <w:textAlignment w:val="auto"/>
              <w:rPr>
                <w:rFonts w:ascii="Times New Roman" w:hAnsi="Times New Roman"/>
                <w:color w:val="auto"/>
                <w:kern w:val="2"/>
                <w:sz w:val="24"/>
                <w:szCs w:val="24"/>
                <w:lang w:val="zh-CN" w:eastAsia="zh-CN"/>
              </w:rPr>
            </w:pPr>
            <w:r>
              <w:rPr>
                <w:rFonts w:hint="eastAsia" w:ascii="Times New Roman" w:hAnsi="Times New Roman"/>
                <w:color w:val="auto"/>
                <w:kern w:val="2"/>
                <w:sz w:val="24"/>
                <w:szCs w:val="24"/>
                <w:lang w:val="zh-CN" w:eastAsia="zh-CN"/>
              </w:rPr>
              <w:t>①</w:t>
            </w:r>
            <w:r>
              <w:rPr>
                <w:rFonts w:hint="default" w:ascii="Times New Roman" w:hAnsi="Times New Roman" w:eastAsia="宋体" w:cs="Times New Roman"/>
                <w:color w:val="auto"/>
                <w:sz w:val="24"/>
                <w:szCs w:val="24"/>
                <w:highlight w:val="none"/>
                <w:lang w:val="en-US" w:eastAsia="zh-CN"/>
              </w:rPr>
              <w:t>监测位置、监测因子、监测频率见下表</w:t>
            </w:r>
            <w:r>
              <w:rPr>
                <w:rFonts w:ascii="Times New Roman" w:hAnsi="Times New Roman"/>
                <w:color w:val="auto"/>
                <w:kern w:val="2"/>
                <w:sz w:val="24"/>
                <w:szCs w:val="24"/>
                <w:lang w:val="zh-CN" w:eastAsia="zh-CN"/>
              </w:rPr>
              <w:t>。</w:t>
            </w:r>
          </w:p>
          <w:p>
            <w:pPr>
              <w:keepNext w:val="0"/>
              <w:keepLines w:val="0"/>
              <w:pageBreakBefore w:val="0"/>
              <w:kinsoku/>
              <w:wordWrap/>
              <w:overflowPunct/>
              <w:topLinePunct w:val="0"/>
              <w:autoSpaceDE/>
              <w:autoSpaceDN/>
              <w:bidi w:val="0"/>
              <w:adjustRightInd/>
              <w:snapToGrid/>
              <w:spacing w:line="480" w:lineRule="exact"/>
              <w:ind w:firstLine="482" w:firstLineChars="200"/>
              <w:jc w:val="center"/>
              <w:textAlignment w:val="auto"/>
              <w:rPr>
                <w:rFonts w:ascii="Times New Roman" w:hAnsi="宋体"/>
                <w:b/>
                <w:bCs/>
                <w:color w:val="auto"/>
                <w:sz w:val="24"/>
                <w:szCs w:val="24"/>
                <w:lang w:val="zh-CN" w:bidi="ar"/>
              </w:rPr>
            </w:pPr>
            <w:r>
              <w:rPr>
                <w:rFonts w:hint="eastAsia" w:ascii="Times New Roman" w:hAnsi="宋体"/>
                <w:b/>
                <w:bCs/>
                <w:color w:val="auto"/>
                <w:sz w:val="24"/>
                <w:szCs w:val="24"/>
                <w:lang w:val="zh-CN" w:bidi="ar"/>
              </w:rPr>
              <w:t>表</w:t>
            </w:r>
            <w:r>
              <w:rPr>
                <w:rFonts w:hint="eastAsia" w:hAnsi="宋体"/>
                <w:b/>
                <w:bCs/>
                <w:color w:val="auto"/>
                <w:sz w:val="24"/>
                <w:szCs w:val="24"/>
                <w:lang w:val="en-US" w:eastAsia="zh-CN" w:bidi="ar"/>
              </w:rPr>
              <w:t xml:space="preserve">20    </w:t>
            </w:r>
            <w:r>
              <w:rPr>
                <w:rFonts w:hint="eastAsia" w:ascii="Times New Roman" w:hAnsi="宋体"/>
                <w:b/>
                <w:bCs/>
                <w:color w:val="auto"/>
                <w:sz w:val="24"/>
                <w:szCs w:val="24"/>
                <w:lang w:val="en-US" w:eastAsia="zh-CN" w:bidi="ar"/>
              </w:rPr>
              <w:t xml:space="preserve"> </w:t>
            </w:r>
            <w:r>
              <w:rPr>
                <w:rFonts w:ascii="Times New Roman" w:hAnsi="宋体"/>
                <w:b/>
                <w:bCs/>
                <w:color w:val="auto"/>
                <w:sz w:val="24"/>
                <w:szCs w:val="24"/>
                <w:lang w:val="zh-CN" w:bidi="ar"/>
              </w:rPr>
              <w:t>其他污染物监测点位基本信息</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34"/>
              <w:gridCol w:w="2443"/>
              <w:gridCol w:w="1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1" w:type="dxa"/>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监测点位</w:t>
                  </w:r>
                </w:p>
              </w:tc>
              <w:tc>
                <w:tcPr>
                  <w:tcW w:w="2634" w:type="dxa"/>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相对于本项目方位及距离</w:t>
                  </w:r>
                </w:p>
              </w:tc>
              <w:tc>
                <w:tcPr>
                  <w:tcW w:w="4387" w:type="dxa"/>
                  <w:gridSpan w:val="2"/>
                  <w:tcBorders>
                    <w:top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26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24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Cs w:val="21"/>
                    </w:rPr>
                    <w:t>24小时平均浓度</w:t>
                  </w:r>
                </w:p>
              </w:tc>
              <w:tc>
                <w:tcPr>
                  <w:tcW w:w="1944"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szCs w:val="21"/>
                      <w:lang w:val="en-US" w:eastAsia="zh-CN"/>
                    </w:rPr>
                    <w:t>1小时平均浓度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1" w:type="dxa"/>
                  <w:tcBorders>
                    <w:left w:val="nil"/>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庄户村</w:t>
                  </w:r>
                </w:p>
              </w:tc>
              <w:tc>
                <w:tcPr>
                  <w:tcW w:w="2634"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南侧100m</w:t>
                  </w:r>
                </w:p>
              </w:tc>
              <w:tc>
                <w:tcPr>
                  <w:tcW w:w="2443"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 w:val="21"/>
                      <w:szCs w:val="21"/>
                    </w:rPr>
                    <w:t>TSP</w:t>
                  </w:r>
                </w:p>
              </w:tc>
              <w:tc>
                <w:tcPr>
                  <w:tcW w:w="1944" w:type="dxa"/>
                  <w:tcBorders>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 w:val="21"/>
                      <w:szCs w:val="21"/>
                      <w:lang w:val="en-US" w:eastAsia="zh-CN"/>
                    </w:rPr>
                    <w:t>/</w:t>
                  </w:r>
                </w:p>
              </w:tc>
            </w:tr>
          </w:tbl>
          <w:p>
            <w:pPr>
              <w:keepNext w:val="0"/>
              <w:keepLines w:val="0"/>
              <w:pageBreakBefore w:val="0"/>
              <w:widowControl w:val="0"/>
              <w:tabs>
                <w:tab w:val="left" w:pos="1200"/>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default" w:ascii="Times New Roman" w:hAnsi="Times New Roman" w:eastAsia="宋体" w:cs="Times New Roman"/>
                <w:color w:val="auto"/>
                <w:sz w:val="24"/>
                <w:szCs w:val="24"/>
                <w:highlight w:val="none"/>
              </w:rPr>
              <w:t>监测及分析</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监测采样方法按照《环境空气质量标准》（GB3095-2012）、《环境监测技术规范》和《空气及废气监测分析方法》中规定的方法进行</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③</w:t>
            </w:r>
            <w:r>
              <w:rPr>
                <w:rFonts w:hint="default" w:ascii="Times New Roman" w:hAnsi="Times New Roman" w:eastAsia="宋体" w:cs="Times New Roman"/>
                <w:color w:val="auto"/>
                <w:sz w:val="24"/>
                <w:szCs w:val="24"/>
                <w:highlight w:val="none"/>
                <w:lang w:val="en-US" w:eastAsia="zh-CN"/>
              </w:rPr>
              <w:t>监测结果</w:t>
            </w:r>
            <w:r>
              <w:rPr>
                <w:rFonts w:hint="default" w:ascii="Times New Roman" w:hAnsi="Times New Roman" w:eastAsia="宋体" w:cs="Times New Roman"/>
                <w:color w:val="auto"/>
                <w:sz w:val="24"/>
                <w:szCs w:val="24"/>
                <w:highlight w:val="none"/>
              </w:rPr>
              <w:t>数据统计分析与评价</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评价方法：采用单因子污染指数法进行评价。</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污染指数P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的定义如下：</w:t>
            </w:r>
          </w:p>
          <w:p>
            <w:pPr>
              <w:keepNext w:val="0"/>
              <w:keepLines w:val="0"/>
              <w:pageBreakBefore w:val="0"/>
              <w:widowControl w:val="0"/>
              <w:kinsoku/>
              <w:wordWrap/>
              <w:overflowPunct/>
              <w:topLinePunct w:val="0"/>
              <w:autoSpaceDE/>
              <w:autoSpaceDN/>
              <w:bidi w:val="0"/>
              <w:spacing w:line="480" w:lineRule="exact"/>
              <w:ind w:firstLine="1920" w:firstLineChars="8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―某污染物的标准指数；</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―某污染因子现状监测浓度，mg/m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r>
              <w:rPr>
                <w:rFonts w:hint="default" w:ascii="Times New Roman" w:hAnsi="Times New Roman" w:eastAsia="宋体" w:cs="Times New Roman"/>
                <w:color w:val="auto"/>
                <w:sz w:val="24"/>
                <w:szCs w:val="24"/>
                <w:highlight w:val="none"/>
              </w:rPr>
              <w:t>―某污染因子的环境质量标准，mg/m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评价标准：常规项目采用</w:t>
            </w:r>
            <w:r>
              <w:rPr>
                <w:rFonts w:hint="default" w:ascii="Times New Roman" w:hAnsi="Times New Roman" w:eastAsia="宋体" w:cs="Times New Roman"/>
                <w:color w:val="auto"/>
                <w:sz w:val="24"/>
                <w:szCs w:val="24"/>
                <w:highlight w:val="none"/>
                <w:lang w:eastAsia="zh-CN"/>
              </w:rPr>
              <w:t>《环境空气质量标准》（GB3095-2012）中的二级标准及修改单</w:t>
            </w:r>
            <w:r>
              <w:rPr>
                <w:rFonts w:hint="default" w:ascii="Times New Roman" w:hAnsi="Times New Roman" w:eastAsia="宋体" w:cs="Times New Roman"/>
                <w:color w:val="auto"/>
                <w:sz w:val="24"/>
                <w:szCs w:val="24"/>
                <w:highlight w:val="none"/>
                <w:lang w:val="en-US" w:eastAsia="zh-CN"/>
              </w:rPr>
              <w:t>要求。</w:t>
            </w:r>
          </w:p>
          <w:p>
            <w:pPr>
              <w:spacing w:line="360" w:lineRule="exact"/>
              <w:ind w:firstLine="482" w:firstLineChars="200"/>
              <w:jc w:val="center"/>
              <w:rPr>
                <w:rFonts w:hint="eastAsia" w:hAnsi="宋体"/>
                <w:b/>
                <w:bCs/>
                <w:sz w:val="24"/>
              </w:rPr>
            </w:pPr>
            <w:r>
              <w:rPr>
                <w:rFonts w:hAnsi="宋体"/>
                <w:b/>
                <w:bCs/>
                <w:sz w:val="24"/>
              </w:rPr>
              <w:t>表</w:t>
            </w:r>
            <w:r>
              <w:rPr>
                <w:rFonts w:hint="eastAsia" w:hAnsi="宋体"/>
                <w:b/>
                <w:bCs/>
                <w:sz w:val="24"/>
                <w:lang w:val="en-US" w:eastAsia="zh-CN"/>
              </w:rPr>
              <w:t>21</w:t>
            </w:r>
            <w:r>
              <w:rPr>
                <w:rFonts w:hint="eastAsia" w:hAnsi="宋体"/>
                <w:b/>
                <w:bCs/>
                <w:sz w:val="24"/>
              </w:rPr>
              <w:t xml:space="preserve">  大气环境质量现状监测统计结果一览表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1273"/>
              <w:gridCol w:w="852"/>
              <w:gridCol w:w="852"/>
              <w:gridCol w:w="1412"/>
              <w:gridCol w:w="1048"/>
              <w:gridCol w:w="746"/>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60"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w:t>
                  </w:r>
                </w:p>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273"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监测因子</w:t>
                  </w:r>
                </w:p>
              </w:tc>
              <w:tc>
                <w:tcPr>
                  <w:tcW w:w="852"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平均时间</w:t>
                  </w:r>
                </w:p>
              </w:tc>
              <w:tc>
                <w:tcPr>
                  <w:tcW w:w="852"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评价标准(</w:t>
                  </w: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sz w:val="21"/>
                      <w:szCs w:val="21"/>
                    </w:rPr>
                    <w:t>)</w:t>
                  </w:r>
                </w:p>
              </w:tc>
              <w:tc>
                <w:tcPr>
                  <w:tcW w:w="1412"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监测浓度范围</w:t>
                  </w:r>
                </w:p>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sz w:val="21"/>
                      <w:szCs w:val="21"/>
                    </w:rPr>
                    <w:t>)</w:t>
                  </w:r>
                </w:p>
              </w:tc>
              <w:tc>
                <w:tcPr>
                  <w:tcW w:w="1048"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标准指数Pi</w:t>
                  </w:r>
                </w:p>
              </w:tc>
              <w:tc>
                <w:tcPr>
                  <w:tcW w:w="746" w:type="dxa"/>
                  <w:tcBorders>
                    <w:top w:val="single" w:color="auto" w:sz="12" w:space="0"/>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超标率</w:t>
                  </w:r>
                </w:p>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21" w:type="dxa"/>
                  <w:tcBorders>
                    <w:top w:val="single" w:color="auto" w:sz="12" w:space="0"/>
                    <w:left w:val="single" w:color="auto" w:sz="4" w:space="0"/>
                    <w:right w:val="nil"/>
                  </w:tcBorders>
                  <w:noWrap w:val="0"/>
                  <w:vAlign w:val="center"/>
                </w:tcPr>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p>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160" w:type="dxa"/>
                  <w:tcBorders>
                    <w:top w:val="single" w:color="auto" w:sz="4" w:space="0"/>
                    <w:left w:val="nil"/>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庄户村</w:t>
                  </w:r>
                </w:p>
              </w:tc>
              <w:tc>
                <w:tcPr>
                  <w:tcW w:w="1273"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TSP</w:t>
                  </w:r>
                </w:p>
              </w:tc>
              <w:tc>
                <w:tcPr>
                  <w:tcW w:w="852"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24</w:t>
                  </w:r>
                  <w:r>
                    <w:rPr>
                      <w:rFonts w:hint="default" w:ascii="Times New Roman" w:hAnsi="Times New Roman" w:eastAsia="宋体" w:cs="Times New Roman"/>
                      <w:sz w:val="21"/>
                      <w:szCs w:val="21"/>
                    </w:rPr>
                    <w:t>h平均</w:t>
                  </w:r>
                </w:p>
              </w:tc>
              <w:tc>
                <w:tcPr>
                  <w:tcW w:w="852"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300</w:t>
                  </w:r>
                </w:p>
              </w:tc>
              <w:tc>
                <w:tcPr>
                  <w:tcW w:w="1412"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rPr>
                    <w:t>183</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290</w:t>
                  </w:r>
                </w:p>
              </w:tc>
              <w:tc>
                <w:tcPr>
                  <w:tcW w:w="1048"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caps w:val="0"/>
                      <w:color w:val="auto"/>
                      <w:sz w:val="21"/>
                      <w:szCs w:val="21"/>
                      <w:highlight w:val="none"/>
                      <w:lang w:val="en-US" w:eastAsia="zh-CN"/>
                    </w:rPr>
                    <w:t>0.61~0.96</w:t>
                  </w:r>
                </w:p>
              </w:tc>
              <w:tc>
                <w:tcPr>
                  <w:tcW w:w="746"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621" w:type="dxa"/>
                  <w:tcBorders>
                    <w:top w:val="single" w:color="auto" w:sz="4" w:space="0"/>
                    <w:left w:val="single" w:color="auto" w:sz="4" w:space="0"/>
                    <w:bottom w:val="single" w:color="auto" w:sz="12" w:space="0"/>
                    <w:right w:val="nil"/>
                  </w:tcBorders>
                  <w:noWrap w:val="0"/>
                  <w:vAlign w:val="center"/>
                </w:tcPr>
                <w:p>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keepLines w:val="0"/>
              <w:pageBreakBefore w:val="0"/>
              <w:kinsoku/>
              <w:wordWrap/>
              <w:overflowPunct/>
              <w:bidi w:val="0"/>
              <w:spacing w:line="500" w:lineRule="exact"/>
              <w:ind w:firstLine="480" w:firstLineChars="200"/>
              <w:textAlignment w:val="auto"/>
              <w:rPr>
                <w:color w:val="auto"/>
                <w:sz w:val="24"/>
                <w:highlight w:val="none"/>
              </w:rPr>
            </w:pPr>
            <w:r>
              <w:rPr>
                <w:rFonts w:hint="eastAsia" w:ascii="Times New Roman" w:hAnsi="Times New Roman" w:eastAsia="宋体" w:cs="Times New Roman"/>
                <w:color w:val="auto"/>
                <w:sz w:val="24"/>
                <w:szCs w:val="24"/>
                <w:highlight w:val="none"/>
                <w:lang w:eastAsia="zh-CN"/>
              </w:rPr>
              <w:t>根据检测结果，监测期间评价区域内环境空气中TSP24小时平均监测值满足《环境空气质量标准》（GB3095-2012）二级标准及修改单要求</w:t>
            </w:r>
            <w:r>
              <w:rPr>
                <w:color w:val="auto"/>
                <w:sz w:val="24"/>
                <w:highlight w:val="none"/>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地表水环境</w:t>
            </w:r>
          </w:p>
          <w:p>
            <w:pPr>
              <w:pStyle w:val="106"/>
              <w:keepNext w:val="0"/>
              <w:keepLines w:val="0"/>
              <w:pageBreakBefore w:val="0"/>
              <w:widowControl w:val="0"/>
              <w:kinsoku/>
              <w:wordWrap/>
              <w:overflowPunct/>
              <w:topLinePunct w:val="0"/>
              <w:bidi w:val="0"/>
              <w:spacing w:line="500" w:lineRule="exact"/>
              <w:ind w:firstLine="482"/>
              <w:jc w:val="left"/>
              <w:textAlignment w:val="auto"/>
              <w:rPr>
                <w:b w:val="0"/>
                <w:color w:val="auto"/>
                <w:sz w:val="24"/>
                <w:szCs w:val="24"/>
                <w:highlight w:val="none"/>
              </w:rPr>
            </w:pPr>
            <w:r>
              <w:rPr>
                <w:rFonts w:hint="eastAsia" w:ascii="Times New Roman" w:hAnsi="Times New Roman" w:eastAsia="宋体" w:cs="Times New Roman"/>
                <w:b w:val="0"/>
                <w:color w:val="auto"/>
                <w:kern w:val="2"/>
                <w:sz w:val="24"/>
                <w:szCs w:val="24"/>
                <w:highlight w:val="none"/>
                <w:lang w:val="en-US" w:eastAsia="zh-CN" w:bidi="ar-SA"/>
              </w:rPr>
              <w:t>本项目冷却水经冷却后循环利用不外排，</w:t>
            </w:r>
            <w:r>
              <w:rPr>
                <w:rFonts w:hint="default" w:ascii="Times New Roman" w:hAnsi="Times New Roman" w:eastAsia="宋体" w:cs="Times New Roman"/>
                <w:b w:val="0"/>
                <w:color w:val="auto"/>
                <w:kern w:val="2"/>
                <w:sz w:val="24"/>
                <w:szCs w:val="24"/>
                <w:highlight w:val="none"/>
                <w:lang w:val="en-US" w:eastAsia="zh-CN" w:bidi="ar-SA"/>
              </w:rPr>
              <w:t>职工</w:t>
            </w:r>
            <w:r>
              <w:rPr>
                <w:rFonts w:hint="eastAsia" w:ascii="Times New Roman" w:hAnsi="Times New Roman" w:eastAsia="宋体" w:cs="Times New Roman"/>
                <w:b w:val="0"/>
                <w:color w:val="auto"/>
                <w:kern w:val="2"/>
                <w:sz w:val="24"/>
                <w:szCs w:val="24"/>
                <w:highlight w:val="none"/>
                <w:lang w:val="en-US" w:eastAsia="zh-CN" w:bidi="ar-SA"/>
              </w:rPr>
              <w:t>盥洗废水就地泼洒抑尘不外排，项目</w:t>
            </w:r>
            <w:r>
              <w:rPr>
                <w:rFonts w:hint="default" w:ascii="Times New Roman" w:hAnsi="Times New Roman" w:eastAsia="宋体" w:cs="Times New Roman"/>
                <w:b w:val="0"/>
                <w:color w:val="auto"/>
                <w:kern w:val="2"/>
                <w:sz w:val="24"/>
                <w:szCs w:val="24"/>
                <w:highlight w:val="none"/>
                <w:lang w:val="en-US" w:eastAsia="zh-CN" w:bidi="ar-SA"/>
              </w:rPr>
              <w:t>无废水直接排入地表水，因此未对区域地表水环境质量现状</w:t>
            </w:r>
            <w:r>
              <w:rPr>
                <w:rFonts w:hint="default"/>
                <w:b w:val="0"/>
                <w:color w:val="auto"/>
                <w:sz w:val="24"/>
                <w:szCs w:val="24"/>
                <w:highlight w:val="none"/>
                <w:lang w:val="en-US" w:eastAsia="zh-CN"/>
              </w:rPr>
              <w:t>进行调查。</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声环境质量现状</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eastAsia" w:ascii="Times New Roman" w:hAnsi="Times New Roman" w:cs="Times New Roman"/>
                <w:bCs/>
                <w:color w:val="auto"/>
                <w:sz w:val="24"/>
                <w:szCs w:val="24"/>
                <w:highlight w:val="none"/>
                <w:lang w:val="en-US" w:eastAsia="zh-CN"/>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lang w:val="en-US" w:eastAsia="zh-CN"/>
              </w:rPr>
              <w:t>2</w:t>
            </w:r>
            <w:r>
              <w:rPr>
                <w:bCs/>
                <w:color w:val="auto"/>
                <w:sz w:val="24"/>
                <w:highlight w:val="none"/>
                <w:lang w:val="zh-CN"/>
              </w:rPr>
              <w:t>类区标准要求</w:t>
            </w:r>
            <w:r>
              <w:rPr>
                <w:bCs/>
                <w:color w:val="auto"/>
                <w:sz w:val="24"/>
                <w:highlight w:val="none"/>
              </w:rPr>
              <w:t>。</w:t>
            </w:r>
            <w:r>
              <w:rPr>
                <w:rFonts w:hint="eastAsia" w:ascii="Times New Roman" w:hAnsi="Times New Roman" w:cs="Times New Roman"/>
                <w:bCs/>
                <w:color w:val="auto"/>
                <w:sz w:val="24"/>
                <w:szCs w:val="24"/>
                <w:highlight w:val="none"/>
                <w:lang w:val="en-US" w:eastAsia="zh-CN"/>
              </w:rPr>
              <w:t>项目厂界50m范围内无声环境敏感点，不</w:t>
            </w:r>
            <w:r>
              <w:rPr>
                <w:rFonts w:hint="eastAsia" w:ascii="Times New Roman" w:hAnsi="Times New Roman" w:eastAsia="宋体" w:cs="Times New Roman"/>
                <w:bCs/>
                <w:color w:val="auto"/>
                <w:sz w:val="24"/>
                <w:szCs w:val="24"/>
                <w:highlight w:val="none"/>
                <w:lang w:val="en-US" w:eastAsia="zh-CN"/>
              </w:rPr>
              <w:t>需要对</w:t>
            </w:r>
            <w:r>
              <w:rPr>
                <w:rFonts w:hint="eastAsia" w:ascii="Times New Roman" w:hAnsi="Times New Roman" w:cs="Times New Roman"/>
                <w:bCs/>
                <w:color w:val="auto"/>
                <w:sz w:val="24"/>
                <w:szCs w:val="24"/>
                <w:highlight w:val="none"/>
                <w:lang w:val="en-US" w:eastAsia="zh-CN"/>
              </w:rPr>
              <w:t>声环境质量现状进行监测。</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生态环境</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color w:val="auto"/>
                <w:sz w:val="24"/>
                <w:highlight w:val="none"/>
              </w:rPr>
              <w:t>本项目为</w:t>
            </w:r>
            <w:r>
              <w:rPr>
                <w:rFonts w:hint="eastAsia"/>
                <w:color w:val="auto"/>
                <w:sz w:val="24"/>
                <w:highlight w:val="none"/>
                <w:lang w:val="en-US" w:eastAsia="zh-CN"/>
              </w:rPr>
              <w:t>新建</w:t>
            </w:r>
            <w:r>
              <w:rPr>
                <w:color w:val="auto"/>
                <w:sz w:val="24"/>
                <w:highlight w:val="none"/>
              </w:rPr>
              <w:t>项目，</w:t>
            </w:r>
            <w:r>
              <w:rPr>
                <w:rFonts w:hint="eastAsia"/>
                <w:color w:val="auto"/>
                <w:sz w:val="24"/>
                <w:highlight w:val="none"/>
                <w:lang w:val="en-US" w:eastAsia="zh-CN"/>
              </w:rPr>
              <w:t>项目租用现有建设用地</w:t>
            </w:r>
            <w:r>
              <w:rPr>
                <w:rFonts w:hint="eastAsia"/>
                <w:bCs/>
                <w:color w:val="auto"/>
                <w:sz w:val="24"/>
                <w:highlight w:val="none"/>
                <w:lang w:eastAsia="zh-CN"/>
              </w:rPr>
              <w:t>，</w:t>
            </w:r>
            <w:r>
              <w:rPr>
                <w:rFonts w:hint="default" w:ascii="Times New Roman" w:hAnsi="Times New Roman" w:cs="Times New Roman"/>
                <w:snapToGrid w:val="0"/>
                <w:color w:val="auto"/>
                <w:kern w:val="0"/>
                <w:sz w:val="24"/>
                <w:szCs w:val="24"/>
                <w:highlight w:val="none"/>
              </w:rPr>
              <w:t>因此，不进行生态现状调查。</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val="en-US" w:eastAsia="zh-CN"/>
              </w:rPr>
              <w:t>电磁辐射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项目不属于电磁辐射类项目，因此不开展电磁辐射现状监测与评价。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地下水、土壤环境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snapToGrid w:val="0"/>
                <w:color w:val="auto"/>
                <w:kern w:val="0"/>
                <w:sz w:val="24"/>
                <w:szCs w:val="24"/>
                <w:highlight w:val="none"/>
              </w:rPr>
              <w:t>项目</w:t>
            </w:r>
            <w:r>
              <w:rPr>
                <w:rFonts w:hint="eastAsia" w:ascii="Times New Roman" w:hAnsi="Times New Roman" w:cs="Times New Roman"/>
                <w:snapToGrid w:val="0"/>
                <w:color w:val="auto"/>
                <w:kern w:val="0"/>
                <w:sz w:val="24"/>
                <w:szCs w:val="24"/>
                <w:highlight w:val="none"/>
                <w:lang w:val="en-US" w:eastAsia="zh-CN"/>
              </w:rPr>
              <w:t>危废间</w:t>
            </w:r>
            <w:r>
              <w:rPr>
                <w:rFonts w:hint="eastAsia" w:cs="Times New Roman"/>
                <w:snapToGrid w:val="0"/>
                <w:color w:val="auto"/>
                <w:kern w:val="0"/>
                <w:sz w:val="24"/>
                <w:szCs w:val="24"/>
                <w:highlight w:val="none"/>
                <w:lang w:val="en-US" w:eastAsia="zh-CN"/>
              </w:rPr>
              <w:t>、冷却循环水池、</w:t>
            </w:r>
            <w:r>
              <w:rPr>
                <w:rFonts w:hint="eastAsia" w:ascii="Times New Roman" w:hAnsi="Times New Roman" w:cs="Times New Roman"/>
                <w:snapToGrid w:val="0"/>
                <w:color w:val="auto"/>
                <w:kern w:val="0"/>
                <w:sz w:val="24"/>
                <w:szCs w:val="24"/>
                <w:highlight w:val="none"/>
                <w:lang w:val="en-US" w:eastAsia="zh-CN"/>
              </w:rPr>
              <w:t>生产车间区域地面严格执行环评提出的分区防渗措施后，</w:t>
            </w:r>
            <w:r>
              <w:rPr>
                <w:rFonts w:hint="eastAsia" w:cs="Times New Roman"/>
                <w:snapToGrid w:val="0"/>
                <w:color w:val="auto"/>
                <w:kern w:val="0"/>
                <w:sz w:val="24"/>
                <w:szCs w:val="24"/>
                <w:highlight w:val="none"/>
                <w:lang w:val="en-US" w:eastAsia="zh-CN"/>
              </w:rPr>
              <w:t>无</w:t>
            </w:r>
            <w:r>
              <w:rPr>
                <w:rFonts w:hint="default" w:ascii="Times New Roman" w:hAnsi="Times New Roman" w:cs="Times New Roman"/>
                <w:snapToGrid w:val="0"/>
                <w:color w:val="auto"/>
                <w:kern w:val="0"/>
                <w:sz w:val="24"/>
                <w:szCs w:val="24"/>
                <w:highlight w:val="none"/>
              </w:rPr>
              <w:t>土壤、地下水环境污染途径，因此不开展环境质量现状调查</w:t>
            </w:r>
            <w:r>
              <w:rPr>
                <w:rFonts w:hint="eastAsia"/>
                <w:color w:val="auto"/>
                <w:spacing w:val="4"/>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目标</w:t>
            </w:r>
          </w:p>
        </w:tc>
        <w:tc>
          <w:tcPr>
            <w:tcW w:w="85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本项目厂界外50米范围内没有声环境保护目标。本项目厂界外500米范围内没有地下集中式饮用水水源和热水、矿泉水、温泉等特殊地下水资源。本项目</w:t>
            </w:r>
            <w:r>
              <w:rPr>
                <w:rFonts w:hint="eastAsia" w:ascii="Times New Roman" w:hAnsi="Times New Roman" w:eastAsia="宋体" w:cs="Times New Roman"/>
                <w:snapToGrid w:val="0"/>
                <w:color w:val="auto"/>
                <w:kern w:val="0"/>
                <w:sz w:val="24"/>
                <w:szCs w:val="24"/>
                <w:highlight w:val="none"/>
                <w:lang w:val="en-US" w:eastAsia="zh-CN"/>
              </w:rPr>
              <w:t>位于</w:t>
            </w:r>
            <w:r>
              <w:rPr>
                <w:rFonts w:hint="eastAsia" w:ascii="Times New Roman" w:hAnsi="Times New Roman" w:eastAsia="宋体" w:cs="Times New Roman"/>
                <w:snapToGrid w:val="0"/>
                <w:color w:val="auto"/>
                <w:kern w:val="0"/>
                <w:sz w:val="24"/>
                <w:szCs w:val="22"/>
                <w:highlight w:val="none"/>
                <w:lang w:val="en-US" w:eastAsia="zh-CN"/>
              </w:rPr>
              <w:t>河北省唐山市遵化市遵化镇团练屯村北</w:t>
            </w:r>
            <w:r>
              <w:rPr>
                <w:rFonts w:hint="default" w:ascii="Times New Roman" w:hAnsi="Times New Roman" w:eastAsia="宋体" w:cs="Times New Roman"/>
                <w:snapToGrid w:val="0"/>
                <w:color w:val="auto"/>
                <w:kern w:val="0"/>
                <w:sz w:val="24"/>
                <w:szCs w:val="24"/>
                <w:highlight w:val="none"/>
                <w:lang w:val="en-US" w:eastAsia="zh-CN"/>
              </w:rPr>
              <w:t>，根据工程性质和周围环境特征，确定环境保护目标和保护级别见下表。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1、大气环境保护目标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w:t>
            </w:r>
            <w:r>
              <w:rPr>
                <w:rFonts w:hint="eastAsia" w:cs="Times New Roman"/>
                <w:b/>
                <w:bCs/>
                <w:snapToGrid w:val="0"/>
                <w:color w:val="auto"/>
                <w:kern w:val="0"/>
                <w:sz w:val="24"/>
                <w:szCs w:val="24"/>
                <w:highlight w:val="none"/>
                <w:lang w:val="en-US" w:eastAsia="zh-CN"/>
              </w:rPr>
              <w:t>22</w:t>
            </w:r>
            <w:r>
              <w:rPr>
                <w:rFonts w:hint="default" w:ascii="Times New Roman" w:hAnsi="Times New Roman" w:eastAsia="宋体" w:cs="Times New Roman"/>
                <w:b/>
                <w:bCs/>
                <w:snapToGrid w:val="0"/>
                <w:color w:val="auto"/>
                <w:kern w:val="0"/>
                <w:sz w:val="24"/>
                <w:szCs w:val="24"/>
                <w:highlight w:val="none"/>
                <w:lang w:val="en-US" w:eastAsia="zh-CN"/>
              </w:rPr>
              <w:t xml:space="preserve"> </w:t>
            </w:r>
            <w:r>
              <w:rPr>
                <w:rFonts w:hint="eastAsia" w:ascii="Times New Roman" w:hAnsi="Times New Roman" w:eastAsia="宋体" w:cs="Times New Roman"/>
                <w:b/>
                <w:bCs/>
                <w:snapToGrid w:val="0"/>
                <w:color w:val="auto"/>
                <w:kern w:val="0"/>
                <w:sz w:val="24"/>
                <w:szCs w:val="24"/>
                <w:highlight w:val="none"/>
                <w:lang w:val="en-US" w:eastAsia="zh-CN"/>
              </w:rPr>
              <w:t>大气</w:t>
            </w:r>
            <w:r>
              <w:rPr>
                <w:rFonts w:hint="default" w:ascii="Times New Roman" w:hAnsi="Times New Roman" w:eastAsia="宋体" w:cs="Times New Roman"/>
                <w:b/>
                <w:bCs/>
                <w:snapToGrid w:val="0"/>
                <w:color w:val="auto"/>
                <w:kern w:val="0"/>
                <w:sz w:val="24"/>
                <w:szCs w:val="24"/>
                <w:highlight w:val="none"/>
                <w:lang w:val="en-US" w:eastAsia="zh-CN"/>
              </w:rPr>
              <w:t>环境保护目标一览表</w:t>
            </w:r>
          </w:p>
          <w:tbl>
            <w:tblPr>
              <w:tblStyle w:val="33"/>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16"/>
              <w:gridCol w:w="887"/>
              <w:gridCol w:w="804"/>
              <w:gridCol w:w="655"/>
              <w:gridCol w:w="709"/>
              <w:gridCol w:w="1950"/>
              <w:gridCol w:w="859"/>
              <w:gridCol w:w="11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环境要素</w:t>
                  </w:r>
                </w:p>
              </w:tc>
              <w:tc>
                <w:tcPr>
                  <w:tcW w:w="716"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名称</w:t>
                  </w:r>
                </w:p>
              </w:tc>
              <w:tc>
                <w:tcPr>
                  <w:tcW w:w="1691" w:type="dxa"/>
                  <w:gridSpan w:val="2"/>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坐标/m</w:t>
                  </w:r>
                </w:p>
              </w:tc>
              <w:tc>
                <w:tcPr>
                  <w:tcW w:w="655"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保护对象</w:t>
                  </w:r>
                </w:p>
              </w:tc>
              <w:tc>
                <w:tcPr>
                  <w:tcW w:w="709"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保护内容</w:t>
                  </w:r>
                </w:p>
              </w:tc>
              <w:tc>
                <w:tcPr>
                  <w:tcW w:w="1950"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环境功能区</w:t>
                  </w:r>
                </w:p>
              </w:tc>
              <w:tc>
                <w:tcPr>
                  <w:tcW w:w="859"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相对厂址方位</w:t>
                  </w:r>
                </w:p>
              </w:tc>
              <w:tc>
                <w:tcPr>
                  <w:tcW w:w="1103" w:type="dxa"/>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716"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887"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东经</w:t>
                  </w:r>
                  <w:r>
                    <w:rPr>
                      <w:rFonts w:hint="default" w:ascii="Times New Roman" w:hAnsi="Times New Roman" w:eastAsia="宋体" w:cs="Times New Roman"/>
                      <w:lang w:val="en-US" w:eastAsia="zh-CN"/>
                    </w:rPr>
                    <w:t>/°</w:t>
                  </w:r>
                </w:p>
              </w:tc>
              <w:tc>
                <w:tcPr>
                  <w:tcW w:w="80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北纬</w:t>
                  </w:r>
                  <w:r>
                    <w:rPr>
                      <w:rFonts w:hint="default" w:ascii="Times New Roman" w:hAnsi="Times New Roman" w:eastAsia="宋体" w:cs="Times New Roman"/>
                      <w:lang w:val="en-US" w:eastAsia="zh-CN"/>
                    </w:rPr>
                    <w:t>/°</w:t>
                  </w:r>
                </w:p>
              </w:tc>
              <w:tc>
                <w:tcPr>
                  <w:tcW w:w="655"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709"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1950"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859"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c>
                <w:tcPr>
                  <w:tcW w:w="1103" w:type="dxa"/>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环境空气</w:t>
                  </w:r>
                </w:p>
              </w:tc>
              <w:tc>
                <w:tcPr>
                  <w:tcW w:w="716"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zh-CN"/>
                    </w:rPr>
                    <w:t>团练屯</w:t>
                  </w:r>
                  <w:r>
                    <w:rPr>
                      <w:rFonts w:hint="eastAsia" w:cs="Times New Roman"/>
                      <w:lang w:val="en-US" w:eastAsia="zh-CN"/>
                    </w:rPr>
                    <w:t>村</w:t>
                  </w:r>
                </w:p>
              </w:tc>
              <w:tc>
                <w:tcPr>
                  <w:tcW w:w="887"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en-US" w:eastAsia="zh-CN"/>
                    </w:rPr>
                    <w:t>117.98544</w:t>
                  </w:r>
                </w:p>
              </w:tc>
              <w:tc>
                <w:tcPr>
                  <w:tcW w:w="80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en-US" w:eastAsia="zh-CN"/>
                    </w:rPr>
                    <w:t>40.16764</w:t>
                  </w:r>
                </w:p>
              </w:tc>
              <w:tc>
                <w:tcPr>
                  <w:tcW w:w="655"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居住区</w:t>
                  </w:r>
                </w:p>
              </w:tc>
              <w:tc>
                <w:tcPr>
                  <w:tcW w:w="70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居民</w:t>
                  </w:r>
                </w:p>
              </w:tc>
              <w:tc>
                <w:tcPr>
                  <w:tcW w:w="195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《环境空气质量标准》(GB3095-2012)二级标准</w:t>
                  </w:r>
                </w:p>
              </w:tc>
              <w:tc>
                <w:tcPr>
                  <w:tcW w:w="85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val="en-US" w:eastAsia="zh-CN"/>
                    </w:rPr>
                  </w:pPr>
                  <w:r>
                    <w:rPr>
                      <w:rFonts w:hint="eastAsia" w:cs="Times New Roman"/>
                      <w:lang w:val="en-US" w:eastAsia="zh-CN"/>
                    </w:rPr>
                    <w:t>S/W</w:t>
                  </w:r>
                </w:p>
              </w:tc>
              <w:tc>
                <w:tcPr>
                  <w:tcW w:w="110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val="en-US" w:eastAsia="zh-CN"/>
                    </w:rPr>
                  </w:pPr>
                  <w:r>
                    <w:rPr>
                      <w:rFonts w:hint="eastAsia" w:cs="Times New Roman"/>
                      <w:lang w:val="en-US" w:eastAsia="zh-CN"/>
                    </w:rPr>
                    <w:t>63m/82m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cs="Times New Roman"/>
                      <w:lang w:val="en-US" w:eastAsia="zh-CN"/>
                    </w:rPr>
                    <w:t>地下水</w:t>
                  </w:r>
                </w:p>
              </w:tc>
              <w:tc>
                <w:tcPr>
                  <w:tcW w:w="3062" w:type="dxa"/>
                  <w:gridSpan w:val="4"/>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厂区占地范围内地下水</w:t>
                  </w:r>
                </w:p>
              </w:tc>
              <w:tc>
                <w:tcPr>
                  <w:tcW w:w="70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潜水</w:t>
                  </w:r>
                </w:p>
              </w:tc>
              <w:tc>
                <w:tcPr>
                  <w:tcW w:w="195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《地下水质量标准》（GB/T14848-2017）</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 3 \* ROMAN \* MERGEFORMAT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III</w:t>
                  </w:r>
                  <w:r>
                    <w:rPr>
                      <w:rFonts w:hint="eastAsia" w:ascii="Times New Roman" w:hAnsi="Times New Roman" w:eastAsia="宋体" w:cs="Times New Roman"/>
                      <w:lang w:val="en-US" w:eastAsia="zh-CN"/>
                    </w:rPr>
                    <w:fldChar w:fldCharType="end"/>
                  </w:r>
                  <w:r>
                    <w:rPr>
                      <w:rFonts w:hint="eastAsia" w:ascii="Times New Roman" w:hAnsi="Times New Roman" w:eastAsia="宋体" w:cs="Times New Roman"/>
                      <w:lang w:val="en-US" w:eastAsia="zh-CN"/>
                    </w:rPr>
                    <w:t>类</w:t>
                  </w:r>
                </w:p>
              </w:tc>
              <w:tc>
                <w:tcPr>
                  <w:tcW w:w="85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lang w:val="en-US" w:eastAsia="zh-CN"/>
                    </w:rPr>
                  </w:pPr>
                  <w:r>
                    <w:rPr>
                      <w:rFonts w:hint="eastAsia" w:cs="Times New Roman"/>
                      <w:lang w:val="en-US" w:eastAsia="zh-CN"/>
                    </w:rPr>
                    <w:t>/</w:t>
                  </w:r>
                </w:p>
              </w:tc>
              <w:tc>
                <w:tcPr>
                  <w:tcW w:w="110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lang w:val="en-US" w:eastAsia="zh-CN"/>
                    </w:rPr>
                  </w:pPr>
                  <w:r>
                    <w:rPr>
                      <w:rFonts w:hint="eastAsia" w:cs="Times New Roman"/>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lang w:val="en-US" w:eastAsia="zh-CN"/>
                    </w:rPr>
                  </w:pPr>
                  <w:r>
                    <w:rPr>
                      <w:rFonts w:hint="eastAsia" w:cs="Times New Roman"/>
                      <w:lang w:val="en-US" w:eastAsia="zh-CN"/>
                    </w:rPr>
                    <w:t>土壤</w:t>
                  </w:r>
                </w:p>
              </w:tc>
              <w:tc>
                <w:tcPr>
                  <w:tcW w:w="3062" w:type="dxa"/>
                  <w:gridSpan w:val="4"/>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项目占地区域</w:t>
                  </w:r>
                </w:p>
              </w:tc>
              <w:tc>
                <w:tcPr>
                  <w:tcW w:w="70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土壤</w:t>
                  </w:r>
                </w:p>
              </w:tc>
              <w:tc>
                <w:tcPr>
                  <w:tcW w:w="195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《土壤环境质量 建设用地土壤污染风险管控标准（试行）》(GB36600-2018)表1第二类用地筛选值</w:t>
                  </w:r>
                </w:p>
              </w:tc>
              <w:tc>
                <w:tcPr>
                  <w:tcW w:w="859"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lang w:val="en-US" w:eastAsia="zh-CN"/>
                    </w:rPr>
                  </w:pPr>
                  <w:r>
                    <w:rPr>
                      <w:rFonts w:hint="eastAsia" w:cs="Times New Roman"/>
                      <w:lang w:val="en-US" w:eastAsia="zh-CN"/>
                    </w:rPr>
                    <w:t>/</w:t>
                  </w:r>
                </w:p>
              </w:tc>
              <w:tc>
                <w:tcPr>
                  <w:tcW w:w="1103"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lang w:val="en-US" w:eastAsia="zh-CN"/>
                    </w:rPr>
                  </w:pPr>
                  <w:r>
                    <w:rPr>
                      <w:rFonts w:hint="eastAsia" w:cs="Times New Roman"/>
                      <w:lang w:val="en-US"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2、声环境保护目标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建设项目厂界外50米范围内无声环境保护目标。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3、地下水环境保护目标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本项目厂界外500米范围内无地下水集中式饮用水水源和热水、矿泉水、温泉等特殊地下水资源等地下水环境保护目标</w:t>
            </w:r>
            <w:r>
              <w:rPr>
                <w:rFonts w:hint="eastAsia" w:cs="Times New Roman"/>
                <w:snapToGrid w:val="0"/>
                <w:color w:val="auto"/>
                <w:kern w:val="0"/>
                <w:sz w:val="24"/>
                <w:szCs w:val="24"/>
                <w:highlight w:val="none"/>
                <w:lang w:val="en-US" w:eastAsia="zh-CN"/>
              </w:rPr>
              <w:t>，项目地下水保护目标为项目厂区范围内地下水环境</w:t>
            </w:r>
            <w:r>
              <w:rPr>
                <w:rFonts w:hint="default"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4、生态环境保护目标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eastAsia"/>
                <w:color w:val="auto"/>
                <w:sz w:val="24"/>
                <w:highlight w:val="none"/>
                <w:lang w:val="en-US" w:eastAsia="zh-CN"/>
              </w:rPr>
              <w:t>项目租用现有建设用地进行建设</w:t>
            </w:r>
            <w:r>
              <w:rPr>
                <w:rFonts w:hint="default" w:ascii="Times New Roman" w:hAnsi="Times New Roman" w:eastAsia="宋体" w:cs="Times New Roman"/>
                <w:snapToGrid w:val="0"/>
                <w:color w:val="auto"/>
                <w:kern w:val="0"/>
                <w:sz w:val="24"/>
                <w:szCs w:val="24"/>
                <w:highlight w:val="none"/>
                <w:lang w:val="en-US" w:eastAsia="zh-CN"/>
              </w:rPr>
              <w:t>，占地范围内无生态保护目标</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准</w:t>
            </w:r>
          </w:p>
        </w:tc>
        <w:tc>
          <w:tcPr>
            <w:tcW w:w="8544" w:type="dxa"/>
            <w:noWrap w:val="0"/>
            <w:vAlign w:val="center"/>
          </w:tcPr>
          <w:p>
            <w:pPr>
              <w:adjustRightInd w:val="0"/>
              <w:snapToGrid w:val="0"/>
              <w:spacing w:line="480" w:lineRule="exact"/>
              <w:ind w:firstLine="482" w:firstLineChars="200"/>
              <w:textAlignment w:val="baseline"/>
              <w:rPr>
                <w:rFonts w:hint="eastAsia"/>
                <w:b/>
                <w:sz w:val="24"/>
              </w:rPr>
            </w:pPr>
            <w:bookmarkStart w:id="17" w:name="OLE_LINK74"/>
            <w:bookmarkStart w:id="18" w:name="OLE_LINK56"/>
            <w:r>
              <w:rPr>
                <w:rFonts w:hint="eastAsia"/>
                <w:b/>
                <w:sz w:val="24"/>
              </w:rPr>
              <w:t>1废气排放标准</w:t>
            </w:r>
          </w:p>
          <w:p>
            <w:pPr>
              <w:pStyle w:val="41"/>
              <w:spacing w:line="480" w:lineRule="exact"/>
              <w:ind w:firstLine="482" w:firstLineChars="200"/>
              <w:rPr>
                <w:rFonts w:ascii="Times New Roman" w:eastAsia="宋体" w:cs="Times New Roman"/>
                <w:b/>
                <w:bCs/>
                <w:color w:val="auto"/>
              </w:rPr>
            </w:pPr>
            <w:r>
              <w:rPr>
                <w:rFonts w:hint="eastAsia" w:ascii="Times New Roman" w:eastAsia="宋体" w:cs="Times New Roman"/>
                <w:b/>
                <w:bCs/>
                <w:color w:val="auto"/>
              </w:rPr>
              <w:t>（1）施工期</w:t>
            </w:r>
          </w:p>
          <w:p>
            <w:pPr>
              <w:pStyle w:val="41"/>
              <w:spacing w:line="480" w:lineRule="exact"/>
              <w:ind w:firstLine="480" w:firstLineChars="200"/>
              <w:rPr>
                <w:rFonts w:ascii="Times New Roman" w:eastAsia="宋体" w:cs="Times New Roman"/>
                <w:color w:val="auto"/>
              </w:rPr>
            </w:pPr>
            <w:r>
              <w:rPr>
                <w:rFonts w:ascii="Times New Roman" w:eastAsia="宋体" w:cs="Times New Roman"/>
                <w:color w:val="auto"/>
              </w:rPr>
              <w:t>施工期扬尘排放执行《施工场地扬尘排放标准》（DB13/2934—2019）规定的浓度限值，具体标准值见下表。</w:t>
            </w:r>
          </w:p>
          <w:p>
            <w:pPr>
              <w:tabs>
                <w:tab w:val="left" w:pos="0"/>
                <w:tab w:val="left" w:pos="1020"/>
              </w:tabs>
              <w:spacing w:line="480" w:lineRule="exact"/>
              <w:ind w:firstLine="2650" w:firstLineChars="1100"/>
              <w:rPr>
                <w:b/>
                <w:bCs/>
                <w:sz w:val="24"/>
              </w:rPr>
            </w:pPr>
            <w:r>
              <w:rPr>
                <w:b/>
                <w:bCs/>
                <w:sz w:val="24"/>
              </w:rPr>
              <w:t>表</w:t>
            </w:r>
            <w:r>
              <w:rPr>
                <w:rFonts w:hint="eastAsia"/>
                <w:b/>
                <w:bCs/>
                <w:sz w:val="24"/>
              </w:rPr>
              <w:t>23</w:t>
            </w:r>
            <w:r>
              <w:rPr>
                <w:b/>
                <w:bCs/>
                <w:sz w:val="24"/>
              </w:rPr>
              <w:t xml:space="preserve">   扬尘排放浓度限值</w:t>
            </w:r>
          </w:p>
          <w:tbl>
            <w:tblPr>
              <w:tblStyle w:val="33"/>
              <w:tblW w:w="83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3053"/>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noWrap w:val="0"/>
                  <w:vAlign w:val="center"/>
                </w:tcPr>
                <w:p>
                  <w:pPr>
                    <w:pStyle w:val="17"/>
                    <w:spacing w:line="240" w:lineRule="auto"/>
                    <w:ind w:left="0" w:right="0" w:firstLine="0"/>
                    <w:jc w:val="center"/>
                    <w:rPr>
                      <w:sz w:val="21"/>
                      <w:szCs w:val="21"/>
                    </w:rPr>
                  </w:pPr>
                  <w:r>
                    <w:rPr>
                      <w:sz w:val="21"/>
                      <w:szCs w:val="21"/>
                    </w:rPr>
                    <w:t>控制项目</w:t>
                  </w:r>
                </w:p>
              </w:tc>
              <w:tc>
                <w:tcPr>
                  <w:tcW w:w="3053" w:type="dxa"/>
                  <w:noWrap w:val="0"/>
                  <w:vAlign w:val="center"/>
                </w:tcPr>
                <w:p>
                  <w:pPr>
                    <w:pStyle w:val="17"/>
                    <w:spacing w:line="240" w:lineRule="auto"/>
                    <w:ind w:left="0" w:right="0" w:firstLine="0"/>
                    <w:jc w:val="center"/>
                    <w:rPr>
                      <w:sz w:val="21"/>
                      <w:szCs w:val="21"/>
                    </w:rPr>
                  </w:pPr>
                  <w:r>
                    <w:rPr>
                      <w:sz w:val="21"/>
                      <w:szCs w:val="21"/>
                    </w:rPr>
                    <w:t>监测点浓度限值</w:t>
                  </w:r>
                  <w:r>
                    <w:rPr>
                      <w:rFonts w:hint="eastAsia"/>
                      <w:kern w:val="0"/>
                      <w:sz w:val="21"/>
                      <w:szCs w:val="21"/>
                      <w:vertAlign w:val="superscript"/>
                      <w:lang w:bidi="ar"/>
                    </w:rPr>
                    <w:t>a</w:t>
                  </w:r>
                  <w:r>
                    <w:rPr>
                      <w:sz w:val="21"/>
                      <w:szCs w:val="21"/>
                    </w:rPr>
                    <w:t>（µg/m</w:t>
                  </w:r>
                  <w:r>
                    <w:rPr>
                      <w:sz w:val="21"/>
                      <w:szCs w:val="21"/>
                      <w:vertAlign w:val="superscript"/>
                    </w:rPr>
                    <w:t>3</w:t>
                  </w:r>
                  <w:r>
                    <w:rPr>
                      <w:sz w:val="21"/>
                      <w:szCs w:val="21"/>
                    </w:rPr>
                    <w:t xml:space="preserve"> ）</w:t>
                  </w:r>
                </w:p>
              </w:tc>
              <w:tc>
                <w:tcPr>
                  <w:tcW w:w="3082" w:type="dxa"/>
                  <w:tcBorders>
                    <w:right w:val="nil"/>
                  </w:tcBorders>
                  <w:noWrap w:val="0"/>
                  <w:vAlign w:val="center"/>
                </w:tcPr>
                <w:p>
                  <w:pPr>
                    <w:pStyle w:val="17"/>
                    <w:spacing w:line="240" w:lineRule="auto"/>
                    <w:ind w:left="0" w:right="0" w:firstLine="0"/>
                    <w:jc w:val="center"/>
                    <w:rPr>
                      <w:sz w:val="21"/>
                      <w:szCs w:val="21"/>
                    </w:rPr>
                  </w:pPr>
                  <w:r>
                    <w:rPr>
                      <w:sz w:val="21"/>
                      <w:szCs w:val="21"/>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tcBorders>
                    <w:left w:val="nil"/>
                  </w:tcBorders>
                  <w:noWrap w:val="0"/>
                  <w:vAlign w:val="center"/>
                </w:tcPr>
                <w:p>
                  <w:pPr>
                    <w:pStyle w:val="17"/>
                    <w:spacing w:line="240" w:lineRule="auto"/>
                    <w:ind w:left="0" w:right="0" w:firstLine="0"/>
                    <w:jc w:val="center"/>
                    <w:rPr>
                      <w:sz w:val="21"/>
                      <w:szCs w:val="21"/>
                    </w:rPr>
                  </w:pPr>
                  <w:r>
                    <w:rPr>
                      <w:rFonts w:hint="eastAsia"/>
                      <w:sz w:val="21"/>
                      <w:szCs w:val="21"/>
                    </w:rPr>
                    <w:t>PM</w:t>
                  </w:r>
                  <w:r>
                    <w:rPr>
                      <w:rFonts w:hint="eastAsia"/>
                      <w:sz w:val="21"/>
                      <w:szCs w:val="21"/>
                      <w:vertAlign w:val="subscript"/>
                    </w:rPr>
                    <w:t>10</w:t>
                  </w:r>
                </w:p>
              </w:tc>
              <w:tc>
                <w:tcPr>
                  <w:tcW w:w="3053" w:type="dxa"/>
                  <w:noWrap w:val="0"/>
                  <w:vAlign w:val="center"/>
                </w:tcPr>
                <w:p>
                  <w:pPr>
                    <w:pStyle w:val="17"/>
                    <w:spacing w:line="240" w:lineRule="auto"/>
                    <w:ind w:left="0" w:right="0" w:firstLine="0"/>
                    <w:jc w:val="center"/>
                    <w:rPr>
                      <w:sz w:val="21"/>
                      <w:szCs w:val="21"/>
                    </w:rPr>
                  </w:pPr>
                  <w:r>
                    <w:rPr>
                      <w:sz w:val="21"/>
                      <w:szCs w:val="21"/>
                    </w:rPr>
                    <w:t>80</w:t>
                  </w:r>
                </w:p>
              </w:tc>
              <w:tc>
                <w:tcPr>
                  <w:tcW w:w="3082" w:type="dxa"/>
                  <w:tcBorders>
                    <w:right w:val="nil"/>
                  </w:tcBorders>
                  <w:noWrap w:val="0"/>
                  <w:vAlign w:val="center"/>
                </w:tcPr>
                <w:p>
                  <w:pPr>
                    <w:pStyle w:val="17"/>
                    <w:spacing w:line="240" w:lineRule="auto"/>
                    <w:ind w:left="0" w:right="0" w:firstLine="0"/>
                    <w:jc w:val="center"/>
                    <w:rPr>
                      <w:sz w:val="21"/>
                      <w:szCs w:val="21"/>
                    </w:rPr>
                  </w:pPr>
                  <w:r>
                    <w:rPr>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6" w:type="dxa"/>
                  <w:gridSpan w:val="3"/>
                  <w:tcBorders>
                    <w:left w:val="nil"/>
                    <w:right w:val="nil"/>
                  </w:tcBorders>
                  <w:noWrap w:val="0"/>
                  <w:vAlign w:val="center"/>
                </w:tcPr>
                <w:p>
                  <w:pPr>
                    <w:widowControl/>
                    <w:spacing w:line="240" w:lineRule="auto"/>
                    <w:jc w:val="left"/>
                    <w:rPr>
                      <w:szCs w:val="21"/>
                    </w:rPr>
                  </w:pPr>
                  <w:r>
                    <w:rPr>
                      <w:rFonts w:hint="eastAsia"/>
                      <w:kern w:val="0"/>
                      <w:szCs w:val="21"/>
                      <w:vertAlign w:val="superscript"/>
                      <w:lang w:bidi="ar"/>
                    </w:rPr>
                    <w:t>a</w:t>
                  </w:r>
                  <w:r>
                    <w:rPr>
                      <w:kern w:val="0"/>
                      <w:szCs w:val="21"/>
                      <w:lang w:bidi="ar"/>
                    </w:rPr>
                    <w:t>指监测点PM</w:t>
                  </w:r>
                  <w:r>
                    <w:rPr>
                      <w:kern w:val="0"/>
                      <w:szCs w:val="21"/>
                      <w:vertAlign w:val="subscript"/>
                      <w:lang w:bidi="ar"/>
                    </w:rPr>
                    <w:t>10</w:t>
                  </w:r>
                  <w:r>
                    <w:rPr>
                      <w:kern w:val="0"/>
                      <w:szCs w:val="21"/>
                      <w:lang w:bidi="ar"/>
                    </w:rPr>
                    <w:t>小时平均浓度实测值与同时段所属县（市、区）PM</w:t>
                  </w:r>
                  <w:r>
                    <w:rPr>
                      <w:kern w:val="0"/>
                      <w:szCs w:val="21"/>
                      <w:vertAlign w:val="subscript"/>
                      <w:lang w:bidi="ar"/>
                    </w:rPr>
                    <w:t>10</w:t>
                  </w:r>
                  <w:r>
                    <w:rPr>
                      <w:kern w:val="0"/>
                      <w:szCs w:val="21"/>
                      <w:lang w:bidi="ar"/>
                    </w:rPr>
                    <w:t>小时平均浓度的差值。当县（市、区）PM</w:t>
                  </w:r>
                  <w:r>
                    <w:rPr>
                      <w:kern w:val="0"/>
                      <w:szCs w:val="21"/>
                      <w:vertAlign w:val="subscript"/>
                      <w:lang w:bidi="ar"/>
                    </w:rPr>
                    <w:t>10</w:t>
                  </w:r>
                  <w:r>
                    <w:rPr>
                      <w:kern w:val="0"/>
                      <w:szCs w:val="21"/>
                      <w:lang w:bidi="ar"/>
                    </w:rPr>
                    <w:t>小时平均浓度值大于150µg/m</w:t>
                  </w:r>
                  <w:r>
                    <w:rPr>
                      <w:kern w:val="0"/>
                      <w:szCs w:val="21"/>
                      <w:vertAlign w:val="superscript"/>
                      <w:lang w:bidi="ar"/>
                    </w:rPr>
                    <w:t>3</w:t>
                  </w:r>
                  <w:r>
                    <w:rPr>
                      <w:kern w:val="0"/>
                      <w:szCs w:val="21"/>
                      <w:lang w:bidi="ar"/>
                    </w:rPr>
                    <w:t>时，以150µg/m</w:t>
                  </w:r>
                  <w:r>
                    <w:rPr>
                      <w:kern w:val="0"/>
                      <w:szCs w:val="21"/>
                      <w:vertAlign w:val="superscript"/>
                      <w:lang w:bidi="ar"/>
                    </w:rPr>
                    <w:t>3</w:t>
                  </w:r>
                  <w:r>
                    <w:rPr>
                      <w:kern w:val="0"/>
                      <w:szCs w:val="21"/>
                      <w:lang w:bidi="ar"/>
                    </w:rPr>
                    <w:t xml:space="preserve">计。 </w:t>
                  </w:r>
                </w:p>
              </w:tc>
            </w:tr>
          </w:tbl>
          <w:p>
            <w:pPr>
              <w:adjustRightInd w:val="0"/>
              <w:snapToGrid w:val="0"/>
              <w:spacing w:line="480" w:lineRule="exact"/>
              <w:ind w:firstLine="482" w:firstLineChars="200"/>
              <w:textAlignment w:val="baseline"/>
              <w:rPr>
                <w:rFonts w:hint="eastAsia"/>
                <w:b/>
                <w:bCs/>
                <w:sz w:val="24"/>
              </w:rPr>
            </w:pPr>
            <w:r>
              <w:rPr>
                <w:rFonts w:hint="eastAsia"/>
                <w:b/>
                <w:bCs/>
                <w:sz w:val="24"/>
              </w:rPr>
              <w:t>（2）运营期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①有组织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各工序含尘废气执行</w:t>
            </w:r>
            <w:r>
              <w:rPr>
                <w:rFonts w:hint="eastAsia" w:ascii="Times New Roman" w:hAnsi="Times New Roman" w:eastAsia="宋体" w:cs="Times New Roman"/>
                <w:color w:val="auto"/>
                <w:spacing w:val="0"/>
                <w:kern w:val="2"/>
                <w:sz w:val="24"/>
                <w:szCs w:val="24"/>
                <w:highlight w:val="none"/>
                <w:lang w:val="en-US" w:eastAsia="zh-CN" w:bidi="ar-SA"/>
              </w:rPr>
              <w:t>《铸造工业大气污染物排放标准》（GB39726-2020）以及</w:t>
            </w:r>
            <w:r>
              <w:rPr>
                <w:rFonts w:hint="eastAsia" w:ascii="Times New Roman" w:hAnsi="Times New Roman" w:eastAsia="宋体" w:cs="Times New Roman"/>
                <w:color w:val="auto"/>
                <w:sz w:val="24"/>
                <w:szCs w:val="24"/>
                <w:highlight w:val="none"/>
                <w:lang w:val="en-US" w:eastAsia="zh-CN"/>
              </w:rPr>
              <w:t>《唐山市铸造行业烟气达标治理工作方案》颗粒物排放浓度不高于10mg/m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②无组织</w:t>
            </w:r>
          </w:p>
          <w:p>
            <w:pPr>
              <w:autoSpaceDE w:val="0"/>
              <w:autoSpaceDN w:val="0"/>
              <w:adjustRightInd w:val="0"/>
              <w:spacing w:line="480" w:lineRule="exact"/>
              <w:ind w:firstLine="480" w:firstLineChars="200"/>
              <w:jc w:val="left"/>
              <w:rPr>
                <w:rFonts w:hint="eastAsia"/>
                <w:sz w:val="24"/>
                <w:highlight w:val="yellow"/>
              </w:rPr>
            </w:pPr>
            <w:r>
              <w:rPr>
                <w:rFonts w:hint="eastAsia" w:ascii="Times New Roman" w:hAnsi="Times New Roman" w:eastAsia="宋体" w:cs="Times New Roman"/>
                <w:color w:val="auto"/>
                <w:sz w:val="24"/>
                <w:szCs w:val="24"/>
                <w:highlight w:val="none"/>
                <w:lang w:val="en-US" w:eastAsia="zh-CN"/>
              </w:rPr>
              <w:t>厂区边界及熔炼车间外1米无组织颗粒物排放执行《唐山市铸造行业烟气达标治理工作方案》分别不高于0.5mg/m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1mg/m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的</w:t>
            </w:r>
            <w:r>
              <w:rPr>
                <w:rFonts w:hint="eastAsia" w:ascii="Times New Roman" w:hAnsi="Times New Roman" w:eastAsia="宋体" w:cs="Times New Roman"/>
                <w:color w:val="auto"/>
                <w:sz w:val="24"/>
                <w:szCs w:val="24"/>
                <w:highlight w:val="none"/>
                <w:lang w:val="en-US" w:eastAsia="zh-CN"/>
              </w:rPr>
              <w:t>限值要求</w:t>
            </w:r>
            <w:r>
              <w:rPr>
                <w:rFonts w:hint="eastAsia"/>
                <w:sz w:val="24"/>
              </w:rPr>
              <w:t>。</w:t>
            </w:r>
          </w:p>
          <w:p>
            <w:pPr>
              <w:autoSpaceDE w:val="0"/>
              <w:autoSpaceDN w:val="0"/>
              <w:adjustRightInd w:val="0"/>
              <w:spacing w:line="480" w:lineRule="exact"/>
              <w:ind w:firstLine="480" w:firstLineChars="200"/>
              <w:jc w:val="left"/>
              <w:rPr>
                <w:rFonts w:hint="eastAsia"/>
                <w:sz w:val="24"/>
              </w:rPr>
            </w:pPr>
            <w:r>
              <w:rPr>
                <w:sz w:val="24"/>
              </w:rPr>
              <w:t>标准限值见</w:t>
            </w:r>
            <w:r>
              <w:rPr>
                <w:rFonts w:hint="eastAsia"/>
                <w:sz w:val="24"/>
              </w:rPr>
              <w:t>下表：</w:t>
            </w:r>
          </w:p>
          <w:p>
            <w:pPr>
              <w:autoSpaceDE w:val="0"/>
              <w:autoSpaceDN w:val="0"/>
              <w:adjustRightInd w:val="0"/>
              <w:spacing w:line="480" w:lineRule="exact"/>
              <w:jc w:val="center"/>
              <w:rPr>
                <w:b/>
                <w:sz w:val="24"/>
              </w:rPr>
            </w:pPr>
            <w:r>
              <w:rPr>
                <w:b/>
                <w:sz w:val="24"/>
              </w:rPr>
              <w:t>表</w:t>
            </w:r>
            <w:r>
              <w:rPr>
                <w:rFonts w:hint="eastAsia"/>
                <w:b/>
                <w:sz w:val="24"/>
              </w:rPr>
              <w:t>24</w:t>
            </w:r>
            <w:r>
              <w:rPr>
                <w:b/>
                <w:sz w:val="24"/>
              </w:rPr>
              <w:t xml:space="preserve">    废气污染物排放标准</w:t>
            </w:r>
          </w:p>
          <w:tbl>
            <w:tblPr>
              <w:tblStyle w:val="33"/>
              <w:tblW w:w="8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5"/>
              <w:gridCol w:w="1137"/>
              <w:gridCol w:w="1181"/>
              <w:gridCol w:w="947"/>
              <w:gridCol w:w="780"/>
              <w:gridCol w:w="3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类别</w:t>
                  </w:r>
                </w:p>
              </w:tc>
              <w:tc>
                <w:tcPr>
                  <w:tcW w:w="67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污染源</w:t>
                  </w:r>
                </w:p>
              </w:tc>
              <w:tc>
                <w:tcPr>
                  <w:tcW w:w="701"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污染物名称</w:t>
                  </w:r>
                </w:p>
              </w:tc>
              <w:tc>
                <w:tcPr>
                  <w:tcW w:w="562"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标准值</w:t>
                  </w:r>
                </w:p>
              </w:tc>
              <w:tc>
                <w:tcPr>
                  <w:tcW w:w="46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单位</w:t>
                  </w:r>
                </w:p>
              </w:tc>
              <w:tc>
                <w:tcPr>
                  <w:tcW w:w="2278"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67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各工序有组织含尘废气</w:t>
                  </w:r>
                </w:p>
              </w:tc>
              <w:tc>
                <w:tcPr>
                  <w:tcW w:w="701"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562"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r>
                    <w:rPr>
                      <w:rFonts w:hint="default" w:ascii="Times New Roman" w:hAnsi="Times New Roman" w:eastAsia="宋体" w:cs="Times New Roman"/>
                      <w:color w:val="auto"/>
                      <w:spacing w:val="0"/>
                      <w:sz w:val="21"/>
                      <w:szCs w:val="21"/>
                      <w:highlight w:val="none"/>
                      <w:lang w:val="en-US" w:eastAsia="zh-CN"/>
                    </w:rPr>
                    <w:t>0</w:t>
                  </w:r>
                </w:p>
              </w:tc>
              <w:tc>
                <w:tcPr>
                  <w:tcW w:w="46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mg/m</w:t>
                  </w:r>
                  <w:r>
                    <w:rPr>
                      <w:rFonts w:hint="default" w:ascii="Times New Roman" w:hAnsi="Times New Roman" w:eastAsia="宋体" w:cs="Times New Roman"/>
                      <w:color w:val="auto"/>
                      <w:spacing w:val="0"/>
                      <w:sz w:val="21"/>
                      <w:szCs w:val="21"/>
                      <w:highlight w:val="none"/>
                      <w:vertAlign w:val="superscript"/>
                      <w:lang w:val="en-US" w:eastAsia="zh-CN"/>
                    </w:rPr>
                    <w:t>3</w:t>
                  </w:r>
                </w:p>
              </w:tc>
              <w:tc>
                <w:tcPr>
                  <w:tcW w:w="2278"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《铸造工业大气污染物排放标准》（GB39726-2020）以及《唐山市铸造行业烟气达标治理工作方案》 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p>
              </w:tc>
              <w:tc>
                <w:tcPr>
                  <w:tcW w:w="67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厂界</w:t>
                  </w:r>
                  <w:r>
                    <w:rPr>
                      <w:rFonts w:hint="default" w:ascii="Times New Roman" w:hAnsi="Times New Roman" w:eastAsia="宋体" w:cs="Times New Roman"/>
                      <w:color w:val="auto"/>
                      <w:spacing w:val="0"/>
                      <w:sz w:val="21"/>
                      <w:szCs w:val="21"/>
                      <w:highlight w:val="none"/>
                    </w:rPr>
                    <w:t>无组织废气</w:t>
                  </w:r>
                </w:p>
              </w:tc>
              <w:tc>
                <w:tcPr>
                  <w:tcW w:w="701"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562"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0.5</w:t>
                  </w:r>
                </w:p>
              </w:tc>
              <w:tc>
                <w:tcPr>
                  <w:tcW w:w="46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mg/m</w:t>
                  </w:r>
                  <w:r>
                    <w:rPr>
                      <w:rFonts w:hint="default" w:ascii="Times New Roman" w:hAnsi="Times New Roman" w:eastAsia="宋体" w:cs="Times New Roman"/>
                      <w:color w:val="auto"/>
                      <w:spacing w:val="0"/>
                      <w:sz w:val="21"/>
                      <w:szCs w:val="21"/>
                      <w:highlight w:val="none"/>
                      <w:vertAlign w:val="superscript"/>
                      <w:lang w:val="en-US" w:eastAsia="zh-CN"/>
                    </w:rPr>
                    <w:t>3</w:t>
                  </w:r>
                </w:p>
              </w:tc>
              <w:tc>
                <w:tcPr>
                  <w:tcW w:w="2278"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《唐山市铸造行业烟气达标治理工作方案》相关要求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rPr>
                  </w:pPr>
                </w:p>
              </w:tc>
              <w:tc>
                <w:tcPr>
                  <w:tcW w:w="67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车间</w:t>
                  </w:r>
                  <w:r>
                    <w:rPr>
                      <w:rFonts w:hint="default" w:ascii="Times New Roman" w:hAnsi="Times New Roman" w:eastAsia="宋体" w:cs="Times New Roman"/>
                      <w:color w:val="auto"/>
                      <w:spacing w:val="0"/>
                      <w:sz w:val="21"/>
                      <w:szCs w:val="21"/>
                      <w:highlight w:val="none"/>
                    </w:rPr>
                    <w:t>无组织废气</w:t>
                  </w:r>
                </w:p>
              </w:tc>
              <w:tc>
                <w:tcPr>
                  <w:tcW w:w="701"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颗粒物</w:t>
                  </w:r>
                </w:p>
              </w:tc>
              <w:tc>
                <w:tcPr>
                  <w:tcW w:w="562"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1.0</w:t>
                  </w:r>
                </w:p>
              </w:tc>
              <w:tc>
                <w:tcPr>
                  <w:tcW w:w="46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mg/m</w:t>
                  </w:r>
                  <w:r>
                    <w:rPr>
                      <w:rFonts w:hint="default" w:ascii="Times New Roman" w:hAnsi="Times New Roman" w:eastAsia="宋体" w:cs="Times New Roman"/>
                      <w:color w:val="auto"/>
                      <w:spacing w:val="0"/>
                      <w:sz w:val="21"/>
                      <w:szCs w:val="21"/>
                      <w:highlight w:val="none"/>
                      <w:vertAlign w:val="superscript"/>
                      <w:lang w:val="en-US" w:eastAsia="zh-CN"/>
                    </w:rPr>
                    <w:t>3</w:t>
                  </w:r>
                </w:p>
              </w:tc>
              <w:tc>
                <w:tcPr>
                  <w:tcW w:w="2278" w:type="pct"/>
                  <w:tcBorders>
                    <w:tl2br w:val="nil"/>
                    <w:tr2bl w:val="nil"/>
                  </w:tcBorders>
                  <w:noWrap w:val="0"/>
                  <w:vAlign w:val="center"/>
                </w:tcPr>
                <w:p>
                  <w:pPr>
                    <w:pStyle w:val="18"/>
                    <w:spacing w:line="240" w:lineRule="auto"/>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kern w:val="2"/>
                      <w:sz w:val="21"/>
                      <w:szCs w:val="21"/>
                      <w:highlight w:val="none"/>
                      <w:lang w:val="en-US" w:eastAsia="zh-CN" w:bidi="ar-SA"/>
                    </w:rPr>
                    <w:t>《唐山市铸造行业烟气达标治理工作方案》 熔炼车间边界外1m</w:t>
                  </w:r>
                </w:p>
              </w:tc>
            </w:tr>
          </w:tbl>
          <w:p>
            <w:pPr>
              <w:adjustRightInd w:val="0"/>
              <w:snapToGrid w:val="0"/>
              <w:spacing w:line="480" w:lineRule="exact"/>
              <w:ind w:firstLine="482" w:firstLineChars="200"/>
              <w:textAlignment w:val="baseline"/>
              <w:rPr>
                <w:sz w:val="24"/>
              </w:rPr>
            </w:pPr>
            <w:r>
              <w:rPr>
                <w:rFonts w:hint="eastAsia"/>
                <w:b/>
                <w:sz w:val="24"/>
                <w:lang w:val="en-US" w:eastAsia="zh-CN"/>
              </w:rPr>
              <w:t>2</w:t>
            </w:r>
            <w:r>
              <w:rPr>
                <w:b/>
                <w:sz w:val="24"/>
              </w:rPr>
              <w:t>噪声排放标准</w:t>
            </w:r>
          </w:p>
          <w:p>
            <w:pPr>
              <w:spacing w:line="480" w:lineRule="exact"/>
              <w:ind w:firstLine="480" w:firstLineChars="200"/>
              <w:rPr>
                <w:rFonts w:hint="eastAsia"/>
                <w:sz w:val="24"/>
              </w:rPr>
            </w:pPr>
            <w:r>
              <w:rPr>
                <w:rFonts w:hint="eastAsia"/>
                <w:bCs/>
                <w:sz w:val="24"/>
              </w:rPr>
              <w:t>施工期噪声执行</w:t>
            </w:r>
            <w:r>
              <w:rPr>
                <w:sz w:val="24"/>
                <w:lang w:val="zh-CN"/>
              </w:rPr>
              <w:t>《建筑施工场界环境噪声排放标准》(GB12523-2011)</w:t>
            </w:r>
            <w:r>
              <w:rPr>
                <w:rFonts w:hint="eastAsia"/>
                <w:sz w:val="24"/>
                <w:lang w:val="zh-CN"/>
              </w:rPr>
              <w:t>的标准限值</w:t>
            </w:r>
            <w:r>
              <w:rPr>
                <w:sz w:val="24"/>
              </w:rPr>
              <w:t>。</w:t>
            </w:r>
          </w:p>
          <w:p>
            <w:pPr>
              <w:spacing w:line="480" w:lineRule="exact"/>
              <w:ind w:firstLine="482" w:firstLineChars="200"/>
              <w:jc w:val="center"/>
              <w:rPr>
                <w:b/>
                <w:sz w:val="24"/>
              </w:rPr>
            </w:pPr>
          </w:p>
          <w:p>
            <w:pPr>
              <w:spacing w:line="480" w:lineRule="exact"/>
              <w:ind w:firstLine="482" w:firstLineChars="200"/>
              <w:jc w:val="center"/>
              <w:rPr>
                <w:b/>
                <w:sz w:val="24"/>
              </w:rPr>
            </w:pPr>
          </w:p>
          <w:p>
            <w:pPr>
              <w:spacing w:line="480" w:lineRule="exact"/>
              <w:ind w:firstLine="482" w:firstLineChars="200"/>
              <w:jc w:val="center"/>
              <w:rPr>
                <w:b/>
                <w:sz w:val="24"/>
              </w:rPr>
            </w:pPr>
            <w:r>
              <w:rPr>
                <w:b/>
                <w:sz w:val="24"/>
              </w:rPr>
              <w:t>表</w:t>
            </w:r>
            <w:r>
              <w:rPr>
                <w:rFonts w:hint="eastAsia"/>
                <w:b/>
                <w:sz w:val="24"/>
              </w:rPr>
              <w:t>2</w:t>
            </w:r>
            <w:r>
              <w:rPr>
                <w:rFonts w:hint="eastAsia"/>
                <w:b/>
                <w:sz w:val="24"/>
                <w:lang w:val="en-US" w:eastAsia="zh-CN"/>
              </w:rPr>
              <w:t>5</w:t>
            </w:r>
            <w:r>
              <w:rPr>
                <w:b/>
                <w:sz w:val="24"/>
              </w:rPr>
              <w:t xml:space="preserve">  噪声污染物排放标准    单位：dB（A）</w:t>
            </w:r>
          </w:p>
          <w:tbl>
            <w:tblPr>
              <w:tblStyle w:val="33"/>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24"/>
              <w:gridCol w:w="732"/>
              <w:gridCol w:w="2044"/>
              <w:gridCol w:w="3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39" w:type="dxa"/>
                  <w:noWrap w:val="0"/>
                  <w:vAlign w:val="center"/>
                </w:tcPr>
                <w:p>
                  <w:pPr>
                    <w:autoSpaceDE w:val="0"/>
                    <w:autoSpaceDN w:val="0"/>
                    <w:adjustRightInd w:val="0"/>
                    <w:snapToGrid w:val="0"/>
                    <w:spacing w:line="240" w:lineRule="auto"/>
                    <w:jc w:val="center"/>
                    <w:rPr>
                      <w:szCs w:val="21"/>
                    </w:rPr>
                  </w:pPr>
                  <w:r>
                    <w:rPr>
                      <w:szCs w:val="21"/>
                    </w:rPr>
                    <w:t>类别</w:t>
                  </w:r>
                </w:p>
              </w:tc>
              <w:tc>
                <w:tcPr>
                  <w:tcW w:w="1124" w:type="dxa"/>
                  <w:noWrap w:val="0"/>
                  <w:vAlign w:val="center"/>
                </w:tcPr>
                <w:p>
                  <w:pPr>
                    <w:autoSpaceDE w:val="0"/>
                    <w:autoSpaceDN w:val="0"/>
                    <w:adjustRightInd w:val="0"/>
                    <w:snapToGrid w:val="0"/>
                    <w:spacing w:line="240" w:lineRule="auto"/>
                    <w:jc w:val="center"/>
                    <w:rPr>
                      <w:szCs w:val="21"/>
                    </w:rPr>
                  </w:pPr>
                  <w:r>
                    <w:rPr>
                      <w:szCs w:val="21"/>
                    </w:rPr>
                    <w:t>污染因子</w:t>
                  </w:r>
                </w:p>
              </w:tc>
              <w:tc>
                <w:tcPr>
                  <w:tcW w:w="732" w:type="dxa"/>
                  <w:noWrap w:val="0"/>
                  <w:vAlign w:val="center"/>
                </w:tcPr>
                <w:p>
                  <w:pPr>
                    <w:autoSpaceDE w:val="0"/>
                    <w:autoSpaceDN w:val="0"/>
                    <w:adjustRightInd w:val="0"/>
                    <w:snapToGrid w:val="0"/>
                    <w:spacing w:line="240" w:lineRule="auto"/>
                    <w:jc w:val="center"/>
                    <w:rPr>
                      <w:szCs w:val="21"/>
                    </w:rPr>
                  </w:pPr>
                  <w:r>
                    <w:rPr>
                      <w:szCs w:val="21"/>
                    </w:rPr>
                    <w:t>级别</w:t>
                  </w:r>
                </w:p>
              </w:tc>
              <w:tc>
                <w:tcPr>
                  <w:tcW w:w="2044" w:type="dxa"/>
                  <w:noWrap w:val="0"/>
                  <w:vAlign w:val="center"/>
                </w:tcPr>
                <w:p>
                  <w:pPr>
                    <w:autoSpaceDE w:val="0"/>
                    <w:autoSpaceDN w:val="0"/>
                    <w:adjustRightInd w:val="0"/>
                    <w:snapToGrid w:val="0"/>
                    <w:spacing w:line="240" w:lineRule="auto"/>
                    <w:jc w:val="center"/>
                    <w:rPr>
                      <w:szCs w:val="21"/>
                    </w:rPr>
                  </w:pPr>
                  <w:r>
                    <w:rPr>
                      <w:szCs w:val="21"/>
                    </w:rPr>
                    <w:t>标准值</w:t>
                  </w:r>
                </w:p>
              </w:tc>
              <w:tc>
                <w:tcPr>
                  <w:tcW w:w="3430" w:type="dxa"/>
                  <w:tcBorders>
                    <w:right w:val="nil"/>
                  </w:tcBorders>
                  <w:noWrap w:val="0"/>
                  <w:vAlign w:val="center"/>
                </w:tcPr>
                <w:p>
                  <w:pPr>
                    <w:autoSpaceDE w:val="0"/>
                    <w:autoSpaceDN w:val="0"/>
                    <w:adjustRightInd w:val="0"/>
                    <w:snapToGrid w:val="0"/>
                    <w:spacing w:line="240" w:lineRule="auto"/>
                    <w:jc w:val="center"/>
                    <w:rPr>
                      <w:szCs w:val="21"/>
                    </w:rPr>
                  </w:pPr>
                  <w:r>
                    <w:rPr>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tcBorders>
                    <w:left w:val="nil"/>
                  </w:tcBorders>
                  <w:noWrap w:val="0"/>
                  <w:vAlign w:val="center"/>
                </w:tcPr>
                <w:p>
                  <w:pPr>
                    <w:widowControl/>
                    <w:adjustRightInd w:val="0"/>
                    <w:snapToGrid w:val="0"/>
                    <w:spacing w:line="240" w:lineRule="auto"/>
                    <w:jc w:val="center"/>
                    <w:rPr>
                      <w:szCs w:val="21"/>
                    </w:rPr>
                  </w:pPr>
                  <w:r>
                    <w:t>施工期</w:t>
                  </w:r>
                </w:p>
              </w:tc>
              <w:tc>
                <w:tcPr>
                  <w:tcW w:w="1124" w:type="dxa"/>
                  <w:noWrap w:val="0"/>
                  <w:vAlign w:val="center"/>
                </w:tcPr>
                <w:p>
                  <w:pPr>
                    <w:widowControl/>
                    <w:adjustRightInd w:val="0"/>
                    <w:snapToGrid w:val="0"/>
                    <w:spacing w:line="240" w:lineRule="auto"/>
                    <w:jc w:val="center"/>
                    <w:rPr>
                      <w:szCs w:val="21"/>
                    </w:rPr>
                  </w:pPr>
                  <w:r>
                    <w:rPr>
                      <w:szCs w:val="21"/>
                    </w:rPr>
                    <w:t>Leq</w:t>
                  </w:r>
                </w:p>
              </w:tc>
              <w:tc>
                <w:tcPr>
                  <w:tcW w:w="732" w:type="dxa"/>
                  <w:noWrap w:val="0"/>
                  <w:vAlign w:val="center"/>
                </w:tcPr>
                <w:p>
                  <w:pPr>
                    <w:widowControl/>
                    <w:adjustRightInd w:val="0"/>
                    <w:snapToGrid w:val="0"/>
                    <w:spacing w:line="240" w:lineRule="auto"/>
                    <w:jc w:val="center"/>
                    <w:rPr>
                      <w:szCs w:val="21"/>
                    </w:rPr>
                  </w:pPr>
                  <w:r>
                    <w:rPr>
                      <w:rFonts w:hint="eastAsia"/>
                    </w:rPr>
                    <w:t>-</w:t>
                  </w:r>
                </w:p>
              </w:tc>
              <w:tc>
                <w:tcPr>
                  <w:tcW w:w="2044" w:type="dxa"/>
                  <w:noWrap w:val="0"/>
                  <w:vAlign w:val="center"/>
                </w:tcPr>
                <w:p>
                  <w:pPr>
                    <w:widowControl/>
                    <w:adjustRightInd w:val="0"/>
                    <w:snapToGrid w:val="0"/>
                    <w:spacing w:line="240" w:lineRule="auto"/>
                    <w:jc w:val="center"/>
                    <w:rPr>
                      <w:szCs w:val="21"/>
                    </w:rPr>
                  </w:pPr>
                  <w:r>
                    <w:rPr>
                      <w:szCs w:val="21"/>
                    </w:rPr>
                    <w:t>昼间70；夜间55</w:t>
                  </w:r>
                </w:p>
              </w:tc>
              <w:tc>
                <w:tcPr>
                  <w:tcW w:w="3430" w:type="dxa"/>
                  <w:tcBorders>
                    <w:right w:val="nil"/>
                  </w:tcBorders>
                  <w:noWrap w:val="0"/>
                  <w:vAlign w:val="center"/>
                </w:tcPr>
                <w:p>
                  <w:pPr>
                    <w:widowControl/>
                    <w:adjustRightInd w:val="0"/>
                    <w:snapToGrid w:val="0"/>
                    <w:spacing w:line="240" w:lineRule="auto"/>
                    <w:jc w:val="center"/>
                    <w:rPr>
                      <w:szCs w:val="21"/>
                    </w:rPr>
                  </w:pPr>
                  <w:r>
                    <w:rPr>
                      <w:lang w:val="zh-CN"/>
                    </w:rPr>
                    <w:t>《建筑施工场界环境噪声排放标准》(GB12523-2011)</w:t>
                  </w:r>
                </w:p>
              </w:tc>
            </w:tr>
          </w:tbl>
          <w:p>
            <w:pPr>
              <w:spacing w:line="480" w:lineRule="exact"/>
              <w:ind w:firstLine="480" w:firstLineChars="200"/>
              <w:rPr>
                <w:b/>
                <w:sz w:val="24"/>
              </w:rPr>
            </w:pPr>
            <w:r>
              <w:rPr>
                <w:sz w:val="24"/>
                <w:lang w:val="zh-CN"/>
              </w:rPr>
              <w:t>营运期</w:t>
            </w:r>
            <w:r>
              <w:rPr>
                <w:sz w:val="24"/>
              </w:rPr>
              <w:t>厂界噪声执行《工业企业厂界环境噪声排放标准》(GB12348-2008)</w:t>
            </w:r>
            <w:r>
              <w:rPr>
                <w:rFonts w:hint="eastAsia"/>
                <w:sz w:val="24"/>
                <w:lang w:val="en-US" w:eastAsia="zh-CN"/>
              </w:rPr>
              <w:t>2</w:t>
            </w:r>
            <w:r>
              <w:rPr>
                <w:sz w:val="24"/>
              </w:rPr>
              <w:t>类标准。其标准值见</w:t>
            </w:r>
            <w:r>
              <w:rPr>
                <w:rFonts w:hint="eastAsia"/>
                <w:sz w:val="24"/>
              </w:rPr>
              <w:t>下表</w:t>
            </w:r>
            <w:r>
              <w:rPr>
                <w:sz w:val="24"/>
              </w:rPr>
              <w:t>。</w:t>
            </w:r>
          </w:p>
          <w:p>
            <w:pPr>
              <w:spacing w:line="480" w:lineRule="exact"/>
              <w:ind w:firstLine="482" w:firstLineChars="200"/>
              <w:jc w:val="center"/>
              <w:rPr>
                <w:b/>
                <w:sz w:val="24"/>
              </w:rPr>
            </w:pPr>
            <w:r>
              <w:rPr>
                <w:b/>
                <w:sz w:val="24"/>
              </w:rPr>
              <w:t>表</w:t>
            </w:r>
            <w:r>
              <w:rPr>
                <w:rFonts w:hint="eastAsia"/>
                <w:b/>
                <w:sz w:val="24"/>
              </w:rPr>
              <w:t>2</w:t>
            </w:r>
            <w:r>
              <w:rPr>
                <w:rFonts w:hint="eastAsia"/>
                <w:b/>
                <w:sz w:val="24"/>
                <w:lang w:val="en-US" w:eastAsia="zh-CN"/>
              </w:rPr>
              <w:t>6</w:t>
            </w:r>
            <w:r>
              <w:rPr>
                <w:rFonts w:hint="eastAsia"/>
                <w:b/>
                <w:sz w:val="24"/>
              </w:rPr>
              <w:t xml:space="preserve">   </w:t>
            </w:r>
            <w:r>
              <w:rPr>
                <w:b/>
                <w:sz w:val="24"/>
              </w:rPr>
              <w:t xml:space="preserve"> 噪声污染物排放标准    单位：dB（A）</w:t>
            </w:r>
          </w:p>
          <w:tbl>
            <w:tblPr>
              <w:tblStyle w:val="33"/>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075"/>
              <w:gridCol w:w="700"/>
              <w:gridCol w:w="1955"/>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8" w:type="dxa"/>
                  <w:noWrap w:val="0"/>
                  <w:vAlign w:val="center"/>
                </w:tcPr>
                <w:p>
                  <w:pPr>
                    <w:autoSpaceDE w:val="0"/>
                    <w:autoSpaceDN w:val="0"/>
                    <w:adjustRightInd w:val="0"/>
                    <w:snapToGrid w:val="0"/>
                    <w:spacing w:line="240" w:lineRule="auto"/>
                    <w:jc w:val="center"/>
                    <w:rPr>
                      <w:szCs w:val="21"/>
                    </w:rPr>
                  </w:pPr>
                  <w:r>
                    <w:rPr>
                      <w:szCs w:val="21"/>
                    </w:rPr>
                    <w:t>类别</w:t>
                  </w:r>
                </w:p>
              </w:tc>
              <w:tc>
                <w:tcPr>
                  <w:tcW w:w="1075" w:type="dxa"/>
                  <w:noWrap w:val="0"/>
                  <w:vAlign w:val="center"/>
                </w:tcPr>
                <w:p>
                  <w:pPr>
                    <w:autoSpaceDE w:val="0"/>
                    <w:autoSpaceDN w:val="0"/>
                    <w:adjustRightInd w:val="0"/>
                    <w:snapToGrid w:val="0"/>
                    <w:spacing w:line="240" w:lineRule="auto"/>
                    <w:jc w:val="center"/>
                    <w:rPr>
                      <w:szCs w:val="21"/>
                    </w:rPr>
                  </w:pPr>
                  <w:r>
                    <w:rPr>
                      <w:szCs w:val="21"/>
                    </w:rPr>
                    <w:t>污染因子</w:t>
                  </w:r>
                </w:p>
              </w:tc>
              <w:tc>
                <w:tcPr>
                  <w:tcW w:w="700" w:type="dxa"/>
                  <w:noWrap w:val="0"/>
                  <w:vAlign w:val="center"/>
                </w:tcPr>
                <w:p>
                  <w:pPr>
                    <w:autoSpaceDE w:val="0"/>
                    <w:autoSpaceDN w:val="0"/>
                    <w:adjustRightInd w:val="0"/>
                    <w:snapToGrid w:val="0"/>
                    <w:spacing w:line="240" w:lineRule="auto"/>
                    <w:jc w:val="center"/>
                    <w:rPr>
                      <w:szCs w:val="21"/>
                    </w:rPr>
                  </w:pPr>
                  <w:r>
                    <w:rPr>
                      <w:szCs w:val="21"/>
                    </w:rPr>
                    <w:t>级别</w:t>
                  </w:r>
                </w:p>
              </w:tc>
              <w:tc>
                <w:tcPr>
                  <w:tcW w:w="1955" w:type="dxa"/>
                  <w:noWrap w:val="0"/>
                  <w:vAlign w:val="center"/>
                </w:tcPr>
                <w:p>
                  <w:pPr>
                    <w:autoSpaceDE w:val="0"/>
                    <w:autoSpaceDN w:val="0"/>
                    <w:adjustRightInd w:val="0"/>
                    <w:snapToGrid w:val="0"/>
                    <w:spacing w:line="240" w:lineRule="auto"/>
                    <w:jc w:val="center"/>
                    <w:rPr>
                      <w:szCs w:val="21"/>
                    </w:rPr>
                  </w:pPr>
                  <w:r>
                    <w:rPr>
                      <w:szCs w:val="21"/>
                    </w:rPr>
                    <w:t>标准值</w:t>
                  </w:r>
                </w:p>
              </w:tc>
              <w:tc>
                <w:tcPr>
                  <w:tcW w:w="3748" w:type="dxa"/>
                  <w:tcBorders>
                    <w:right w:val="nil"/>
                  </w:tcBorders>
                  <w:noWrap w:val="0"/>
                  <w:vAlign w:val="center"/>
                </w:tcPr>
                <w:p>
                  <w:pPr>
                    <w:autoSpaceDE w:val="0"/>
                    <w:autoSpaceDN w:val="0"/>
                    <w:adjustRightInd w:val="0"/>
                    <w:snapToGrid w:val="0"/>
                    <w:spacing w:line="240" w:lineRule="auto"/>
                    <w:jc w:val="center"/>
                    <w:rPr>
                      <w:szCs w:val="21"/>
                    </w:rPr>
                  </w:pPr>
                  <w:r>
                    <w:rPr>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898" w:type="dxa"/>
                  <w:tcBorders>
                    <w:left w:val="nil"/>
                  </w:tcBorders>
                  <w:noWrap w:val="0"/>
                  <w:vAlign w:val="center"/>
                </w:tcPr>
                <w:p>
                  <w:pPr>
                    <w:adjustRightInd w:val="0"/>
                    <w:snapToGrid w:val="0"/>
                    <w:spacing w:line="240" w:lineRule="auto"/>
                    <w:jc w:val="center"/>
                    <w:rPr>
                      <w:szCs w:val="21"/>
                    </w:rPr>
                  </w:pPr>
                  <w:r>
                    <w:rPr>
                      <w:szCs w:val="21"/>
                    </w:rPr>
                    <w:t>运营期</w:t>
                  </w:r>
                </w:p>
              </w:tc>
              <w:tc>
                <w:tcPr>
                  <w:tcW w:w="1075" w:type="dxa"/>
                  <w:noWrap w:val="0"/>
                  <w:vAlign w:val="center"/>
                </w:tcPr>
                <w:p>
                  <w:pPr>
                    <w:adjustRightInd w:val="0"/>
                    <w:snapToGrid w:val="0"/>
                    <w:spacing w:line="240" w:lineRule="auto"/>
                    <w:jc w:val="center"/>
                    <w:rPr>
                      <w:szCs w:val="21"/>
                    </w:rPr>
                  </w:pPr>
                  <w:r>
                    <w:rPr>
                      <w:szCs w:val="21"/>
                    </w:rPr>
                    <w:t>Leq</w:t>
                  </w:r>
                </w:p>
              </w:tc>
              <w:tc>
                <w:tcPr>
                  <w:tcW w:w="700" w:type="dxa"/>
                  <w:noWrap w:val="0"/>
                  <w:vAlign w:val="center"/>
                </w:tcPr>
                <w:p>
                  <w:pPr>
                    <w:snapToGrid w:val="0"/>
                    <w:spacing w:line="240" w:lineRule="auto"/>
                    <w:jc w:val="center"/>
                    <w:rPr>
                      <w:szCs w:val="21"/>
                    </w:rPr>
                  </w:pPr>
                  <w:r>
                    <w:rPr>
                      <w:rFonts w:hint="eastAsia"/>
                      <w:szCs w:val="21"/>
                      <w:lang w:val="en-US" w:eastAsia="zh-CN"/>
                    </w:rPr>
                    <w:t>2</w:t>
                  </w:r>
                  <w:r>
                    <w:rPr>
                      <w:szCs w:val="21"/>
                    </w:rPr>
                    <w:t>类</w:t>
                  </w:r>
                </w:p>
              </w:tc>
              <w:tc>
                <w:tcPr>
                  <w:tcW w:w="1955" w:type="dxa"/>
                  <w:noWrap w:val="0"/>
                  <w:vAlign w:val="center"/>
                </w:tcPr>
                <w:p>
                  <w:pPr>
                    <w:autoSpaceDE w:val="0"/>
                    <w:autoSpaceDN w:val="0"/>
                    <w:adjustRightInd w:val="0"/>
                    <w:snapToGrid w:val="0"/>
                    <w:spacing w:line="240" w:lineRule="auto"/>
                    <w:jc w:val="center"/>
                    <w:rPr>
                      <w:rFonts w:hint="eastAsia" w:eastAsia="宋体"/>
                      <w:szCs w:val="21"/>
                      <w:lang w:val="en-US" w:eastAsia="zh-CN"/>
                    </w:rPr>
                  </w:pPr>
                  <w:r>
                    <w:rPr>
                      <w:szCs w:val="21"/>
                    </w:rPr>
                    <w:t>昼间6</w:t>
                  </w:r>
                  <w:r>
                    <w:rPr>
                      <w:rFonts w:hint="eastAsia"/>
                      <w:szCs w:val="21"/>
                      <w:lang w:val="en-US" w:eastAsia="zh-CN"/>
                    </w:rPr>
                    <w:t>0</w:t>
                  </w:r>
                  <w:r>
                    <w:rPr>
                      <w:szCs w:val="21"/>
                    </w:rPr>
                    <w:t>；夜间5</w:t>
                  </w:r>
                  <w:r>
                    <w:rPr>
                      <w:rFonts w:hint="eastAsia"/>
                      <w:szCs w:val="21"/>
                      <w:lang w:val="en-US" w:eastAsia="zh-CN"/>
                    </w:rPr>
                    <w:t>0</w:t>
                  </w:r>
                </w:p>
              </w:tc>
              <w:tc>
                <w:tcPr>
                  <w:tcW w:w="3748" w:type="dxa"/>
                  <w:tcBorders>
                    <w:right w:val="nil"/>
                  </w:tcBorders>
                  <w:noWrap w:val="0"/>
                  <w:vAlign w:val="center"/>
                </w:tcPr>
                <w:p>
                  <w:pPr>
                    <w:autoSpaceDE w:val="0"/>
                    <w:autoSpaceDN w:val="0"/>
                    <w:adjustRightInd w:val="0"/>
                    <w:snapToGrid w:val="0"/>
                    <w:spacing w:line="240" w:lineRule="auto"/>
                    <w:jc w:val="center"/>
                    <w:rPr>
                      <w:szCs w:val="21"/>
                    </w:rPr>
                  </w:pPr>
                  <w:r>
                    <w:rPr>
                      <w:szCs w:val="21"/>
                    </w:rPr>
                    <w:t>《工业企业厂界环境噪声排放标准》（GB12348-2008）</w:t>
                  </w:r>
                </w:p>
              </w:tc>
            </w:tr>
          </w:tbl>
          <w:p>
            <w:pPr>
              <w:adjustRightInd w:val="0"/>
              <w:snapToGrid w:val="0"/>
              <w:spacing w:line="480" w:lineRule="exact"/>
              <w:ind w:firstLine="482" w:firstLineChars="200"/>
              <w:textAlignment w:val="baseline"/>
              <w:rPr>
                <w:b/>
                <w:bCs/>
                <w:kern w:val="0"/>
                <w:sz w:val="24"/>
              </w:rPr>
            </w:pPr>
            <w:r>
              <w:rPr>
                <w:rFonts w:hint="eastAsia"/>
                <w:b/>
                <w:bCs/>
                <w:kern w:val="0"/>
                <w:sz w:val="24"/>
              </w:rPr>
              <w:t>4</w:t>
            </w:r>
            <w:r>
              <w:rPr>
                <w:b/>
                <w:bCs/>
                <w:kern w:val="0"/>
                <w:sz w:val="24"/>
              </w:rPr>
              <w:t>固体废物排放标准</w:t>
            </w:r>
          </w:p>
          <w:p>
            <w:pPr>
              <w:spacing w:line="480" w:lineRule="exact"/>
              <w:ind w:firstLine="480" w:firstLineChars="200"/>
              <w:rPr>
                <w:sz w:val="24"/>
                <w:lang w:val="zh-CN"/>
              </w:rPr>
            </w:pPr>
            <w:r>
              <w:rPr>
                <w:sz w:val="24"/>
                <w:lang w:val="zh-CN"/>
              </w:rPr>
              <w:t>一般</w:t>
            </w:r>
            <w:r>
              <w:rPr>
                <w:kern w:val="24"/>
                <w:sz w:val="24"/>
              </w:rPr>
              <w:t>固体废物执行《中华人民共和国固体废物污染环境防治法》中第二十条第一款：产生、收集、贮存、运输、利用、处置固体废物的单位和其他生产经营者</w:t>
            </w:r>
            <w:r>
              <w:rPr>
                <w:rFonts w:hint="eastAsia"/>
                <w:kern w:val="24"/>
                <w:sz w:val="24"/>
              </w:rPr>
              <w:t>，</w:t>
            </w:r>
            <w:r>
              <w:rPr>
                <w:kern w:val="24"/>
                <w:sz w:val="24"/>
              </w:rPr>
              <w:t>应当采取防扬散、防流失、防渗漏或者其他防止污染环境的措施</w:t>
            </w:r>
            <w:r>
              <w:rPr>
                <w:rFonts w:hint="eastAsia"/>
                <w:kern w:val="24"/>
                <w:sz w:val="24"/>
              </w:rPr>
              <w:t>，</w:t>
            </w:r>
            <w:r>
              <w:rPr>
                <w:kern w:val="24"/>
                <w:sz w:val="24"/>
              </w:rPr>
              <w:t>不得擅自倾倒、堆放、丢弃、遗撒固体废物</w:t>
            </w:r>
            <w:r>
              <w:rPr>
                <w:kern w:val="0"/>
                <w:sz w:val="24"/>
              </w:rPr>
              <w:t>。</w:t>
            </w: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r>
              <w:rPr>
                <w:rFonts w:hint="eastAsia"/>
                <w:kern w:val="0"/>
                <w:sz w:val="24"/>
                <w:lang w:val="en-US" w:eastAsia="zh-CN"/>
              </w:rPr>
              <w:t>危险废物</w:t>
            </w:r>
            <w:r>
              <w:rPr>
                <w:rFonts w:hint="eastAsia"/>
                <w:kern w:val="0"/>
                <w:sz w:val="24"/>
              </w:rPr>
              <w:t>执行《危险废物贮存污染控制标准》（GB 18597-2023）</w:t>
            </w:r>
            <w:r>
              <w:rPr>
                <w:sz w:val="24"/>
                <w:lang w:val="zh-CN"/>
              </w:rPr>
              <w:t>。</w:t>
            </w:r>
            <w:bookmarkEnd w:id="17"/>
            <w:bookmarkEnd w:id="18"/>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0000FF"/>
                <w:sz w:val="24"/>
                <w:highlight w:val="none"/>
                <w:lang w:val="en-US" w:eastAsia="zh-CN"/>
              </w:rPr>
            </w:pPr>
          </w:p>
          <w:p>
            <w:pPr>
              <w:keepNext w:val="0"/>
              <w:keepLines w:val="0"/>
              <w:pageBreakBefore w:val="0"/>
              <w:widowControl/>
              <w:kinsoku/>
              <w:wordWrap/>
              <w:overflowPunct/>
              <w:topLinePunct w:val="0"/>
              <w:bidi w:val="0"/>
              <w:spacing w:line="500" w:lineRule="exact"/>
              <w:jc w:val="both"/>
              <w:rPr>
                <w:rFonts w:hint="eastAsia" w:ascii="Times New Roman" w:hAnsi="Times New Roman" w:eastAsia="宋体" w:cs="Times New Roman"/>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noWrap w:val="0"/>
            <w:tcMar>
              <w:left w:w="28" w:type="dxa"/>
              <w:right w:w="28" w:type="dxa"/>
            </w:tcMar>
            <w:vAlign w:val="center"/>
          </w:tcPr>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w:t>
            </w:r>
          </w:p>
          <w:p>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w:t>
            </w:r>
          </w:p>
        </w:tc>
        <w:tc>
          <w:tcPr>
            <w:tcW w:w="8544" w:type="dxa"/>
            <w:noWrap w:val="0"/>
            <w:vAlign w:val="center"/>
          </w:tcPr>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关于印发&lt;建设项目主要污染物排放总量指标审核及管理暂行办法&gt;的通知》(环发[2014]197号)规定：“火电、钢铁、水泥、造纸、印染行业建设项目所需替代的主要污染物排放总量指标采用绩效方法核定。其他行业依据国家或地方污染物排放标准及单位产品基准排水量(行业最高允许排水量)、烟气量等予以核定。”本项目污染物排放总量按照国家或地方污染物排放标准核定。</w:t>
            </w:r>
          </w:p>
          <w:p>
            <w:pPr>
              <w:spacing w:line="480" w:lineRule="exact"/>
              <w:ind w:firstLine="480" w:firstLineChars="200"/>
              <w:rPr>
                <w:color w:val="auto"/>
                <w:sz w:val="24"/>
                <w:highlight w:val="none"/>
              </w:rPr>
            </w:pPr>
            <w:r>
              <w:rPr>
                <w:color w:val="auto"/>
                <w:sz w:val="24"/>
                <w:highlight w:val="none"/>
              </w:rPr>
              <w:t>（1）大气污染物总量控制目标值的确定</w:t>
            </w:r>
          </w:p>
          <w:p>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本项目废气污染源污染因子不涉及二氧化硫和氮氧化物，因此本评价建议大气污染物总量控制目标值为：二氧化硫0t/a、氮氧化物0t/a。</w:t>
            </w:r>
          </w:p>
          <w:p>
            <w:pPr>
              <w:spacing w:line="48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特征污染物颗粒物排放总量计算过程如下：</w:t>
            </w:r>
          </w:p>
          <w:p>
            <w:pPr>
              <w:spacing w:line="480" w:lineRule="exact"/>
              <w:ind w:firstLine="480" w:firstLineChars="200"/>
              <w:jc w:val="left"/>
              <w:rPr>
                <w:rFonts w:hint="eastAsia" w:eastAsia="宋体"/>
                <w:color w:val="000000"/>
                <w:kern w:val="0"/>
                <w:sz w:val="24"/>
                <w:highlight w:val="none"/>
                <w:lang w:eastAsia="zh-CN"/>
              </w:rPr>
            </w:pPr>
            <w:r>
              <w:rPr>
                <w:rFonts w:hint="eastAsia" w:ascii="Times New Roman" w:hAnsi="Times New Roman" w:eastAsia="宋体" w:cs="Times New Roman"/>
                <w:bCs/>
                <w:color w:val="000000"/>
                <w:sz w:val="24"/>
                <w:highlight w:val="none"/>
                <w:lang w:val="en-US" w:eastAsia="zh-CN"/>
              </w:rPr>
              <w:t>颗粒物：</w:t>
            </w:r>
            <w:r>
              <w:rPr>
                <w:rFonts w:hint="eastAsia"/>
                <w:color w:val="000000"/>
                <w:sz w:val="24"/>
                <w:highlight w:val="none"/>
                <w:lang w:val="en-US" w:eastAsia="zh-CN"/>
              </w:rPr>
              <w:t>1</w:t>
            </w:r>
            <w:r>
              <w:rPr>
                <w:rFonts w:hint="eastAsia"/>
                <w:color w:val="000000"/>
                <w:sz w:val="24"/>
                <w:highlight w:val="none"/>
              </w:rPr>
              <w:t>0</w:t>
            </w:r>
            <w:r>
              <w:rPr>
                <w:color w:val="000000"/>
                <w:sz w:val="24"/>
                <w:highlight w:val="none"/>
              </w:rPr>
              <w:t>mg/</w:t>
            </w:r>
            <w:r>
              <w:rPr>
                <w:color w:val="000000"/>
                <w:kern w:val="24"/>
                <w:sz w:val="24"/>
                <w:highlight w:val="none"/>
              </w:rPr>
              <w:t>m</w:t>
            </w:r>
            <w:r>
              <w:rPr>
                <w:color w:val="000000"/>
                <w:kern w:val="24"/>
                <w:sz w:val="24"/>
                <w:highlight w:val="none"/>
                <w:vertAlign w:val="superscript"/>
              </w:rPr>
              <w:t>3</w:t>
            </w:r>
            <w:r>
              <w:rPr>
                <w:bCs/>
                <w:snapToGrid w:val="0"/>
                <w:color w:val="000000"/>
                <w:kern w:val="0"/>
                <w:sz w:val="24"/>
                <w:highlight w:val="none"/>
              </w:rPr>
              <w:t>×</w:t>
            </w:r>
            <w:r>
              <w:rPr>
                <w:rFonts w:hint="eastAsia"/>
                <w:sz w:val="24"/>
                <w:highlight w:val="none"/>
                <w:lang w:val="en-US" w:eastAsia="zh-CN"/>
              </w:rPr>
              <w:t>12000</w:t>
            </w:r>
            <w:r>
              <w:rPr>
                <w:rFonts w:hint="eastAsia"/>
                <w:sz w:val="24"/>
                <w:highlight w:val="none"/>
              </w:rPr>
              <w:t>万m</w:t>
            </w:r>
            <w:r>
              <w:rPr>
                <w:rFonts w:hint="eastAsia"/>
                <w:sz w:val="24"/>
                <w:highlight w:val="none"/>
                <w:vertAlign w:val="superscript"/>
              </w:rPr>
              <w:t>3</w:t>
            </w:r>
            <w:r>
              <w:rPr>
                <w:rFonts w:hint="eastAsia"/>
                <w:sz w:val="24"/>
                <w:highlight w:val="none"/>
              </w:rPr>
              <w:t>/a</w:t>
            </w:r>
            <w:r>
              <w:rPr>
                <w:rFonts w:hint="eastAsia"/>
                <w:sz w:val="24"/>
                <w:highlight w:val="none"/>
                <w:lang w:val="en-US" w:eastAsia="zh-CN"/>
              </w:rPr>
              <w:t>=1.2</w:t>
            </w:r>
            <w:r>
              <w:rPr>
                <w:color w:val="000000"/>
                <w:kern w:val="0"/>
                <w:sz w:val="24"/>
                <w:highlight w:val="none"/>
              </w:rPr>
              <w:t>t/a</w:t>
            </w:r>
            <w:r>
              <w:rPr>
                <w:rFonts w:hint="eastAsia"/>
                <w:color w:val="000000"/>
                <w:kern w:val="0"/>
                <w:sz w:val="24"/>
                <w:highlight w:val="none"/>
                <w:lang w:eastAsia="zh-CN"/>
              </w:rPr>
              <w:t>；</w:t>
            </w:r>
          </w:p>
          <w:p>
            <w:pPr>
              <w:spacing w:line="480" w:lineRule="exact"/>
              <w:ind w:firstLine="480" w:firstLineChars="20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color w:val="auto"/>
                <w:sz w:val="24"/>
                <w:highlight w:val="none"/>
              </w:rPr>
              <w:t>废水污染物总量控制目标值的确定</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z w:val="24"/>
                <w:highlight w:val="none"/>
                <w:lang w:val="en-US" w:eastAsia="zh-CN"/>
              </w:rPr>
              <w:t>本项目无生产废水外排，生活污水泼洒抑尘、不外排</w:t>
            </w:r>
            <w:r>
              <w:rPr>
                <w:color w:val="auto"/>
                <w:sz w:val="24"/>
                <w:highlight w:val="none"/>
              </w:rPr>
              <w:t>。因此本评价建议废水污染物总量控制目标值</w:t>
            </w:r>
            <w:r>
              <w:rPr>
                <w:rFonts w:hint="eastAsia"/>
                <w:color w:val="auto"/>
                <w:sz w:val="24"/>
                <w:highlight w:val="none"/>
                <w:lang w:val="en-US" w:eastAsia="zh-CN"/>
              </w:rPr>
              <w:t>为</w:t>
            </w:r>
            <w:r>
              <w:rPr>
                <w:rFonts w:hint="eastAsia"/>
                <w:color w:val="auto"/>
                <w:sz w:val="24"/>
                <w:highlight w:val="none"/>
                <w:lang w:eastAsia="zh-CN"/>
              </w:rPr>
              <w:t>：</w:t>
            </w:r>
            <w:r>
              <w:rPr>
                <w:color w:val="auto"/>
                <w:sz w:val="24"/>
                <w:highlight w:val="none"/>
              </w:rPr>
              <w:t>COD 0t/a、氨氮 0t/a</w:t>
            </w:r>
            <w:r>
              <w:rPr>
                <w:rFonts w:hint="default" w:ascii="Times New Roman" w:hAnsi="Times New Roman" w:eastAsia="宋体" w:cs="Times New Roman"/>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jc w:val="center"/>
              <w:textAlignment w:val="auto"/>
              <w:outlineLvl w:val="9"/>
              <w:rPr>
                <w:rFonts w:hint="default" w:ascii="Times New Roman" w:hAnsi="Times New Roman" w:eastAsia="宋体" w:cs="Times New Roman"/>
                <w:b/>
                <w:bCs/>
                <w:color w:val="auto"/>
                <w:sz w:val="24"/>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0000FF"/>
                <w:kern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textAlignment w:val="auto"/>
              <w:rPr>
                <w:rFonts w:hint="eastAsia" w:ascii="Times New Roman" w:hAnsi="Times New Roman" w:eastAsia="宋体" w:cs="Times New Roman"/>
                <w:color w:val="auto"/>
                <w:kern w:val="0"/>
                <w:sz w:val="21"/>
                <w:szCs w:val="21"/>
                <w:highlight w:val="none"/>
                <w:lang w:val="en-US" w:eastAsia="zh-CN"/>
              </w:rPr>
            </w:pPr>
          </w:p>
        </w:tc>
      </w:tr>
    </w:tbl>
    <w:p>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pPr>
    </w:p>
    <w:p>
      <w:pPr>
        <w:pStyle w:val="20"/>
        <w:rPr>
          <w:rFonts w:hint="default"/>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pPr>
        <w:pStyle w:val="30"/>
        <w:keepNext w:val="0"/>
        <w:keepLines w:val="0"/>
        <w:pageBreakBefore w:val="0"/>
        <w:widowControl/>
        <w:numPr>
          <w:ilvl w:val="0"/>
          <w:numId w:val="3"/>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主要环境影响和保护措施</w:t>
      </w:r>
      <w:bookmarkEnd w:id="15"/>
      <w:bookmarkEnd w:id="16"/>
    </w:p>
    <w:tbl>
      <w:tblPr>
        <w:tblStyle w:val="3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宋体"/>
                <w:bCs/>
                <w:color w:val="auto"/>
                <w:sz w:val="24"/>
                <w:szCs w:val="24"/>
                <w:highlight w:val="none"/>
              </w:rPr>
            </w:pPr>
            <w:r>
              <w:rPr>
                <w:rFonts w:hint="default" w:ascii="Times New Roman" w:hAnsi="Times New Roman" w:eastAsia="宋体" w:cs="宋体"/>
                <w:bCs/>
                <w:color w:val="auto"/>
                <w:sz w:val="24"/>
                <w:szCs w:val="24"/>
                <w:highlight w:val="none"/>
              </w:rPr>
              <w:t>施工期环境保护</w:t>
            </w:r>
            <w:r>
              <w:rPr>
                <w:rFonts w:hint="eastAsia" w:ascii="Times New Roman" w:hAnsi="Times New Roman" w:eastAsia="宋体" w:cs="宋体"/>
                <w:bCs/>
                <w:color w:val="auto"/>
                <w:sz w:val="24"/>
                <w:szCs w:val="24"/>
                <w:highlight w:val="none"/>
                <w:lang w:eastAsia="zh-CN"/>
              </w:rPr>
              <w:t>措施</w:t>
            </w:r>
          </w:p>
        </w:tc>
        <w:tc>
          <w:tcPr>
            <w:tcW w:w="12648" w:type="dxa"/>
            <w:noWrap w:val="0"/>
            <w:vAlign w:val="top"/>
          </w:tcPr>
          <w:p>
            <w:pPr>
              <w:keepNext w:val="0"/>
              <w:keepLines w:val="0"/>
              <w:pageBreakBefore w:val="0"/>
              <w:widowControl w:val="0"/>
              <w:kinsoku/>
              <w:wordWrap/>
              <w:overflowPunct/>
              <w:topLinePunct w:val="0"/>
              <w:autoSpaceDE/>
              <w:autoSpaceDN/>
              <w:bidi w:val="0"/>
              <w:adjustRightInd/>
              <w:snapToGrid/>
              <w:spacing w:before="24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ascii="Times New Roman" w:hAnsi="Times New Roman" w:cs="Times New Roman"/>
                <w:color w:val="auto"/>
                <w:sz w:val="24"/>
                <w:szCs w:val="24"/>
                <w:highlight w:val="none"/>
                <w:lang w:val="en-US" w:eastAsia="zh-CN"/>
              </w:rPr>
              <w:t>租用现有车间利旧改新进行建设。</w:t>
            </w:r>
            <w:r>
              <w:rPr>
                <w:rFonts w:hint="eastAsia" w:ascii="Times New Roman" w:hAnsi="Times New Roman" w:eastAsia="宋体" w:cs="Times New Roman"/>
                <w:color w:val="auto"/>
                <w:sz w:val="24"/>
                <w:szCs w:val="24"/>
                <w:highlight w:val="none"/>
                <w:lang w:val="en-US" w:eastAsia="zh-CN"/>
              </w:rPr>
              <w:t>施工期基本不涉及土建施工，施工期主要工程内容为车间内部结构改造、设备安装，施工周期相对较短，施工期环境影响主要为施工期废水和噪声影响、固体废物影响。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、施工期废水影响分析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施工期产生的废水主要是清洗车辆废水和施工人员产生的少量生活污水。由于清洗车辆产生的废水量较小，且主要污染物为泥沙，采取施工过程中在临时施工区设置沉淀池，生产废水经沉淀池净化后，全部回用，不外排。生活污水主要为施工人员洗漱用水，</w:t>
            </w:r>
            <w:r>
              <w:rPr>
                <w:rFonts w:hint="eastAsia" w:ascii="Times New Roman" w:hAnsi="Times New Roman" w:eastAsia="宋体" w:cs="Times New Roman"/>
                <w:color w:val="auto"/>
                <w:sz w:val="24"/>
                <w:szCs w:val="24"/>
                <w:highlight w:val="none"/>
                <w:lang w:val="en-US" w:eastAsia="zh-CN"/>
              </w:rPr>
              <w:t>直接泼洒地面抑尘</w:t>
            </w:r>
            <w:r>
              <w:rPr>
                <w:rFonts w:hint="default" w:ascii="Times New Roman" w:hAnsi="Times New Roman" w:eastAsia="宋体" w:cs="Times New Roman"/>
                <w:color w:val="auto"/>
                <w:sz w:val="24"/>
                <w:szCs w:val="24"/>
                <w:highlight w:val="none"/>
              </w:rPr>
              <w:t>，不会对周边环境产生明显影响。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、施工期噪声影响分析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施工噪声主要为设备吊装等施工机械产生的噪声。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本评价提出以下几点建议：</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合理安排施工时间，尽量减轻对周围声环境的影响；</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利用距离衰减措施，在不影响施工情况下，将强噪声设备尽量分散布置使用；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车辆出入现场时应低速、禁鸣；</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(4)土石方或建筑材料、设备运输车辆通过时人口密集区应减速、禁鸣。通过采取以上降噪措施后，可最大限度的降低施工噪声对周围声环境的影响，随着施工期的结束，施工噪声的影响也将结束。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、固体废物影响分析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施工期产生的固体废物主要为施工人员产生的生活垃圾。根据《国家危险废物名录》及《危险废物鉴别标准》(GB5085.1～7-20</w:t>
            </w:r>
            <w:r>
              <w:rPr>
                <w:rFonts w:hint="default" w:ascii="Times New Roman" w:hAnsi="Times New Roman" w:eastAsia="宋体" w:cs="Times New Roman"/>
                <w:color w:val="auto"/>
                <w:sz w:val="24"/>
                <w:szCs w:val="24"/>
                <w:highlight w:val="none"/>
                <w:lang w:val="en-US" w:eastAsia="zh-CN"/>
              </w:rPr>
              <w:t>19</w:t>
            </w:r>
            <w:r>
              <w:rPr>
                <w:rFonts w:hint="default" w:ascii="Times New Roman" w:hAnsi="Times New Roman" w:eastAsia="宋体" w:cs="Times New Roman"/>
                <w:color w:val="auto"/>
                <w:sz w:val="24"/>
                <w:szCs w:val="24"/>
                <w:highlight w:val="none"/>
              </w:rPr>
              <w:t>)，施工过程中产生的固体废物均属一般固体废物，不属于危险废物。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施工人员产生的生活垃圾送环卫部门指定地点处置。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z w:val="21"/>
                <w:szCs w:val="21"/>
                <w:highlight w:val="none"/>
                <w:vertAlign w:val="baseline"/>
                <w:lang w:eastAsia="zh-CN"/>
              </w:rPr>
            </w:pPr>
            <w:r>
              <w:rPr>
                <w:rFonts w:hint="default" w:ascii="Times New Roman" w:hAnsi="Times New Roman" w:eastAsia="宋体" w:cs="Times New Roman"/>
                <w:color w:val="auto"/>
                <w:sz w:val="24"/>
                <w:szCs w:val="24"/>
                <w:highlight w:val="none"/>
              </w:rPr>
              <w:t>综上所述，施工期产生的固体废物全部得到妥善处置，不会对周围环境产生明显影响</w:t>
            </w:r>
            <w:r>
              <w:rPr>
                <w:rFonts w:hint="eastAsia" w:ascii="Times New Roman" w:hAnsi="Times New Roman" w:eastAsia="宋体" w:cs="Times New Roman"/>
                <w:bCs/>
                <w:color w:val="auto"/>
                <w:spacing w:val="1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宋体"/>
                <w:bCs/>
                <w:color w:val="auto"/>
                <w:sz w:val="24"/>
                <w:szCs w:val="24"/>
                <w:highlight w:val="none"/>
              </w:rPr>
              <w:t>运营期环境影响和保护措施</w:t>
            </w:r>
          </w:p>
        </w:tc>
        <w:tc>
          <w:tcPr>
            <w:tcW w:w="126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jc w:val="both"/>
              <w:textAlignment w:val="auto"/>
              <w:rPr>
                <w:rFonts w:hint="default"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1、废气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1.1污染物排放情况</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eastAsia="宋体"/>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27    </w:t>
            </w:r>
            <w:r>
              <w:rPr>
                <w:rFonts w:hint="eastAsia"/>
                <w:b/>
                <w:bCs/>
                <w:color w:val="auto"/>
                <w:sz w:val="24"/>
                <w:szCs w:val="24"/>
                <w:highlight w:val="none"/>
                <w:lang w:eastAsia="zh-CN"/>
              </w:rPr>
              <w:t>废气污染物排放源情况一览表</w:t>
            </w:r>
          </w:p>
          <w:tbl>
            <w:tblPr>
              <w:tblStyle w:val="33"/>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27"/>
              <w:gridCol w:w="832"/>
              <w:gridCol w:w="622"/>
              <w:gridCol w:w="642"/>
              <w:gridCol w:w="531"/>
              <w:gridCol w:w="1564"/>
              <w:gridCol w:w="943"/>
              <w:gridCol w:w="761"/>
              <w:gridCol w:w="879"/>
              <w:gridCol w:w="664"/>
              <w:gridCol w:w="728"/>
              <w:gridCol w:w="654"/>
              <w:gridCol w:w="664"/>
              <w:gridCol w:w="686"/>
              <w:gridCol w:w="15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color w:val="auto"/>
                      <w:sz w:val="21"/>
                      <w:szCs w:val="21"/>
                      <w:highlight w:val="none"/>
                    </w:rPr>
                  </w:pPr>
                  <w:r>
                    <w:rPr>
                      <w:color w:val="auto"/>
                      <w:sz w:val="21"/>
                      <w:szCs w:val="21"/>
                      <w:highlight w:val="none"/>
                    </w:rPr>
                    <w:t>产污</w:t>
                  </w:r>
                  <w:r>
                    <w:rPr>
                      <w:rFonts w:hint="eastAsia"/>
                      <w:color w:val="auto"/>
                      <w:sz w:val="21"/>
                      <w:szCs w:val="21"/>
                      <w:highlight w:val="none"/>
                    </w:rPr>
                    <w:t>环节</w:t>
                  </w:r>
                </w:p>
              </w:tc>
              <w:tc>
                <w:tcPr>
                  <w:tcW w:w="33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color w:val="auto"/>
                      <w:sz w:val="21"/>
                      <w:szCs w:val="21"/>
                      <w:highlight w:val="none"/>
                    </w:rPr>
                    <w:t>污染物</w:t>
                  </w:r>
                  <w:r>
                    <w:rPr>
                      <w:rFonts w:hint="eastAsia"/>
                      <w:color w:val="auto"/>
                      <w:sz w:val="21"/>
                      <w:szCs w:val="21"/>
                      <w:highlight w:val="none"/>
                    </w:rPr>
                    <w:t>种类</w:t>
                  </w:r>
                </w:p>
              </w:tc>
              <w:tc>
                <w:tcPr>
                  <w:tcW w:w="50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产生情况</w:t>
                  </w:r>
                </w:p>
              </w:tc>
              <w:tc>
                <w:tcPr>
                  <w:tcW w:w="21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kern w:val="0"/>
                      <w:sz w:val="21"/>
                      <w:szCs w:val="21"/>
                      <w:highlight w:val="none"/>
                      <w:lang w:bidi="ar"/>
                    </w:rPr>
                    <w:t>排放形式</w:t>
                  </w:r>
                </w:p>
              </w:tc>
              <w:tc>
                <w:tcPr>
                  <w:tcW w:w="1936"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kern w:val="0"/>
                      <w:sz w:val="21"/>
                      <w:szCs w:val="21"/>
                      <w:highlight w:val="none"/>
                      <w:lang w:bidi="ar"/>
                    </w:rPr>
                    <w:t>污染治理设施</w:t>
                  </w:r>
                </w:p>
              </w:tc>
              <w:tc>
                <w:tcPr>
                  <w:tcW w:w="82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排放情况</w:t>
                  </w:r>
                </w:p>
              </w:tc>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kern w:val="0"/>
                      <w:sz w:val="21"/>
                      <w:szCs w:val="21"/>
                      <w:highlight w:val="none"/>
                      <w:lang w:bidi="ar"/>
                    </w:rPr>
                    <w:t>有组织排放口编号</w:t>
                  </w:r>
                </w:p>
              </w:tc>
              <w:tc>
                <w:tcPr>
                  <w:tcW w:w="61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排放</w:t>
                  </w:r>
                  <w:r>
                    <w:rPr>
                      <w:color w:val="auto"/>
                      <w:sz w:val="21"/>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z w:val="21"/>
                      <w:szCs w:val="21"/>
                      <w:highlight w:val="none"/>
                    </w:rPr>
                  </w:pPr>
                </w:p>
              </w:tc>
              <w:tc>
                <w:tcPr>
                  <w:tcW w:w="33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产生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浓度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产生</w:t>
                  </w:r>
                  <w:r>
                    <w:rPr>
                      <w:color w:val="auto"/>
                      <w:sz w:val="21"/>
                      <w:szCs w:val="21"/>
                      <w:highlight w:val="none"/>
                    </w:rPr>
                    <w:t>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t/a</w:t>
                  </w:r>
                </w:p>
              </w:tc>
              <w:tc>
                <w:tcPr>
                  <w:tcW w:w="2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kern w:val="0"/>
                      <w:sz w:val="21"/>
                      <w:szCs w:val="21"/>
                      <w:highlight w:val="none"/>
                      <w:lang w:bidi="ar"/>
                    </w:rPr>
                    <w:t>治理设施名称</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rPr>
                    <w:t>处理能力</w:t>
                  </w:r>
                  <w:r>
                    <w:rPr>
                      <w:rFonts w:hint="eastAsia"/>
                      <w:color w:val="auto"/>
                      <w:sz w:val="21"/>
                      <w:szCs w:val="21"/>
                      <w:highlight w:val="none"/>
                      <w:lang w:val="en-US" w:eastAsia="zh-CN"/>
                    </w:rPr>
                    <w:t>(</w:t>
                  </w:r>
                  <w:r>
                    <w:rPr>
                      <w:color w:val="auto"/>
                      <w:sz w:val="21"/>
                      <w:szCs w:val="21"/>
                      <w:highlight w:val="none"/>
                    </w:rPr>
                    <w:t>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lang w:val="en-US" w:eastAsia="zh-CN"/>
                    </w:rPr>
                    <w:t>)</w:t>
                  </w:r>
                </w:p>
              </w:tc>
              <w:tc>
                <w:tcPr>
                  <w:tcW w:w="3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rPr>
                    <w:t>收集效率</w:t>
                  </w:r>
                  <w:r>
                    <w:rPr>
                      <w:rFonts w:hint="eastAsia"/>
                      <w:color w:val="auto"/>
                      <w:sz w:val="21"/>
                      <w:szCs w:val="21"/>
                      <w:highlight w:val="none"/>
                      <w:lang w:eastAsia="zh-CN"/>
                    </w:rPr>
                    <w:t>（</w:t>
                  </w:r>
                  <w:r>
                    <w:rPr>
                      <w:rFonts w:hint="eastAsia"/>
                      <w:color w:val="auto"/>
                      <w:sz w:val="21"/>
                      <w:szCs w:val="21"/>
                      <w:highlight w:val="none"/>
                      <w:lang w:val="en-US" w:eastAsia="zh-CN"/>
                    </w:rPr>
                    <w:t>%</w:t>
                  </w:r>
                  <w:r>
                    <w:rPr>
                      <w:rFonts w:hint="eastAsia"/>
                      <w:color w:val="auto"/>
                      <w:sz w:val="21"/>
                      <w:szCs w:val="21"/>
                      <w:highlight w:val="none"/>
                      <w:lang w:eastAsia="zh-CN"/>
                    </w:rPr>
                    <w:t>）</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治理工艺去除率</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kern w:val="0"/>
                      <w:sz w:val="21"/>
                      <w:szCs w:val="21"/>
                      <w:highlight w:val="none"/>
                      <w:lang w:bidi="ar"/>
                    </w:rPr>
                    <w:t>是否可行技术</w:t>
                  </w:r>
                </w:p>
              </w:tc>
              <w:tc>
                <w:tcPr>
                  <w:tcW w:w="2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排放</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浓度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排放</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速率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kg</w:t>
                  </w:r>
                  <w:r>
                    <w:rPr>
                      <w:color w:val="auto"/>
                      <w:sz w:val="21"/>
                      <w:szCs w:val="21"/>
                      <w:highlight w:val="none"/>
                    </w:rPr>
                    <w:t>/h</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排放量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color w:val="auto"/>
                      <w:sz w:val="21"/>
                      <w:szCs w:val="21"/>
                      <w:highlight w:val="none"/>
                    </w:rPr>
                    <w:t>t/a</w:t>
                  </w:r>
                </w:p>
              </w:tc>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6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熔炼</w:t>
                  </w:r>
                </w:p>
              </w:tc>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颗粒物</w:t>
                  </w:r>
                </w:p>
              </w:tc>
              <w:tc>
                <w:tcPr>
                  <w:tcW w:w="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109.8</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2.635</w:t>
                  </w:r>
                </w:p>
              </w:tc>
              <w:tc>
                <w:tcPr>
                  <w:tcW w:w="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有组织</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袋式除尘器（覆膜）</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10000</w:t>
                  </w:r>
                </w:p>
              </w:tc>
              <w:tc>
                <w:tcPr>
                  <w:tcW w:w="3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95</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99</w:t>
                  </w:r>
                  <w:r>
                    <w:rPr>
                      <w:rFonts w:hint="eastAsia"/>
                      <w:color w:val="auto"/>
                      <w:sz w:val="21"/>
                      <w:szCs w:val="21"/>
                      <w:highlight w:val="none"/>
                      <w:lang w:val="en-US" w:eastAsia="zh-CN"/>
                    </w:rPr>
                    <w:t>%</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2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0.01</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0.025</w:t>
                  </w:r>
                </w:p>
              </w:tc>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DA001</w:t>
                  </w:r>
                </w:p>
              </w:tc>
              <w:tc>
                <w:tcPr>
                  <w:tcW w:w="61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ascii="Times New Roman" w:hAnsi="Times New Roman" w:eastAsia="宋体" w:cs="Times New Roman"/>
                      <w:color w:val="auto"/>
                      <w:spacing w:val="0"/>
                      <w:kern w:val="2"/>
                      <w:sz w:val="21"/>
                      <w:szCs w:val="21"/>
                      <w:highlight w:val="none"/>
                      <w:lang w:val="en-US" w:eastAsia="zh-CN" w:bidi="ar-SA"/>
                    </w:rPr>
                    <w:t>《铸造工业大气污染物排放标准》（GB39726-2020）以及《唐山市铸造行业烟气达标治理工作方案》 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浇注、</w:t>
                  </w:r>
                  <w:r>
                    <w:rPr>
                      <w:rFonts w:hint="default" w:eastAsia="宋体"/>
                      <w:color w:val="auto"/>
                      <w:sz w:val="21"/>
                      <w:szCs w:val="21"/>
                      <w:highlight w:val="none"/>
                      <w:lang w:val="en-US" w:eastAsia="zh-CN"/>
                    </w:rPr>
                    <w:t>砂处理</w:t>
                  </w:r>
                  <w:r>
                    <w:rPr>
                      <w:rFonts w:hint="eastAsia" w:eastAsia="宋体"/>
                      <w:color w:val="auto"/>
                      <w:sz w:val="21"/>
                      <w:szCs w:val="21"/>
                      <w:highlight w:val="none"/>
                      <w:lang w:val="en-US" w:eastAsia="zh-CN"/>
                    </w:rPr>
                    <w:t>、混砂、打磨以及顶吸</w:t>
                  </w:r>
                </w:p>
              </w:tc>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颗粒物</w:t>
                  </w:r>
                </w:p>
              </w:tc>
              <w:tc>
                <w:tcPr>
                  <w:tcW w:w="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409.8</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39.344</w:t>
                  </w:r>
                </w:p>
              </w:tc>
              <w:tc>
                <w:tcPr>
                  <w:tcW w:w="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有组织</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袋式除尘器（覆膜）</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40000</w:t>
                  </w:r>
                </w:p>
              </w:tc>
              <w:tc>
                <w:tcPr>
                  <w:tcW w:w="3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95</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99</w:t>
                  </w:r>
                  <w:r>
                    <w:rPr>
                      <w:rFonts w:hint="eastAsia"/>
                      <w:color w:val="auto"/>
                      <w:sz w:val="21"/>
                      <w:szCs w:val="21"/>
                      <w:highlight w:val="none"/>
                      <w:lang w:val="en-US" w:eastAsia="zh-CN"/>
                    </w:rPr>
                    <w:t>%</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3.9</w:t>
                  </w:r>
                </w:p>
              </w:tc>
              <w:tc>
                <w:tcPr>
                  <w:tcW w:w="2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0.156</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0.373</w:t>
                  </w:r>
                </w:p>
              </w:tc>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DA002</w:t>
                  </w:r>
                </w:p>
              </w:tc>
              <w:tc>
                <w:tcPr>
                  <w:tcW w:w="6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color w:val="auto"/>
                      <w:sz w:val="21"/>
                      <w:szCs w:val="21"/>
                      <w:highlight w:val="none"/>
                    </w:rPr>
                  </w:pPr>
                  <w:r>
                    <w:rPr>
                      <w:rFonts w:hint="eastAsia"/>
                      <w:color w:val="auto"/>
                      <w:sz w:val="21"/>
                      <w:szCs w:val="21"/>
                      <w:highlight w:val="none"/>
                    </w:rPr>
                    <w:t>厂界无组织</w:t>
                  </w:r>
                </w:p>
              </w:tc>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颗粒物</w:t>
                  </w:r>
                </w:p>
              </w:tc>
              <w:tc>
                <w:tcPr>
                  <w:tcW w:w="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0.1</w:t>
                  </w:r>
                </w:p>
              </w:tc>
              <w:tc>
                <w:tcPr>
                  <w:tcW w:w="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无组织</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0"/>
                      <w:sz w:val="21"/>
                      <w:szCs w:val="21"/>
                      <w:highlight w:val="none"/>
                      <w:lang w:val="en-US" w:eastAsia="zh-CN"/>
                    </w:rPr>
                    <w:t>项目于封闭生产车间内运行</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99%</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w:t>
                  </w:r>
                </w:p>
              </w:tc>
              <w:tc>
                <w:tcPr>
                  <w:tcW w:w="2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w:t>
                  </w:r>
                </w:p>
              </w:tc>
              <w:tc>
                <w:tcPr>
                  <w:tcW w:w="2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0.0004</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0.001</w:t>
                  </w:r>
                </w:p>
              </w:tc>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6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color w:val="auto"/>
                      <w:sz w:val="21"/>
                      <w:szCs w:val="21"/>
                      <w:highlight w:val="none"/>
                    </w:rPr>
                  </w:pPr>
                  <w:r>
                    <w:rPr>
                      <w:rFonts w:hint="eastAsia" w:ascii="Times New Roman" w:hAnsi="Times New Roman" w:eastAsia="宋体" w:cs="Times New Roman"/>
                      <w:color w:val="auto"/>
                      <w:spacing w:val="0"/>
                      <w:kern w:val="2"/>
                      <w:sz w:val="21"/>
                      <w:szCs w:val="21"/>
                      <w:highlight w:val="none"/>
                      <w:lang w:val="en-US" w:eastAsia="zh-CN" w:bidi="ar-SA"/>
                    </w:rPr>
                    <w:t>《唐山市铸造行业烟气达标治理工作方案》</w:t>
                  </w:r>
                </w:p>
              </w:tc>
            </w:tr>
          </w:tbl>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28    </w:t>
            </w:r>
            <w:r>
              <w:rPr>
                <w:rFonts w:hint="eastAsia"/>
                <w:b/>
                <w:bCs/>
                <w:color w:val="auto"/>
                <w:sz w:val="24"/>
                <w:szCs w:val="24"/>
                <w:highlight w:val="none"/>
                <w:lang w:eastAsia="zh-CN"/>
              </w:rPr>
              <w:t>废气排放口基本情况一览表</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434"/>
              <w:gridCol w:w="1269"/>
              <w:gridCol w:w="1491"/>
              <w:gridCol w:w="1952"/>
              <w:gridCol w:w="1414"/>
              <w:gridCol w:w="1182"/>
              <w:gridCol w:w="1079"/>
              <w:gridCol w:w="1124"/>
              <w:gridCol w:w="14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排放口编号</w:t>
                  </w:r>
                </w:p>
              </w:tc>
              <w:tc>
                <w:tcPr>
                  <w:tcW w:w="510"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eastAsia" w:ascii="Times New Roman" w:hAnsi="Times New Roman" w:eastAsia="宋体" w:cs="Times New Roman"/>
                      <w:color w:val="auto"/>
                      <w:kern w:val="0"/>
                      <w:sz w:val="21"/>
                      <w:szCs w:val="21"/>
                      <w:highlight w:val="none"/>
                      <w:lang w:bidi="ar"/>
                    </w:rPr>
                    <w:t>排放口名称</w:t>
                  </w:r>
                </w:p>
              </w:tc>
              <w:tc>
                <w:tcPr>
                  <w:tcW w:w="600"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eastAsia" w:ascii="Times New Roman" w:hAnsi="Times New Roman" w:eastAsia="宋体" w:cs="Times New Roman"/>
                      <w:color w:val="auto"/>
                      <w:kern w:val="0"/>
                      <w:sz w:val="21"/>
                      <w:szCs w:val="21"/>
                      <w:highlight w:val="none"/>
                      <w:lang w:bidi="ar"/>
                    </w:rPr>
                    <w:t>污染物种类</w:t>
                  </w:r>
                </w:p>
              </w:tc>
              <w:tc>
                <w:tcPr>
                  <w:tcW w:w="1354" w:type="pct"/>
                  <w:gridSpan w:val="2"/>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排放口地理坐标</w:t>
                  </w:r>
                </w:p>
              </w:tc>
              <w:tc>
                <w:tcPr>
                  <w:tcW w:w="475"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排气筒</w:t>
                  </w:r>
                </w:p>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高度（m）</w:t>
                  </w:r>
                </w:p>
              </w:tc>
              <w:tc>
                <w:tcPr>
                  <w:tcW w:w="434"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排气筒</w:t>
                  </w:r>
                </w:p>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内径</w:t>
                  </w:r>
                  <w:r>
                    <w:rPr>
                      <w:rStyle w:val="35"/>
                      <w:rFonts w:hint="eastAsia" w:ascii="Times New Roman" w:hAnsi="Times New Roman" w:eastAsia="宋体" w:cs="Times New Roman"/>
                      <w:color w:val="auto"/>
                      <w:kern w:val="0"/>
                      <w:sz w:val="21"/>
                      <w:szCs w:val="21"/>
                      <w:highlight w:val="none"/>
                      <w:lang w:bidi="ar"/>
                    </w:rPr>
                    <w:t>（m）</w:t>
                  </w:r>
                </w:p>
              </w:tc>
              <w:tc>
                <w:tcPr>
                  <w:tcW w:w="452"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排气</w:t>
                  </w:r>
                </w:p>
                <w:p>
                  <w:pPr>
                    <w:pStyle w:val="78"/>
                    <w:keepNext w:val="0"/>
                    <w:keepLines w:val="0"/>
                    <w:pageBreakBefore w:val="0"/>
                    <w:widowControl/>
                    <w:kinsoku/>
                    <w:wordWrap/>
                    <w:overflowPunct/>
                    <w:topLinePunct w:val="0"/>
                    <w:bidi w:val="0"/>
                    <w:snapToGrid/>
                    <w:spacing w:line="240" w:lineRule="auto"/>
                    <w:jc w:val="center"/>
                    <w:textAlignment w:val="auto"/>
                    <w:rPr>
                      <w:rStyle w:val="35"/>
                      <w:rFonts w:hint="eastAsia"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温度</w:t>
                  </w:r>
                  <w:r>
                    <w:rPr>
                      <w:rStyle w:val="35"/>
                      <w:rFonts w:hint="eastAsia" w:ascii="Times New Roman" w:hAnsi="Times New Roman" w:eastAsia="宋体" w:cs="Times New Roman"/>
                      <w:color w:val="auto"/>
                      <w:kern w:val="0"/>
                      <w:sz w:val="21"/>
                      <w:szCs w:val="21"/>
                      <w:highlight w:val="none"/>
                      <w:lang w:bidi="ar"/>
                    </w:rPr>
                    <w:t>（℃）</w:t>
                  </w:r>
                </w:p>
              </w:tc>
              <w:tc>
                <w:tcPr>
                  <w:tcW w:w="595" w:type="pct"/>
                  <w:vMerge w:val="restar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eastAsia" w:ascii="Times New Roman" w:hAnsi="Times New Roman" w:eastAsia="宋体" w:cs="Times New Roman"/>
                      <w:color w:val="auto"/>
                      <w:kern w:val="0"/>
                      <w:sz w:val="21"/>
                      <w:szCs w:val="21"/>
                      <w:highlight w:val="none"/>
                      <w:lang w:bidi="ar"/>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510"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600"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785"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经度</w:t>
                  </w:r>
                </w:p>
              </w:tc>
              <w:tc>
                <w:tcPr>
                  <w:tcW w:w="569"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r>
                    <w:rPr>
                      <w:rStyle w:val="35"/>
                      <w:rFonts w:hint="default" w:ascii="Times New Roman" w:hAnsi="Times New Roman" w:eastAsia="宋体" w:cs="Times New Roman"/>
                      <w:color w:val="auto"/>
                      <w:kern w:val="0"/>
                      <w:sz w:val="21"/>
                      <w:szCs w:val="21"/>
                      <w:highlight w:val="none"/>
                      <w:lang w:bidi="ar"/>
                    </w:rPr>
                    <w:t>纬度</w:t>
                  </w:r>
                </w:p>
              </w:tc>
              <w:tc>
                <w:tcPr>
                  <w:tcW w:w="475"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434"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452"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c>
                <w:tcPr>
                  <w:tcW w:w="595" w:type="pct"/>
                  <w:vMerge w:val="continue"/>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熔炼</w:t>
                  </w:r>
                </w:p>
              </w:tc>
              <w:tc>
                <w:tcPr>
                  <w:tcW w:w="60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zh-CN"/>
                    </w:rPr>
                    <w:t>颗粒物</w:t>
                  </w:r>
                </w:p>
              </w:tc>
              <w:tc>
                <w:tcPr>
                  <w:tcW w:w="785"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117°59</w:t>
                  </w:r>
                  <w:r>
                    <w:rPr>
                      <w:rFonts w:hint="default" w:ascii="Times New Roman" w:hAnsi="Times New Roman" w:eastAsia="宋体" w:cs="Times New Roman"/>
                      <w:color w:val="auto"/>
                      <w:kern w:val="2"/>
                      <w:sz w:val="21"/>
                      <w:szCs w:val="21"/>
                      <w:highlight w:val="none"/>
                      <w:lang w:val="en-US" w:eastAsia="zh-CN" w:bidi="ar-SA"/>
                    </w:rPr>
                    <w:t>′24.723″</w:t>
                  </w:r>
                </w:p>
              </w:tc>
              <w:tc>
                <w:tcPr>
                  <w:tcW w:w="569"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w:t>
                  </w:r>
                  <w:r>
                    <w:rPr>
                      <w:rFonts w:hint="eastAsia" w:ascii="Times New Roman" w:hAnsi="Times New Roman" w:cs="Times New Roman"/>
                      <w:color w:val="auto"/>
                      <w:kern w:val="2"/>
                      <w:sz w:val="21"/>
                      <w:szCs w:val="21"/>
                      <w:highlight w:val="none"/>
                      <w:lang w:val="en-US" w:eastAsia="zh-CN" w:bidi="ar-SA"/>
                    </w:rPr>
                    <w:t>10</w:t>
                  </w:r>
                  <w:r>
                    <w:rPr>
                      <w:rFonts w:hint="default"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5.066</w:t>
                  </w:r>
                  <w:r>
                    <w:rPr>
                      <w:rFonts w:hint="default" w:ascii="Times New Roman" w:hAnsi="Times New Roman" w:eastAsia="宋体" w:cs="Times New Roman"/>
                      <w:color w:val="auto"/>
                      <w:kern w:val="2"/>
                      <w:sz w:val="21"/>
                      <w:szCs w:val="21"/>
                      <w:highlight w:val="none"/>
                      <w:lang w:val="en-US" w:eastAsia="zh-CN" w:bidi="ar-SA"/>
                    </w:rPr>
                    <w:t>″</w:t>
                  </w:r>
                </w:p>
              </w:tc>
              <w:tc>
                <w:tcPr>
                  <w:tcW w:w="475"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0.5</w:t>
                  </w:r>
                </w:p>
              </w:tc>
              <w:tc>
                <w:tcPr>
                  <w:tcW w:w="452"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80</w:t>
                  </w:r>
                </w:p>
              </w:tc>
              <w:tc>
                <w:tcPr>
                  <w:tcW w:w="595"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Style w:val="35"/>
                      <w:rFonts w:hint="eastAsia" w:ascii="宋体" w:hAnsi="宋体" w:cs="Times New Roman"/>
                      <w:color w:val="auto"/>
                      <w:kern w:val="2"/>
                      <w:sz w:val="21"/>
                      <w:szCs w:val="21"/>
                      <w:highlight w:val="none"/>
                      <w:lang w:val="en-US" w:eastAsia="zh-CN" w:bidi="ar-SA"/>
                    </w:rPr>
                    <w:t>一般</w:t>
                  </w:r>
                  <w:r>
                    <w:rPr>
                      <w:rStyle w:val="35"/>
                      <w:rFonts w:hint="eastAsia" w:ascii="宋体" w:hAnsi="宋体" w:eastAsia="宋体" w:cs="Times New Roman"/>
                      <w:color w:val="auto"/>
                      <w:kern w:val="2"/>
                      <w:sz w:val="21"/>
                      <w:szCs w:val="21"/>
                      <w:highlight w:val="none"/>
                      <w:lang w:val="en-US" w:eastAsia="zh-CN" w:bidi="ar-SA"/>
                    </w:rPr>
                    <w:t>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val="en-US" w:eastAsia="zh-CN" w:bidi="ar"/>
                    </w:rPr>
                  </w:pPr>
                  <w:r>
                    <w:rPr>
                      <w:rStyle w:val="35"/>
                      <w:rFonts w:hint="eastAsia" w:ascii="Times New Roman" w:hAnsi="Times New Roman" w:eastAsia="宋体" w:cs="Times New Roman"/>
                      <w:color w:val="auto"/>
                      <w:kern w:val="0"/>
                      <w:sz w:val="21"/>
                      <w:szCs w:val="21"/>
                      <w:highlight w:val="none"/>
                      <w:lang w:val="en-US" w:eastAsia="zh-CN" w:bidi="ar"/>
                    </w:rPr>
                    <w:t>DA002</w:t>
                  </w:r>
                </w:p>
              </w:tc>
              <w:tc>
                <w:tcPr>
                  <w:tcW w:w="510"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default" w:ascii="Times New Roman" w:hAnsi="Times New Roman" w:eastAsia="宋体" w:cs="Times New Roman"/>
                      <w:color w:val="auto"/>
                      <w:kern w:val="0"/>
                      <w:sz w:val="21"/>
                      <w:szCs w:val="21"/>
                      <w:highlight w:val="none"/>
                      <w:lang w:val="en-US" w:eastAsia="zh-CN" w:bidi="ar"/>
                    </w:rPr>
                  </w:pPr>
                  <w:r>
                    <w:rPr>
                      <w:rStyle w:val="35"/>
                      <w:rFonts w:hint="eastAsia" w:ascii="Times New Roman" w:hAnsi="Times New Roman" w:eastAsia="宋体" w:cs="Times New Roman"/>
                      <w:color w:val="auto"/>
                      <w:kern w:val="0"/>
                      <w:sz w:val="21"/>
                      <w:szCs w:val="21"/>
                      <w:highlight w:val="none"/>
                      <w:lang w:val="en-US" w:eastAsia="zh-CN" w:bidi="ar"/>
                    </w:rPr>
                    <w:t>浇注、</w:t>
                  </w:r>
                  <w:r>
                    <w:rPr>
                      <w:rStyle w:val="35"/>
                      <w:rFonts w:hint="default" w:ascii="Times New Roman" w:hAnsi="Times New Roman" w:eastAsia="宋体" w:cs="Times New Roman"/>
                      <w:color w:val="auto"/>
                      <w:kern w:val="0"/>
                      <w:sz w:val="21"/>
                      <w:szCs w:val="21"/>
                      <w:highlight w:val="none"/>
                      <w:lang w:val="en-US" w:eastAsia="zh-CN" w:bidi="ar"/>
                    </w:rPr>
                    <w:t>砂处理</w:t>
                  </w:r>
                  <w:r>
                    <w:rPr>
                      <w:rStyle w:val="35"/>
                      <w:rFonts w:hint="eastAsia" w:ascii="Times New Roman" w:hAnsi="Times New Roman" w:eastAsia="宋体" w:cs="Times New Roman"/>
                      <w:color w:val="auto"/>
                      <w:kern w:val="0"/>
                      <w:sz w:val="21"/>
                      <w:szCs w:val="21"/>
                      <w:highlight w:val="none"/>
                      <w:lang w:val="en-US" w:eastAsia="zh-CN" w:bidi="ar"/>
                    </w:rPr>
                    <w:t>、混砂、打磨以及顶吸</w:t>
                  </w:r>
                </w:p>
              </w:tc>
              <w:tc>
                <w:tcPr>
                  <w:tcW w:w="60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785"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w:t>
                  </w:r>
                  <w:r>
                    <w:rPr>
                      <w:rFonts w:hint="eastAsia" w:ascii="Times New Roman" w:hAnsi="Times New Roman" w:cs="Times New Roman"/>
                      <w:color w:val="auto"/>
                      <w:kern w:val="2"/>
                      <w:sz w:val="21"/>
                      <w:szCs w:val="21"/>
                      <w:highlight w:val="none"/>
                      <w:lang w:val="en-US" w:eastAsia="zh-CN" w:bidi="ar-SA"/>
                    </w:rPr>
                    <w:t>9</w:t>
                  </w:r>
                  <w:r>
                    <w:rPr>
                      <w:rFonts w:hint="default"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24.588</w:t>
                  </w:r>
                  <w:r>
                    <w:rPr>
                      <w:rFonts w:hint="default" w:ascii="Times New Roman" w:hAnsi="Times New Roman" w:eastAsia="宋体" w:cs="Times New Roman"/>
                      <w:color w:val="auto"/>
                      <w:kern w:val="2"/>
                      <w:sz w:val="21"/>
                      <w:szCs w:val="21"/>
                      <w:highlight w:val="none"/>
                      <w:lang w:val="en-US" w:eastAsia="zh-CN" w:bidi="ar-SA"/>
                    </w:rPr>
                    <w:t>″</w:t>
                  </w:r>
                </w:p>
              </w:tc>
              <w:tc>
                <w:tcPr>
                  <w:tcW w:w="569"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w:t>
                  </w:r>
                  <w:r>
                    <w:rPr>
                      <w:rFonts w:hint="eastAsia" w:ascii="Times New Roman" w:hAnsi="Times New Roman" w:cs="Times New Roman"/>
                      <w:color w:val="auto"/>
                      <w:kern w:val="2"/>
                      <w:sz w:val="21"/>
                      <w:szCs w:val="21"/>
                      <w:highlight w:val="none"/>
                      <w:lang w:val="en-US" w:eastAsia="zh-CN" w:bidi="ar-SA"/>
                    </w:rPr>
                    <w:t>10</w:t>
                  </w:r>
                  <w:r>
                    <w:rPr>
                      <w:rFonts w:hint="default"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4.168</w:t>
                  </w:r>
                  <w:r>
                    <w:rPr>
                      <w:rFonts w:hint="default" w:ascii="Times New Roman" w:hAnsi="Times New Roman" w:eastAsia="宋体" w:cs="Times New Roman"/>
                      <w:color w:val="auto"/>
                      <w:kern w:val="2"/>
                      <w:sz w:val="21"/>
                      <w:szCs w:val="21"/>
                      <w:highlight w:val="none"/>
                      <w:lang w:val="en-US" w:eastAsia="zh-CN" w:bidi="ar-SA"/>
                    </w:rPr>
                    <w:t>″</w:t>
                  </w:r>
                </w:p>
              </w:tc>
              <w:tc>
                <w:tcPr>
                  <w:tcW w:w="475"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0.9</w:t>
                  </w:r>
                </w:p>
              </w:tc>
              <w:tc>
                <w:tcPr>
                  <w:tcW w:w="452" w:type="pct"/>
                  <w:tcBorders>
                    <w:tl2br w:val="nil"/>
                    <w:tr2bl w:val="nil"/>
                  </w:tcBorders>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20</w:t>
                  </w:r>
                </w:p>
              </w:tc>
              <w:tc>
                <w:tcPr>
                  <w:tcW w:w="595"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Style w:val="35"/>
                      <w:rFonts w:hint="eastAsia" w:ascii="宋体" w:hAnsi="宋体" w:cs="Times New Roman"/>
                      <w:color w:val="auto"/>
                      <w:kern w:val="2"/>
                      <w:sz w:val="21"/>
                      <w:szCs w:val="21"/>
                      <w:highlight w:val="none"/>
                      <w:lang w:val="en-US" w:eastAsia="zh-CN" w:bidi="ar-SA"/>
                    </w:rPr>
                  </w:pPr>
                  <w:r>
                    <w:rPr>
                      <w:rStyle w:val="35"/>
                      <w:rFonts w:hint="eastAsia" w:ascii="宋体" w:hAnsi="宋体" w:cs="Times New Roman"/>
                      <w:color w:val="auto"/>
                      <w:kern w:val="2"/>
                      <w:sz w:val="21"/>
                      <w:szCs w:val="21"/>
                      <w:highlight w:val="none"/>
                      <w:lang w:val="en-US" w:eastAsia="zh-CN" w:bidi="ar-SA"/>
                    </w:rPr>
                    <w:t>一般</w:t>
                  </w:r>
                  <w:r>
                    <w:rPr>
                      <w:rStyle w:val="35"/>
                      <w:rFonts w:hint="eastAsia" w:ascii="宋体" w:hAnsi="宋体" w:eastAsia="宋体" w:cs="Times New Roman"/>
                      <w:color w:val="auto"/>
                      <w:kern w:val="2"/>
                      <w:sz w:val="21"/>
                      <w:szCs w:val="21"/>
                      <w:highlight w:val="none"/>
                      <w:lang w:val="en-US" w:eastAsia="zh-CN" w:bidi="ar-SA"/>
                    </w:rPr>
                    <w:t>排放口</w:t>
                  </w:r>
                </w:p>
              </w:tc>
            </w:tr>
          </w:tbl>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29</w:t>
            </w:r>
            <w:r>
              <w:rPr>
                <w:rFonts w:hint="default" w:ascii="Times New Roman" w:hAnsi="Times New Roman" w:eastAsia="宋体" w:cs="Times New Roman"/>
                <w:b/>
                <w:bCs/>
                <w:color w:val="auto"/>
                <w:sz w:val="24"/>
                <w:szCs w:val="24"/>
                <w:highlight w:val="none"/>
                <w:lang w:val="en-US" w:eastAsia="zh-CN"/>
              </w:rPr>
              <w:t xml:space="preserve">  污染源非正常排放量核算表</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197"/>
              <w:gridCol w:w="1070"/>
              <w:gridCol w:w="1104"/>
              <w:gridCol w:w="1434"/>
              <w:gridCol w:w="1305"/>
              <w:gridCol w:w="1039"/>
              <w:gridCol w:w="889"/>
              <w:gridCol w:w="3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污染源</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非正常排放原因</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5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非正常排放浓度（mg/m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非正常排放速率/(kg/h)</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单次持续时间/h</w:t>
                  </w:r>
                </w:p>
              </w:tc>
              <w:tc>
                <w:tcPr>
                  <w:tcW w:w="3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发生频次/次</w:t>
                  </w:r>
                </w:p>
              </w:tc>
              <w:tc>
                <w:tcPr>
                  <w:tcW w:w="1424" w:type="pct"/>
                  <w:tcBorders>
                    <w:tl2br w:val="nil"/>
                    <w:tr2bl w:val="nil"/>
                  </w:tcBorders>
                  <w:noWrap w:val="0"/>
                  <w:vAlign w:val="center"/>
                </w:tcPr>
                <w:p>
                  <w:pPr>
                    <w:pStyle w:val="8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设施故障</w:t>
                  </w:r>
                </w:p>
              </w:tc>
              <w:tc>
                <w:tcPr>
                  <w:tcW w:w="444"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olor w:val="auto"/>
                      <w:kern w:val="0"/>
                      <w:sz w:val="21"/>
                      <w:szCs w:val="21"/>
                      <w:highlight w:val="none"/>
                      <w:lang w:val="en-US" w:eastAsia="zh-CN"/>
                    </w:rPr>
                    <w:t>颗粒物</w:t>
                  </w:r>
                </w:p>
              </w:tc>
              <w:tc>
                <w:tcPr>
                  <w:tcW w:w="5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54.9</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0.549</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w:t>
                  </w:r>
                </w:p>
              </w:tc>
              <w:tc>
                <w:tcPr>
                  <w:tcW w:w="3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481" w:type="pct"/>
                  <w:tcBorders>
                    <w:tl2br w:val="nil"/>
                    <w:tr2bl w:val="nil"/>
                  </w:tcBorders>
                  <w:noWrap w:val="0"/>
                  <w:vAlign w:val="center"/>
                </w:tcPr>
                <w:p>
                  <w:pPr>
                    <w:pStyle w:val="78"/>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Style w:val="35"/>
                      <w:rFonts w:hint="eastAsia" w:ascii="Times New Roman" w:hAnsi="Times New Roman" w:eastAsia="宋体" w:cs="Times New Roman"/>
                      <w:color w:val="auto"/>
                      <w:kern w:val="0"/>
                      <w:sz w:val="21"/>
                      <w:szCs w:val="21"/>
                      <w:highlight w:val="none"/>
                      <w:lang w:val="en-US" w:eastAsia="zh-CN" w:bidi="ar"/>
                    </w:rPr>
                    <w:t>DA002</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设施故障</w:t>
                  </w:r>
                </w:p>
              </w:tc>
              <w:tc>
                <w:tcPr>
                  <w:tcW w:w="444"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5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204.9</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8.196</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c>
                <w:tcPr>
                  <w:tcW w:w="3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14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bl>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Times New Roman" w:hAnsi="Times New Roman" w:eastAsia="宋体" w:cs="Times New Roman"/>
                <w:color w:val="auto"/>
                <w:sz w:val="24"/>
                <w:szCs w:val="24"/>
                <w:highlight w:val="none"/>
              </w:rPr>
            </w:pPr>
          </w:p>
        </w:tc>
      </w:tr>
    </w:tbl>
    <w:p>
      <w:pPr>
        <w:adjustRightInd w:val="0"/>
        <w:snapToGrid w:val="0"/>
        <w:jc w:val="both"/>
        <w:rPr>
          <w:rFonts w:hint="eastAsia" w:ascii="Times New Roman" w:hAnsi="Times New Roman" w:eastAsia="宋体" w:cs="Times New Roman"/>
          <w:bCs/>
          <w:color w:val="auto"/>
          <w:sz w:val="21"/>
          <w:szCs w:val="21"/>
          <w:highlight w:val="none"/>
          <w:lang w:val="en-US"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
        <w:gridCol w:w="8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运</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营</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期</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境</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影</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响</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和</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保</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护</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措</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施</w:t>
            </w:r>
          </w:p>
        </w:tc>
        <w:tc>
          <w:tcPr>
            <w:tcW w:w="85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color w:val="auto"/>
                <w:sz w:val="24"/>
                <w:szCs w:val="24"/>
                <w:highlight w:val="none"/>
              </w:rPr>
              <w:t>1.2废气影响分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本项目各工序废气收集治理严格按照《唐山市铸造行业烟气达标治理工作方案》相关要求进行。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有组织废气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①电炉熔炼废气</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针对电炉熔炼废气设置1套袋式除尘器（覆膜），风机采用变频风机，袋式除尘器处理能力为</w:t>
            </w:r>
            <w:r>
              <w:rPr>
                <w:rFonts w:hint="eastAsia" w:eastAsia="宋体" w:cs="Times New Roman"/>
                <w:color w:val="auto"/>
                <w:sz w:val="24"/>
                <w:highlight w:val="none"/>
                <w:lang w:val="en-US" w:eastAsia="zh-CN"/>
              </w:rPr>
              <w:t>10000</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/h</w:t>
            </w:r>
            <w:r>
              <w:rPr>
                <w:rFonts w:hint="eastAsia" w:ascii="Times New Roman" w:hAnsi="Times New Roman" w:eastAsia="宋体" w:cs="Times New Roman"/>
                <w:color w:val="auto"/>
                <w:sz w:val="24"/>
                <w:highlight w:val="none"/>
                <w:lang w:val="en-US" w:eastAsia="zh-CN"/>
              </w:rPr>
              <w:t xml:space="preserve">，除尘效率 </w:t>
            </w:r>
            <w:r>
              <w:rPr>
                <w:rFonts w:hint="default" w:ascii="Times New Roman" w:hAnsi="Times New Roman" w:eastAsia="宋体" w:cs="Times New Roman"/>
                <w:color w:val="auto"/>
                <w:sz w:val="24"/>
                <w:highlight w:val="none"/>
                <w:lang w:val="en-US" w:eastAsia="zh-CN"/>
              </w:rPr>
              <w:t>99%</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熔炼过程中会产生颗粒物，根据《排放源统计调查产排污核算方法和系数手册》</w:t>
            </w:r>
            <w:r>
              <w:rPr>
                <w:rFonts w:hint="eastAsia" w:ascii="Times New Roman" w:hAnsi="Times New Roman" w:eastAsia="宋体" w:cs="Times New Roman"/>
                <w:color w:val="auto"/>
                <w:sz w:val="24"/>
                <w:highlight w:val="none"/>
                <w:lang w:val="en-US" w:eastAsia="zh-CN"/>
              </w:rPr>
              <w:t>黑色金属铸造行业</w:t>
            </w:r>
            <w:r>
              <w:rPr>
                <w:rFonts w:hint="eastAsia" w:ascii="Times New Roman" w:hAnsi="Times New Roman" w:eastAsia="宋体" w:cs="Times New Roman"/>
                <w:color w:val="auto"/>
                <w:sz w:val="24"/>
                <w:szCs w:val="24"/>
                <w:highlight w:val="none"/>
                <w:lang w:val="en-US" w:eastAsia="zh-CN"/>
              </w:rPr>
              <w:t>熔炼工序工业颗粒物产污系数</w:t>
            </w:r>
            <w:r>
              <w:rPr>
                <w:rFonts w:hint="default" w:ascii="Times New Roman" w:hAnsi="Times New Roman" w:eastAsia="宋体" w:cs="Times New Roman"/>
                <w:color w:val="auto"/>
                <w:sz w:val="24"/>
                <w:szCs w:val="24"/>
                <w:highlight w:val="none"/>
                <w:lang w:val="en-US" w:eastAsia="zh-CN"/>
              </w:rPr>
              <w:t>0.479kg/t-</w:t>
            </w:r>
            <w:r>
              <w:rPr>
                <w:rFonts w:hint="eastAsia" w:ascii="Times New Roman" w:hAnsi="Times New Roman" w:eastAsia="宋体" w:cs="Times New Roman"/>
                <w:color w:val="auto"/>
                <w:sz w:val="24"/>
                <w:szCs w:val="24"/>
                <w:highlight w:val="none"/>
                <w:lang w:val="en-US" w:eastAsia="zh-CN"/>
              </w:rPr>
              <w:t>产品，项目每年生产铸件</w:t>
            </w:r>
            <w:r>
              <w:rPr>
                <w:rFonts w:hint="eastAsia"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lang w:val="en-US" w:eastAsia="zh-CN"/>
              </w:rPr>
              <w:t>00t</w:t>
            </w:r>
            <w:r>
              <w:rPr>
                <w:rFonts w:hint="eastAsia" w:ascii="Times New Roman" w:hAnsi="Times New Roman" w:eastAsia="宋体" w:cs="Times New Roman"/>
                <w:color w:val="auto"/>
                <w:sz w:val="24"/>
                <w:szCs w:val="24"/>
                <w:highlight w:val="none"/>
                <w:lang w:val="en-US" w:eastAsia="zh-CN"/>
              </w:rPr>
              <w:t>，则颗粒物产生量</w:t>
            </w:r>
            <w:r>
              <w:rPr>
                <w:rFonts w:hint="eastAsia" w:eastAsia="宋体" w:cs="Times New Roman"/>
                <w:color w:val="auto"/>
                <w:sz w:val="24"/>
                <w:szCs w:val="24"/>
                <w:highlight w:val="none"/>
                <w:lang w:val="en-US" w:eastAsia="zh-CN"/>
              </w:rPr>
              <w:t>2.635</w:t>
            </w:r>
            <w:r>
              <w:rPr>
                <w:rFonts w:hint="default" w:ascii="Times New Roman" w:hAnsi="Times New Roman" w:eastAsia="宋体" w:cs="Times New Roman"/>
                <w:color w:val="auto"/>
                <w:sz w:val="24"/>
                <w:szCs w:val="24"/>
                <w:highlight w:val="none"/>
                <w:lang w:val="en-US" w:eastAsia="zh-CN"/>
              </w:rPr>
              <w:t>t/a</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根据吸风量的计算公式：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w:t>
            </w:r>
            <w:r>
              <w:rPr>
                <w:rFonts w:hint="eastAsia" w:ascii="Times New Roman" w:hAnsi="Times New Roman" w:eastAsia="宋体" w:cs="Times New Roman"/>
                <w:b w:val="0"/>
                <w:bCs/>
                <w:i w:val="0"/>
                <w:iCs w:val="0"/>
                <w:color w:val="auto"/>
                <w:sz w:val="24"/>
                <w:szCs w:val="24"/>
                <w:highlight w:val="none"/>
                <w:lang w:val="en-US" w:eastAsia="zh-CN"/>
              </w:rPr>
              <w:t>A</w:t>
            </w:r>
            <w:r>
              <w:rPr>
                <w:rFonts w:hint="default" w:ascii="Times New Roman" w:hAnsi="Times New Roman" w:eastAsia="宋体" w:cs="Times New Roman"/>
                <w:b w:val="0"/>
                <w:bCs/>
                <w:i w:val="0"/>
                <w:iCs w:val="0"/>
                <w:color w:val="auto"/>
                <w:sz w:val="24"/>
                <w:szCs w:val="24"/>
                <w:highlight w:val="none"/>
              </w:rPr>
              <w:t>×</w:t>
            </w: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式中：Q：吸风量，m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/h；</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A：罩口面积，m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r>
              <w:rPr>
                <w:rFonts w:hint="default" w:ascii="Times New Roman" w:hAnsi="Times New Roman" w:eastAsia="宋体" w:cs="Times New Roman"/>
                <w:color w:val="auto"/>
                <w:kern w:val="0"/>
                <w:sz w:val="24"/>
                <w:szCs w:val="24"/>
                <w:highlight w:val="none"/>
              </w:rPr>
              <w:t>：罩口平均风速，m/s</w:t>
            </w:r>
            <w:r>
              <w:rPr>
                <w:rFonts w:hint="eastAsia" w:ascii="Times New Roman" w:hAnsi="Times New Roman" w:eastAsia="宋体" w:cs="Times New Roman"/>
                <w:color w:val="auto"/>
                <w:kern w:val="0"/>
                <w:sz w:val="24"/>
                <w:szCs w:val="24"/>
                <w:highlight w:val="none"/>
                <w:lang w:eastAsia="zh-CN"/>
              </w:rPr>
              <w:t>，本次取</w:t>
            </w:r>
            <w:r>
              <w:rPr>
                <w:rFonts w:hint="eastAsia"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rPr>
              <w:t>m/s</w:t>
            </w:r>
            <w:r>
              <w:rPr>
                <w:rFonts w:hint="eastAsia" w:ascii="Times New Roman" w:hAnsi="Times New Roman" w:eastAsia="宋体"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风机引风过程，风损约10%~20%，</w:t>
            </w:r>
            <w:r>
              <w:rPr>
                <w:rFonts w:hint="eastAsia" w:ascii="Times New Roman" w:hAnsi="Times New Roman" w:eastAsia="宋体" w:cs="Times New Roman"/>
                <w:color w:val="auto"/>
                <w:kern w:val="0"/>
                <w:sz w:val="24"/>
                <w:szCs w:val="24"/>
                <w:highlight w:val="none"/>
                <w:lang w:eastAsia="zh-CN"/>
              </w:rPr>
              <w:t>本次取</w:t>
            </w:r>
            <w:r>
              <w:rPr>
                <w:rFonts w:hint="eastAsia" w:cs="Times New Roman"/>
                <w:color w:val="auto"/>
                <w:kern w:val="0"/>
                <w:sz w:val="24"/>
                <w:szCs w:val="24"/>
                <w:highlight w:val="none"/>
                <w:lang w:val="en-US" w:eastAsia="zh-CN"/>
              </w:rPr>
              <w:t>15</w:t>
            </w:r>
            <w:r>
              <w:rPr>
                <w:rFonts w:hint="default" w:ascii="Times New Roman" w:hAnsi="Times New Roman" w:eastAsia="宋体" w:cs="Times New Roman"/>
                <w:color w:val="auto"/>
                <w:kern w:val="0"/>
                <w:sz w:val="24"/>
                <w:szCs w:val="24"/>
                <w:highlight w:val="none"/>
              </w:rPr>
              <w:t>%。</w:t>
            </w:r>
          </w:p>
          <w:p>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30</w:t>
            </w:r>
            <w:r>
              <w:rPr>
                <w:rFonts w:hint="eastAsia" w:ascii="Times New Roman" w:hAnsi="Times New Roman" w:eastAsia="宋体" w:cs="Times New Roman"/>
                <w:b/>
                <w:bCs/>
                <w:color w:val="auto"/>
                <w:sz w:val="24"/>
                <w:szCs w:val="24"/>
                <w:highlight w:val="none"/>
                <w:lang w:val="en-US" w:eastAsia="zh-CN"/>
              </w:rPr>
              <w:t xml:space="preserve">  风管管道直径</w:t>
            </w:r>
            <w:r>
              <w:rPr>
                <w:rFonts w:hint="eastAsia" w:ascii="Times New Roman" w:eastAsia="宋体" w:cs="Times New Roman"/>
                <w:b/>
                <w:bCs/>
                <w:color w:val="auto"/>
                <w:sz w:val="24"/>
                <w:szCs w:val="24"/>
                <w:highlight w:val="none"/>
                <w:lang w:val="en-US" w:eastAsia="zh-CN"/>
              </w:rPr>
              <w:t>、集气罩面积</w:t>
            </w:r>
            <w:r>
              <w:rPr>
                <w:rFonts w:hint="eastAsia" w:ascii="Times New Roman" w:hAnsi="Times New Roman" w:eastAsia="宋体" w:cs="Times New Roman"/>
                <w:b/>
                <w:bCs/>
                <w:color w:val="auto"/>
                <w:sz w:val="24"/>
                <w:szCs w:val="24"/>
                <w:highlight w:val="none"/>
                <w:lang w:val="en-US" w:eastAsia="zh-CN"/>
              </w:rPr>
              <w:t>、风速、风量、风损情况一览表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107"/>
              <w:gridCol w:w="1998"/>
              <w:gridCol w:w="1414"/>
              <w:gridCol w:w="2012"/>
              <w:gridCol w:w="8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1262"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构筑物</w:t>
                  </w:r>
                </w:p>
              </w:tc>
              <w:tc>
                <w:tcPr>
                  <w:tcW w:w="1197"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集气罩尺寸(</w:t>
                  </w:r>
                  <w:r>
                    <w:rPr>
                      <w:rFonts w:hint="eastAsia" w:ascii="Times New Roman" w:hAnsi="Times New Roman" w:eastAsia="宋体" w:cs="Times New Roman"/>
                      <w:b w:val="0"/>
                      <w:bCs w:val="0"/>
                      <w:color w:val="auto"/>
                      <w:sz w:val="21"/>
                      <w:szCs w:val="21"/>
                      <w:highlight w:val="none"/>
                      <w:lang w:val="en-US" w:eastAsia="zh-CN"/>
                    </w:rPr>
                    <w:t>m</w:t>
                  </w:r>
                  <w:r>
                    <w:rPr>
                      <w:rFonts w:hint="eastAsia" w:ascii="Times New Roman" w:eastAsia="宋体" w:cs="Times New Roman"/>
                      <w:b w:val="0"/>
                      <w:bCs w:val="0"/>
                      <w:color w:val="auto"/>
                      <w:sz w:val="21"/>
                      <w:szCs w:val="21"/>
                      <w:highlight w:val="none"/>
                      <w:lang w:val="en-US" w:eastAsia="zh-CN"/>
                    </w:rPr>
                    <w:t>)</w:t>
                  </w:r>
                </w:p>
              </w:tc>
              <w:tc>
                <w:tcPr>
                  <w:tcW w:w="847"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风速</w:t>
                  </w:r>
                  <w:r>
                    <w:rPr>
                      <w:rFonts w:hint="eastAsia" w:asci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m/s</w:t>
                  </w:r>
                  <w:r>
                    <w:rPr>
                      <w:rFonts w:hint="eastAsia" w:ascii="Times New Roman" w:eastAsia="宋体" w:cs="Times New Roman"/>
                      <w:b w:val="0"/>
                      <w:bCs w:val="0"/>
                      <w:color w:val="auto"/>
                      <w:sz w:val="21"/>
                      <w:szCs w:val="21"/>
                      <w:highlight w:val="none"/>
                      <w:lang w:val="en-US" w:eastAsia="zh-CN"/>
                    </w:rPr>
                    <w:t>)</w:t>
                  </w:r>
                </w:p>
              </w:tc>
              <w:tc>
                <w:tcPr>
                  <w:tcW w:w="1205"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分配风量(m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/h)</w:t>
                  </w:r>
                </w:p>
              </w:tc>
              <w:tc>
                <w:tcPr>
                  <w:tcW w:w="487" w:type="pct"/>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熔炼</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1.5</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8100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i w:val="0"/>
                <w:iCs w:val="0"/>
                <w:color w:val="auto"/>
                <w:sz w:val="24"/>
                <w:szCs w:val="24"/>
                <w:highlight w:val="none"/>
                <w:lang w:val="en-US" w:eastAsia="zh-CN"/>
              </w:rPr>
              <w:t>据此核算，所需风量为</w:t>
            </w:r>
            <w:r>
              <w:rPr>
                <w:rFonts w:hint="eastAsia" w:cs="Times New Roman"/>
                <w:b w:val="0"/>
                <w:bCs/>
                <w:i w:val="0"/>
                <w:iCs w:val="0"/>
                <w:color w:val="auto"/>
                <w:sz w:val="24"/>
                <w:szCs w:val="24"/>
                <w:highlight w:val="none"/>
                <w:lang w:val="en-US" w:eastAsia="zh-CN"/>
              </w:rPr>
              <w:t>9529</w:t>
            </w:r>
            <w:r>
              <w:rPr>
                <w:rFonts w:hint="default" w:ascii="Times New Roman" w:hAnsi="Times New Roman" w:eastAsia="宋体" w:cs="Times New Roman"/>
                <w:b w:val="0"/>
                <w:bCs/>
                <w:i w:val="0"/>
                <w:iCs w:val="0"/>
                <w:color w:val="auto"/>
                <w:sz w:val="24"/>
                <w:szCs w:val="24"/>
                <w:highlight w:val="none"/>
              </w:rPr>
              <w:t>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r>
              <w:rPr>
                <w:rFonts w:hint="eastAsia" w:ascii="Times New Roman" w:hAnsi="Times New Roman" w:eastAsia="宋体" w:cs="Times New Roman"/>
                <w:b w:val="0"/>
                <w:bCs/>
                <w:i w:val="0"/>
                <w:iCs w:val="0"/>
                <w:color w:val="auto"/>
                <w:sz w:val="24"/>
                <w:szCs w:val="24"/>
                <w:highlight w:val="none"/>
                <w:lang w:eastAsia="zh-CN"/>
              </w:rPr>
              <w:t>，</w:t>
            </w:r>
            <w:r>
              <w:rPr>
                <w:rFonts w:hint="default" w:ascii="Times New Roman" w:hAnsi="Times New Roman" w:eastAsia="宋体" w:cs="Times New Roman"/>
                <w:b w:val="0"/>
                <w:bCs/>
                <w:i w:val="0"/>
                <w:iCs w:val="0"/>
                <w:color w:val="auto"/>
                <w:sz w:val="24"/>
                <w:szCs w:val="24"/>
                <w:highlight w:val="none"/>
              </w:rPr>
              <w:t>风机设计风量</w:t>
            </w:r>
            <w:r>
              <w:rPr>
                <w:rFonts w:hint="eastAsia" w:ascii="Times New Roman" w:hAnsi="Times New Roman" w:eastAsia="宋体" w:cs="Times New Roman"/>
                <w:b w:val="0"/>
                <w:bCs/>
                <w:i w:val="0"/>
                <w:iCs w:val="0"/>
                <w:color w:val="auto"/>
                <w:sz w:val="24"/>
                <w:szCs w:val="24"/>
                <w:highlight w:val="none"/>
                <w:lang w:val="en-US" w:eastAsia="zh-CN"/>
              </w:rPr>
              <w:t>为</w:t>
            </w:r>
            <w:r>
              <w:rPr>
                <w:rFonts w:hint="eastAsia" w:cs="Times New Roman"/>
                <w:color w:val="auto"/>
                <w:kern w:val="0"/>
                <w:sz w:val="24"/>
                <w:szCs w:val="24"/>
                <w:highlight w:val="none"/>
                <w:lang w:val="en-US" w:eastAsia="zh-CN" w:bidi="ar"/>
              </w:rPr>
              <w:t>10000</w:t>
            </w:r>
            <w:r>
              <w:rPr>
                <w:rFonts w:hint="default" w:ascii="Times New Roman" w:hAnsi="Times New Roman" w:eastAsia="宋体" w:cs="Times New Roman"/>
                <w:b w:val="0"/>
                <w:bCs/>
                <w:i w:val="0"/>
                <w:iCs w:val="0"/>
                <w:color w:val="auto"/>
                <w:sz w:val="24"/>
                <w:szCs w:val="24"/>
                <w:highlight w:val="none"/>
              </w:rPr>
              <w:t>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r>
              <w:rPr>
                <w:rFonts w:hint="eastAsia" w:ascii="Times New Roman" w:hAnsi="Times New Roman" w:eastAsia="宋体" w:cs="Times New Roman"/>
                <w:b w:val="0"/>
                <w:bCs/>
                <w:i w:val="0"/>
                <w:iCs w:val="0"/>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可满足生产需求。</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cs="Times New Roman"/>
                <w:color w:val="auto"/>
                <w:spacing w:val="0"/>
                <w:w w:val="100"/>
                <w:position w:val="0"/>
                <w:sz w:val="24"/>
                <w:szCs w:val="24"/>
                <w:highlight w:val="none"/>
                <w:lang w:val="en-US" w:eastAsia="zh-CN"/>
              </w:rPr>
              <w:t>熔炼工序年运行2400h，集气罩废气捕集效率为95%；脉冲布袋除尘器</w:t>
            </w:r>
            <w:r>
              <w:rPr>
                <w:rFonts w:hint="eastAsia" w:ascii="Times New Roman" w:hAnsi="Times New Roman" w:eastAsia="宋体" w:cs="Times New Roman"/>
                <w:color w:val="auto"/>
                <w:sz w:val="24"/>
                <w:szCs w:val="24"/>
                <w:highlight w:val="none"/>
                <w:u w:val="none"/>
                <w:lang w:val="en-US" w:eastAsia="zh-CN"/>
              </w:rPr>
              <w:t>处理效率为</w:t>
            </w:r>
            <w:r>
              <w:rPr>
                <w:rFonts w:hint="eastAsia" w:cs="Times New Roman"/>
                <w:color w:val="auto"/>
                <w:sz w:val="24"/>
                <w:szCs w:val="24"/>
                <w:highlight w:val="none"/>
                <w:u w:val="none"/>
                <w:lang w:val="en-US" w:eastAsia="zh-CN"/>
              </w:rPr>
              <w:t>99</w:t>
            </w:r>
            <w:r>
              <w:rPr>
                <w:rFonts w:hint="eastAsia" w:ascii="Times New Roman" w:hAnsi="Times New Roman" w:eastAsia="宋体" w:cs="Times New Roman"/>
                <w:color w:val="auto"/>
                <w:sz w:val="24"/>
                <w:szCs w:val="24"/>
                <w:highlight w:val="none"/>
                <w:u w:val="none"/>
                <w:lang w:val="en-US" w:eastAsia="zh-CN"/>
              </w:rPr>
              <w:t>%。</w:t>
            </w:r>
          </w:p>
          <w:p>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31</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颗粒物产排情况</w:t>
            </w:r>
            <w:r>
              <w:rPr>
                <w:rFonts w:hint="eastAsia" w:ascii="Times New Roman" w:hAnsi="Times New Roman" w:eastAsia="宋体" w:cs="Times New Roman"/>
                <w:b/>
                <w:bCs/>
                <w:color w:val="auto"/>
                <w:sz w:val="24"/>
                <w:szCs w:val="24"/>
                <w:highlight w:val="none"/>
                <w:lang w:val="en-US" w:eastAsia="zh-CN"/>
              </w:rPr>
              <w:t>一览表</w:t>
            </w:r>
          </w:p>
          <w:tbl>
            <w:tblPr>
              <w:tblStyle w:val="33"/>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eastAsia="zh-CN"/>
                    </w:rPr>
                    <w:t>工序</w:t>
                  </w:r>
                </w:p>
              </w:tc>
              <w:tc>
                <w:tcPr>
                  <w:tcW w:w="826"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产生量（t/a）</w:t>
                  </w:r>
                </w:p>
              </w:tc>
              <w:tc>
                <w:tcPr>
                  <w:tcW w:w="1592"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引入脉冲布袋除尘器量（t/a）</w:t>
                  </w:r>
                </w:p>
              </w:tc>
              <w:tc>
                <w:tcPr>
                  <w:tcW w:w="1233"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未被捕集量（t/a）</w:t>
                  </w:r>
                </w:p>
              </w:tc>
              <w:tc>
                <w:tcPr>
                  <w:tcW w:w="1233"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处理后排放量（t/a）</w:t>
                  </w:r>
                </w:p>
              </w:tc>
              <w:tc>
                <w:tcPr>
                  <w:tcW w:w="1233"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年运行时间（h/a）</w:t>
                  </w:r>
                </w:p>
              </w:tc>
              <w:tc>
                <w:tcPr>
                  <w:tcW w:w="931"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kern w:val="2"/>
                      <w:sz w:val="21"/>
                      <w:szCs w:val="21"/>
                      <w:highlight w:val="none"/>
                      <w:lang w:val="en-US" w:eastAsia="zh-CN" w:bidi="ar-SA"/>
                    </w:rPr>
                    <w:t>排放速率</w:t>
                  </w:r>
                  <w:r>
                    <w:rPr>
                      <w:rFonts w:hint="eastAsia" w:ascii="Times New Roman" w:eastAsia="宋体" w:cs="Times New Roman"/>
                      <w:b w:val="0"/>
                      <w:bCs w:val="0"/>
                      <w:color w:val="auto"/>
                      <w:sz w:val="21"/>
                      <w:szCs w:val="21"/>
                      <w:highlight w:val="none"/>
                      <w:lang w:val="en-US" w:eastAsia="zh-CN"/>
                    </w:rPr>
                    <w:t>（kg/h）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熔炼</w:t>
                  </w:r>
                </w:p>
              </w:tc>
              <w:tc>
                <w:tcPr>
                  <w:tcW w:w="826"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2.635</w:t>
                  </w:r>
                </w:p>
              </w:tc>
              <w:tc>
                <w:tcPr>
                  <w:tcW w:w="1592"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2.503</w:t>
                  </w:r>
                </w:p>
              </w:tc>
              <w:tc>
                <w:tcPr>
                  <w:tcW w:w="1233"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0.132</w:t>
                  </w:r>
                </w:p>
              </w:tc>
              <w:tc>
                <w:tcPr>
                  <w:tcW w:w="1233"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0.025</w:t>
                  </w:r>
                </w:p>
              </w:tc>
              <w:tc>
                <w:tcPr>
                  <w:tcW w:w="1233"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2400</w:t>
                  </w:r>
                </w:p>
              </w:tc>
              <w:tc>
                <w:tcPr>
                  <w:tcW w:w="931" w:type="dxa"/>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w:t>
                  </w:r>
                </w:p>
              </w:tc>
            </w:tr>
          </w:tbl>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z w:val="24"/>
                <w:szCs w:val="24"/>
                <w:highlight w:val="none"/>
                <w:u w:val="none"/>
                <w:lang w:val="en-US" w:eastAsia="zh-CN"/>
              </w:rPr>
              <w:t>经分析，项目颗粒物排放速率为0.01kg/h，颗粒物排放浓度为1</w:t>
            </w:r>
            <w:r>
              <w:rPr>
                <w:rFonts w:hint="eastAsia" w:ascii="Times New Roman" w:hAnsi="Times New Roman" w:cs="Times New Roman"/>
                <w:snapToGrid w:val="0"/>
                <w:color w:val="auto"/>
                <w:kern w:val="0"/>
                <w:sz w:val="24"/>
                <w:szCs w:val="24"/>
                <w:highlight w:val="none"/>
                <w:lang w:val="en-US" w:eastAsia="zh-CN"/>
              </w:rPr>
              <w:t>mg/m</w:t>
            </w:r>
            <w:r>
              <w:rPr>
                <w:rFonts w:hint="eastAsia" w:ascii="Times New Roman" w:hAnsi="Times New Roman" w:cs="Times New Roman"/>
                <w:snapToGrid w:val="0"/>
                <w:color w:val="auto"/>
                <w:kern w:val="0"/>
                <w:sz w:val="24"/>
                <w:szCs w:val="24"/>
                <w:highlight w:val="none"/>
                <w:vertAlign w:val="superscript"/>
                <w:lang w:val="en-US" w:eastAsia="zh-CN"/>
              </w:rPr>
              <w:t>3</w:t>
            </w:r>
            <w:r>
              <w:rPr>
                <w:rFonts w:hint="eastAsia" w:cs="Times New Roman"/>
                <w:snapToGrid w:val="0"/>
                <w:color w:val="auto"/>
                <w:kern w:val="0"/>
                <w:sz w:val="24"/>
                <w:szCs w:val="24"/>
                <w:highlight w:val="none"/>
                <w:lang w:val="en-US" w:eastAsia="zh-CN"/>
              </w:rPr>
              <w:t>，</w:t>
            </w:r>
            <w:r>
              <w:rPr>
                <w:rFonts w:hint="eastAsia" w:eastAsia="宋体" w:cs="Times New Roman"/>
                <w:i w:val="0"/>
                <w:iCs w:val="0"/>
                <w:color w:val="auto"/>
                <w:sz w:val="24"/>
                <w:szCs w:val="24"/>
                <w:highlight w:val="none"/>
                <w:lang w:val="en-US" w:eastAsia="zh-CN"/>
              </w:rPr>
              <w:t>有组织颗粒物排放</w:t>
            </w:r>
            <w:r>
              <w:rPr>
                <w:rFonts w:hint="default" w:ascii="Times New Roman" w:hAnsi="Times New Roman" w:eastAsia="宋体" w:cs="Times New Roman"/>
                <w:i w:val="0"/>
                <w:iCs w:val="0"/>
                <w:color w:val="auto"/>
                <w:sz w:val="24"/>
                <w:szCs w:val="24"/>
                <w:highlight w:val="none"/>
                <w:lang w:val="en-US" w:eastAsia="zh-CN"/>
              </w:rPr>
              <w:t>满足</w:t>
            </w:r>
            <w:r>
              <w:rPr>
                <w:rFonts w:hint="eastAsia" w:ascii="Times New Roman" w:hAnsi="Times New Roman" w:eastAsia="宋体" w:cs="Times New Roman"/>
                <w:color w:val="auto"/>
                <w:spacing w:val="0"/>
                <w:kern w:val="2"/>
                <w:sz w:val="24"/>
                <w:szCs w:val="24"/>
                <w:highlight w:val="none"/>
                <w:lang w:val="en-US" w:eastAsia="zh-CN" w:bidi="ar-SA"/>
              </w:rPr>
              <w:t>《铸造工业大气污染物排放标准》（GB39726-2020）以及</w:t>
            </w:r>
            <w:r>
              <w:rPr>
                <w:rFonts w:hint="eastAsia" w:ascii="Times New Roman" w:hAnsi="Times New Roman" w:eastAsia="宋体" w:cs="Times New Roman"/>
                <w:color w:val="auto"/>
                <w:sz w:val="24"/>
                <w:szCs w:val="24"/>
                <w:highlight w:val="none"/>
                <w:lang w:val="en-US" w:eastAsia="zh-CN"/>
              </w:rPr>
              <w:t>《唐山市铸造行业烟气达标治理工作方案》颗粒物排放浓度不高于10mg/m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i w:val="0"/>
                <w:iCs w:val="0"/>
                <w:color w:val="auto"/>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②浇注、砂处理、混砂、打磨工序以及顶吸废气</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根据《排放源统计调查产排污核算方法和系数手册》黑色金属铸造行业浇注工序颗粒物产污系数0.56</w:t>
            </w:r>
            <w:r>
              <w:rPr>
                <w:rFonts w:hint="default" w:ascii="Times New Roman" w:hAnsi="Times New Roman" w:eastAsia="宋体" w:cs="Times New Roman"/>
                <w:color w:val="auto"/>
                <w:sz w:val="24"/>
                <w:highlight w:val="none"/>
                <w:lang w:val="en-US" w:eastAsia="zh-CN"/>
              </w:rPr>
              <w:t>kg/t-</w:t>
            </w:r>
            <w:r>
              <w:rPr>
                <w:rFonts w:hint="eastAsia" w:ascii="Times New Roman" w:hAnsi="Times New Roman" w:eastAsia="宋体" w:cs="Times New Roman"/>
                <w:color w:val="auto"/>
                <w:sz w:val="24"/>
                <w:highlight w:val="none"/>
                <w:lang w:val="en-US" w:eastAsia="zh-CN"/>
              </w:rPr>
              <w:t>产品，</w:t>
            </w:r>
            <w:r>
              <w:rPr>
                <w:rFonts w:hint="eastAsia" w:ascii="Times New Roman" w:hAnsi="Times New Roman" w:eastAsia="宋体" w:cs="Times New Roman"/>
                <w:color w:val="auto"/>
                <w:sz w:val="24"/>
                <w:szCs w:val="24"/>
                <w:highlight w:val="none"/>
                <w:lang w:val="en-US" w:eastAsia="zh-CN"/>
              </w:rPr>
              <w:t>项目每年生产铸件</w:t>
            </w:r>
            <w:r>
              <w:rPr>
                <w:rFonts w:hint="eastAsia"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lang w:val="en-US" w:eastAsia="zh-CN"/>
              </w:rPr>
              <w:t>00t</w:t>
            </w:r>
            <w:r>
              <w:rPr>
                <w:rFonts w:hint="eastAsia" w:ascii="Times New Roman" w:hAnsi="Times New Roman" w:eastAsia="宋体" w:cs="Times New Roman"/>
                <w:color w:val="auto"/>
                <w:sz w:val="24"/>
                <w:highlight w:val="none"/>
                <w:lang w:val="en-US" w:eastAsia="zh-CN"/>
              </w:rPr>
              <w:t>，则颗粒物产生量</w:t>
            </w:r>
            <w:r>
              <w:rPr>
                <w:rFonts w:hint="eastAsia" w:eastAsia="宋体" w:cs="Times New Roman"/>
                <w:color w:val="auto"/>
                <w:sz w:val="24"/>
                <w:highlight w:val="none"/>
                <w:lang w:val="en-US" w:eastAsia="zh-CN"/>
              </w:rPr>
              <w:t>3.08</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浇注完成后的翻箱落砂、砂处理均在密闭空间内进行，翻箱落砂处设置密闭集气罩，经自动化砂处理生产线处理后回用。根据《排放源统计调查产排污核算方法和系数手册》黑色金属铸造行业砂处理工序颗粒物产污系数为3.48</w:t>
            </w:r>
            <w:r>
              <w:rPr>
                <w:rFonts w:hint="default" w:ascii="Times New Roman" w:hAnsi="Times New Roman" w:eastAsia="宋体" w:cs="Times New Roman"/>
                <w:color w:val="auto"/>
                <w:sz w:val="24"/>
                <w:highlight w:val="none"/>
                <w:lang w:val="en-US" w:eastAsia="zh-CN"/>
              </w:rPr>
              <w:t>kg/t-</w:t>
            </w:r>
            <w:r>
              <w:rPr>
                <w:rFonts w:hint="eastAsia" w:ascii="Times New Roman" w:hAnsi="Times New Roman" w:eastAsia="宋体" w:cs="Times New Roman"/>
                <w:color w:val="auto"/>
                <w:sz w:val="24"/>
                <w:highlight w:val="none"/>
                <w:lang w:val="en-US" w:eastAsia="zh-CN"/>
              </w:rPr>
              <w:t>产品，产品产量</w:t>
            </w:r>
            <w:r>
              <w:rPr>
                <w:rFonts w:hint="eastAsia" w:eastAsia="宋体" w:cs="Times New Roman"/>
                <w:color w:val="auto"/>
                <w:sz w:val="24"/>
                <w:highlight w:val="none"/>
                <w:lang w:val="en-US" w:eastAsia="zh-CN"/>
              </w:rPr>
              <w:t>55</w:t>
            </w:r>
            <w:r>
              <w:rPr>
                <w:rFonts w:hint="eastAsia" w:ascii="Times New Roman" w:hAnsi="Times New Roman" w:eastAsia="宋体" w:cs="Times New Roman"/>
                <w:color w:val="auto"/>
                <w:sz w:val="24"/>
                <w:highlight w:val="none"/>
                <w:lang w:val="en-US" w:eastAsia="zh-CN"/>
              </w:rPr>
              <w:t>00t/a，则砂处理产生颗粒物为</w:t>
            </w:r>
            <w:r>
              <w:rPr>
                <w:rFonts w:hint="eastAsia" w:eastAsia="宋体" w:cs="Times New Roman"/>
                <w:color w:val="auto"/>
                <w:sz w:val="24"/>
                <w:highlight w:val="none"/>
                <w:lang w:val="en-US" w:eastAsia="zh-CN"/>
              </w:rPr>
              <w:t>19.14</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color w:val="auto"/>
                <w:highlight w:val="none"/>
                <w:lang w:val="en-US" w:eastAsia="zh-CN"/>
              </w:rPr>
            </w:pPr>
            <w:r>
              <w:rPr>
                <w:rFonts w:hint="eastAsia" w:ascii="Times New Roman" w:hAnsi="Times New Roman" w:eastAsia="宋体" w:cs="Times New Roman"/>
                <w:color w:val="auto"/>
                <w:sz w:val="24"/>
                <w:highlight w:val="none"/>
                <w:lang w:val="en-US" w:eastAsia="zh-CN"/>
              </w:rPr>
              <w:t>根据《排放源统计调查产排污核算方法和系数手册》黑色金属铸造行业混砂造型工序颗粒物产污系数0.56</w:t>
            </w:r>
            <w:r>
              <w:rPr>
                <w:rFonts w:hint="default" w:ascii="Times New Roman" w:hAnsi="Times New Roman" w:eastAsia="宋体" w:cs="Times New Roman"/>
                <w:color w:val="auto"/>
                <w:sz w:val="24"/>
                <w:highlight w:val="none"/>
                <w:lang w:val="en-US" w:eastAsia="zh-CN"/>
              </w:rPr>
              <w:t>kg/t-</w:t>
            </w:r>
            <w:r>
              <w:rPr>
                <w:rFonts w:hint="eastAsia" w:ascii="Times New Roman" w:hAnsi="Times New Roman" w:eastAsia="宋体" w:cs="Times New Roman"/>
                <w:color w:val="auto"/>
                <w:sz w:val="24"/>
                <w:highlight w:val="none"/>
                <w:lang w:val="en-US" w:eastAsia="zh-CN"/>
              </w:rPr>
              <w:t>产品，</w:t>
            </w:r>
            <w:r>
              <w:rPr>
                <w:rFonts w:hint="eastAsia" w:ascii="Times New Roman" w:hAnsi="Times New Roman" w:eastAsia="宋体" w:cs="Times New Roman"/>
                <w:color w:val="auto"/>
                <w:sz w:val="24"/>
                <w:szCs w:val="24"/>
                <w:highlight w:val="none"/>
                <w:lang w:val="en-US" w:eastAsia="zh-CN"/>
              </w:rPr>
              <w:t>项目每年生产铸件</w:t>
            </w:r>
            <w:r>
              <w:rPr>
                <w:rFonts w:hint="eastAsia"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lang w:val="en-US" w:eastAsia="zh-CN"/>
              </w:rPr>
              <w:t>00t</w:t>
            </w:r>
            <w:r>
              <w:rPr>
                <w:rFonts w:hint="eastAsia" w:ascii="Times New Roman" w:hAnsi="Times New Roman" w:eastAsia="宋体" w:cs="Times New Roman"/>
                <w:color w:val="auto"/>
                <w:sz w:val="24"/>
                <w:highlight w:val="none"/>
                <w:lang w:val="en-US" w:eastAsia="zh-CN"/>
              </w:rPr>
              <w:t>，则颗粒物产生量</w:t>
            </w:r>
            <w:r>
              <w:rPr>
                <w:rFonts w:hint="eastAsia" w:eastAsia="宋体" w:cs="Times New Roman"/>
                <w:color w:val="auto"/>
                <w:sz w:val="24"/>
                <w:highlight w:val="none"/>
                <w:lang w:val="en-US" w:eastAsia="zh-CN"/>
              </w:rPr>
              <w:t>3.08</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根据《排放源统计调查产排污核算方法和系数手册》</w:t>
            </w:r>
            <w:r>
              <w:rPr>
                <w:rFonts w:hint="eastAsia" w:ascii="Times New Roman" w:hAnsi="Times New Roman" w:eastAsia="宋体" w:cs="Times New Roman"/>
                <w:color w:val="auto"/>
                <w:sz w:val="24"/>
                <w:highlight w:val="none"/>
                <w:lang w:val="en-US" w:eastAsia="zh-CN"/>
              </w:rPr>
              <w:t>黑色金属铸造行业</w:t>
            </w:r>
            <w:r>
              <w:rPr>
                <w:rFonts w:hint="default" w:ascii="Times New Roman" w:hAnsi="Times New Roman" w:eastAsia="宋体" w:cs="Times New Roman"/>
                <w:color w:val="auto"/>
                <w:sz w:val="24"/>
                <w:highlight w:val="none"/>
                <w:lang w:val="en-US" w:eastAsia="zh-CN"/>
              </w:rPr>
              <w:t>抛丸工序颗粒物产污系数为2.19kg/t-产品，需</w:t>
            </w:r>
            <w:r>
              <w:rPr>
                <w:rFonts w:hint="eastAsia" w:eastAsia="宋体" w:cs="Times New Roman"/>
                <w:color w:val="auto"/>
                <w:sz w:val="24"/>
                <w:highlight w:val="none"/>
                <w:lang w:val="en-US" w:eastAsia="zh-CN"/>
              </w:rPr>
              <w:t>打磨</w:t>
            </w:r>
            <w:r>
              <w:rPr>
                <w:rFonts w:hint="default" w:ascii="Times New Roman" w:hAnsi="Times New Roman" w:eastAsia="宋体" w:cs="Times New Roman"/>
                <w:color w:val="auto"/>
                <w:sz w:val="24"/>
                <w:highlight w:val="none"/>
                <w:lang w:val="en-US" w:eastAsia="zh-CN"/>
              </w:rPr>
              <w:t>工件按</w:t>
            </w:r>
            <w:r>
              <w:rPr>
                <w:rFonts w:hint="eastAsia" w:eastAsia="宋体" w:cs="Times New Roman"/>
                <w:color w:val="auto"/>
                <w:sz w:val="24"/>
                <w:highlight w:val="none"/>
                <w:lang w:val="en-US" w:eastAsia="zh-CN"/>
              </w:rPr>
              <w:t>55</w:t>
            </w:r>
            <w:r>
              <w:rPr>
                <w:rFonts w:hint="default" w:ascii="Times New Roman" w:hAnsi="Times New Roman" w:eastAsia="宋体" w:cs="Times New Roman"/>
                <w:color w:val="auto"/>
                <w:sz w:val="24"/>
                <w:highlight w:val="none"/>
                <w:lang w:val="en-US" w:eastAsia="zh-CN"/>
              </w:rPr>
              <w:t>00t/a计算，则颗粒物产生量为</w:t>
            </w:r>
            <w:r>
              <w:rPr>
                <w:rFonts w:hint="eastAsia" w:eastAsia="宋体" w:cs="Times New Roman"/>
                <w:color w:val="auto"/>
                <w:sz w:val="24"/>
                <w:highlight w:val="none"/>
                <w:lang w:val="en-US" w:eastAsia="zh-CN"/>
              </w:rPr>
              <w:t>12.045</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color w:val="auto"/>
                <w:highlight w:val="none"/>
                <w:lang w:val="en-US" w:eastAsia="zh-CN"/>
              </w:rPr>
            </w:pPr>
            <w:r>
              <w:rPr>
                <w:rFonts w:hint="eastAsia" w:ascii="Times New Roman" w:hAnsi="Times New Roman" w:eastAsia="宋体" w:cs="Times New Roman"/>
                <w:color w:val="auto"/>
                <w:sz w:val="24"/>
                <w:highlight w:val="none"/>
                <w:lang w:val="en-US" w:eastAsia="zh-CN"/>
              </w:rPr>
              <w:t>上述工序未被收集的粉尘通过车间顶吸进入二次除尘装置。</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sz w:val="24"/>
                <w:highlight w:val="none"/>
                <w:lang w:val="en-US" w:eastAsia="zh-CN"/>
              </w:rPr>
              <w:t>上述废气颗粒物经各自集气装置收集后进入同1套袋式除尘器（覆膜）处理后经</w:t>
            </w:r>
            <w:r>
              <w:rPr>
                <w:rFonts w:hint="default" w:ascii="Times New Roman" w:hAnsi="Times New Roman" w:eastAsia="宋体" w:cs="Times New Roman"/>
                <w:color w:val="auto"/>
                <w:sz w:val="24"/>
                <w:highlight w:val="none"/>
                <w:lang w:val="en-US" w:eastAsia="zh-CN"/>
              </w:rPr>
              <w:t>15m</w:t>
            </w:r>
            <w:r>
              <w:rPr>
                <w:rFonts w:hint="eastAsia" w:ascii="Times New Roman" w:hAnsi="Times New Roman" w:eastAsia="宋体" w:cs="Times New Roman"/>
                <w:color w:val="auto"/>
                <w:sz w:val="24"/>
                <w:highlight w:val="none"/>
                <w:lang w:val="en-US" w:eastAsia="zh-CN"/>
              </w:rPr>
              <w:t>高排气筒排放，各工序集气管道设置分控阀门，风机采用变频风机</w:t>
            </w:r>
            <w:r>
              <w:rPr>
                <w:rFonts w:hint="eastAsia"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根据吸风量的计算公式：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w:t>
            </w:r>
            <w:r>
              <w:rPr>
                <w:rFonts w:hint="eastAsia" w:ascii="Times New Roman" w:hAnsi="Times New Roman" w:eastAsia="宋体" w:cs="Times New Roman"/>
                <w:b w:val="0"/>
                <w:bCs/>
                <w:i w:val="0"/>
                <w:iCs w:val="0"/>
                <w:color w:val="auto"/>
                <w:sz w:val="24"/>
                <w:szCs w:val="24"/>
                <w:highlight w:val="none"/>
                <w:lang w:val="en-US" w:eastAsia="zh-CN"/>
              </w:rPr>
              <w:t>A</w:t>
            </w:r>
            <w:r>
              <w:rPr>
                <w:rFonts w:hint="default" w:ascii="Times New Roman" w:hAnsi="Times New Roman" w:eastAsia="宋体" w:cs="Times New Roman"/>
                <w:b w:val="0"/>
                <w:bCs/>
                <w:i w:val="0"/>
                <w:iCs w:val="0"/>
                <w:color w:val="auto"/>
                <w:sz w:val="24"/>
                <w:szCs w:val="24"/>
                <w:highlight w:val="none"/>
              </w:rPr>
              <w:t>×</w:t>
            </w: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式中：Q：吸风量，m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/h；</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A：罩口面积，m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r>
              <w:rPr>
                <w:rFonts w:hint="default" w:ascii="Times New Roman" w:hAnsi="Times New Roman" w:eastAsia="宋体" w:cs="Times New Roman"/>
                <w:color w:val="auto"/>
                <w:kern w:val="0"/>
                <w:sz w:val="24"/>
                <w:szCs w:val="24"/>
                <w:highlight w:val="none"/>
              </w:rPr>
              <w:t>：罩口平均风速，m/s</w:t>
            </w:r>
            <w:r>
              <w:rPr>
                <w:rFonts w:hint="eastAsia" w:ascii="Times New Roman" w:hAnsi="Times New Roman" w:eastAsia="宋体" w:cs="Times New Roman"/>
                <w:color w:val="auto"/>
                <w:kern w:val="0"/>
                <w:sz w:val="24"/>
                <w:szCs w:val="24"/>
                <w:highlight w:val="none"/>
                <w:lang w:eastAsia="zh-CN"/>
              </w:rPr>
              <w:t>，本次取</w:t>
            </w:r>
            <w:r>
              <w:rPr>
                <w:rFonts w:hint="eastAsia"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rPr>
              <w:t>m/s</w:t>
            </w:r>
            <w:r>
              <w:rPr>
                <w:rFonts w:hint="eastAsia" w:ascii="Times New Roman" w:hAnsi="Times New Roman" w:eastAsia="宋体"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风机引风过程，风损约10%~20%，</w:t>
            </w:r>
            <w:r>
              <w:rPr>
                <w:rFonts w:hint="eastAsia" w:ascii="Times New Roman" w:hAnsi="Times New Roman" w:eastAsia="宋体" w:cs="Times New Roman"/>
                <w:color w:val="auto"/>
                <w:kern w:val="0"/>
                <w:sz w:val="24"/>
                <w:szCs w:val="24"/>
                <w:highlight w:val="none"/>
                <w:lang w:eastAsia="zh-CN"/>
              </w:rPr>
              <w:t>本次取</w:t>
            </w:r>
            <w:r>
              <w:rPr>
                <w:rFonts w:hint="eastAsia" w:cs="Times New Roman"/>
                <w:color w:val="auto"/>
                <w:kern w:val="0"/>
                <w:sz w:val="24"/>
                <w:szCs w:val="24"/>
                <w:highlight w:val="none"/>
                <w:lang w:val="en-US" w:eastAsia="zh-CN"/>
              </w:rPr>
              <w:t>15</w:t>
            </w:r>
            <w:r>
              <w:rPr>
                <w:rFonts w:hint="default" w:ascii="Times New Roman" w:hAnsi="Times New Roman" w:eastAsia="宋体" w:cs="Times New Roman"/>
                <w:color w:val="auto"/>
                <w:kern w:val="0"/>
                <w:sz w:val="24"/>
                <w:szCs w:val="24"/>
                <w:highlight w:val="none"/>
              </w:rPr>
              <w:t>%。</w:t>
            </w:r>
          </w:p>
          <w:p>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rPr>
            </w:pPr>
          </w:p>
          <w:p>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32</w:t>
            </w:r>
            <w:r>
              <w:rPr>
                <w:rFonts w:hint="eastAsia" w:ascii="Times New Roman" w:hAnsi="Times New Roman" w:eastAsia="宋体" w:cs="Times New Roman"/>
                <w:b/>
                <w:bCs/>
                <w:color w:val="auto"/>
                <w:sz w:val="24"/>
                <w:szCs w:val="24"/>
                <w:highlight w:val="none"/>
                <w:lang w:val="en-US" w:eastAsia="zh-CN"/>
              </w:rPr>
              <w:t xml:space="preserve">  风管管道直径</w:t>
            </w:r>
            <w:r>
              <w:rPr>
                <w:rFonts w:hint="eastAsia" w:ascii="Times New Roman" w:eastAsia="宋体" w:cs="Times New Roman"/>
                <w:b/>
                <w:bCs/>
                <w:color w:val="auto"/>
                <w:sz w:val="24"/>
                <w:szCs w:val="24"/>
                <w:highlight w:val="none"/>
                <w:lang w:val="en-US" w:eastAsia="zh-CN"/>
              </w:rPr>
              <w:t>、集气罩面积</w:t>
            </w:r>
            <w:r>
              <w:rPr>
                <w:rFonts w:hint="eastAsia" w:ascii="Times New Roman" w:hAnsi="Times New Roman" w:eastAsia="宋体" w:cs="Times New Roman"/>
                <w:b/>
                <w:bCs/>
                <w:color w:val="auto"/>
                <w:sz w:val="24"/>
                <w:szCs w:val="24"/>
                <w:highlight w:val="none"/>
                <w:lang w:val="en-US" w:eastAsia="zh-CN"/>
              </w:rPr>
              <w:t>、风速、风量、风损情况一览表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107"/>
              <w:gridCol w:w="1998"/>
              <w:gridCol w:w="1414"/>
              <w:gridCol w:w="2012"/>
              <w:gridCol w:w="8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26" w:hRule="atLeast"/>
                <w:jc w:val="center"/>
              </w:trPr>
              <w:tc>
                <w:tcPr>
                  <w:tcW w:w="1262"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构筑物</w:t>
                  </w:r>
                </w:p>
              </w:tc>
              <w:tc>
                <w:tcPr>
                  <w:tcW w:w="1197"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集气罩尺寸(</w:t>
                  </w:r>
                  <w:r>
                    <w:rPr>
                      <w:rFonts w:hint="eastAsia" w:ascii="Times New Roman" w:hAnsi="Times New Roman" w:eastAsia="宋体" w:cs="Times New Roman"/>
                      <w:b w:val="0"/>
                      <w:bCs w:val="0"/>
                      <w:color w:val="auto"/>
                      <w:sz w:val="21"/>
                      <w:szCs w:val="21"/>
                      <w:highlight w:val="none"/>
                      <w:lang w:val="en-US" w:eastAsia="zh-CN"/>
                    </w:rPr>
                    <w:t>m</w:t>
                  </w:r>
                  <w:r>
                    <w:rPr>
                      <w:rFonts w:hint="eastAsia" w:ascii="Times New Roman" w:eastAsia="宋体" w:cs="Times New Roman"/>
                      <w:b w:val="0"/>
                      <w:bCs w:val="0"/>
                      <w:color w:val="auto"/>
                      <w:sz w:val="21"/>
                      <w:szCs w:val="21"/>
                      <w:highlight w:val="none"/>
                      <w:lang w:val="en-US" w:eastAsia="zh-CN"/>
                    </w:rPr>
                    <w:t>)</w:t>
                  </w:r>
                </w:p>
              </w:tc>
              <w:tc>
                <w:tcPr>
                  <w:tcW w:w="847"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风速</w:t>
                  </w:r>
                  <w:r>
                    <w:rPr>
                      <w:rFonts w:hint="eastAsia" w:asci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m/s</w:t>
                  </w:r>
                  <w:r>
                    <w:rPr>
                      <w:rFonts w:hint="eastAsia" w:ascii="Times New Roman" w:eastAsia="宋体" w:cs="Times New Roman"/>
                      <w:b w:val="0"/>
                      <w:bCs w:val="0"/>
                      <w:color w:val="auto"/>
                      <w:sz w:val="21"/>
                      <w:szCs w:val="21"/>
                      <w:highlight w:val="none"/>
                      <w:lang w:val="en-US" w:eastAsia="zh-CN"/>
                    </w:rPr>
                    <w:t>)</w:t>
                  </w:r>
                </w:p>
              </w:tc>
              <w:tc>
                <w:tcPr>
                  <w:tcW w:w="1205" w:type="pct"/>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分配风量(m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/h)</w:t>
                  </w:r>
                </w:p>
              </w:tc>
              <w:tc>
                <w:tcPr>
                  <w:tcW w:w="487" w:type="pct"/>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浇注</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2880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砂处理</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1.2</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6480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混砂</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0.8</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2880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打磨</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0.5</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900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二次除尘</w:t>
                  </w:r>
                </w:p>
              </w:tc>
              <w:tc>
                <w:tcPr>
                  <w:tcW w:w="119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7"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205" w:type="pct"/>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20000</w:t>
                  </w:r>
                </w:p>
              </w:tc>
              <w:tc>
                <w:tcPr>
                  <w:tcW w:w="487" w:type="pct"/>
                  <w:tcBorders>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i w:val="0"/>
                <w:iCs w:val="0"/>
                <w:color w:val="auto"/>
                <w:sz w:val="24"/>
                <w:szCs w:val="24"/>
                <w:highlight w:val="none"/>
                <w:lang w:val="en-US" w:eastAsia="zh-CN"/>
              </w:rPr>
              <w:t>据此核算，所需风量为</w:t>
            </w:r>
            <w:r>
              <w:rPr>
                <w:rFonts w:hint="eastAsia" w:cs="Times New Roman"/>
                <w:b w:val="0"/>
                <w:bCs/>
                <w:i w:val="0"/>
                <w:iCs w:val="0"/>
                <w:color w:val="auto"/>
                <w:sz w:val="24"/>
                <w:szCs w:val="24"/>
                <w:highlight w:val="none"/>
                <w:lang w:val="en-US" w:eastAsia="zh-CN"/>
              </w:rPr>
              <w:t>38988</w:t>
            </w:r>
            <w:r>
              <w:rPr>
                <w:rFonts w:hint="default" w:ascii="Times New Roman" w:hAnsi="Times New Roman" w:eastAsia="宋体" w:cs="Times New Roman"/>
                <w:b w:val="0"/>
                <w:bCs/>
                <w:i w:val="0"/>
                <w:iCs w:val="0"/>
                <w:color w:val="auto"/>
                <w:sz w:val="24"/>
                <w:szCs w:val="24"/>
                <w:highlight w:val="none"/>
              </w:rPr>
              <w:t>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r>
              <w:rPr>
                <w:rFonts w:hint="eastAsia" w:ascii="Times New Roman" w:hAnsi="Times New Roman" w:eastAsia="宋体" w:cs="Times New Roman"/>
                <w:b w:val="0"/>
                <w:bCs/>
                <w:i w:val="0"/>
                <w:iCs w:val="0"/>
                <w:color w:val="auto"/>
                <w:sz w:val="24"/>
                <w:szCs w:val="24"/>
                <w:highlight w:val="none"/>
                <w:lang w:eastAsia="zh-CN"/>
              </w:rPr>
              <w:t>，</w:t>
            </w:r>
            <w:r>
              <w:rPr>
                <w:rFonts w:hint="default" w:ascii="Times New Roman" w:hAnsi="Times New Roman" w:eastAsia="宋体" w:cs="Times New Roman"/>
                <w:b w:val="0"/>
                <w:bCs/>
                <w:i w:val="0"/>
                <w:iCs w:val="0"/>
                <w:color w:val="auto"/>
                <w:sz w:val="24"/>
                <w:szCs w:val="24"/>
                <w:highlight w:val="none"/>
              </w:rPr>
              <w:t>风机设计风量</w:t>
            </w:r>
            <w:r>
              <w:rPr>
                <w:rFonts w:hint="eastAsia" w:ascii="Times New Roman" w:hAnsi="Times New Roman" w:eastAsia="宋体" w:cs="Times New Roman"/>
                <w:b w:val="0"/>
                <w:bCs/>
                <w:i w:val="0"/>
                <w:iCs w:val="0"/>
                <w:color w:val="auto"/>
                <w:sz w:val="24"/>
                <w:szCs w:val="24"/>
                <w:highlight w:val="none"/>
                <w:lang w:val="en-US" w:eastAsia="zh-CN"/>
              </w:rPr>
              <w:t>为</w:t>
            </w:r>
            <w:r>
              <w:rPr>
                <w:rFonts w:hint="eastAsia" w:cs="Times New Roman"/>
                <w:color w:val="auto"/>
                <w:kern w:val="0"/>
                <w:sz w:val="24"/>
                <w:szCs w:val="24"/>
                <w:highlight w:val="none"/>
                <w:lang w:val="en-US" w:eastAsia="zh-CN" w:bidi="ar"/>
              </w:rPr>
              <w:t>40000</w:t>
            </w:r>
            <w:r>
              <w:rPr>
                <w:rFonts w:hint="default" w:ascii="Times New Roman" w:hAnsi="Times New Roman" w:eastAsia="宋体" w:cs="Times New Roman"/>
                <w:b w:val="0"/>
                <w:bCs/>
                <w:i w:val="0"/>
                <w:iCs w:val="0"/>
                <w:color w:val="auto"/>
                <w:sz w:val="24"/>
                <w:szCs w:val="24"/>
                <w:highlight w:val="none"/>
              </w:rPr>
              <w:t>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r>
              <w:rPr>
                <w:rFonts w:hint="eastAsia" w:ascii="Times New Roman" w:hAnsi="Times New Roman" w:eastAsia="宋体" w:cs="Times New Roman"/>
                <w:b w:val="0"/>
                <w:bCs/>
                <w:i w:val="0"/>
                <w:iCs w:val="0"/>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可满足生产需求。</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cs="Times New Roman"/>
                <w:color w:val="auto"/>
                <w:spacing w:val="0"/>
                <w:w w:val="100"/>
                <w:position w:val="0"/>
                <w:sz w:val="24"/>
                <w:szCs w:val="24"/>
                <w:highlight w:val="none"/>
                <w:lang w:val="en-US" w:eastAsia="zh-CN"/>
              </w:rPr>
              <w:t>生产工序年运行2400h，集气罩废气捕集效率为95%；脉冲布袋除尘器</w:t>
            </w:r>
            <w:r>
              <w:rPr>
                <w:rFonts w:hint="eastAsia" w:ascii="Times New Roman" w:hAnsi="Times New Roman" w:eastAsia="宋体" w:cs="Times New Roman"/>
                <w:color w:val="auto"/>
                <w:sz w:val="24"/>
                <w:szCs w:val="24"/>
                <w:highlight w:val="none"/>
                <w:u w:val="none"/>
                <w:lang w:val="en-US" w:eastAsia="zh-CN"/>
              </w:rPr>
              <w:t>处理效率为</w:t>
            </w:r>
            <w:r>
              <w:rPr>
                <w:rFonts w:hint="eastAsia" w:cs="Times New Roman"/>
                <w:color w:val="auto"/>
                <w:sz w:val="24"/>
                <w:szCs w:val="24"/>
                <w:highlight w:val="none"/>
                <w:u w:val="none"/>
                <w:lang w:val="en-US" w:eastAsia="zh-CN"/>
              </w:rPr>
              <w:t>99</w:t>
            </w:r>
            <w:r>
              <w:rPr>
                <w:rFonts w:hint="eastAsia" w:ascii="Times New Roman" w:hAnsi="Times New Roman" w:eastAsia="宋体" w:cs="Times New Roman"/>
                <w:color w:val="auto"/>
                <w:sz w:val="24"/>
                <w:szCs w:val="24"/>
                <w:highlight w:val="none"/>
                <w:u w:val="none"/>
                <w:lang w:val="en-US" w:eastAsia="zh-CN"/>
              </w:rPr>
              <w:t>%。</w:t>
            </w:r>
          </w:p>
          <w:p>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33</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颗粒物产排情况</w:t>
            </w:r>
            <w:r>
              <w:rPr>
                <w:rFonts w:hint="eastAsia" w:ascii="Times New Roman" w:hAnsi="Times New Roman" w:eastAsia="宋体" w:cs="Times New Roman"/>
                <w:b/>
                <w:bCs/>
                <w:color w:val="auto"/>
                <w:sz w:val="24"/>
                <w:szCs w:val="24"/>
                <w:highlight w:val="none"/>
                <w:lang w:val="en-US" w:eastAsia="zh-CN"/>
              </w:rPr>
              <w:t>一览表</w:t>
            </w:r>
          </w:p>
          <w:tbl>
            <w:tblPr>
              <w:tblStyle w:val="33"/>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1267"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eastAsia="zh-CN"/>
                    </w:rPr>
                    <w:t>工序</w:t>
                  </w:r>
                </w:p>
              </w:tc>
              <w:tc>
                <w:tcPr>
                  <w:tcW w:w="846"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产生量（t/a）</w:t>
                  </w:r>
                </w:p>
              </w:tc>
              <w:tc>
                <w:tcPr>
                  <w:tcW w:w="1565"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引入脉冲布袋除尘器量（t/a）</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未被捕集量（t/a）</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处理后排放量（t/a）</w:t>
                  </w:r>
                </w:p>
              </w:tc>
              <w:tc>
                <w:tcPr>
                  <w:tcW w:w="1221"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eastAsia"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年运行时间（h/a）</w:t>
                  </w:r>
                </w:p>
              </w:tc>
              <w:tc>
                <w:tcPr>
                  <w:tcW w:w="1010"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kern w:val="2"/>
                      <w:sz w:val="21"/>
                      <w:szCs w:val="21"/>
                      <w:highlight w:val="none"/>
                      <w:lang w:val="en-US" w:eastAsia="zh-CN" w:bidi="ar-SA"/>
                    </w:rPr>
                    <w:t>排放速率</w:t>
                  </w:r>
                  <w:r>
                    <w:rPr>
                      <w:rFonts w:hint="eastAsia" w:ascii="Times New Roman" w:eastAsia="宋体" w:cs="Times New Roman"/>
                      <w:b w:val="0"/>
                      <w:bCs w:val="0"/>
                      <w:color w:val="auto"/>
                      <w:sz w:val="21"/>
                      <w:szCs w:val="21"/>
                      <w:highlight w:val="none"/>
                      <w:lang w:val="en-US" w:eastAsia="zh-CN"/>
                    </w:rPr>
                    <w:t>（kg/h）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浇注</w:t>
                  </w:r>
                </w:p>
              </w:tc>
              <w:tc>
                <w:tcPr>
                  <w:tcW w:w="846"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3.08</w:t>
                  </w:r>
                </w:p>
              </w:tc>
              <w:tc>
                <w:tcPr>
                  <w:tcW w:w="1565"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2.926</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0.154</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0.029 </w:t>
                  </w:r>
                </w:p>
              </w:tc>
              <w:tc>
                <w:tcPr>
                  <w:tcW w:w="1221"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2400</w:t>
                  </w:r>
                </w:p>
              </w:tc>
              <w:tc>
                <w:tcPr>
                  <w:tcW w:w="1010"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0.012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砂处理</w:t>
                  </w:r>
                </w:p>
              </w:tc>
              <w:tc>
                <w:tcPr>
                  <w:tcW w:w="846"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19.14</w:t>
                  </w:r>
                </w:p>
              </w:tc>
              <w:tc>
                <w:tcPr>
                  <w:tcW w:w="1565"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18.183</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0.957</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0.182 </w:t>
                  </w:r>
                </w:p>
              </w:tc>
              <w:tc>
                <w:tcPr>
                  <w:tcW w:w="1221"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2400</w:t>
                  </w:r>
                </w:p>
              </w:tc>
              <w:tc>
                <w:tcPr>
                  <w:tcW w:w="1010"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0.076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混砂</w:t>
                  </w:r>
                </w:p>
              </w:tc>
              <w:tc>
                <w:tcPr>
                  <w:tcW w:w="846"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3.08</w:t>
                  </w:r>
                </w:p>
              </w:tc>
              <w:tc>
                <w:tcPr>
                  <w:tcW w:w="1565"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2.926</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0.154</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0.029 </w:t>
                  </w:r>
                </w:p>
              </w:tc>
              <w:tc>
                <w:tcPr>
                  <w:tcW w:w="1221"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2400</w:t>
                  </w:r>
                </w:p>
              </w:tc>
              <w:tc>
                <w:tcPr>
                  <w:tcW w:w="1010"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0.012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打磨</w:t>
                  </w:r>
                </w:p>
              </w:tc>
              <w:tc>
                <w:tcPr>
                  <w:tcW w:w="0" w:type="auto"/>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12.045</w:t>
                  </w:r>
                </w:p>
              </w:tc>
              <w:tc>
                <w:tcPr>
                  <w:tcW w:w="1565"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11.443</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0.602</w:t>
                  </w:r>
                </w:p>
              </w:tc>
              <w:tc>
                <w:tcPr>
                  <w:tcW w:w="1219" w:type="dxa"/>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0.114 </w:t>
                  </w:r>
                </w:p>
              </w:tc>
              <w:tc>
                <w:tcPr>
                  <w:tcW w:w="0" w:type="auto"/>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2400</w:t>
                  </w:r>
                </w:p>
              </w:tc>
              <w:tc>
                <w:tcPr>
                  <w:tcW w:w="1010" w:type="dxa"/>
                  <w:tcBorders>
                    <w:righ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 xml:space="preserve">0.048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二次除尘</w:t>
                  </w:r>
                </w:p>
              </w:tc>
              <w:tc>
                <w:tcPr>
                  <w:tcW w:w="0" w:type="auto"/>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1.999</w:t>
                  </w:r>
                </w:p>
              </w:tc>
              <w:tc>
                <w:tcPr>
                  <w:tcW w:w="0" w:type="auto"/>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1.899</w:t>
                  </w:r>
                </w:p>
              </w:tc>
              <w:tc>
                <w:tcPr>
                  <w:tcW w:w="0" w:type="auto"/>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w:t>
                  </w:r>
                </w:p>
              </w:tc>
              <w:tc>
                <w:tcPr>
                  <w:tcW w:w="0" w:type="auto"/>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0.019</w:t>
                  </w:r>
                </w:p>
              </w:tc>
              <w:tc>
                <w:tcPr>
                  <w:tcW w:w="0" w:type="auto"/>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2400</w:t>
                  </w:r>
                </w:p>
              </w:tc>
              <w:tc>
                <w:tcPr>
                  <w:tcW w:w="0" w:type="auto"/>
                  <w:tcBorders>
                    <w:right w:val="nil"/>
                  </w:tcBorders>
                </w:tcPr>
                <w:p>
                  <w:pPr>
                    <w:pStyle w:val="41"/>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47" w:type="dxa"/>
                  <w:gridSpan w:val="7"/>
                  <w:tcBorders>
                    <w:left w:val="nil"/>
                    <w:right w:val="nil"/>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生产车间所有未被捕集颗粒物计为二次除尘颗粒物产生量，经二次除尘处理后整体车间无组织颗粒物产生量为0.1t/a，经车间沉降后排放量为0.001t/a、排放速率为0.0004kg/h</w:t>
                  </w:r>
                </w:p>
              </w:tc>
            </w:tr>
          </w:tbl>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z w:val="24"/>
                <w:szCs w:val="24"/>
                <w:highlight w:val="none"/>
                <w:u w:val="none"/>
                <w:lang w:val="en-US" w:eastAsia="zh-CN"/>
              </w:rPr>
              <w:t>经分析，项目颗粒物排放速率为0.156kg/h，颗粒物排放浓度为3.9</w:t>
            </w:r>
            <w:r>
              <w:rPr>
                <w:rFonts w:hint="eastAsia" w:ascii="Times New Roman" w:hAnsi="Times New Roman" w:cs="Times New Roman"/>
                <w:snapToGrid w:val="0"/>
                <w:color w:val="auto"/>
                <w:kern w:val="0"/>
                <w:sz w:val="24"/>
                <w:szCs w:val="24"/>
                <w:highlight w:val="none"/>
                <w:lang w:val="en-US" w:eastAsia="zh-CN"/>
              </w:rPr>
              <w:t>mg/m</w:t>
            </w:r>
            <w:r>
              <w:rPr>
                <w:rFonts w:hint="eastAsia" w:ascii="Times New Roman" w:hAnsi="Times New Roman" w:cs="Times New Roman"/>
                <w:snapToGrid w:val="0"/>
                <w:color w:val="auto"/>
                <w:kern w:val="0"/>
                <w:sz w:val="24"/>
                <w:szCs w:val="24"/>
                <w:highlight w:val="none"/>
                <w:vertAlign w:val="superscript"/>
                <w:lang w:val="en-US" w:eastAsia="zh-CN"/>
              </w:rPr>
              <w:t>3</w:t>
            </w:r>
            <w:r>
              <w:rPr>
                <w:rFonts w:hint="eastAsia" w:cs="Times New Roman"/>
                <w:snapToGrid w:val="0"/>
                <w:color w:val="auto"/>
                <w:kern w:val="0"/>
                <w:sz w:val="24"/>
                <w:szCs w:val="24"/>
                <w:highlight w:val="none"/>
                <w:lang w:val="en-US" w:eastAsia="zh-CN"/>
              </w:rPr>
              <w:t>，</w:t>
            </w:r>
            <w:r>
              <w:rPr>
                <w:rFonts w:hint="eastAsia" w:eastAsia="宋体" w:cs="Times New Roman"/>
                <w:i w:val="0"/>
                <w:iCs w:val="0"/>
                <w:color w:val="auto"/>
                <w:sz w:val="24"/>
                <w:szCs w:val="24"/>
                <w:highlight w:val="none"/>
                <w:lang w:val="en-US" w:eastAsia="zh-CN"/>
              </w:rPr>
              <w:t>有组织颗粒物排放</w:t>
            </w:r>
            <w:r>
              <w:rPr>
                <w:rFonts w:hint="default" w:ascii="Times New Roman" w:hAnsi="Times New Roman" w:eastAsia="宋体" w:cs="Times New Roman"/>
                <w:i w:val="0"/>
                <w:iCs w:val="0"/>
                <w:color w:val="auto"/>
                <w:sz w:val="24"/>
                <w:szCs w:val="24"/>
                <w:highlight w:val="none"/>
                <w:lang w:val="en-US" w:eastAsia="zh-CN"/>
              </w:rPr>
              <w:t>满足</w:t>
            </w:r>
            <w:r>
              <w:rPr>
                <w:rFonts w:hint="eastAsia" w:ascii="Times New Roman" w:hAnsi="Times New Roman" w:eastAsia="宋体" w:cs="Times New Roman"/>
                <w:color w:val="auto"/>
                <w:spacing w:val="0"/>
                <w:kern w:val="2"/>
                <w:sz w:val="24"/>
                <w:szCs w:val="24"/>
                <w:highlight w:val="none"/>
                <w:lang w:val="en-US" w:eastAsia="zh-CN" w:bidi="ar-SA"/>
              </w:rPr>
              <w:t>《铸造工业大气污染物排放标准》（GB39726-2020）以及</w:t>
            </w:r>
            <w:r>
              <w:rPr>
                <w:rFonts w:hint="eastAsia" w:ascii="Times New Roman" w:hAnsi="Times New Roman" w:eastAsia="宋体" w:cs="Times New Roman"/>
                <w:color w:val="auto"/>
                <w:sz w:val="24"/>
                <w:szCs w:val="24"/>
                <w:highlight w:val="none"/>
                <w:lang w:val="en-US" w:eastAsia="zh-CN"/>
              </w:rPr>
              <w:t>《唐山市铸造行业烟气达标治理工作方案》颗粒物排放浓度不高于10mg/m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i w:val="0"/>
                <w:iCs w:val="0"/>
                <w:color w:val="auto"/>
                <w:sz w:val="24"/>
                <w:szCs w:val="24"/>
                <w:highlight w:val="none"/>
                <w:vertAlign w:val="baseline"/>
                <w:lang w:val="en-US" w:eastAsia="zh-CN"/>
              </w:rPr>
              <w:t>。</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（2）无组织颗粒物</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车间为全封闭形态，正常生产时车间出入口处于关闭状态，且生产车间设有二次除尘装置，生产车间所有未被捕集颗粒物计为二次除尘颗粒物产生量，经二次除尘处理后整体车间无组织颗粒物产生量为0.1t/a，经车间沉降后排放量为0.001t/a、排放速率为0.0004kg/h，提出控制无组织排放的相关管控要求：</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生产车间设有顶吸二次除尘装置，车间内部无组织废气经顶吸二次除尘处理后通过相应排气筒外排。本次评价针对无组织排放提出管控要求：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由于本项目生产车间即为厂区，故项目于</w:t>
            </w:r>
            <w:r>
              <w:rPr>
                <w:rFonts w:hint="eastAsia" w:ascii="Times New Roman" w:hAnsi="Times New Roman" w:eastAsia="宋体" w:cs="Times New Roman"/>
                <w:color w:val="auto"/>
                <w:sz w:val="24"/>
                <w:szCs w:val="24"/>
                <w:highlight w:val="none"/>
                <w:lang w:val="en-US" w:eastAsia="zh-CN"/>
              </w:rPr>
              <w:t>厂区边界主导上、下风向各安装1套 TSP、PM</w:t>
            </w:r>
            <w:r>
              <w:rPr>
                <w:rFonts w:hint="eastAsia" w:ascii="Times New Roman" w:hAnsi="Times New Roman" w:eastAsia="宋体" w:cs="Times New Roman"/>
                <w:color w:val="auto"/>
                <w:sz w:val="24"/>
                <w:szCs w:val="24"/>
                <w:highlight w:val="none"/>
                <w:vertAlign w:val="subscript"/>
                <w:lang w:val="en-US" w:eastAsia="zh-CN"/>
              </w:rPr>
              <w:t>10</w:t>
            </w:r>
            <w:r>
              <w:rPr>
                <w:rFonts w:hint="eastAsia" w:ascii="Times New Roman" w:hAnsi="Times New Roman" w:eastAsia="宋体" w:cs="Times New Roman"/>
                <w:color w:val="auto"/>
                <w:sz w:val="24"/>
                <w:szCs w:val="24"/>
                <w:highlight w:val="none"/>
                <w:lang w:val="en-US" w:eastAsia="zh-CN"/>
              </w:rPr>
              <w:t>、PM</w:t>
            </w:r>
            <w:r>
              <w:rPr>
                <w:rFonts w:hint="eastAsia" w:ascii="Times New Roman" w:hAnsi="Times New Roman" w:eastAsia="宋体" w:cs="Times New Roman"/>
                <w:color w:val="auto"/>
                <w:sz w:val="24"/>
                <w:szCs w:val="24"/>
                <w:highlight w:val="none"/>
                <w:vertAlign w:val="subscript"/>
                <w:lang w:val="en-US" w:eastAsia="zh-CN"/>
              </w:rPr>
              <w:t>2.5</w:t>
            </w:r>
            <w:r>
              <w:rPr>
                <w:rFonts w:hint="eastAsia" w:ascii="Times New Roman" w:hAnsi="Times New Roman" w:eastAsia="宋体" w:cs="Times New Roman"/>
                <w:color w:val="auto"/>
                <w:sz w:val="24"/>
                <w:szCs w:val="24"/>
                <w:highlight w:val="none"/>
                <w:lang w:val="en-US" w:eastAsia="zh-CN"/>
              </w:rPr>
              <w:t>在线监测设备，配备1台联网的计算机，安装无组织排放监测系统软件（在线设施须有环境保护产品认证证书），与市、县环保指挥中心联网。厂区边界颗粒物浓度不高于0.5mg/Nm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厂房四面封闭，通道口安装卷帘门、推拉门等封闭性良好且便于开关的硬质门，在无车辆出入时将门关闭，保证空气合理流动不产生湍流。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除尘器卸灰不直接卸落到地面，卸灰区封闭，除尘灰采用</w:t>
            </w:r>
            <w:r>
              <w:rPr>
                <w:rFonts w:hint="eastAsia" w:eastAsia="宋体" w:cs="Times New Roman"/>
                <w:color w:val="auto"/>
                <w:sz w:val="24"/>
                <w:szCs w:val="24"/>
                <w:highlight w:val="none"/>
                <w:lang w:val="en-US" w:eastAsia="zh-CN"/>
              </w:rPr>
              <w:t>吨包、</w:t>
            </w:r>
            <w:r>
              <w:rPr>
                <w:rFonts w:hint="eastAsia" w:ascii="Times New Roman" w:hAnsi="Times New Roman" w:eastAsia="宋体" w:cs="Times New Roman"/>
                <w:color w:val="auto"/>
                <w:sz w:val="24"/>
                <w:szCs w:val="24"/>
                <w:highlight w:val="none"/>
                <w:lang w:val="en-US" w:eastAsia="zh-CN"/>
              </w:rPr>
              <w:t>气力输送、罐车等密闭方式运输。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厂区出入口安装运输车辆侧向全覆盖式强制喷淋清洗设施，清洗设施应保证车辆冲洗效果，长度不少于6米、高度不低于2.5米，地面至少设置一排花式喷射喷头。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厂区地面非绿即硬，企业厂区门口至主要交通干道之间车辆行驶路面要全部高标准硬化，并做好湿扫保洁。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在厂区门口或明显位置设置电子显示屏，实时发布主要污染物排放信息。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其他管控要求严格按照《唐山市铸造行业整治提升工作方案》的相关要求落实。</w:t>
            </w:r>
          </w:p>
          <w:p>
            <w:pPr>
              <w:keepNext w:val="0"/>
              <w:keepLines w:val="0"/>
              <w:pageBreakBefore w:val="0"/>
              <w:widowControl w:val="0"/>
              <w:kinsoku/>
              <w:wordWrap/>
              <w:overflowPunct/>
              <w:topLinePunct w:val="0"/>
              <w:autoSpaceDE/>
              <w:autoSpaceDN/>
              <w:bidi w:val="0"/>
              <w:adjustRightInd/>
              <w:snapToGrid/>
              <w:spacing w:line="500" w:lineRule="exact"/>
              <w:ind w:firstLine="424" w:firstLineChars="176"/>
              <w:jc w:val="center"/>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表</w:t>
            </w:r>
            <w:r>
              <w:rPr>
                <w:rFonts w:hint="eastAsia" w:cs="Times New Roman"/>
                <w:b/>
                <w:bCs w:val="0"/>
                <w:color w:val="auto"/>
                <w:sz w:val="24"/>
                <w:szCs w:val="24"/>
                <w:highlight w:val="none"/>
                <w:lang w:val="en-US" w:eastAsia="zh-CN"/>
              </w:rPr>
              <w:t xml:space="preserve">34   </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cs="Times New Roman"/>
                <w:b/>
                <w:bCs w:val="0"/>
                <w:color w:val="auto"/>
                <w:sz w:val="24"/>
                <w:szCs w:val="24"/>
                <w:highlight w:val="none"/>
                <w:lang w:val="en-US" w:eastAsia="zh-CN"/>
              </w:rPr>
              <w:t>本项目</w:t>
            </w:r>
            <w:r>
              <w:rPr>
                <w:rFonts w:hint="eastAsia" w:ascii="Times New Roman" w:hAnsi="Times New Roman" w:eastAsia="宋体" w:cs="Times New Roman"/>
                <w:b/>
                <w:bCs w:val="0"/>
                <w:color w:val="auto"/>
                <w:sz w:val="24"/>
                <w:szCs w:val="24"/>
                <w:highlight w:val="none"/>
                <w:lang w:val="en-US" w:eastAsia="zh-CN"/>
              </w:rPr>
              <w:t>废气检测计划</w:t>
            </w:r>
          </w:p>
          <w:tbl>
            <w:tblPr>
              <w:tblStyle w:val="33"/>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9"/>
              <w:gridCol w:w="882"/>
              <w:gridCol w:w="1045"/>
              <w:gridCol w:w="725"/>
              <w:gridCol w:w="3598"/>
              <w:gridCol w:w="862"/>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8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类型</w:t>
                  </w:r>
                </w:p>
              </w:tc>
              <w:tc>
                <w:tcPr>
                  <w:tcW w:w="5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监测点位</w:t>
                  </w:r>
                </w:p>
              </w:tc>
              <w:tc>
                <w:tcPr>
                  <w:tcW w:w="62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数量</w:t>
                  </w:r>
                </w:p>
              </w:tc>
              <w:tc>
                <w:tcPr>
                  <w:tcW w:w="43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指标</w:t>
                  </w:r>
                </w:p>
              </w:tc>
              <w:tc>
                <w:tcPr>
                  <w:tcW w:w="267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执行标准及限值</w:t>
                  </w:r>
                </w:p>
              </w:tc>
              <w:tc>
                <w:tcPr>
                  <w:tcW w:w="545" w:type="pct"/>
                  <w:vMerge w:val="restar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6" w:type="pct"/>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5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6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4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21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标准</w:t>
                  </w:r>
                </w:p>
              </w:tc>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限值</w:t>
                  </w:r>
                </w:p>
              </w:tc>
              <w:tc>
                <w:tcPr>
                  <w:tcW w:w="545" w:type="pct"/>
                  <w:vMerge w:val="continue"/>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6" w:type="pct"/>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废气</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DA001</w:t>
                  </w:r>
                </w:p>
              </w:tc>
              <w:tc>
                <w:tcPr>
                  <w:tcW w:w="6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4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1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eastAsia" w:ascii="Times New Roman" w:hAnsi="Times New Roman" w:eastAsia="宋体" w:cs="Times New Roman"/>
                      <w:color w:val="auto"/>
                      <w:spacing w:val="0"/>
                      <w:kern w:val="2"/>
                      <w:sz w:val="21"/>
                      <w:szCs w:val="21"/>
                      <w:highlight w:val="none"/>
                      <w:lang w:val="en-US" w:eastAsia="zh-CN" w:bidi="ar-SA"/>
                    </w:rPr>
                    <w:t>《铸造工业大气污染物排放标准》（GB39726-2020）以及《唐山市铸造行业烟气达标治理工作方案》 相关要求</w:t>
                  </w:r>
                </w:p>
              </w:tc>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54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6" w:type="pct"/>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DA002</w:t>
                  </w:r>
                </w:p>
              </w:tc>
              <w:tc>
                <w:tcPr>
                  <w:tcW w:w="6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4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1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eastAsia" w:ascii="Times New Roman" w:hAnsi="Times New Roman" w:eastAsia="宋体" w:cs="Times New Roman"/>
                      <w:color w:val="auto"/>
                      <w:spacing w:val="0"/>
                      <w:kern w:val="2"/>
                      <w:sz w:val="21"/>
                      <w:szCs w:val="21"/>
                      <w:highlight w:val="none"/>
                      <w:lang w:val="en-US" w:eastAsia="zh-CN" w:bidi="ar-SA"/>
                    </w:rPr>
                    <w:t>《铸造工业大气污染物排放标准》（GB39726-2020）以及《唐山市铸造行业烟气达标治理工作方案》 相关要求</w:t>
                  </w:r>
                </w:p>
              </w:tc>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54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86" w:type="pct"/>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 xml:space="preserve">厂界 </w:t>
                  </w:r>
                </w:p>
              </w:tc>
              <w:tc>
                <w:tcPr>
                  <w:tcW w:w="6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上风向1个点，下风向3个点</w:t>
                  </w:r>
                </w:p>
              </w:tc>
              <w:tc>
                <w:tcPr>
                  <w:tcW w:w="4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TSP</w:t>
                  </w:r>
                </w:p>
              </w:tc>
              <w:tc>
                <w:tcPr>
                  <w:tcW w:w="21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pacing w:val="0"/>
                      <w:kern w:val="2"/>
                      <w:sz w:val="21"/>
                      <w:szCs w:val="21"/>
                      <w:highlight w:val="none"/>
                      <w:lang w:val="en-US" w:eastAsia="zh-CN" w:bidi="ar-SA"/>
                    </w:rPr>
                    <w:t>《唐山市铸造行业烟气达标治理工作方案》 熔炼车间边界外</w:t>
                  </w:r>
                </w:p>
              </w:tc>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54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1次/</w:t>
                  </w:r>
                  <w:r>
                    <w:rPr>
                      <w:rFonts w:hint="eastAsia" w:cs="Times New Roman"/>
                      <w:snapToGrid w:val="0"/>
                      <w:color w:val="auto"/>
                      <w:kern w:val="0"/>
                      <w:sz w:val="21"/>
                      <w:szCs w:val="21"/>
                      <w:highlight w:val="none"/>
                      <w:lang w:val="en-US" w:eastAsia="zh-CN" w:bidi="ar-SA"/>
                    </w:rPr>
                    <w:t>半</w:t>
                  </w:r>
                  <w:r>
                    <w:rPr>
                      <w:rFonts w:hint="default" w:ascii="Times New Roman" w:hAnsi="Times New Roman" w:eastAsia="宋体" w:cs="Times New Roman"/>
                      <w:snapToGrid w:val="0"/>
                      <w:color w:val="auto"/>
                      <w:kern w:val="0"/>
                      <w:sz w:val="21"/>
                      <w:szCs w:val="21"/>
                      <w:highlight w:val="none"/>
                      <w:lang w:val="en-US" w:eastAsia="zh-CN" w:bidi="ar-SA"/>
                    </w:rPr>
                    <w:t>年</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（3）倍量削减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经分析，本项目颗粒物新增排放量为0.399t/a，需削减量为0.798t/a。</w:t>
            </w:r>
          </w:p>
          <w:p>
            <w:pPr>
              <w:spacing w:line="480" w:lineRule="exact"/>
              <w:ind w:firstLine="480" w:firstLineChars="200"/>
              <w:rPr>
                <w:color w:val="auto"/>
                <w:sz w:val="24"/>
                <w:highlight w:val="none"/>
              </w:rPr>
            </w:pPr>
            <w:r>
              <w:rPr>
                <w:color w:val="auto"/>
                <w:sz w:val="24"/>
                <w:highlight w:val="none"/>
              </w:rPr>
              <w:t>（</w:t>
            </w:r>
            <w:r>
              <w:rPr>
                <w:rFonts w:hint="eastAsia"/>
                <w:color w:val="auto"/>
                <w:sz w:val="24"/>
                <w:highlight w:val="none"/>
                <w:lang w:val="en-US" w:eastAsia="zh-CN"/>
              </w:rPr>
              <w:t>4</w:t>
            </w:r>
            <w:r>
              <w:rPr>
                <w:color w:val="auto"/>
                <w:sz w:val="24"/>
                <w:highlight w:val="none"/>
              </w:rPr>
              <w:t>）非正常工况</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废气非正常工况</w:t>
            </w:r>
            <w:r>
              <w:rPr>
                <w:rFonts w:hint="eastAsia" w:ascii="Times New Roman" w:hAnsi="Times New Roman" w:eastAsia="宋体" w:cs="Times New Roman"/>
                <w:color w:val="auto"/>
                <w:sz w:val="24"/>
                <w:szCs w:val="24"/>
                <w:highlight w:val="none"/>
                <w:lang w:val="en-US" w:eastAsia="zh-CN"/>
              </w:rPr>
              <w:t>考虑污染物种类多、排放量较大的砂处理废气</w:t>
            </w:r>
            <w:r>
              <w:rPr>
                <w:rFonts w:hint="eastAsia" w:ascii="宋体" w:hAnsi="宋体" w:cs="宋体"/>
                <w:color w:val="auto"/>
                <w:sz w:val="24"/>
                <w:highlight w:val="none"/>
                <w:lang w:val="en-US" w:eastAsia="zh-CN"/>
              </w:rPr>
              <w:t>处理系统</w:t>
            </w:r>
            <w:r>
              <w:rPr>
                <w:rFonts w:hint="default" w:ascii="Times New Roman" w:hAnsi="Times New Roman" w:eastAsia="宋体" w:cs="Times New Roman"/>
                <w:color w:val="auto"/>
                <w:sz w:val="24"/>
                <w:szCs w:val="24"/>
                <w:highlight w:val="none"/>
                <w:lang w:val="en-US" w:eastAsia="zh-CN"/>
              </w:rPr>
              <w:t>出现事故，</w:t>
            </w:r>
            <w:r>
              <w:rPr>
                <w:rFonts w:hint="eastAsia" w:ascii="Times New Roman" w:hAnsi="Times New Roman" w:eastAsia="宋体"/>
                <w:color w:val="auto"/>
                <w:sz w:val="24"/>
                <w:highlight w:val="none"/>
                <w:lang w:val="en-US" w:eastAsia="zh-CN"/>
              </w:rPr>
              <w:t>废气</w:t>
            </w:r>
            <w:r>
              <w:rPr>
                <w:rFonts w:ascii="Times New Roman" w:hAnsi="Times New Roman"/>
                <w:color w:val="auto"/>
                <w:sz w:val="24"/>
                <w:highlight w:val="none"/>
              </w:rPr>
              <w:t>净化效率为零，</w:t>
            </w:r>
            <w:r>
              <w:rPr>
                <w:rFonts w:hint="eastAsia" w:ascii="Times New Roman" w:hAnsi="Times New Roman"/>
                <w:color w:val="auto"/>
                <w:sz w:val="24"/>
                <w:highlight w:val="none"/>
                <w:lang w:val="en-US" w:eastAsia="zh-CN"/>
              </w:rPr>
              <w:t>废气</w:t>
            </w:r>
            <w:r>
              <w:rPr>
                <w:rFonts w:ascii="Times New Roman" w:hAnsi="Times New Roman"/>
                <w:color w:val="auto"/>
                <w:sz w:val="24"/>
                <w:highlight w:val="none"/>
              </w:rPr>
              <w:t>直排烟囱(事故排放按1h考虑)，大气污染物按原始产生浓度排出，预计发现非正常情况后立即停产</w:t>
            </w:r>
            <w:r>
              <w:rPr>
                <w:rFonts w:hint="default" w:ascii="Times New Roman" w:hAnsi="Times New Roman" w:eastAsia="宋体" w:cs="Times New Roman"/>
                <w:color w:val="auto"/>
                <w:sz w:val="24"/>
                <w:szCs w:val="24"/>
                <w:highlight w:val="none"/>
                <w:lang w:val="en-US" w:eastAsia="zh-CN"/>
              </w:rPr>
              <w:t>，其非正常工况时的源强见表</w:t>
            </w:r>
            <w:r>
              <w:rPr>
                <w:rFonts w:hint="eastAsia" w:cs="Times New Roman"/>
                <w:color w:val="auto"/>
                <w:sz w:val="24"/>
                <w:szCs w:val="24"/>
                <w:highlight w:val="none"/>
                <w:lang w:val="en-US" w:eastAsia="zh-CN"/>
              </w:rPr>
              <w:t>29</w:t>
            </w:r>
            <w:r>
              <w:rPr>
                <w:rFonts w:hint="default" w:ascii="Times New Roman" w:hAnsi="Times New Roman" w:eastAsia="宋体" w:cs="Times New Roman"/>
                <w:color w:val="auto"/>
                <w:sz w:val="24"/>
                <w:szCs w:val="24"/>
                <w:highlight w:val="none"/>
                <w:lang w:val="en-US" w:eastAsia="zh-CN"/>
              </w:rPr>
              <w:t>。</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）污染治理设施技术可行性</w:t>
            </w:r>
          </w:p>
          <w:p>
            <w:pPr>
              <w:pStyle w:val="12"/>
              <w:spacing w:line="480" w:lineRule="exact"/>
              <w:ind w:firstLine="48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本项目颗粒物废气采用脉冲袋式除尘器处理</w:t>
            </w:r>
            <w:r>
              <w:rPr>
                <w:rFonts w:hint="eastAsia" w:ascii="Times New Roman" w:hAnsi="Times New Roman" w:eastAsia="宋体" w:cs="Times New Roman"/>
                <w:color w:val="auto"/>
                <w:sz w:val="24"/>
                <w:highlight w:val="none"/>
                <w:lang w:val="en-US" w:eastAsia="zh-CN"/>
              </w:rPr>
              <w:t>（布袋选用覆膜材质）</w:t>
            </w:r>
            <w:r>
              <w:rPr>
                <w:rFonts w:hint="default" w:ascii="Times New Roman" w:hAnsi="Times New Roman" w:eastAsia="宋体" w:cs="Times New Roman"/>
                <w:color w:val="auto"/>
                <w:sz w:val="24"/>
                <w:highlight w:val="none"/>
                <w:lang w:val="en-US" w:eastAsia="zh-CN"/>
              </w:rPr>
              <w:t>，属于《排污许可证申请与核发技术规范 金属铸造工业》（HJ1115-2020）</w:t>
            </w:r>
            <w:r>
              <w:rPr>
                <w:rFonts w:hint="eastAsia" w:ascii="Times New Roman" w:hAnsi="Times New Roman" w:eastAsia="宋体" w:cs="Times New Roman"/>
                <w:color w:val="auto"/>
                <w:sz w:val="24"/>
                <w:highlight w:val="none"/>
                <w:lang w:val="en-US" w:eastAsia="zh-CN"/>
              </w:rPr>
              <w:t>及《铸造工业大气污染防治可行技术指南》（HJ1292-2023）</w:t>
            </w:r>
            <w:r>
              <w:rPr>
                <w:rFonts w:hint="default" w:ascii="Times New Roman" w:hAnsi="Times New Roman" w:eastAsia="宋体" w:cs="Times New Roman"/>
                <w:color w:val="auto"/>
                <w:sz w:val="24"/>
                <w:highlight w:val="none"/>
                <w:lang w:val="en-US" w:eastAsia="zh-CN"/>
              </w:rPr>
              <w:t>推荐的可行技术。</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）环境影响分析</w:t>
            </w:r>
          </w:p>
          <w:p>
            <w:pPr>
              <w:pStyle w:val="12"/>
              <w:spacing w:line="480" w:lineRule="exact"/>
              <w:ind w:firstLine="480"/>
              <w:rPr>
                <w:rFonts w:ascii="Times New Roman" w:hAnsi="Times New Roman"/>
                <w:color w:val="auto"/>
                <w:sz w:val="24"/>
                <w:highlight w:val="none"/>
              </w:rPr>
            </w:pP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位于不达标区</w:t>
            </w:r>
            <w:r>
              <w:rPr>
                <w:rFonts w:hint="default" w:ascii="Times New Roman" w:hAnsi="Times New Roman" w:eastAsia="宋体" w:cs="Times New Roman"/>
                <w:color w:val="auto"/>
                <w:sz w:val="24"/>
                <w:szCs w:val="24"/>
                <w:highlight w:val="none"/>
                <w:vertAlign w:val="baseline"/>
                <w:lang w:val="en-US" w:eastAsia="zh-CN"/>
              </w:rPr>
              <w:t>，</w:t>
            </w:r>
            <w:r>
              <w:rPr>
                <w:rFonts w:hint="default" w:ascii="Times New Roman" w:hAnsi="Times New Roman" w:eastAsia="宋体" w:cs="Times New Roman"/>
                <w:bCs/>
                <w:color w:val="auto"/>
                <w:kern w:val="0"/>
                <w:sz w:val="24"/>
                <w:highlight w:val="none"/>
              </w:rPr>
              <w:t>根据《关于落实大气污染防治行动计划严格环境影响评价准入的通知》(环办[2014]30号)等文件的要求，</w:t>
            </w:r>
            <w:r>
              <w:rPr>
                <w:rFonts w:hint="eastAsia" w:ascii="Times New Roman" w:hAnsi="Times New Roman" w:eastAsia="宋体"/>
                <w:color w:val="auto"/>
                <w:sz w:val="24"/>
                <w:highlight w:val="none"/>
                <w:lang w:val="en-US" w:eastAsia="zh-CN"/>
              </w:rPr>
              <w:t>本项目应落实</w:t>
            </w:r>
            <w:r>
              <w:rPr>
                <w:rFonts w:ascii="Times New Roman" w:hAnsi="Times New Roman"/>
                <w:color w:val="auto"/>
                <w:sz w:val="24"/>
                <w:highlight w:val="none"/>
              </w:rPr>
              <w:t>现役源</w:t>
            </w:r>
            <w:r>
              <w:rPr>
                <w:rFonts w:hint="eastAsia" w:ascii="Times New Roman" w:hAnsi="Times New Roman"/>
                <w:color w:val="auto"/>
                <w:sz w:val="24"/>
                <w:highlight w:val="none"/>
                <w:lang w:val="en-US" w:eastAsia="zh-CN"/>
              </w:rPr>
              <w:t>倍量</w:t>
            </w:r>
            <w:r>
              <w:rPr>
                <w:rFonts w:ascii="Times New Roman" w:hAnsi="Times New Roman"/>
                <w:color w:val="auto"/>
                <w:sz w:val="24"/>
                <w:highlight w:val="none"/>
              </w:rPr>
              <w:t>削减替代</w:t>
            </w:r>
            <w:r>
              <w:rPr>
                <w:rFonts w:hint="eastAsia" w:ascii="Times New Roman" w:hAnsi="Times New Roman"/>
                <w:color w:val="auto"/>
                <w:sz w:val="24"/>
                <w:highlight w:val="none"/>
                <w:lang w:val="en-US" w:eastAsia="zh-CN"/>
              </w:rPr>
              <w:t>方案</w:t>
            </w:r>
            <w:r>
              <w:rPr>
                <w:rFonts w:ascii="Times New Roman" w:hAnsi="Times New Roman"/>
                <w:color w:val="auto"/>
                <w:sz w:val="24"/>
                <w:highlight w:val="none"/>
              </w:rPr>
              <w:t>，通过</w:t>
            </w:r>
            <w:r>
              <w:rPr>
                <w:rFonts w:hint="eastAsia" w:ascii="Times New Roman" w:hAnsi="Times New Roman"/>
                <w:color w:val="auto"/>
                <w:sz w:val="24"/>
                <w:highlight w:val="none"/>
                <w:lang w:val="en-US" w:eastAsia="zh-CN"/>
              </w:rPr>
              <w:t>落实本项目特征污染物</w:t>
            </w:r>
            <w:r>
              <w:rPr>
                <w:rFonts w:hint="eastAsia" w:ascii="Times New Roman" w:hAnsi="Times New Roman" w:eastAsia="宋体" w:cs="Times New Roman"/>
                <w:color w:val="auto"/>
                <w:sz w:val="24"/>
                <w:szCs w:val="24"/>
                <w:highlight w:val="none"/>
                <w:lang w:val="en-US" w:eastAsia="zh-CN"/>
              </w:rPr>
              <w:t>颗粒物</w:t>
            </w:r>
            <w:r>
              <w:rPr>
                <w:rFonts w:ascii="Times New Roman" w:hAnsi="Times New Roman"/>
                <w:color w:val="auto"/>
                <w:sz w:val="24"/>
                <w:highlight w:val="none"/>
              </w:rPr>
              <w:t>倍量削减，可在一定程度上改善区域环境质量，同时本项目</w:t>
            </w:r>
            <w:r>
              <w:rPr>
                <w:rFonts w:hint="eastAsia" w:ascii="Times New Roman" w:hAnsi="Times New Roman" w:eastAsia="宋体" w:cs="Times New Roman"/>
                <w:color w:val="auto"/>
                <w:sz w:val="24"/>
                <w:szCs w:val="24"/>
                <w:highlight w:val="none"/>
                <w:lang w:val="en-US" w:eastAsia="zh-CN"/>
              </w:rPr>
              <w:t>均采取有效措施处理后排放，</w:t>
            </w:r>
            <w:r>
              <w:rPr>
                <w:rFonts w:ascii="Times New Roman" w:hAnsi="Times New Roman"/>
                <w:color w:val="auto"/>
                <w:sz w:val="24"/>
                <w:highlight w:val="none"/>
              </w:rPr>
              <w:t>可有效降低本项目污染物排放量，本项目实施后对周围环境的影响是可接受的。</w:t>
            </w:r>
          </w:p>
          <w:p>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二、水环境</w:t>
            </w:r>
            <w:r>
              <w:rPr>
                <w:rFonts w:hint="default" w:ascii="Times New Roman" w:hAnsi="Times New Roman" w:cs="Times New Roman"/>
                <w:b/>
                <w:bCs/>
                <w:color w:val="auto"/>
                <w:sz w:val="24"/>
                <w:szCs w:val="24"/>
              </w:rPr>
              <w:t>影响分析</w:t>
            </w:r>
          </w:p>
          <w:p>
            <w:pPr>
              <w:keepNext w:val="0"/>
              <w:keepLines w:val="0"/>
              <w:pageBreakBefore w:val="0"/>
              <w:widowControl w:val="0"/>
              <w:tabs>
                <w:tab w:val="left" w:pos="567"/>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cs="Times New Roman"/>
                <w:b w:val="0"/>
                <w:bCs/>
                <w:color w:val="auto"/>
                <w:kern w:val="24"/>
                <w:sz w:val="24"/>
                <w:szCs w:val="24"/>
                <w:lang w:eastAsia="zh-CN"/>
              </w:rPr>
            </w:pPr>
            <w:r>
              <w:rPr>
                <w:rFonts w:ascii="宋体" w:hAnsi="宋体" w:eastAsia="宋体"/>
                <w:color w:val="000000"/>
                <w:sz w:val="24"/>
                <w:highlight w:val="none"/>
              </w:rPr>
              <w:t>本项</w:t>
            </w:r>
            <w:r>
              <w:rPr>
                <w:rFonts w:ascii="宋体" w:hAnsi="宋体" w:eastAsia="宋体" w:cs="Times New Roman"/>
                <w:sz w:val="24"/>
                <w:szCs w:val="28"/>
                <w:highlight w:val="none"/>
              </w:rPr>
              <w:t>目</w:t>
            </w:r>
            <w:r>
              <w:rPr>
                <w:rFonts w:hint="eastAsia" w:ascii="宋体" w:hAnsi="宋体" w:eastAsia="宋体" w:cs="Times New Roman"/>
                <w:sz w:val="24"/>
                <w:szCs w:val="28"/>
                <w:highlight w:val="none"/>
                <w:lang w:val="en-US" w:eastAsia="zh-CN"/>
              </w:rPr>
              <w:t>无生产废水外排</w:t>
            </w:r>
            <w:r>
              <w:rPr>
                <w:rFonts w:hint="eastAsia" w:ascii="宋体" w:hAnsi="宋体" w:eastAsia="宋体" w:cs="Times New Roman"/>
                <w:sz w:val="24"/>
                <w:szCs w:val="28"/>
                <w:highlight w:val="none"/>
              </w:rPr>
              <w:t>，</w:t>
            </w:r>
            <w:r>
              <w:rPr>
                <w:rFonts w:ascii="宋体" w:hAnsi="宋体" w:eastAsia="宋体"/>
                <w:color w:val="000000"/>
                <w:sz w:val="24"/>
                <w:highlight w:val="none"/>
              </w:rPr>
              <w:t>生活污水</w:t>
            </w:r>
            <w:r>
              <w:rPr>
                <w:rFonts w:hint="eastAsia" w:ascii="宋体" w:hAnsi="宋体" w:eastAsia="宋体"/>
                <w:color w:val="000000"/>
                <w:sz w:val="24"/>
                <w:highlight w:val="none"/>
              </w:rPr>
              <w:t>主要</w:t>
            </w:r>
            <w:r>
              <w:rPr>
                <w:rFonts w:ascii="宋体" w:hAnsi="宋体" w:eastAsia="宋体"/>
                <w:color w:val="000000"/>
                <w:sz w:val="24"/>
                <w:highlight w:val="none"/>
              </w:rPr>
              <w:t>为</w:t>
            </w:r>
            <w:r>
              <w:rPr>
                <w:rFonts w:hint="eastAsia" w:ascii="宋体" w:hAnsi="宋体" w:eastAsia="宋体"/>
                <w:color w:val="000000"/>
                <w:sz w:val="24"/>
                <w:highlight w:val="none"/>
                <w:lang w:val="en-US" w:eastAsia="zh-CN"/>
              </w:rPr>
              <w:t>少量</w:t>
            </w:r>
            <w:r>
              <w:rPr>
                <w:rFonts w:ascii="宋体" w:hAnsi="宋体" w:eastAsia="宋体"/>
                <w:color w:val="000000"/>
                <w:sz w:val="24"/>
                <w:highlight w:val="none"/>
              </w:rPr>
              <w:t>盥洗废水，</w:t>
            </w:r>
            <w:r>
              <w:rPr>
                <w:rFonts w:hint="eastAsia" w:ascii="宋体" w:hAnsi="宋体" w:eastAsia="宋体"/>
                <w:color w:val="000000"/>
                <w:sz w:val="24"/>
                <w:highlight w:val="none"/>
                <w:lang w:val="en-US" w:eastAsia="zh-CN"/>
              </w:rPr>
              <w:t>直接泼洒抑尘、不外排，不会对区域水环境造成不利影响</w:t>
            </w:r>
            <w:r>
              <w:rPr>
                <w:rFonts w:hint="default" w:ascii="Times New Roman" w:hAnsi="Times New Roman" w:cs="Times New Roman"/>
                <w:sz w:val="24"/>
              </w:rPr>
              <w:t>。</w:t>
            </w:r>
          </w:p>
          <w:p>
            <w:pPr>
              <w:pStyle w:val="6"/>
              <w:adjustRightInd w:val="0"/>
              <w:spacing w:before="0" w:beforeLines="0" w:after="0" w:afterLines="0" w:line="460" w:lineRule="exact"/>
              <w:ind w:firstLine="0" w:firstLineChars="0"/>
              <w:textAlignment w:val="baseline"/>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3、噪声</w:t>
            </w:r>
          </w:p>
          <w:p>
            <w:pPr>
              <w:pStyle w:val="17"/>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（1）噪声源强及降噪措施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default" w:ascii="Times New Roman" w:hAnsi="Times New Roman" w:eastAsia="宋体" w:cs="Times New Roman"/>
                <w:color w:val="auto"/>
                <w:sz w:val="24"/>
                <w:szCs w:val="24"/>
                <w:highlight w:val="none"/>
                <w:lang w:val="en-US" w:eastAsia="zh-CN"/>
              </w:rPr>
              <w:t>本项目噪声源为主要为</w:t>
            </w:r>
            <w:r>
              <w:rPr>
                <w:rFonts w:hint="eastAsia" w:ascii="Times New Roman" w:hAnsi="Times New Roman" w:eastAsia="宋体" w:cs="Times New Roman"/>
                <w:color w:val="auto"/>
                <w:sz w:val="24"/>
                <w:szCs w:val="24"/>
                <w:highlight w:val="none"/>
                <w:lang w:val="en-US" w:eastAsia="zh-CN"/>
              </w:rPr>
              <w:t>电炉、退火炉、砂处理设备、震击式造型机、滚砂机、混砂机、天车、角磨机、风机、空压机</w:t>
            </w:r>
            <w:r>
              <w:rPr>
                <w:rFonts w:hint="default" w:ascii="Times New Roman" w:hAnsi="Times New Roman" w:eastAsia="宋体" w:cs="Times New Roman"/>
                <w:color w:val="auto"/>
                <w:sz w:val="24"/>
                <w:szCs w:val="24"/>
                <w:highlight w:val="none"/>
                <w:lang w:val="en-US" w:eastAsia="zh-CN"/>
              </w:rPr>
              <w:t>等，源强为</w:t>
            </w:r>
            <w:r>
              <w:rPr>
                <w:rFonts w:hint="eastAsia" w:ascii="Times New Roman" w:hAnsi="Times New Roman" w:eastAsia="宋体" w:cs="Times New Roman"/>
                <w:color w:val="auto"/>
                <w:sz w:val="24"/>
                <w:szCs w:val="24"/>
                <w:highlight w:val="none"/>
                <w:lang w:val="en-US" w:eastAsia="zh-CN"/>
              </w:rPr>
              <w:t>75-</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项目选用低噪声设备，主要产噪设备置于单层彩钢板结构封闭间内，加装减振基础，可综合降噪1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dB（A）。</w:t>
            </w:r>
            <w:r>
              <w:rPr>
                <w:rFonts w:hint="default" w:ascii="Times New Roman" w:hAnsi="Times New Roman" w:eastAsia="宋体" w:cs="Times New Roman"/>
                <w:color w:val="auto"/>
                <w:sz w:val="24"/>
                <w:szCs w:val="24"/>
                <w:highlight w:val="none"/>
                <w:lang w:val="en-US" w:eastAsia="zh-CN"/>
              </w:rPr>
              <w:t>项目以</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val="en-US" w:eastAsia="zh-CN"/>
              </w:rPr>
              <w:t>西南角为坐标原点（0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具体噪声源强及治理措施见下表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1"/>
                <w:szCs w:val="21"/>
                <w:highlight w:val="none"/>
                <w:lang w:val="en-US" w:eastAsia="zh-CN"/>
              </w:rPr>
            </w:pPr>
          </w:p>
        </w:tc>
      </w:tr>
    </w:tbl>
    <w:p>
      <w:pPr>
        <w:rPr>
          <w:rFonts w:hint="default"/>
          <w:color w:val="auto"/>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4"/>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adjustRightInd w:val="0"/>
              <w:snapToGrid w:val="0"/>
              <w:jc w:val="center"/>
              <w:rPr>
                <w:rFonts w:hint="default" w:ascii="Times New Roman" w:hAnsi="Times New Roman" w:cs="Times New Roman"/>
                <w:b w:val="0"/>
                <w:bCs/>
                <w:color w:val="auto"/>
                <w:sz w:val="24"/>
                <w:szCs w:val="24"/>
                <w:highlight w:val="none"/>
              </w:rPr>
            </w:pPr>
            <w:bookmarkStart w:id="19" w:name="_Toc7513"/>
            <w:bookmarkStart w:id="20" w:name="_Toc14698"/>
            <w:r>
              <w:rPr>
                <w:rFonts w:hint="default" w:ascii="Times New Roman" w:hAnsi="Times New Roman" w:cs="Times New Roman"/>
                <w:b w:val="0"/>
                <w:bCs/>
                <w:color w:val="auto"/>
                <w:sz w:val="24"/>
                <w:szCs w:val="24"/>
                <w:highlight w:val="none"/>
              </w:rPr>
              <w:t>运营</w:t>
            </w:r>
          </w:p>
          <w:p>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期环</w:t>
            </w:r>
          </w:p>
          <w:p>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境影</w:t>
            </w:r>
          </w:p>
          <w:p>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响和</w:t>
            </w:r>
          </w:p>
          <w:p>
            <w:pPr>
              <w:adjustRightInd w:val="0"/>
              <w:snapToGrid w:val="0"/>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cs="Times New Roman"/>
                <w:b w:val="0"/>
                <w:bCs/>
                <w:color w:val="auto"/>
                <w:sz w:val="24"/>
                <w:szCs w:val="24"/>
                <w:highlight w:val="none"/>
              </w:rPr>
              <w:t>保护措施</w:t>
            </w:r>
          </w:p>
        </w:tc>
        <w:tc>
          <w:tcPr>
            <w:tcW w:w="12665" w:type="dxa"/>
            <w:vAlign w:val="top"/>
          </w:tcPr>
          <w:p>
            <w:pPr>
              <w:spacing w:line="500" w:lineRule="exact"/>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 xml:space="preserve">35    </w:t>
            </w:r>
            <w:r>
              <w:rPr>
                <w:rFonts w:hint="eastAsia"/>
                <w:b/>
                <w:bCs/>
                <w:color w:val="auto"/>
                <w:sz w:val="24"/>
                <w:szCs w:val="24"/>
                <w:highlight w:val="none"/>
              </w:rPr>
              <w:t xml:space="preserve"> </w:t>
            </w:r>
            <w:r>
              <w:rPr>
                <w:rFonts w:hint="eastAsia"/>
                <w:b/>
                <w:bCs/>
                <w:color w:val="auto"/>
                <w:sz w:val="24"/>
                <w:szCs w:val="24"/>
                <w:highlight w:val="none"/>
                <w:lang w:val="en-US" w:eastAsia="zh-CN"/>
              </w:rPr>
              <w:t>本项目</w:t>
            </w:r>
            <w:r>
              <w:rPr>
                <w:b/>
                <w:bCs/>
                <w:color w:val="auto"/>
                <w:sz w:val="24"/>
                <w:szCs w:val="24"/>
                <w:highlight w:val="none"/>
              </w:rPr>
              <w:t>工业企业噪声源强调查清单（室内声源）</w:t>
            </w:r>
          </w:p>
          <w:tbl>
            <w:tblPr>
              <w:tblStyle w:val="33"/>
              <w:tblW w:w="50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0"/>
              <w:gridCol w:w="959"/>
              <w:gridCol w:w="825"/>
              <w:gridCol w:w="815"/>
              <w:gridCol w:w="852"/>
              <w:gridCol w:w="719"/>
              <w:gridCol w:w="660"/>
              <w:gridCol w:w="650"/>
              <w:gridCol w:w="510"/>
              <w:gridCol w:w="760"/>
              <w:gridCol w:w="980"/>
              <w:gridCol w:w="600"/>
              <w:gridCol w:w="940"/>
              <w:gridCol w:w="920"/>
              <w:gridCol w:w="11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26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建筑物名称</w:t>
                  </w: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声源名称</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型号</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w:t>
                  </w:r>
                  <w:r>
                    <w:rPr>
                      <w:rFonts w:hint="default" w:ascii="Times New Roman" w:hAnsi="Times New Roman" w:cs="Times New Roman"/>
                      <w:color w:val="auto"/>
                      <w:sz w:val="21"/>
                      <w:szCs w:val="21"/>
                      <w:highlight w:val="none"/>
                      <w:lang w:eastAsia="zh-CN"/>
                    </w:rPr>
                    <w:t>压</w:t>
                  </w:r>
                  <w:r>
                    <w:rPr>
                      <w:rFonts w:hint="default" w:ascii="Times New Roman" w:hAnsi="Times New Roman" w:cs="Times New Roman"/>
                      <w:color w:val="auto"/>
                      <w:sz w:val="21"/>
                      <w:szCs w:val="21"/>
                      <w:highlight w:val="none"/>
                    </w:rPr>
                    <w:t>级/dB(A)</w:t>
                  </w:r>
                </w:p>
              </w:tc>
              <w:tc>
                <w:tcPr>
                  <w:tcW w:w="340"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声源控制措施</w:t>
                  </w:r>
                </w:p>
              </w:tc>
              <w:tc>
                <w:tcPr>
                  <w:tcW w:w="810" w:type="pct"/>
                  <w:gridSpan w:val="3"/>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空间相对位置/m</w:t>
                  </w:r>
                </w:p>
              </w:tc>
              <w:tc>
                <w:tcPr>
                  <w:tcW w:w="507" w:type="pct"/>
                  <w:gridSpan w:val="2"/>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距室内边界距离</w:t>
                  </w:r>
                </w:p>
              </w:tc>
              <w:tc>
                <w:tcPr>
                  <w:tcW w:w="391"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室内边界声级/dB(A)</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运行时段</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建筑物插入损失/dB(A)</w:t>
                  </w:r>
                </w:p>
              </w:tc>
              <w:tc>
                <w:tcPr>
                  <w:tcW w:w="815" w:type="pct"/>
                  <w:gridSpan w:val="2"/>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X</w:t>
                  </w:r>
                </w:p>
              </w:tc>
              <w:tc>
                <w:tcPr>
                  <w:tcW w:w="26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Y</w:t>
                  </w:r>
                </w:p>
              </w:tc>
              <w:tc>
                <w:tcPr>
                  <w:tcW w:w="259"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Z</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边界</w:t>
                  </w:r>
                </w:p>
              </w:tc>
              <w:tc>
                <w:tcPr>
                  <w:tcW w:w="3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距离/m</w:t>
                  </w:r>
                </w:p>
              </w:tc>
              <w:tc>
                <w:tcPr>
                  <w:tcW w:w="391"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声压级/dB(A)</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26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生产车间</w:t>
                  </w:r>
                </w:p>
              </w:tc>
              <w:tc>
                <w:tcPr>
                  <w:tcW w:w="383"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1#磁轭钢壳感应电炉</w:t>
                  </w:r>
                </w:p>
              </w:tc>
              <w:tc>
                <w:tcPr>
                  <w:tcW w:w="329"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80</w:t>
                  </w:r>
                </w:p>
              </w:tc>
              <w:tc>
                <w:tcPr>
                  <w:tcW w:w="340"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置于密闭车间内，设备基础安装减振</w:t>
                  </w: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42</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55.5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0000FF"/>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41</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0000FF"/>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0000FF"/>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砂处理设备</w:t>
                  </w:r>
                </w:p>
              </w:tc>
              <w:tc>
                <w:tcPr>
                  <w:tcW w:w="329"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HPX1</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80</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55.5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斗式提升机</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滚砂机</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1021</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29</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碾轮式混砂机</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69.4</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19</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震击式造型机</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80</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29</w:t>
                  </w:r>
                </w:p>
              </w:tc>
              <w:tc>
                <w:tcPr>
                  <w:tcW w:w="259" w:type="pct"/>
                  <w:vMerge w:val="restart"/>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61.9</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57.1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42.1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63"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59" w:type="pct"/>
                  <w:vMerge w:val="continue"/>
                  <w:noWrap w:val="0"/>
                  <w:vAlign w:val="center"/>
                </w:tcPr>
                <w:p>
                  <w:pPr>
                    <w:pStyle w:val="41"/>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21</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53.6</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sz w:val="21"/>
                      <w:szCs w:val="21"/>
                      <w:lang w:val="en-US" w:eastAsia="zh-CN"/>
                    </w:rPr>
                    <w:t>1#</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 w:val="21"/>
                      <w:szCs w:val="21"/>
                      <w:lang w:val="en-US" w:eastAsia="zh-CN"/>
                    </w:rPr>
                    <w:t>2#</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21</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56.9</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 w:val="21"/>
                      <w:szCs w:val="21"/>
                      <w:lang w:val="en-US" w:eastAsia="zh-CN"/>
                    </w:rPr>
                    <w:t>3#</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23</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48.2</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 w:val="21"/>
                      <w:szCs w:val="21"/>
                      <w:lang w:val="en-US" w:eastAsia="zh-CN"/>
                    </w:rPr>
                    <w:t>4#</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46.7</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31.7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 w:val="21"/>
                      <w:szCs w:val="21"/>
                      <w:lang w:val="en-US" w:eastAsia="zh-CN"/>
                    </w:rPr>
                    <w:t>5#</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9</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 w:val="21"/>
                      <w:szCs w:val="21"/>
                      <w:lang w:val="en-US" w:eastAsia="zh-CN"/>
                    </w:rPr>
                    <w:t>6#</w:t>
                  </w:r>
                  <w:r>
                    <w:rPr>
                      <w:rFonts w:hint="default" w:ascii="Times New Roman" w:hAnsi="Times New Roman" w:eastAsia="宋体" w:cs="Times New Roman"/>
                      <w:color w:val="auto"/>
                      <w:sz w:val="21"/>
                      <w:szCs w:val="21"/>
                      <w:highlight w:val="none"/>
                      <w:lang w:val="en-US" w:eastAsia="zh-CN"/>
                    </w:rPr>
                    <w:t>天车</w:t>
                  </w:r>
                </w:p>
              </w:tc>
              <w:tc>
                <w:tcPr>
                  <w:tcW w:w="329" w:type="pct"/>
                  <w:vMerge w:val="restart"/>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23</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snapToGrid w:val="0"/>
                      <w:color w:val="auto"/>
                      <w:kern w:val="0"/>
                      <w:sz w:val="21"/>
                      <w:szCs w:val="21"/>
                      <w:highlight w:val="none"/>
                      <w:lang w:val="en-US" w:eastAsia="zh-CN"/>
                    </w:rPr>
                    <w:t>1#角磨机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27</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68.2</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53.2</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14</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napToGrid w:val="0"/>
                      <w:color w:val="auto"/>
                      <w:kern w:val="0"/>
                      <w:sz w:val="21"/>
                      <w:szCs w:val="21"/>
                      <w:highlight w:val="none"/>
                      <w:lang w:val="en-US" w:eastAsia="zh-CN"/>
                    </w:rPr>
                    <w:t>2#角磨机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napToGrid w:val="0"/>
                      <w:color w:val="auto"/>
                      <w:kern w:val="0"/>
                      <w:sz w:val="21"/>
                      <w:szCs w:val="21"/>
                      <w:highlight w:val="none"/>
                      <w:lang w:val="en-US" w:eastAsia="zh-CN"/>
                    </w:rPr>
                    <w:t>3#角磨机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23</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68.1</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napToGrid w:val="0"/>
                      <w:color w:val="auto"/>
                      <w:kern w:val="0"/>
                      <w:sz w:val="21"/>
                      <w:szCs w:val="21"/>
                      <w:highlight w:val="none"/>
                      <w:lang w:val="en-US" w:eastAsia="zh-CN"/>
                    </w:rPr>
                    <w:t>4#角磨机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napToGrid w:val="0"/>
                      <w:color w:val="auto"/>
                      <w:kern w:val="0"/>
                      <w:sz w:val="21"/>
                      <w:szCs w:val="21"/>
                      <w:highlight w:val="none"/>
                      <w:lang w:val="en-US" w:eastAsia="zh-CN"/>
                    </w:rPr>
                    <w:t>5#角磨机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1#退火炉</w:t>
                  </w:r>
                </w:p>
              </w:tc>
              <w:tc>
                <w:tcPr>
                  <w:tcW w:w="329"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RTP001</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color w:val="auto"/>
                      <w:sz w:val="21"/>
                      <w:szCs w:val="21"/>
                      <w:highlight w:val="none"/>
                      <w:lang w:val="en-US" w:eastAsia="zh-CN"/>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lang w:val="en-US" w:eastAsia="zh-CN"/>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19</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2#退火炉</w:t>
                  </w:r>
                </w:p>
              </w:tc>
              <w:tc>
                <w:tcPr>
                  <w:tcW w:w="329" w:type="pct"/>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RTP001</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62.1</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kinsoku/>
                    <w:wordWrap/>
                    <w:overflowPunct/>
                    <w:topLinePunct w:val="0"/>
                    <w:bidi w:val="0"/>
                    <w:spacing w:line="240" w:lineRule="auto"/>
                    <w:jc w:val="center"/>
                    <w:textAlignment w:val="baseline"/>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66.9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51.9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1#风机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66.5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21</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1#空压机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2#风机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10000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55.5</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23</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2#空压机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33</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65.9</w:t>
                  </w:r>
                </w:p>
              </w:tc>
              <w:tc>
                <w:tcPr>
                  <w:tcW w:w="239"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皮带输送机</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45.5</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17</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50.4</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水环真空泵</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41</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水环真空泵</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39</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38</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43.4</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54.2</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27</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水环真空泵</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37</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水环真空泵</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36</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44.1</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52.1</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37.1</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29</w:t>
                  </w: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水环真空泵</w:t>
                  </w:r>
                </w:p>
              </w:tc>
              <w:tc>
                <w:tcPr>
                  <w:tcW w:w="32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32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28</w:t>
                  </w:r>
                </w:p>
              </w:tc>
              <w:tc>
                <w:tcPr>
                  <w:tcW w:w="263"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34</w:t>
                  </w:r>
                </w:p>
              </w:tc>
              <w:tc>
                <w:tcPr>
                  <w:tcW w:w="259" w:type="pct"/>
                  <w:vMerge w:val="restar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东</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239"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昼间</w:t>
                  </w:r>
                </w:p>
              </w:tc>
              <w:tc>
                <w:tcPr>
                  <w:tcW w:w="375" w:type="pct"/>
                  <w:vMerge w:val="restart"/>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15</w:t>
                  </w: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44.6</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29.6</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西</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6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83"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2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40"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287"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63"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203" w:type="pct"/>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北</w:t>
                  </w:r>
                </w:p>
              </w:tc>
              <w:tc>
                <w:tcPr>
                  <w:tcW w:w="303"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391"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239"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75" w:type="pct"/>
                  <w:vMerge w:val="continue"/>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367" w:type="pct"/>
                  <w:noWrap w:val="0"/>
                  <w:vAlign w:val="center"/>
                </w:tcPr>
                <w:p>
                  <w:pPr>
                    <w:keepNext w:val="0"/>
                    <w:keepLines w:val="0"/>
                    <w:widowControl/>
                    <w:suppressLineNumbers w:val="0"/>
                    <w:spacing w:line="240" w:lineRule="auto"/>
                    <w:jc w:val="center"/>
                    <w:textAlignment w:val="bottom"/>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448" w:type="pct"/>
                  <w:tcBorders>
                    <w:right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w:t>
                  </w:r>
                </w:p>
              </w:tc>
            </w:tr>
          </w:tbl>
          <w:p>
            <w:pPr>
              <w:spacing w:line="500" w:lineRule="exact"/>
              <w:jc w:val="center"/>
              <w:rPr>
                <w:b/>
                <w:bCs/>
                <w:color w:val="auto"/>
                <w:sz w:val="24"/>
                <w:szCs w:val="24"/>
                <w:highlight w:val="none"/>
              </w:rPr>
            </w:pPr>
          </w:p>
          <w:p>
            <w:pPr>
              <w:spacing w:line="500" w:lineRule="exact"/>
              <w:jc w:val="center"/>
              <w:rPr>
                <w:b/>
                <w:bCs/>
                <w:color w:val="auto"/>
                <w:sz w:val="24"/>
                <w:szCs w:val="24"/>
                <w:highlight w:val="none"/>
              </w:rPr>
            </w:pPr>
          </w:p>
          <w:p>
            <w:pPr>
              <w:spacing w:line="500" w:lineRule="exact"/>
              <w:jc w:val="center"/>
              <w:rPr>
                <w:b/>
                <w:bCs/>
                <w:color w:val="auto"/>
                <w:sz w:val="24"/>
                <w:szCs w:val="24"/>
                <w:highlight w:val="none"/>
              </w:rPr>
            </w:pPr>
          </w:p>
          <w:p>
            <w:pPr>
              <w:spacing w:line="500" w:lineRule="exact"/>
              <w:jc w:val="center"/>
              <w:rPr>
                <w:b/>
                <w:bCs/>
                <w:color w:val="auto"/>
                <w:sz w:val="24"/>
                <w:szCs w:val="24"/>
                <w:highlight w:val="none"/>
              </w:rPr>
            </w:pPr>
          </w:p>
          <w:p>
            <w:pPr>
              <w:spacing w:line="500" w:lineRule="exact"/>
              <w:jc w:val="center"/>
              <w:rPr>
                <w:b/>
                <w:bCs/>
                <w:color w:val="auto"/>
                <w:sz w:val="24"/>
                <w:szCs w:val="24"/>
                <w:highlight w:val="none"/>
              </w:rPr>
            </w:pPr>
          </w:p>
          <w:p>
            <w:pPr>
              <w:spacing w:line="500" w:lineRule="exact"/>
              <w:jc w:val="center"/>
              <w:rPr>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color w:val="auto"/>
                <w:sz w:val="24"/>
                <w:szCs w:val="24"/>
                <w:highlight w:val="none"/>
              </w:rPr>
            </w:pPr>
          </w:p>
          <w:p>
            <w:pPr>
              <w:rPr>
                <w:rFonts w:hint="default"/>
                <w:color w:val="auto"/>
                <w:highlight w:val="none"/>
                <w:lang w:val="en-US" w:eastAsia="zh-CN"/>
              </w:rPr>
            </w:pPr>
          </w:p>
        </w:tc>
      </w:tr>
    </w:tbl>
    <w:p>
      <w:pPr>
        <w:pStyle w:val="30"/>
        <w:jc w:val="center"/>
        <w:outlineLvl w:val="0"/>
        <w:rPr>
          <w:rFonts w:hint="default" w:ascii="Times New Roman" w:hAnsi="Times New Roman" w:eastAsia="黑体" w:cs="Times New Roman"/>
          <w:snapToGrid w:val="0"/>
          <w:color w:val="auto"/>
          <w:sz w:val="30"/>
          <w:szCs w:val="30"/>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pStyle w:val="30"/>
              <w:jc w:val="center"/>
              <w:outlineLvl w:val="0"/>
              <w:rPr>
                <w:rFonts w:hint="default" w:ascii="Times New Roman" w:hAnsi="Times New Roman" w:eastAsia="黑体" w:cs="Times New Roman"/>
                <w:snapToGrid w:val="0"/>
                <w:color w:val="auto"/>
                <w:sz w:val="30"/>
                <w:szCs w:val="30"/>
                <w:highlight w:val="none"/>
                <w:vertAlign w:val="baseline"/>
              </w:rPr>
            </w:pPr>
          </w:p>
        </w:tc>
        <w:tc>
          <w:tcPr>
            <w:tcW w:w="8381" w:type="dxa"/>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keepNext w:val="0"/>
              <w:keepLines w:val="0"/>
              <w:pageBreakBefore w:val="0"/>
              <w:widowControl w:val="0"/>
              <w:kinsoku/>
              <w:wordWrap/>
              <w:overflowPunct/>
              <w:topLinePunct w:val="0"/>
              <w:autoSpaceDE/>
              <w:autoSpaceDN/>
              <w:bidi w:val="0"/>
              <w:adjustRightInd/>
              <w:snapToGrid/>
              <w:spacing w:line="500" w:lineRule="exact"/>
              <w:ind w:firstLine="1687" w:firstLineChars="7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36</w:t>
            </w:r>
            <w:r>
              <w:rPr>
                <w:rFonts w:hint="default" w:ascii="Times New Roman" w:hAnsi="Times New Roman" w:eastAsia="宋体" w:cs="Times New Roman"/>
                <w:b/>
                <w:bCs/>
                <w:color w:val="auto"/>
                <w:sz w:val="24"/>
                <w:szCs w:val="24"/>
                <w:highlight w:val="none"/>
              </w:rPr>
              <w:t xml:space="preserve">  厂界噪声贡献值预测结果    单位：dB(A)</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1420"/>
              <w:gridCol w:w="1064"/>
              <w:gridCol w:w="1162"/>
              <w:gridCol w:w="1160"/>
              <w:gridCol w:w="1061"/>
              <w:gridCol w:w="1144"/>
              <w:gridCol w:w="11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预测点</w:t>
                  </w:r>
                </w:p>
              </w:tc>
              <w:tc>
                <w:tcPr>
                  <w:tcW w:w="136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1365"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标准值</w:t>
                  </w:r>
                </w:p>
              </w:tc>
              <w:tc>
                <w:tcPr>
                  <w:tcW w:w="1392"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5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7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1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65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6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东</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58.6</w:t>
                  </w:r>
                </w:p>
              </w:tc>
              <w:tc>
                <w:tcPr>
                  <w:tcW w:w="7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60</w:t>
                  </w:r>
                </w:p>
              </w:tc>
              <w:tc>
                <w:tcPr>
                  <w:tcW w:w="65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7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52.0</w:t>
                  </w:r>
                </w:p>
              </w:tc>
              <w:tc>
                <w:tcPr>
                  <w:tcW w:w="7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65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7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西</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54.3</w:t>
                  </w:r>
                </w:p>
              </w:tc>
              <w:tc>
                <w:tcPr>
                  <w:tcW w:w="7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65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7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57.3</w:t>
                  </w:r>
                </w:p>
              </w:tc>
              <w:tc>
                <w:tcPr>
                  <w:tcW w:w="7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60</w:t>
                  </w:r>
                </w:p>
              </w:tc>
              <w:tc>
                <w:tcPr>
                  <w:tcW w:w="65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c>
                <w:tcPr>
                  <w:tcW w:w="7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昼间</w:t>
            </w:r>
            <w:r>
              <w:rPr>
                <w:rFonts w:hint="default" w:ascii="Times New Roman" w:hAnsi="Times New Roman" w:eastAsia="宋体" w:cs="Times New Roman"/>
                <w:color w:val="auto"/>
                <w:sz w:val="24"/>
                <w:szCs w:val="24"/>
                <w:lang w:val="zh-CN"/>
              </w:rPr>
              <w:t>噪声为</w:t>
            </w:r>
            <w:r>
              <w:rPr>
                <w:rFonts w:hint="eastAsia" w:cs="Times New Roman"/>
                <w:color w:val="auto"/>
                <w:sz w:val="24"/>
                <w:szCs w:val="24"/>
                <w:lang w:val="en-US" w:eastAsia="zh-CN"/>
              </w:rPr>
              <w:t>52.0~58.6</w:t>
            </w:r>
            <w:r>
              <w:rPr>
                <w:rFonts w:hint="default" w:ascii="Times New Roman" w:hAnsi="Times New Roman" w:eastAsia="宋体" w:cs="Times New Roman"/>
                <w:color w:val="auto"/>
                <w:sz w:val="24"/>
                <w:szCs w:val="24"/>
                <w:lang w:val="zh-CN"/>
              </w:rPr>
              <w:t>dB（A），夜间</w:t>
            </w:r>
            <w:r>
              <w:rPr>
                <w:rFonts w:hint="eastAsia" w:cs="Times New Roman"/>
                <w:color w:val="auto"/>
                <w:sz w:val="24"/>
                <w:szCs w:val="24"/>
                <w:lang w:val="en-US" w:eastAsia="zh-CN"/>
              </w:rPr>
              <w:t>不生产</w:t>
            </w:r>
            <w:r>
              <w:rPr>
                <w:rFonts w:hint="default" w:ascii="Times New Roman" w:hAnsi="Times New Roman" w:eastAsia="宋体" w:cs="Times New Roman"/>
                <w:color w:val="auto"/>
                <w:sz w:val="24"/>
                <w:szCs w:val="24"/>
                <w:lang w:val="zh-CN"/>
              </w:rPr>
              <w:t>，</w:t>
            </w:r>
            <w:r>
              <w:rPr>
                <w:rFonts w:hint="eastAsia" w:cs="Times New Roman"/>
                <w:color w:val="auto"/>
                <w:sz w:val="24"/>
                <w:szCs w:val="24"/>
                <w:lang w:val="en-US" w:eastAsia="zh-CN"/>
              </w:rPr>
              <w:t>四周厂界噪声</w:t>
            </w:r>
            <w:r>
              <w:rPr>
                <w:rFonts w:hint="default" w:ascii="Times New Roman" w:hAnsi="Times New Roman" w:eastAsia="宋体" w:cs="Times New Roman"/>
                <w:color w:val="auto"/>
                <w:sz w:val="24"/>
                <w:szCs w:val="24"/>
                <w:lang w:val="zh-CN"/>
              </w:rPr>
              <w:t>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标准</w:t>
            </w:r>
            <w:r>
              <w:rPr>
                <w:rFonts w:hint="default" w:ascii="Times New Roman" w:hAnsi="Times New Roman" w:eastAsia="宋体" w:cs="Times New Roman"/>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噪声监测计划</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本项目噪声监测计划一览表见</w:t>
            </w:r>
            <w:r>
              <w:rPr>
                <w:rFonts w:hint="eastAsia"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2606" w:firstLineChars="11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lang w:val="en-US" w:eastAsia="zh-CN"/>
              </w:rPr>
              <w:t>表</w:t>
            </w:r>
            <w:r>
              <w:rPr>
                <w:rFonts w:hint="eastAsia" w:cs="Times New Roman"/>
                <w:b/>
                <w:bCs/>
                <w:color w:val="auto"/>
                <w:spacing w:val="-2"/>
                <w:sz w:val="24"/>
                <w:szCs w:val="24"/>
                <w:highlight w:val="none"/>
                <w:lang w:val="en-US" w:eastAsia="zh-CN"/>
              </w:rPr>
              <w:t>37</w:t>
            </w:r>
            <w:r>
              <w:rPr>
                <w:rFonts w:hint="default" w:ascii="Times New Roman" w:hAnsi="Times New Roman" w:eastAsia="宋体" w:cs="Times New Roman"/>
                <w:b/>
                <w:bCs/>
                <w:color w:val="auto"/>
                <w:spacing w:val="-2"/>
                <w:sz w:val="24"/>
                <w:szCs w:val="24"/>
                <w:highlight w:val="none"/>
                <w:lang w:val="en-US" w:eastAsia="zh-CN"/>
              </w:rPr>
              <w:t xml:space="preserve">   本项目噪声</w:t>
            </w:r>
            <w:r>
              <w:rPr>
                <w:rFonts w:hint="default" w:ascii="Times New Roman" w:hAnsi="Times New Roman" w:eastAsia="宋体" w:cs="Times New Roman"/>
                <w:b/>
                <w:bCs/>
                <w:color w:val="auto"/>
                <w:spacing w:val="-2"/>
                <w:sz w:val="24"/>
                <w:szCs w:val="24"/>
                <w:highlight w:val="none"/>
              </w:rPr>
              <w:t>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监测点位</w:t>
                  </w:r>
                </w:p>
              </w:tc>
              <w:tc>
                <w:tcPr>
                  <w:tcW w:w="14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监测因子</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监测频次</w:t>
                  </w:r>
                </w:p>
              </w:tc>
              <w:tc>
                <w:tcPr>
                  <w:tcW w:w="3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厂界外1m处</w:t>
                  </w:r>
                </w:p>
              </w:tc>
              <w:tc>
                <w:tcPr>
                  <w:tcW w:w="14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等效连续A声级</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lang w:val="en-US" w:eastAsia="zh-CN"/>
                    </w:rPr>
                    <w:t>次/</w:t>
                  </w:r>
                  <w:r>
                    <w:rPr>
                      <w:rFonts w:hint="eastAsia" w:ascii="Times New Roman" w:hAnsi="Times New Roman" w:eastAsia="宋体" w:cs="Times New Roman"/>
                      <w:b w:val="0"/>
                      <w:bCs/>
                      <w:color w:val="auto"/>
                      <w:sz w:val="21"/>
                      <w:szCs w:val="21"/>
                      <w:highlight w:val="none"/>
                      <w:vertAlign w:val="baseline"/>
                      <w:lang w:val="en-US" w:eastAsia="zh-CN"/>
                    </w:rPr>
                    <w:t>季度</w:t>
                  </w:r>
                </w:p>
              </w:tc>
              <w:tc>
                <w:tcPr>
                  <w:tcW w:w="3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类标准限值要求</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highlight w:val="none"/>
              </w:rPr>
            </w:pPr>
            <w:r>
              <w:rPr>
                <w:rFonts w:hint="eastAsia"/>
                <w:b/>
                <w:bCs/>
                <w:color w:val="auto"/>
                <w:sz w:val="24"/>
                <w:szCs w:val="24"/>
                <w:highlight w:val="none"/>
              </w:rPr>
              <w:t>4、固体废物</w:t>
            </w:r>
          </w:p>
          <w:p>
            <w:pPr>
              <w:spacing w:line="480" w:lineRule="exact"/>
              <w:ind w:firstLine="480" w:firstLineChars="200"/>
              <w:rPr>
                <w:bCs/>
                <w:color w:val="auto"/>
                <w:sz w:val="24"/>
                <w:highlight w:val="none"/>
              </w:rPr>
            </w:pPr>
            <w:bookmarkStart w:id="21" w:name="_Hlk27474609"/>
            <w:r>
              <w:rPr>
                <w:bCs/>
                <w:color w:val="auto"/>
                <w:sz w:val="24"/>
                <w:highlight w:val="none"/>
              </w:rPr>
              <w:t>（1）固废产生及</w:t>
            </w:r>
            <w:r>
              <w:rPr>
                <w:color w:val="auto"/>
                <w:sz w:val="24"/>
                <w:highlight w:val="none"/>
              </w:rPr>
              <w:t>及治理情况</w:t>
            </w:r>
          </w:p>
          <w:p>
            <w:pPr>
              <w:spacing w:line="480" w:lineRule="exact"/>
              <w:ind w:firstLine="480" w:firstLineChars="200"/>
              <w:rPr>
                <w:rFonts w:hint="eastAsia"/>
                <w:bCs/>
                <w:color w:val="auto"/>
                <w:sz w:val="24"/>
                <w:highlight w:val="none"/>
                <w:lang w:eastAsia="zh-CN"/>
              </w:rPr>
            </w:pPr>
            <w:r>
              <w:rPr>
                <w:bCs/>
                <w:color w:val="auto"/>
                <w:sz w:val="24"/>
                <w:highlight w:val="none"/>
              </w:rPr>
              <w:t>项目</w:t>
            </w:r>
            <w:r>
              <w:rPr>
                <w:rFonts w:hint="eastAsia"/>
                <w:bCs/>
                <w:color w:val="auto"/>
                <w:sz w:val="24"/>
                <w:highlight w:val="none"/>
              </w:rPr>
              <w:t>产生的一般工业固体废物主要为</w:t>
            </w:r>
            <w:r>
              <w:rPr>
                <w:rFonts w:hint="eastAsia"/>
                <w:bCs/>
                <w:color w:val="auto"/>
                <w:sz w:val="24"/>
                <w:highlight w:val="none"/>
                <w:lang w:val="en-US" w:eastAsia="zh-CN"/>
              </w:rPr>
              <w:t>除尘灰约39.482t/a外售综合利用、熔炼渣65t/a外售综合利用</w:t>
            </w:r>
            <w:r>
              <w:rPr>
                <w:rFonts w:hint="eastAsia"/>
                <w:bCs/>
                <w:color w:val="auto"/>
                <w:sz w:val="24"/>
                <w:highlight w:val="none"/>
                <w:lang w:eastAsia="zh-CN"/>
              </w:rPr>
              <w:t>，</w:t>
            </w:r>
            <w:r>
              <w:rPr>
                <w:rFonts w:hint="eastAsia"/>
                <w:bCs/>
                <w:color w:val="auto"/>
                <w:sz w:val="24"/>
                <w:highlight w:val="none"/>
                <w:lang w:val="en-US" w:eastAsia="zh-CN"/>
              </w:rPr>
              <w:t>切冒口及砂处理磁选出废铁40t/a回用于生产，砂处理产生的废砂147.1688t/a定期由厂家回收利用，废布袋</w:t>
            </w:r>
            <w:r>
              <w:rPr>
                <w:rFonts w:hint="eastAsia"/>
                <w:bCs/>
                <w:color w:val="auto"/>
                <w:sz w:val="24"/>
                <w:highlight w:val="none"/>
              </w:rPr>
              <w:t>产生量为</w:t>
            </w:r>
            <w:r>
              <w:rPr>
                <w:rFonts w:hint="eastAsia"/>
                <w:bCs/>
                <w:color w:val="auto"/>
                <w:sz w:val="24"/>
                <w:highlight w:val="none"/>
                <w:lang w:val="en-US" w:eastAsia="zh-CN"/>
              </w:rPr>
              <w:t>0.05</w:t>
            </w:r>
            <w:r>
              <w:rPr>
                <w:rFonts w:hint="eastAsia"/>
                <w:bCs/>
                <w:color w:val="auto"/>
                <w:sz w:val="24"/>
                <w:highlight w:val="none"/>
              </w:rPr>
              <w:t>t/a</w:t>
            </w:r>
            <w:r>
              <w:rPr>
                <w:rFonts w:hint="eastAsia"/>
                <w:bCs/>
                <w:color w:val="auto"/>
                <w:sz w:val="24"/>
                <w:highlight w:val="none"/>
                <w:lang w:val="en-US" w:eastAsia="zh-CN"/>
              </w:rPr>
              <w:t>定期由厂家回收利用</w:t>
            </w:r>
            <w:r>
              <w:rPr>
                <w:rFonts w:hint="eastAsia"/>
                <w:bCs/>
                <w:color w:val="auto"/>
                <w:sz w:val="24"/>
                <w:highlight w:val="none"/>
                <w:lang w:eastAsia="zh-CN"/>
              </w:rPr>
              <w:t>。</w:t>
            </w:r>
          </w:p>
          <w:p>
            <w:pPr>
              <w:spacing w:line="480" w:lineRule="exact"/>
              <w:ind w:firstLine="480" w:firstLineChars="200"/>
              <w:rPr>
                <w:rFonts w:hint="eastAsia"/>
                <w:bCs/>
                <w:color w:val="auto"/>
                <w:sz w:val="24"/>
                <w:highlight w:val="none"/>
                <w:lang w:eastAsia="zh-CN"/>
              </w:rPr>
            </w:pPr>
            <w:r>
              <w:rPr>
                <w:rFonts w:hint="eastAsia"/>
                <w:bCs/>
                <w:color w:val="auto"/>
                <w:sz w:val="24"/>
                <w:highlight w:val="none"/>
                <w:lang w:val="en-US" w:eastAsia="zh-CN"/>
              </w:rPr>
              <w:t>产生的危险废物主要为</w:t>
            </w:r>
            <w:r>
              <w:rPr>
                <w:rFonts w:hint="eastAsia"/>
                <w:bCs/>
                <w:color w:val="auto"/>
                <w:sz w:val="24"/>
                <w:highlight w:val="none"/>
              </w:rPr>
              <w:t>废</w:t>
            </w:r>
            <w:r>
              <w:rPr>
                <w:rFonts w:hint="default" w:ascii="Times New Roman" w:hAnsi="Times New Roman" w:eastAsia="宋体" w:cs="Times New Roman"/>
                <w:color w:val="auto"/>
                <w:sz w:val="24"/>
                <w:szCs w:val="24"/>
                <w:highlight w:val="none"/>
                <w:lang w:val="en-US" w:eastAsia="zh-CN"/>
              </w:rPr>
              <w:t>矿物油</w:t>
            </w:r>
            <w:r>
              <w:rPr>
                <w:rFonts w:hint="eastAsia"/>
                <w:bCs/>
                <w:color w:val="auto"/>
                <w:sz w:val="24"/>
                <w:highlight w:val="none"/>
              </w:rPr>
              <w:t>产生量</w:t>
            </w:r>
            <w:r>
              <w:rPr>
                <w:rFonts w:hint="eastAsia"/>
                <w:bCs/>
                <w:color w:val="auto"/>
                <w:sz w:val="24"/>
                <w:highlight w:val="none"/>
                <w:lang w:val="en-US" w:eastAsia="zh-CN"/>
              </w:rPr>
              <w:t>0.1</w:t>
            </w:r>
            <w:r>
              <w:rPr>
                <w:rFonts w:hint="eastAsia"/>
                <w:bCs/>
                <w:color w:val="auto"/>
                <w:sz w:val="24"/>
                <w:highlight w:val="none"/>
              </w:rPr>
              <w:t>t/a，废</w:t>
            </w:r>
            <w:r>
              <w:rPr>
                <w:rFonts w:hint="eastAsia"/>
                <w:bCs/>
                <w:color w:val="auto"/>
                <w:sz w:val="24"/>
                <w:highlight w:val="none"/>
                <w:lang w:val="en-US" w:eastAsia="zh-CN"/>
              </w:rPr>
              <w:t>油桶</w:t>
            </w:r>
            <w:r>
              <w:rPr>
                <w:rFonts w:hint="eastAsia"/>
                <w:bCs/>
                <w:color w:val="auto"/>
                <w:sz w:val="24"/>
                <w:highlight w:val="none"/>
              </w:rPr>
              <w:t>产生量</w:t>
            </w:r>
            <w:r>
              <w:rPr>
                <w:rFonts w:hint="eastAsia"/>
                <w:bCs/>
                <w:color w:val="auto"/>
                <w:sz w:val="24"/>
                <w:highlight w:val="none"/>
                <w:lang w:val="en-US" w:eastAsia="zh-CN"/>
              </w:rPr>
              <w:t>0.06</w:t>
            </w:r>
            <w:r>
              <w:rPr>
                <w:rFonts w:hint="eastAsia"/>
                <w:bCs/>
                <w:color w:val="auto"/>
                <w:sz w:val="24"/>
                <w:highlight w:val="none"/>
              </w:rPr>
              <w:t>t/a，属于HW08类危险废物，</w:t>
            </w:r>
            <w:r>
              <w:rPr>
                <w:rFonts w:hint="eastAsia"/>
                <w:bCs/>
                <w:color w:val="auto"/>
                <w:sz w:val="24"/>
                <w:highlight w:val="none"/>
                <w:lang w:val="en-US" w:eastAsia="zh-CN"/>
              </w:rPr>
              <w:t>暂存于危险废物暂存间，定期委托</w:t>
            </w:r>
            <w:r>
              <w:rPr>
                <w:rFonts w:hint="eastAsia"/>
                <w:bCs/>
                <w:color w:val="auto"/>
                <w:sz w:val="24"/>
                <w:highlight w:val="none"/>
              </w:rPr>
              <w:t>有资质单位处置</w:t>
            </w:r>
            <w:r>
              <w:rPr>
                <w:rFonts w:hint="eastAsia"/>
                <w:bCs/>
                <w:color w:val="auto"/>
                <w:sz w:val="24"/>
                <w:highlight w:val="none"/>
                <w:lang w:eastAsia="zh-CN"/>
              </w:rPr>
              <w:t>。</w:t>
            </w:r>
          </w:p>
          <w:p>
            <w:pPr>
              <w:spacing w:line="480" w:lineRule="exact"/>
              <w:ind w:firstLine="480" w:firstLineChars="200"/>
              <w:rPr>
                <w:bCs/>
                <w:color w:val="auto"/>
                <w:sz w:val="24"/>
                <w:highlight w:val="none"/>
              </w:rPr>
            </w:pPr>
            <w:r>
              <w:rPr>
                <w:rFonts w:hint="eastAsia"/>
                <w:bCs/>
                <w:color w:val="auto"/>
                <w:sz w:val="24"/>
                <w:highlight w:val="none"/>
              </w:rPr>
              <w:t>职工生活垃圾产生量</w:t>
            </w:r>
            <w:r>
              <w:rPr>
                <w:rFonts w:hint="eastAsia"/>
                <w:bCs/>
                <w:color w:val="auto"/>
                <w:sz w:val="24"/>
                <w:highlight w:val="none"/>
                <w:lang w:val="en-US" w:eastAsia="zh-CN"/>
              </w:rPr>
              <w:t>3</w:t>
            </w:r>
            <w:r>
              <w:rPr>
                <w:rFonts w:hint="eastAsia"/>
                <w:bCs/>
                <w:color w:val="auto"/>
                <w:sz w:val="24"/>
                <w:highlight w:val="none"/>
              </w:rPr>
              <w:t>t/a，</w:t>
            </w:r>
            <w:r>
              <w:rPr>
                <w:rFonts w:hint="eastAsia"/>
                <w:bCs/>
                <w:color w:val="auto"/>
                <w:sz w:val="24"/>
                <w:highlight w:val="none"/>
                <w:lang w:val="en-US" w:eastAsia="zh-CN"/>
              </w:rPr>
              <w:t>集中收集后</w:t>
            </w:r>
            <w:r>
              <w:rPr>
                <w:bCs/>
                <w:color w:val="auto"/>
                <w:sz w:val="24"/>
                <w:highlight w:val="none"/>
              </w:rPr>
              <w:t>由环卫部门定期清运</w:t>
            </w:r>
            <w:r>
              <w:rPr>
                <w:rFonts w:hint="eastAsia"/>
                <w:bCs/>
                <w:color w:val="auto"/>
                <w:sz w:val="24"/>
                <w:highlight w:val="none"/>
              </w:rPr>
              <w:t>。</w:t>
            </w:r>
          </w:p>
          <w:p>
            <w:pPr>
              <w:spacing w:line="480" w:lineRule="exact"/>
              <w:ind w:firstLine="480" w:firstLineChars="200"/>
              <w:rPr>
                <w:rFonts w:hint="default" w:ascii="Times New Roman" w:hAnsi="Times New Roman" w:eastAsia="宋体" w:cs="Times New Roman"/>
                <w:bCs/>
                <w:color w:val="auto"/>
                <w:sz w:val="24"/>
                <w:highlight w:val="none"/>
                <w:lang w:val="en-US" w:eastAsia="zh-CN"/>
              </w:rPr>
            </w:pPr>
            <w:r>
              <w:rPr>
                <w:rFonts w:ascii="Times New Roman" w:hAnsi="Times New Roman" w:eastAsia="宋体" w:cs="Times New Roman"/>
                <w:bCs/>
                <w:color w:val="auto"/>
                <w:sz w:val="24"/>
                <w:highlight w:val="none"/>
              </w:rPr>
              <w:t>固体废物产生量及处置措施</w:t>
            </w:r>
            <w:r>
              <w:rPr>
                <w:rFonts w:hint="eastAsia" w:ascii="Times New Roman" w:hAnsi="Times New Roman" w:eastAsia="宋体" w:cs="Times New Roman"/>
                <w:bCs/>
                <w:color w:val="auto"/>
                <w:sz w:val="24"/>
                <w:highlight w:val="none"/>
                <w:lang w:val="en-US" w:eastAsia="zh-CN"/>
              </w:rPr>
              <w:t>情况见下表</w:t>
            </w:r>
            <w:r>
              <w:rPr>
                <w:rFonts w:hint="eastAsia" w:cs="Times New Roman"/>
                <w:bCs/>
                <w:color w:val="auto"/>
                <w:sz w:val="24"/>
                <w:highlight w:val="none"/>
                <w:lang w:val="en-US" w:eastAsia="zh-CN"/>
              </w:rPr>
              <w:t>38</w:t>
            </w:r>
            <w:r>
              <w:rPr>
                <w:rFonts w:hint="eastAsia" w:ascii="Times New Roman" w:hAnsi="Times New Roman" w:eastAsia="宋体" w:cs="Times New Roman"/>
                <w:bCs/>
                <w:color w:val="auto"/>
                <w:sz w:val="24"/>
                <w:highlight w:val="none"/>
                <w:lang w:val="en-US" w:eastAsia="zh-CN"/>
              </w:rPr>
              <w:t>。</w:t>
            </w:r>
          </w:p>
          <w:bookmarkEnd w:id="21"/>
          <w:p>
            <w:pPr>
              <w:spacing w:line="480" w:lineRule="exact"/>
              <w:jc w:val="center"/>
              <w:rPr>
                <w:b/>
                <w:bCs/>
                <w:snapToGrid w:val="0"/>
                <w:color w:val="auto"/>
                <w:sz w:val="24"/>
                <w:highlight w:val="none"/>
              </w:rPr>
            </w:pPr>
            <w:bookmarkStart w:id="22" w:name="_Hlk27474644"/>
          </w:p>
          <w:p>
            <w:pPr>
              <w:spacing w:line="480" w:lineRule="exact"/>
              <w:jc w:val="center"/>
              <w:rPr>
                <w:highlight w:val="none"/>
              </w:rPr>
            </w:pPr>
            <w:r>
              <w:rPr>
                <w:b/>
                <w:bCs/>
                <w:snapToGrid w:val="0"/>
                <w:color w:val="auto"/>
                <w:sz w:val="24"/>
                <w:highlight w:val="none"/>
              </w:rPr>
              <w:t>表</w:t>
            </w:r>
            <w:r>
              <w:rPr>
                <w:rFonts w:hint="eastAsia"/>
                <w:b/>
                <w:bCs/>
                <w:snapToGrid w:val="0"/>
                <w:color w:val="auto"/>
                <w:sz w:val="24"/>
                <w:highlight w:val="none"/>
                <w:lang w:val="en-US" w:eastAsia="zh-CN"/>
              </w:rPr>
              <w:t xml:space="preserve">38   </w:t>
            </w:r>
            <w:r>
              <w:rPr>
                <w:b/>
                <w:bCs/>
                <w:snapToGrid w:val="0"/>
                <w:color w:val="auto"/>
                <w:sz w:val="24"/>
                <w:highlight w:val="none"/>
              </w:rPr>
              <w:t>固体废物产生量及处置措施一览表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431"/>
              <w:gridCol w:w="594"/>
              <w:gridCol w:w="1794"/>
              <w:gridCol w:w="923"/>
              <w:gridCol w:w="438"/>
              <w:gridCol w:w="597"/>
              <w:gridCol w:w="902"/>
              <w:gridCol w:w="438"/>
              <w:gridCol w:w="517"/>
              <w:gridCol w:w="629"/>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334" w:type="pct"/>
                  <w:noWrap w:val="0"/>
                  <w:vAlign w:val="center"/>
                </w:tcPr>
                <w:p>
                  <w:pPr>
                    <w:adjustRightInd w:val="0"/>
                    <w:contextualSpacing/>
                    <w:jc w:val="center"/>
                    <w:rPr>
                      <w:color w:val="auto"/>
                      <w:szCs w:val="21"/>
                      <w:highlight w:val="none"/>
                    </w:rPr>
                  </w:pPr>
                  <w:r>
                    <w:rPr>
                      <w:color w:val="auto"/>
                      <w:szCs w:val="21"/>
                      <w:highlight w:val="none"/>
                    </w:rPr>
                    <w:t>产生环节</w:t>
                  </w:r>
                </w:p>
              </w:tc>
              <w:tc>
                <w:tcPr>
                  <w:tcW w:w="434" w:type="pct"/>
                  <w:noWrap w:val="0"/>
                  <w:vAlign w:val="center"/>
                </w:tcPr>
                <w:p>
                  <w:pPr>
                    <w:adjustRightInd w:val="0"/>
                    <w:contextualSpacing/>
                    <w:jc w:val="center"/>
                    <w:rPr>
                      <w:color w:val="auto"/>
                      <w:szCs w:val="21"/>
                      <w:highlight w:val="none"/>
                    </w:rPr>
                  </w:pPr>
                  <w:r>
                    <w:rPr>
                      <w:color w:val="auto"/>
                      <w:szCs w:val="21"/>
                      <w:highlight w:val="none"/>
                    </w:rPr>
                    <w:t>固体废物名称</w:t>
                  </w:r>
                </w:p>
              </w:tc>
              <w:tc>
                <w:tcPr>
                  <w:tcW w:w="706" w:type="pct"/>
                  <w:noWrap w:val="0"/>
                  <w:vAlign w:val="center"/>
                </w:tcPr>
                <w:p>
                  <w:pPr>
                    <w:adjustRightInd w:val="0"/>
                    <w:contextualSpacing/>
                    <w:jc w:val="center"/>
                    <w:rPr>
                      <w:color w:val="auto"/>
                      <w:szCs w:val="21"/>
                      <w:highlight w:val="none"/>
                    </w:rPr>
                  </w:pPr>
                  <w:r>
                    <w:rPr>
                      <w:color w:val="auto"/>
                      <w:szCs w:val="21"/>
                      <w:highlight w:val="none"/>
                    </w:rPr>
                    <w:t>属性</w:t>
                  </w:r>
                </w:p>
              </w:tc>
              <w:tc>
                <w:tcPr>
                  <w:tcW w:w="635" w:type="pct"/>
                  <w:noWrap w:val="0"/>
                  <w:vAlign w:val="center"/>
                </w:tcPr>
                <w:p>
                  <w:pPr>
                    <w:adjustRightInd w:val="0"/>
                    <w:contextualSpacing/>
                    <w:jc w:val="center"/>
                    <w:rPr>
                      <w:color w:val="auto"/>
                      <w:szCs w:val="21"/>
                      <w:highlight w:val="none"/>
                    </w:rPr>
                  </w:pPr>
                  <w:r>
                    <w:rPr>
                      <w:color w:val="auto"/>
                      <w:szCs w:val="21"/>
                      <w:highlight w:val="none"/>
                    </w:rPr>
                    <w:t>主要有毒有害物质名称</w:t>
                  </w:r>
                </w:p>
              </w:tc>
              <w:tc>
                <w:tcPr>
                  <w:tcW w:w="338" w:type="pct"/>
                  <w:noWrap w:val="0"/>
                  <w:vAlign w:val="center"/>
                </w:tcPr>
                <w:p>
                  <w:pPr>
                    <w:adjustRightInd w:val="0"/>
                    <w:contextualSpacing/>
                    <w:jc w:val="center"/>
                    <w:rPr>
                      <w:color w:val="auto"/>
                      <w:szCs w:val="21"/>
                      <w:highlight w:val="none"/>
                    </w:rPr>
                  </w:pPr>
                  <w:r>
                    <w:rPr>
                      <w:color w:val="auto"/>
                      <w:szCs w:val="21"/>
                      <w:highlight w:val="none"/>
                    </w:rPr>
                    <w:t>物理性状</w:t>
                  </w:r>
                </w:p>
              </w:tc>
              <w:tc>
                <w:tcPr>
                  <w:tcW w:w="435" w:type="pct"/>
                  <w:noWrap w:val="0"/>
                  <w:vAlign w:val="center"/>
                </w:tcPr>
                <w:p>
                  <w:pPr>
                    <w:adjustRightInd w:val="0"/>
                    <w:contextualSpacing/>
                    <w:jc w:val="center"/>
                    <w:rPr>
                      <w:color w:val="auto"/>
                      <w:szCs w:val="21"/>
                      <w:highlight w:val="none"/>
                    </w:rPr>
                  </w:pPr>
                  <w:r>
                    <w:rPr>
                      <w:color w:val="auto"/>
                      <w:szCs w:val="21"/>
                      <w:highlight w:val="none"/>
                    </w:rPr>
                    <w:t>环境危险特性</w:t>
                  </w:r>
                </w:p>
              </w:tc>
              <w:tc>
                <w:tcPr>
                  <w:tcW w:w="426" w:type="pct"/>
                  <w:noWrap w:val="0"/>
                  <w:vAlign w:val="center"/>
                </w:tcPr>
                <w:p>
                  <w:pPr>
                    <w:adjustRightInd w:val="0"/>
                    <w:contextualSpacing/>
                    <w:jc w:val="center"/>
                    <w:rPr>
                      <w:color w:val="auto"/>
                      <w:szCs w:val="21"/>
                      <w:highlight w:val="none"/>
                    </w:rPr>
                  </w:pPr>
                  <w:r>
                    <w:rPr>
                      <w:color w:val="auto"/>
                      <w:szCs w:val="21"/>
                      <w:highlight w:val="none"/>
                    </w:rPr>
                    <w:t>产生量(t/a)</w:t>
                  </w:r>
                </w:p>
              </w:tc>
              <w:tc>
                <w:tcPr>
                  <w:tcW w:w="338" w:type="pct"/>
                  <w:noWrap w:val="0"/>
                  <w:vAlign w:val="center"/>
                </w:tcPr>
                <w:p>
                  <w:pPr>
                    <w:adjustRightInd w:val="0"/>
                    <w:contextualSpacing/>
                    <w:jc w:val="center"/>
                    <w:rPr>
                      <w:color w:val="auto"/>
                      <w:szCs w:val="21"/>
                      <w:highlight w:val="none"/>
                    </w:rPr>
                  </w:pPr>
                  <w:r>
                    <w:rPr>
                      <w:color w:val="auto"/>
                      <w:szCs w:val="21"/>
                      <w:highlight w:val="none"/>
                    </w:rPr>
                    <w:t>贮存方式</w:t>
                  </w:r>
                </w:p>
              </w:tc>
              <w:tc>
                <w:tcPr>
                  <w:tcW w:w="386" w:type="pct"/>
                  <w:noWrap w:val="0"/>
                  <w:vAlign w:val="center"/>
                </w:tcPr>
                <w:p>
                  <w:pPr>
                    <w:adjustRightInd w:val="0"/>
                    <w:contextualSpacing/>
                    <w:jc w:val="center"/>
                    <w:rPr>
                      <w:color w:val="auto"/>
                      <w:szCs w:val="21"/>
                      <w:highlight w:val="none"/>
                    </w:rPr>
                  </w:pPr>
                  <w:r>
                    <w:rPr>
                      <w:color w:val="auto"/>
                      <w:szCs w:val="21"/>
                      <w:highlight w:val="none"/>
                    </w:rPr>
                    <w:t>利用处置方式</w:t>
                  </w:r>
                </w:p>
              </w:tc>
              <w:tc>
                <w:tcPr>
                  <w:tcW w:w="455" w:type="pct"/>
                  <w:noWrap w:val="0"/>
                  <w:vAlign w:val="center"/>
                </w:tcPr>
                <w:p>
                  <w:pPr>
                    <w:adjustRightInd w:val="0"/>
                    <w:contextualSpacing/>
                    <w:jc w:val="center"/>
                    <w:rPr>
                      <w:color w:val="auto"/>
                      <w:szCs w:val="21"/>
                      <w:highlight w:val="none"/>
                    </w:rPr>
                  </w:pPr>
                  <w:r>
                    <w:rPr>
                      <w:color w:val="auto"/>
                      <w:szCs w:val="21"/>
                      <w:highlight w:val="none"/>
                    </w:rPr>
                    <w:t>处置去向</w:t>
                  </w:r>
                </w:p>
              </w:tc>
              <w:tc>
                <w:tcPr>
                  <w:tcW w:w="510" w:type="pct"/>
                  <w:noWrap w:val="0"/>
                  <w:vAlign w:val="center"/>
                </w:tcPr>
                <w:p>
                  <w:pPr>
                    <w:adjustRightInd w:val="0"/>
                    <w:contextualSpacing/>
                    <w:jc w:val="center"/>
                    <w:rPr>
                      <w:color w:val="auto"/>
                      <w:szCs w:val="21"/>
                      <w:highlight w:val="none"/>
                    </w:rPr>
                  </w:pPr>
                  <w:r>
                    <w:rPr>
                      <w:color w:val="auto"/>
                      <w:szCs w:val="21"/>
                      <w:highlight w:val="none"/>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73" w:hRule="atLeast"/>
                <w:jc w:val="center"/>
              </w:trPr>
              <w:tc>
                <w:tcPr>
                  <w:tcW w:w="334" w:type="pct"/>
                  <w:vMerge w:val="restar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废气处理</w:t>
                  </w:r>
                </w:p>
              </w:tc>
              <w:tc>
                <w:tcPr>
                  <w:tcW w:w="434"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除尘灰</w:t>
                  </w:r>
                </w:p>
              </w:tc>
              <w:tc>
                <w:tcPr>
                  <w:tcW w:w="70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一般工业固体废物/339-001-66</w:t>
                  </w:r>
                </w:p>
              </w:tc>
              <w:tc>
                <w:tcPr>
                  <w:tcW w:w="635"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固体</w:t>
                  </w:r>
                </w:p>
              </w:tc>
              <w:tc>
                <w:tcPr>
                  <w:tcW w:w="435"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39.482</w:t>
                  </w:r>
                </w:p>
              </w:tc>
              <w:tc>
                <w:tcPr>
                  <w:tcW w:w="338"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密闭灰仓</w:t>
                  </w:r>
                </w:p>
              </w:tc>
              <w:tc>
                <w:tcPr>
                  <w:tcW w:w="38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委托利用</w:t>
                  </w:r>
                </w:p>
              </w:tc>
              <w:tc>
                <w:tcPr>
                  <w:tcW w:w="455"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外售综合利用</w:t>
                  </w: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39.482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73" w:hRule="atLeast"/>
                <w:jc w:val="center"/>
              </w:trPr>
              <w:tc>
                <w:tcPr>
                  <w:tcW w:w="334"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434"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熔炼渣</w:t>
                  </w:r>
                </w:p>
              </w:tc>
              <w:tc>
                <w:tcPr>
                  <w:tcW w:w="70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一般工业固体废物SW01/900-099-S01</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c>
                <w:tcPr>
                  <w:tcW w:w="338"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密闭灰仓</w:t>
                  </w:r>
                </w:p>
              </w:tc>
              <w:tc>
                <w:tcPr>
                  <w:tcW w:w="38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委托利用</w:t>
                  </w:r>
                </w:p>
              </w:tc>
              <w:tc>
                <w:tcPr>
                  <w:tcW w:w="45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外售综合利用</w:t>
                  </w: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34"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434"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切冒口及磁选废铁</w:t>
                  </w:r>
                </w:p>
              </w:tc>
              <w:tc>
                <w:tcPr>
                  <w:tcW w:w="70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一般工业固体废物SW17/900-001-S17</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40</w:t>
                  </w:r>
                </w:p>
              </w:tc>
              <w:tc>
                <w:tcPr>
                  <w:tcW w:w="338"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一般固废暂存区</w:t>
                  </w:r>
                </w:p>
              </w:tc>
              <w:tc>
                <w:tcPr>
                  <w:tcW w:w="386"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自行利用</w:t>
                  </w:r>
                </w:p>
              </w:tc>
              <w:tc>
                <w:tcPr>
                  <w:tcW w:w="455"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rPr>
                    <w:t>收集后返回生产系统</w:t>
                  </w:r>
                </w:p>
              </w:tc>
              <w:tc>
                <w:tcPr>
                  <w:tcW w:w="510"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73" w:hRule="atLeast"/>
                <w:jc w:val="center"/>
              </w:trPr>
              <w:tc>
                <w:tcPr>
                  <w:tcW w:w="334"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434"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废砂</w:t>
                  </w:r>
                </w:p>
              </w:tc>
              <w:tc>
                <w:tcPr>
                  <w:tcW w:w="70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一般工业固体废物SW59/900-001-S59</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147.1688</w:t>
                  </w:r>
                </w:p>
              </w:tc>
              <w:tc>
                <w:tcPr>
                  <w:tcW w:w="338"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全封闭车间</w:t>
                  </w:r>
                </w:p>
              </w:tc>
              <w:tc>
                <w:tcPr>
                  <w:tcW w:w="38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委托利用</w:t>
                  </w:r>
                </w:p>
              </w:tc>
              <w:tc>
                <w:tcPr>
                  <w:tcW w:w="45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定期由厂家回收处理</w:t>
                  </w: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147.1688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73" w:hRule="atLeast"/>
                <w:jc w:val="center"/>
              </w:trPr>
              <w:tc>
                <w:tcPr>
                  <w:tcW w:w="334"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434"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废布袋</w:t>
                  </w:r>
                </w:p>
              </w:tc>
              <w:tc>
                <w:tcPr>
                  <w:tcW w:w="70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一般工业固体废物SW59/900-009-S59</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0.05</w:t>
                  </w:r>
                </w:p>
              </w:tc>
              <w:tc>
                <w:tcPr>
                  <w:tcW w:w="338"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袋装</w:t>
                  </w:r>
                </w:p>
              </w:tc>
              <w:tc>
                <w:tcPr>
                  <w:tcW w:w="386"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委托利用</w:t>
                  </w:r>
                </w:p>
              </w:tc>
              <w:tc>
                <w:tcPr>
                  <w:tcW w:w="455" w:type="pct"/>
                  <w:noWrap w:val="0"/>
                  <w:vAlign w:val="center"/>
                </w:tcPr>
                <w:p>
                  <w:pPr>
                    <w:adjustRightInd w:val="0"/>
                    <w:contextualSpacing/>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定期由厂家回收处理</w:t>
                  </w:r>
                </w:p>
              </w:tc>
              <w:tc>
                <w:tcPr>
                  <w:tcW w:w="510" w:type="pct"/>
                  <w:noWrap w:val="0"/>
                  <w:vAlign w:val="center"/>
                </w:tcPr>
                <w:p>
                  <w:pPr>
                    <w:adjustRightInd w:val="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49" w:hRule="atLeast"/>
                <w:jc w:val="center"/>
              </w:trPr>
              <w:tc>
                <w:tcPr>
                  <w:tcW w:w="334" w:type="pct"/>
                  <w:vMerge w:val="restar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设备维修及维护</w:t>
                  </w:r>
                </w:p>
              </w:tc>
              <w:tc>
                <w:tcPr>
                  <w:tcW w:w="434"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废</w:t>
                  </w:r>
                  <w:r>
                    <w:rPr>
                      <w:rFonts w:hint="default" w:ascii="Times New Roman" w:hAnsi="Times New Roman" w:eastAsia="宋体" w:cs="Times New Roman"/>
                      <w:color w:val="auto"/>
                      <w:szCs w:val="21"/>
                      <w:highlight w:val="none"/>
                      <w:lang w:val="en-US" w:eastAsia="zh-CN"/>
                    </w:rPr>
                    <w:t>矿物油</w:t>
                  </w:r>
                </w:p>
              </w:tc>
              <w:tc>
                <w:tcPr>
                  <w:tcW w:w="70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危险废物</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HW08</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900-2</w:t>
                  </w:r>
                  <w:r>
                    <w:rPr>
                      <w:rFonts w:hint="eastAsia" w:ascii="Times New Roman" w:hAnsi="Times New Roman" w:eastAsia="宋体" w:cs="Times New Roman"/>
                      <w:color w:val="auto"/>
                      <w:szCs w:val="21"/>
                      <w:highlight w:val="none"/>
                      <w:lang w:val="en-US" w:eastAsia="zh-CN"/>
                    </w:rPr>
                    <w:t>49</w:t>
                  </w:r>
                  <w:r>
                    <w:rPr>
                      <w:rFonts w:hint="default" w:ascii="Times New Roman" w:hAnsi="Times New Roman" w:eastAsia="宋体" w:cs="Times New Roman"/>
                      <w:color w:val="auto"/>
                      <w:szCs w:val="21"/>
                      <w:highlight w:val="none"/>
                    </w:rPr>
                    <w:t>-08</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多环芳烃</w:t>
                  </w:r>
                </w:p>
              </w:tc>
              <w:tc>
                <w:tcPr>
                  <w:tcW w:w="338"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液体</w:t>
                  </w:r>
                </w:p>
              </w:tc>
              <w:tc>
                <w:tcPr>
                  <w:tcW w:w="4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T、I</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1</w:t>
                  </w:r>
                </w:p>
              </w:tc>
              <w:tc>
                <w:tcPr>
                  <w:tcW w:w="338" w:type="pct"/>
                  <w:vMerge w:val="restar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38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委托处置</w:t>
                  </w:r>
                </w:p>
              </w:tc>
              <w:tc>
                <w:tcPr>
                  <w:tcW w:w="455" w:type="pct"/>
                  <w:vMerge w:val="restar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1049" w:hRule="atLeast"/>
                <w:jc w:val="center"/>
              </w:trPr>
              <w:tc>
                <w:tcPr>
                  <w:tcW w:w="334"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434"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废</w:t>
                  </w:r>
                  <w:r>
                    <w:rPr>
                      <w:rFonts w:hint="eastAsia" w:ascii="Times New Roman" w:hAnsi="Times New Roman" w:eastAsia="宋体" w:cs="Times New Roman"/>
                      <w:color w:val="auto"/>
                      <w:szCs w:val="21"/>
                      <w:highlight w:val="none"/>
                      <w:lang w:val="en-US" w:eastAsia="zh-CN"/>
                    </w:rPr>
                    <w:t>油桶</w:t>
                  </w:r>
                </w:p>
              </w:tc>
              <w:tc>
                <w:tcPr>
                  <w:tcW w:w="706" w:type="pct"/>
                  <w:noWrap w:val="0"/>
                  <w:vAlign w:val="center"/>
                </w:tcPr>
                <w:p>
                  <w:pPr>
                    <w:adjustRightInd w:val="0"/>
                    <w:contextualSpacing/>
                    <w:jc w:val="center"/>
                    <w:rPr>
                      <w:rFonts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危险废物</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HW08</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900-249-08</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多环芳烃</w:t>
                  </w:r>
                </w:p>
              </w:tc>
              <w:tc>
                <w:tcPr>
                  <w:tcW w:w="338"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T、I</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06</w:t>
                  </w:r>
                </w:p>
              </w:tc>
              <w:tc>
                <w:tcPr>
                  <w:tcW w:w="338"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38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委托处置</w:t>
                  </w:r>
                </w:p>
              </w:tc>
              <w:tc>
                <w:tcPr>
                  <w:tcW w:w="455" w:type="pct"/>
                  <w:vMerge w:val="continue"/>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80" w:hRule="atLeast"/>
                <w:jc w:val="center"/>
              </w:trPr>
              <w:tc>
                <w:tcPr>
                  <w:tcW w:w="334"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职工生活</w:t>
                  </w:r>
                </w:p>
              </w:tc>
              <w:tc>
                <w:tcPr>
                  <w:tcW w:w="434"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生活垃圾</w:t>
                  </w:r>
                </w:p>
              </w:tc>
              <w:tc>
                <w:tcPr>
                  <w:tcW w:w="706" w:type="pct"/>
                  <w:noWrap w:val="0"/>
                  <w:vAlign w:val="center"/>
                </w:tcPr>
                <w:p>
                  <w:pPr>
                    <w:adjustRightInd w:val="0"/>
                    <w:contextualSpacing/>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w:t>
                  </w:r>
                </w:p>
              </w:tc>
              <w:tc>
                <w:tcPr>
                  <w:tcW w:w="6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38" w:type="pct"/>
                  <w:noWrap w:val="0"/>
                  <w:vAlign w:val="center"/>
                </w:tcPr>
                <w:p>
                  <w:pPr>
                    <w:adjustRightInd w:val="0"/>
                    <w:contextualSpacing/>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固体</w:t>
                  </w:r>
                </w:p>
              </w:tc>
              <w:tc>
                <w:tcPr>
                  <w:tcW w:w="43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426"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c>
                <w:tcPr>
                  <w:tcW w:w="338"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垃圾桶</w:t>
                  </w:r>
                </w:p>
              </w:tc>
              <w:tc>
                <w:tcPr>
                  <w:tcW w:w="386"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委托处置</w:t>
                  </w:r>
                </w:p>
              </w:tc>
              <w:tc>
                <w:tcPr>
                  <w:tcW w:w="455" w:type="pct"/>
                  <w:noWrap w:val="0"/>
                  <w:vAlign w:val="center"/>
                </w:tcPr>
                <w:p>
                  <w:pPr>
                    <w:adjustRightInd w:val="0"/>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委托环卫部门处置</w:t>
                  </w:r>
                </w:p>
              </w:tc>
              <w:tc>
                <w:tcPr>
                  <w:tcW w:w="510" w:type="pct"/>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r>
            <w:bookmarkEnd w:id="22"/>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（2）危险废物影响分析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①危险废物情况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项目危险废物汇总情况见表</w:t>
            </w:r>
            <w:r>
              <w:rPr>
                <w:rFonts w:hint="eastAsia" w:cs="Times New Roman"/>
                <w:color w:val="auto"/>
                <w:sz w:val="24"/>
                <w:szCs w:val="24"/>
                <w:highlight w:val="none"/>
                <w:lang w:val="en-US" w:eastAsia="zh-CN"/>
              </w:rPr>
              <w:t>39</w:t>
            </w:r>
            <w:r>
              <w:rPr>
                <w:rFonts w:hint="eastAsia" w:ascii="Times New Roman" w:hAnsi="Times New Roman" w:eastAsia="宋体" w:cs="Times New Roman"/>
                <w:color w:val="auto"/>
                <w:sz w:val="24"/>
                <w:szCs w:val="24"/>
                <w:highlight w:val="none"/>
                <w:lang w:val="en-US" w:eastAsia="zh-CN"/>
              </w:rPr>
              <w:t>。</w:t>
            </w:r>
          </w:p>
          <w:p>
            <w:pPr>
              <w:spacing w:line="480" w:lineRule="exact"/>
              <w:jc w:val="center"/>
              <w:rPr>
                <w:rFonts w:hint="eastAsia" w:ascii="Times New Roman" w:hAnsi="Times New Roman" w:eastAsia="宋体" w:cs="Times New Roman"/>
                <w:b/>
                <w:bCs/>
                <w:snapToGrid w:val="0"/>
                <w:color w:val="auto"/>
                <w:sz w:val="24"/>
                <w:highlight w:val="none"/>
                <w:lang w:val="en-US" w:eastAsia="zh-CN"/>
              </w:rPr>
            </w:pPr>
            <w:r>
              <w:rPr>
                <w:rFonts w:hint="eastAsia" w:ascii="Times New Roman" w:hAnsi="Times New Roman" w:eastAsia="宋体" w:cs="Times New Roman"/>
                <w:b/>
                <w:bCs/>
                <w:snapToGrid w:val="0"/>
                <w:color w:val="auto"/>
                <w:sz w:val="24"/>
                <w:highlight w:val="none"/>
                <w:lang w:val="en-US" w:eastAsia="zh-CN"/>
              </w:rPr>
              <w:t>表</w:t>
            </w:r>
            <w:r>
              <w:rPr>
                <w:rFonts w:hint="eastAsia" w:cs="Times New Roman"/>
                <w:b/>
                <w:bCs/>
                <w:snapToGrid w:val="0"/>
                <w:color w:val="auto"/>
                <w:sz w:val="24"/>
                <w:highlight w:val="none"/>
                <w:lang w:val="en-US" w:eastAsia="zh-CN"/>
              </w:rPr>
              <w:t>39</w:t>
            </w:r>
            <w:r>
              <w:rPr>
                <w:rFonts w:hint="eastAsia" w:ascii="Times New Roman" w:hAnsi="Times New Roman" w:eastAsia="宋体" w:cs="Times New Roman"/>
                <w:b/>
                <w:bCs/>
                <w:snapToGrid w:val="0"/>
                <w:color w:val="auto"/>
                <w:sz w:val="24"/>
                <w:highlight w:val="none"/>
                <w:lang w:val="en-US" w:eastAsia="zh-CN"/>
              </w:rPr>
              <w:t xml:space="preserve">  项目危险废物汇总情况一览表</w:t>
            </w:r>
          </w:p>
          <w:tbl>
            <w:tblPr>
              <w:tblStyle w:val="33"/>
              <w:tblW w:w="80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66"/>
              <w:gridCol w:w="1191"/>
              <w:gridCol w:w="642"/>
              <w:gridCol w:w="1066"/>
              <w:gridCol w:w="769"/>
              <w:gridCol w:w="772"/>
              <w:gridCol w:w="530"/>
              <w:gridCol w:w="742"/>
              <w:gridCol w:w="575"/>
              <w:gridCol w:w="1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序号</w:t>
                  </w:r>
                </w:p>
              </w:tc>
              <w:tc>
                <w:tcPr>
                  <w:tcW w:w="1191"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危险废物名称</w:t>
                  </w:r>
                </w:p>
              </w:tc>
              <w:tc>
                <w:tcPr>
                  <w:tcW w:w="64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危险废物类别</w:t>
                  </w:r>
                </w:p>
              </w:tc>
              <w:tc>
                <w:tcPr>
                  <w:tcW w:w="10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危险废物代码</w:t>
                  </w:r>
                </w:p>
              </w:tc>
              <w:tc>
                <w:tcPr>
                  <w:tcW w:w="769"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产生量（t/a）</w:t>
                  </w:r>
                </w:p>
              </w:tc>
              <w:tc>
                <w:tcPr>
                  <w:tcW w:w="77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产生工序及装置</w:t>
                  </w:r>
                </w:p>
              </w:tc>
              <w:tc>
                <w:tcPr>
                  <w:tcW w:w="530"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形态</w:t>
                  </w:r>
                </w:p>
              </w:tc>
              <w:tc>
                <w:tcPr>
                  <w:tcW w:w="74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有害成分</w:t>
                  </w:r>
                </w:p>
              </w:tc>
              <w:tc>
                <w:tcPr>
                  <w:tcW w:w="575"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危险</w:t>
                  </w:r>
                </w:p>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特性</w:t>
                  </w:r>
                </w:p>
              </w:tc>
              <w:tc>
                <w:tcPr>
                  <w:tcW w:w="152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1</w:t>
                  </w:r>
                </w:p>
              </w:tc>
              <w:tc>
                <w:tcPr>
                  <w:tcW w:w="1191"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lang w:val="en-US" w:eastAsia="zh-CN"/>
                    </w:rPr>
                    <w:t>废矿物油</w:t>
                  </w:r>
                </w:p>
              </w:tc>
              <w:tc>
                <w:tcPr>
                  <w:tcW w:w="64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HW08</w:t>
                  </w:r>
                </w:p>
              </w:tc>
              <w:tc>
                <w:tcPr>
                  <w:tcW w:w="10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900-2</w:t>
                  </w:r>
                  <w:r>
                    <w:rPr>
                      <w:rFonts w:hint="eastAsia" w:ascii="Times New Roman" w:hAnsi="Times New Roman" w:eastAsia="宋体" w:cs="Times New Roman"/>
                      <w:color w:val="auto"/>
                      <w:spacing w:val="0"/>
                      <w:kern w:val="2"/>
                      <w:sz w:val="21"/>
                      <w:szCs w:val="21"/>
                      <w:highlight w:val="none"/>
                      <w:lang w:val="en-US" w:eastAsia="zh-CN"/>
                    </w:rPr>
                    <w:t>49</w:t>
                  </w:r>
                  <w:r>
                    <w:rPr>
                      <w:rFonts w:hint="default" w:ascii="Times New Roman" w:hAnsi="Times New Roman" w:eastAsia="宋体" w:cs="Times New Roman"/>
                      <w:color w:val="auto"/>
                      <w:spacing w:val="0"/>
                      <w:kern w:val="2"/>
                      <w:sz w:val="21"/>
                      <w:szCs w:val="21"/>
                      <w:highlight w:val="none"/>
                      <w:lang w:val="en-US" w:eastAsia="zh-CN"/>
                    </w:rPr>
                    <w:t>-08</w:t>
                  </w:r>
                </w:p>
              </w:tc>
              <w:tc>
                <w:tcPr>
                  <w:tcW w:w="769"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eastAsia" w:ascii="Times New Roman" w:hAnsi="Times New Roman" w:eastAsia="宋体" w:cs="Times New Roman"/>
                      <w:color w:val="auto"/>
                      <w:spacing w:val="0"/>
                      <w:kern w:val="2"/>
                      <w:sz w:val="21"/>
                      <w:szCs w:val="21"/>
                      <w:highlight w:val="none"/>
                      <w:lang w:val="en-US" w:eastAsia="zh-CN"/>
                    </w:rPr>
                    <w:t>0.</w:t>
                  </w:r>
                  <w:r>
                    <w:rPr>
                      <w:rFonts w:hint="eastAsia" w:ascii="Times New Roman" w:hAnsi="Times New Roman" w:cs="Times New Roman"/>
                      <w:color w:val="auto"/>
                      <w:spacing w:val="0"/>
                      <w:kern w:val="2"/>
                      <w:sz w:val="21"/>
                      <w:szCs w:val="21"/>
                      <w:highlight w:val="none"/>
                      <w:lang w:val="en-US" w:eastAsia="zh-CN"/>
                    </w:rPr>
                    <w:t>1</w:t>
                  </w:r>
                </w:p>
              </w:tc>
              <w:tc>
                <w:tcPr>
                  <w:tcW w:w="772" w:type="dxa"/>
                  <w:vMerge w:val="restar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机械设备</w:t>
                  </w:r>
                  <w:r>
                    <w:rPr>
                      <w:rFonts w:hint="eastAsia" w:ascii="Times New Roman" w:hAnsi="Times New Roman" w:eastAsia="宋体" w:cs="Times New Roman"/>
                      <w:color w:val="auto"/>
                      <w:szCs w:val="21"/>
                      <w:highlight w:val="none"/>
                      <w:lang w:val="en-US" w:eastAsia="zh-CN"/>
                    </w:rPr>
                    <w:t>维修及维护</w:t>
                  </w:r>
                </w:p>
                <w:p>
                  <w:pPr>
                    <w:adjustRightInd w:val="0"/>
                    <w:contextualSpacing/>
                    <w:jc w:val="center"/>
                    <w:rPr>
                      <w:rFonts w:hint="default" w:ascii="Times New Roman" w:hAnsi="Times New Roman" w:eastAsia="宋体" w:cs="Times New Roman"/>
                      <w:color w:val="auto"/>
                      <w:szCs w:val="21"/>
                      <w:highlight w:val="none"/>
                      <w:lang w:val="en-US" w:eastAsia="zh-CN"/>
                    </w:rPr>
                  </w:pPr>
                </w:p>
              </w:tc>
              <w:tc>
                <w:tcPr>
                  <w:tcW w:w="530"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液态</w:t>
                  </w:r>
                </w:p>
              </w:tc>
              <w:tc>
                <w:tcPr>
                  <w:tcW w:w="742" w:type="dxa"/>
                  <w:vMerge w:val="restart"/>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苯系物、多环芳烃</w:t>
                  </w:r>
                </w:p>
              </w:tc>
              <w:tc>
                <w:tcPr>
                  <w:tcW w:w="575"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rPr>
                  </w:pPr>
                  <w:r>
                    <w:rPr>
                      <w:rFonts w:hint="default" w:ascii="Times New Roman" w:hAnsi="Times New Roman" w:eastAsia="宋体" w:cs="Times New Roman"/>
                      <w:color w:val="auto"/>
                      <w:spacing w:val="0"/>
                      <w:kern w:val="2"/>
                      <w:sz w:val="21"/>
                      <w:szCs w:val="21"/>
                      <w:highlight w:val="none"/>
                      <w:lang w:val="en-US" w:eastAsia="zh-CN"/>
                    </w:rPr>
                    <w:t>T、I</w:t>
                  </w:r>
                </w:p>
              </w:tc>
              <w:tc>
                <w:tcPr>
                  <w:tcW w:w="1522" w:type="dxa"/>
                  <w:vMerge w:val="restart"/>
                  <w:tcBorders>
                    <w:tl2br w:val="nil"/>
                    <w:tr2bl w:val="nil"/>
                  </w:tcBorders>
                  <w:noWrap w:val="0"/>
                  <w:vAlign w:val="center"/>
                </w:tcPr>
                <w:p>
                  <w:pPr>
                    <w:pStyle w:val="14"/>
                    <w:jc w:val="center"/>
                    <w:rPr>
                      <w:rFonts w:hint="default" w:ascii="Times New Roman" w:hAnsi="Times New Roman" w:eastAsia="宋体" w:cs="Times New Roman"/>
                      <w:color w:val="auto"/>
                      <w:spacing w:val="0"/>
                      <w:kern w:val="2"/>
                      <w:sz w:val="21"/>
                      <w:szCs w:val="21"/>
                      <w:highlight w:val="none"/>
                      <w:lang w:val="en-US" w:eastAsia="zh-CN"/>
                    </w:rPr>
                  </w:pPr>
                  <w:r>
                    <w:rPr>
                      <w:rFonts w:hint="eastAsia" w:ascii="Times New Roman" w:hAnsi="Times New Roman" w:eastAsia="宋体" w:cs="Times New Roman"/>
                      <w:color w:val="auto"/>
                      <w:spacing w:val="0"/>
                      <w:kern w:val="2"/>
                      <w:sz w:val="21"/>
                      <w:szCs w:val="21"/>
                      <w:highlight w:val="none"/>
                      <w:lang w:val="en-US" w:eastAsia="zh-CN"/>
                    </w:rPr>
                    <w:t>采用专用容器收集，于废油桶一起</w:t>
                  </w:r>
                  <w:r>
                    <w:rPr>
                      <w:rFonts w:hint="default" w:ascii="Times New Roman" w:hAnsi="Times New Roman" w:eastAsia="宋体" w:cs="Times New Roman"/>
                      <w:color w:val="auto"/>
                      <w:spacing w:val="0"/>
                      <w:kern w:val="2"/>
                      <w:sz w:val="21"/>
                      <w:szCs w:val="21"/>
                      <w:highlight w:val="none"/>
                      <w:lang w:val="en-US" w:eastAsia="zh-CN"/>
                    </w:rPr>
                    <w:t>暂存</w:t>
                  </w:r>
                  <w:r>
                    <w:rPr>
                      <w:rFonts w:hint="default" w:ascii="Times New Roman" w:hAnsi="Times New Roman" w:eastAsia="宋体" w:cs="Times New Roman"/>
                      <w:color w:val="auto"/>
                      <w:spacing w:val="0"/>
                      <w:kern w:val="2"/>
                      <w:sz w:val="21"/>
                      <w:szCs w:val="21"/>
                      <w:highlight w:val="none"/>
                    </w:rPr>
                    <w:t>于厂区</w:t>
                  </w:r>
                  <w:r>
                    <w:rPr>
                      <w:rFonts w:hint="eastAsia" w:ascii="Times New Roman" w:hAnsi="Times New Roman" w:cs="Times New Roman"/>
                      <w:color w:val="auto"/>
                      <w:spacing w:val="0"/>
                      <w:kern w:val="2"/>
                      <w:sz w:val="21"/>
                      <w:szCs w:val="21"/>
                      <w:highlight w:val="none"/>
                      <w:lang w:eastAsia="zh-CN"/>
                    </w:rPr>
                    <w:t>危险废物暂存间</w:t>
                  </w:r>
                  <w:r>
                    <w:rPr>
                      <w:rFonts w:hint="default" w:ascii="Times New Roman" w:hAnsi="Times New Roman" w:eastAsia="宋体" w:cs="Times New Roman"/>
                      <w:color w:val="auto"/>
                      <w:spacing w:val="0"/>
                      <w:kern w:val="2"/>
                      <w:sz w:val="21"/>
                      <w:szCs w:val="21"/>
                      <w:highlight w:val="none"/>
                    </w:rPr>
                    <w:t>，</w:t>
                  </w:r>
                  <w:r>
                    <w:rPr>
                      <w:rFonts w:hint="eastAsia" w:ascii="Times New Roman" w:hAnsi="Times New Roman" w:eastAsia="宋体" w:cs="Times New Roman"/>
                      <w:color w:val="auto"/>
                      <w:spacing w:val="0"/>
                      <w:kern w:val="2"/>
                      <w:sz w:val="21"/>
                      <w:szCs w:val="21"/>
                      <w:highlight w:val="none"/>
                      <w:lang w:val="en-US" w:eastAsia="zh-CN"/>
                    </w:rPr>
                    <w:t>委托</w:t>
                  </w:r>
                  <w:r>
                    <w:rPr>
                      <w:rFonts w:hint="default" w:ascii="Times New Roman" w:hAnsi="Times New Roman" w:eastAsia="宋体" w:cs="Times New Roman"/>
                      <w:color w:val="auto"/>
                      <w:spacing w:val="0"/>
                      <w:kern w:val="2"/>
                      <w:sz w:val="21"/>
                      <w:szCs w:val="21"/>
                      <w:highlight w:val="none"/>
                      <w:lang w:val="en-US" w:eastAsia="zh-CN"/>
                    </w:rPr>
                    <w:t>有资质的危险废物处置单位处置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2</w:t>
                  </w:r>
                </w:p>
              </w:tc>
              <w:tc>
                <w:tcPr>
                  <w:tcW w:w="1191"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rPr>
                    <w:t>废油桶</w:t>
                  </w:r>
                </w:p>
              </w:tc>
              <w:tc>
                <w:tcPr>
                  <w:tcW w:w="642"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HW08</w:t>
                  </w:r>
                </w:p>
              </w:tc>
              <w:tc>
                <w:tcPr>
                  <w:tcW w:w="1066"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900-249-08</w:t>
                  </w:r>
                </w:p>
              </w:tc>
              <w:tc>
                <w:tcPr>
                  <w:tcW w:w="769" w:type="dxa"/>
                  <w:tcBorders>
                    <w:tl2br w:val="nil"/>
                    <w:tr2bl w:val="nil"/>
                  </w:tcBorders>
                  <w:noWrap w:val="0"/>
                  <w:vAlign w:val="center"/>
                </w:tcPr>
                <w:p>
                  <w:pPr>
                    <w:adjustRightInd w:val="0"/>
                    <w:contextualSpacing/>
                    <w:jc w:val="center"/>
                    <w:rPr>
                      <w:rFonts w:hint="default" w:ascii="Times New Roman" w:hAnsi="Times New Roman" w:eastAsia="宋体" w:cs="Times New Roman"/>
                      <w:color w:val="auto"/>
                      <w:spacing w:val="0"/>
                      <w:kern w:val="2"/>
                      <w:sz w:val="21"/>
                      <w:szCs w:val="21"/>
                      <w:highlight w:val="none"/>
                      <w:lang w:val="en-US" w:eastAsia="zh-CN"/>
                    </w:rPr>
                  </w:pPr>
                  <w:r>
                    <w:rPr>
                      <w:rFonts w:hint="eastAsia" w:ascii="Times New Roman" w:hAnsi="Times New Roman" w:eastAsia="宋体" w:cs="Times New Roman"/>
                      <w:color w:val="auto"/>
                      <w:spacing w:val="0"/>
                      <w:kern w:val="2"/>
                      <w:sz w:val="21"/>
                      <w:szCs w:val="21"/>
                      <w:highlight w:val="none"/>
                      <w:lang w:val="en-US" w:eastAsia="zh-CN"/>
                    </w:rPr>
                    <w:t>0.</w:t>
                  </w:r>
                  <w:r>
                    <w:rPr>
                      <w:rFonts w:hint="eastAsia" w:ascii="Times New Roman" w:hAnsi="Times New Roman" w:cs="Times New Roman"/>
                      <w:color w:val="auto"/>
                      <w:spacing w:val="0"/>
                      <w:kern w:val="2"/>
                      <w:sz w:val="21"/>
                      <w:szCs w:val="21"/>
                      <w:highlight w:val="none"/>
                      <w:lang w:val="en-US" w:eastAsia="zh-CN"/>
                    </w:rPr>
                    <w:t>06</w:t>
                  </w:r>
                </w:p>
              </w:tc>
              <w:tc>
                <w:tcPr>
                  <w:tcW w:w="772" w:type="dxa"/>
                  <w:vMerge w:val="continue"/>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p>
              </w:tc>
              <w:tc>
                <w:tcPr>
                  <w:tcW w:w="530" w:type="dxa"/>
                  <w:tcBorders>
                    <w:tl2br w:val="nil"/>
                    <w:tr2bl w:val="nil"/>
                  </w:tcBorders>
                  <w:noWrap w:val="0"/>
                  <w:vAlign w:val="center"/>
                </w:tcPr>
                <w:p>
                  <w:pPr>
                    <w:topLinePunct/>
                    <w:spacing w:line="0" w:lineRule="atLeast"/>
                    <w:jc w:val="center"/>
                    <w:rPr>
                      <w:rFonts w:hint="default" w:ascii="Times New Roman" w:hAnsi="Times New Roman" w:eastAsia="宋体" w:cs="Times New Roman"/>
                      <w:color w:val="auto"/>
                      <w:spacing w:val="-23"/>
                      <w:sz w:val="21"/>
                      <w:szCs w:val="21"/>
                      <w:highlight w:val="none"/>
                      <w:lang w:val="en-US" w:eastAsia="zh-CN"/>
                    </w:rPr>
                  </w:pPr>
                  <w:r>
                    <w:rPr>
                      <w:rFonts w:hint="default" w:ascii="Times New Roman" w:hAnsi="Times New Roman" w:eastAsia="宋体" w:cs="Times New Roman"/>
                      <w:color w:val="auto"/>
                      <w:spacing w:val="-23"/>
                      <w:sz w:val="21"/>
                      <w:szCs w:val="21"/>
                      <w:highlight w:val="none"/>
                      <w:lang w:val="en-US" w:eastAsia="zh-CN"/>
                    </w:rPr>
                    <w:t>固态</w:t>
                  </w:r>
                </w:p>
              </w:tc>
              <w:tc>
                <w:tcPr>
                  <w:tcW w:w="742" w:type="dxa"/>
                  <w:vMerge w:val="continue"/>
                  <w:tcBorders>
                    <w:tl2br w:val="nil"/>
                    <w:tr2bl w:val="nil"/>
                  </w:tcBorders>
                  <w:noWrap w:val="0"/>
                  <w:vAlign w:val="center"/>
                </w:tcPr>
                <w:p>
                  <w:pPr>
                    <w:adjustRightInd w:val="0"/>
                    <w:contextualSpacing/>
                    <w:jc w:val="center"/>
                    <w:rPr>
                      <w:rFonts w:hint="default" w:ascii="Times New Roman" w:hAnsi="Times New Roman" w:eastAsia="宋体" w:cs="Times New Roman"/>
                      <w:color w:val="auto"/>
                      <w:szCs w:val="21"/>
                      <w:highlight w:val="none"/>
                      <w:lang w:val="en-US" w:eastAsia="zh-CN"/>
                    </w:rPr>
                  </w:pPr>
                </w:p>
              </w:tc>
              <w:tc>
                <w:tcPr>
                  <w:tcW w:w="575" w:type="dxa"/>
                  <w:tcBorders>
                    <w:tl2br w:val="nil"/>
                    <w:tr2bl w:val="nil"/>
                  </w:tcBorders>
                  <w:noWrap w:val="0"/>
                  <w:vAlign w:val="center"/>
                </w:tcPr>
                <w:p>
                  <w:pPr>
                    <w:topLinePunct/>
                    <w:spacing w:line="0" w:lineRule="atLeast"/>
                    <w:jc w:val="center"/>
                    <w:rPr>
                      <w:rFonts w:hint="default" w:ascii="Times New Roman" w:hAnsi="Times New Roman" w:eastAsia="宋体" w:cs="Times New Roman"/>
                      <w:color w:val="auto"/>
                      <w:spacing w:val="-23"/>
                      <w:sz w:val="21"/>
                      <w:szCs w:val="21"/>
                      <w:highlight w:val="none"/>
                      <w:lang w:val="en-US" w:eastAsia="zh-CN"/>
                    </w:rPr>
                  </w:pPr>
                  <w:r>
                    <w:rPr>
                      <w:rFonts w:hint="default" w:ascii="Times New Roman" w:hAnsi="Times New Roman" w:eastAsia="宋体" w:cs="Times New Roman"/>
                      <w:color w:val="auto"/>
                      <w:spacing w:val="-23"/>
                      <w:sz w:val="21"/>
                      <w:szCs w:val="21"/>
                      <w:highlight w:val="none"/>
                      <w:lang w:val="en-US" w:eastAsia="zh-CN"/>
                    </w:rPr>
                    <w:t>T、I</w:t>
                  </w:r>
                </w:p>
              </w:tc>
              <w:tc>
                <w:tcPr>
                  <w:tcW w:w="1522" w:type="dxa"/>
                  <w:vMerge w:val="continue"/>
                  <w:tcBorders>
                    <w:tl2br w:val="nil"/>
                    <w:tr2bl w:val="nil"/>
                  </w:tcBorders>
                  <w:noWrap w:val="0"/>
                  <w:vAlign w:val="center"/>
                </w:tcPr>
                <w:p>
                  <w:pPr>
                    <w:spacing w:line="264" w:lineRule="auto"/>
                    <w:jc w:val="center"/>
                    <w:rPr>
                      <w:rFonts w:hint="default" w:ascii="Times New Roman" w:hAnsi="Times New Roman" w:eastAsia="宋体" w:cs="Times New Roman"/>
                      <w:color w:val="auto"/>
                      <w:spacing w:val="-20"/>
                      <w:kern w:val="2"/>
                      <w:sz w:val="21"/>
                      <w:szCs w:val="21"/>
                      <w:highlight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②贮存场所环境影响分析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Ⅰ、贮存场所基本情况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color w:val="auto"/>
                <w:sz w:val="24"/>
                <w:highlight w:val="none"/>
              </w:rPr>
              <w:t>危险废物暂存间位于厂区</w:t>
            </w:r>
            <w:r>
              <w:rPr>
                <w:rFonts w:hint="eastAsia"/>
                <w:color w:val="auto"/>
                <w:sz w:val="24"/>
                <w:highlight w:val="none"/>
                <w:lang w:val="en-US" w:eastAsia="zh-CN"/>
              </w:rPr>
              <w:t>东</w:t>
            </w:r>
            <w:r>
              <w:rPr>
                <w:color w:val="auto"/>
                <w:sz w:val="24"/>
                <w:highlight w:val="none"/>
              </w:rPr>
              <w:t>侧，</w:t>
            </w:r>
            <w:r>
              <w:rPr>
                <w:rFonts w:hint="eastAsia"/>
                <w:color w:val="auto"/>
                <w:sz w:val="24"/>
                <w:highlight w:val="none"/>
                <w:lang w:eastAsia="zh-CN"/>
              </w:rPr>
              <w:t>危险废物暂存间</w:t>
            </w:r>
            <w:r>
              <w:rPr>
                <w:rFonts w:hint="eastAsia"/>
                <w:color w:val="auto"/>
                <w:sz w:val="24"/>
                <w:highlight w:val="none"/>
              </w:rPr>
              <w:t>占地面积为</w:t>
            </w:r>
            <w:r>
              <w:rPr>
                <w:rFonts w:hint="eastAsia"/>
                <w:color w:val="auto"/>
                <w:sz w:val="24"/>
                <w:highlight w:val="none"/>
                <w:lang w:val="en-US" w:eastAsia="zh-CN"/>
              </w:rPr>
              <w:t>4</w:t>
            </w:r>
            <w:r>
              <w:rPr>
                <w:rFonts w:hint="eastAsia"/>
                <w:color w:val="auto"/>
                <w:sz w:val="24"/>
                <w:highlight w:val="none"/>
              </w:rPr>
              <w:t>m</w:t>
            </w:r>
            <w:r>
              <w:rPr>
                <w:rFonts w:hint="eastAsia"/>
                <w:color w:val="auto"/>
                <w:sz w:val="24"/>
                <w:highlight w:val="none"/>
                <w:vertAlign w:val="superscript"/>
              </w:rPr>
              <w:t>2</w:t>
            </w:r>
            <w:r>
              <w:rPr>
                <w:rFonts w:hint="eastAsia"/>
                <w:color w:val="auto"/>
                <w:sz w:val="24"/>
                <w:highlight w:val="none"/>
              </w:rPr>
              <w:t>，</w:t>
            </w:r>
            <w:r>
              <w:rPr>
                <w:rFonts w:hint="default" w:ascii="Times New Roman" w:hAnsi="Times New Roman" w:eastAsia="宋体" w:cs="Times New Roman"/>
                <w:color w:val="auto"/>
                <w:sz w:val="24"/>
                <w:szCs w:val="24"/>
                <w:highlight w:val="none"/>
                <w:lang w:val="en-US" w:eastAsia="zh-CN"/>
              </w:rPr>
              <w:t>危险废物在收集和贮存过程中按照《危险废物贮存污染控制标准》(GB18597-20</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val="en-US" w:eastAsia="zh-CN"/>
              </w:rPr>
              <w:t>)相关要求张贴对应标签，包括危废类别、主要成分、危险情况、安全措施、数量等内容。项目危险废物贮存场所基本情况具体见表</w:t>
            </w:r>
            <w:r>
              <w:rPr>
                <w:rFonts w:hint="eastAsia"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lang w:val="en-US" w:eastAsia="zh-CN"/>
              </w:rPr>
              <w:t xml:space="preserve">。 </w:t>
            </w:r>
          </w:p>
          <w:p>
            <w:pPr>
              <w:spacing w:line="480" w:lineRule="exact"/>
              <w:jc w:val="center"/>
              <w:rPr>
                <w:rFonts w:hint="default" w:ascii="Times New Roman" w:hAnsi="Times New Roman" w:eastAsia="宋体" w:cs="Times New Roman"/>
                <w:b/>
                <w:bCs/>
                <w:snapToGrid w:val="0"/>
                <w:color w:val="auto"/>
                <w:sz w:val="24"/>
                <w:highlight w:val="none"/>
              </w:rPr>
            </w:pPr>
            <w:r>
              <w:rPr>
                <w:rFonts w:hint="default" w:ascii="Times New Roman" w:hAnsi="Times New Roman" w:eastAsia="宋体" w:cs="Times New Roman"/>
                <w:b/>
                <w:bCs/>
                <w:snapToGrid w:val="0"/>
                <w:color w:val="auto"/>
                <w:sz w:val="24"/>
                <w:highlight w:val="none"/>
              </w:rPr>
              <w:t>表</w:t>
            </w:r>
            <w:r>
              <w:rPr>
                <w:rFonts w:hint="eastAsia" w:cs="Times New Roman"/>
                <w:b/>
                <w:bCs/>
                <w:snapToGrid w:val="0"/>
                <w:color w:val="auto"/>
                <w:sz w:val="24"/>
                <w:highlight w:val="none"/>
                <w:lang w:val="en-US" w:eastAsia="zh-CN"/>
              </w:rPr>
              <w:t>40</w:t>
            </w:r>
            <w:r>
              <w:rPr>
                <w:rFonts w:hint="eastAsia" w:ascii="Times New Roman" w:hAnsi="Times New Roman" w:eastAsia="宋体" w:cs="Times New Roman"/>
                <w:b/>
                <w:bCs/>
                <w:snapToGrid w:val="0"/>
                <w:color w:val="auto"/>
                <w:sz w:val="24"/>
                <w:highlight w:val="none"/>
                <w:lang w:val="en-US" w:eastAsia="zh-CN"/>
              </w:rPr>
              <w:t xml:space="preserve">  项目</w:t>
            </w:r>
            <w:r>
              <w:rPr>
                <w:rFonts w:hint="default" w:ascii="Times New Roman" w:hAnsi="Times New Roman" w:eastAsia="宋体" w:cs="Times New Roman"/>
                <w:b/>
                <w:bCs/>
                <w:snapToGrid w:val="0"/>
                <w:color w:val="auto"/>
                <w:sz w:val="24"/>
                <w:highlight w:val="none"/>
              </w:rPr>
              <w:t>危险废物</w:t>
            </w:r>
            <w:r>
              <w:rPr>
                <w:rFonts w:hint="eastAsia" w:ascii="Times New Roman" w:hAnsi="Times New Roman" w:eastAsia="宋体" w:cs="Times New Roman"/>
                <w:b/>
                <w:bCs/>
                <w:snapToGrid w:val="0"/>
                <w:color w:val="auto"/>
                <w:sz w:val="24"/>
                <w:highlight w:val="none"/>
                <w:lang w:val="en-US" w:eastAsia="zh-CN"/>
              </w:rPr>
              <w:t>暂存间</w:t>
            </w:r>
            <w:r>
              <w:rPr>
                <w:rFonts w:hint="default" w:ascii="Times New Roman" w:hAnsi="Times New Roman" w:eastAsia="宋体" w:cs="Times New Roman"/>
                <w:b/>
                <w:bCs/>
                <w:snapToGrid w:val="0"/>
                <w:color w:val="auto"/>
                <w:sz w:val="24"/>
                <w:highlight w:val="none"/>
              </w:rPr>
              <w:t>危废储存情况一览表</w:t>
            </w:r>
          </w:p>
          <w:tbl>
            <w:tblPr>
              <w:tblStyle w:val="33"/>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649"/>
              <w:gridCol w:w="1196"/>
              <w:gridCol w:w="665"/>
              <w:gridCol w:w="820"/>
              <w:gridCol w:w="794"/>
              <w:gridCol w:w="908"/>
              <w:gridCol w:w="732"/>
              <w:gridCol w:w="799"/>
              <w:gridCol w:w="6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4" w:type="pct"/>
                  <w:noWrap w:val="0"/>
                  <w:vAlign w:val="center"/>
                </w:tcPr>
                <w:p>
                  <w:pPr>
                    <w:adjustRightInd w:val="0"/>
                    <w:snapToGrid w:val="0"/>
                    <w:jc w:val="center"/>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来源</w:t>
                  </w:r>
                </w:p>
              </w:tc>
              <w:tc>
                <w:tcPr>
                  <w:tcW w:w="40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危废名称</w:t>
                  </w:r>
                </w:p>
              </w:tc>
              <w:tc>
                <w:tcPr>
                  <w:tcW w:w="73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危废类别</w:t>
                  </w:r>
                </w:p>
              </w:tc>
              <w:tc>
                <w:tcPr>
                  <w:tcW w:w="41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危险特性</w:t>
                  </w:r>
                </w:p>
              </w:tc>
              <w:tc>
                <w:tcPr>
                  <w:tcW w:w="509"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包装方式</w:t>
                  </w:r>
                </w:p>
              </w:tc>
              <w:tc>
                <w:tcPr>
                  <w:tcW w:w="442"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年产生量</w:t>
                  </w:r>
                </w:p>
              </w:tc>
              <w:tc>
                <w:tcPr>
                  <w:tcW w:w="563"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最大储存量（t/a）</w:t>
                  </w:r>
                </w:p>
              </w:tc>
              <w:tc>
                <w:tcPr>
                  <w:tcW w:w="455"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eastAsia" w:ascii="Times New Roman" w:hAnsi="Times New Roman" w:cs="Times New Roman"/>
                      <w:b w:val="0"/>
                      <w:bCs w:val="0"/>
                      <w:color w:val="auto"/>
                      <w:szCs w:val="21"/>
                      <w:highlight w:val="none"/>
                      <w:lang w:val="en-US" w:eastAsia="zh-CN"/>
                    </w:rPr>
                    <w:t>周转</w:t>
                  </w:r>
                  <w:r>
                    <w:rPr>
                      <w:rFonts w:hint="default" w:ascii="Times New Roman" w:hAnsi="Times New Roman" w:cs="Times New Roman"/>
                      <w:b w:val="0"/>
                      <w:bCs w:val="0"/>
                      <w:color w:val="auto"/>
                      <w:szCs w:val="21"/>
                      <w:highlight w:val="none"/>
                    </w:rPr>
                    <w:t>周期</w:t>
                  </w:r>
                </w:p>
              </w:tc>
              <w:tc>
                <w:tcPr>
                  <w:tcW w:w="496" w:type="pct"/>
                  <w:noWrap w:val="0"/>
                  <w:vAlign w:val="center"/>
                </w:tcPr>
                <w:p>
                  <w:pPr>
                    <w:adjustRightInd w:val="0"/>
                    <w:snapToGrid w:val="0"/>
                    <w:jc w:val="center"/>
                    <w:rPr>
                      <w:rFonts w:hint="default"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转运情况</w:t>
                  </w:r>
                </w:p>
              </w:tc>
              <w:tc>
                <w:tcPr>
                  <w:tcW w:w="425" w:type="pct"/>
                  <w:noWrap w:val="0"/>
                  <w:vAlign w:val="center"/>
                </w:tcPr>
                <w:p>
                  <w:pPr>
                    <w:adjustRightInd w:val="0"/>
                    <w:snapToGrid w:val="0"/>
                    <w:jc w:val="center"/>
                    <w:rPr>
                      <w:rFonts w:hint="default"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restar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生产设备维修及维护</w:t>
                  </w:r>
                </w:p>
              </w:tc>
              <w:tc>
                <w:tcPr>
                  <w:tcW w:w="40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废</w:t>
                  </w:r>
                  <w:r>
                    <w:rPr>
                      <w:rFonts w:hint="eastAsia" w:ascii="Times New Roman" w:hAnsi="Times New Roman" w:cs="Times New Roman"/>
                      <w:b w:val="0"/>
                      <w:bCs w:val="0"/>
                      <w:color w:val="auto"/>
                      <w:szCs w:val="21"/>
                      <w:highlight w:val="none"/>
                      <w:lang w:val="en-US" w:eastAsia="zh-CN"/>
                    </w:rPr>
                    <w:t>矿物</w:t>
                  </w:r>
                  <w:r>
                    <w:rPr>
                      <w:rFonts w:hint="default" w:ascii="Times New Roman" w:hAnsi="Times New Roman" w:cs="Times New Roman"/>
                      <w:b w:val="0"/>
                      <w:bCs w:val="0"/>
                      <w:color w:val="auto"/>
                      <w:szCs w:val="21"/>
                      <w:highlight w:val="none"/>
                    </w:rPr>
                    <w:t>油</w:t>
                  </w:r>
                </w:p>
              </w:tc>
              <w:tc>
                <w:tcPr>
                  <w:tcW w:w="73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HW08</w:t>
                  </w:r>
                </w:p>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900-2</w:t>
                  </w:r>
                  <w:r>
                    <w:rPr>
                      <w:rFonts w:hint="eastAsia" w:ascii="Times New Roman" w:hAnsi="Times New Roman" w:cs="Times New Roman"/>
                      <w:b w:val="0"/>
                      <w:bCs w:val="0"/>
                      <w:color w:val="auto"/>
                      <w:szCs w:val="21"/>
                      <w:highlight w:val="none"/>
                      <w:lang w:val="en-US" w:eastAsia="zh-CN"/>
                    </w:rPr>
                    <w:t>49</w:t>
                  </w:r>
                  <w:r>
                    <w:rPr>
                      <w:rFonts w:hint="default" w:ascii="Times New Roman" w:hAnsi="Times New Roman" w:cs="Times New Roman"/>
                      <w:b w:val="0"/>
                      <w:bCs w:val="0"/>
                      <w:color w:val="auto"/>
                      <w:szCs w:val="21"/>
                      <w:highlight w:val="none"/>
                    </w:rPr>
                    <w:t>-08</w:t>
                  </w:r>
                </w:p>
              </w:tc>
              <w:tc>
                <w:tcPr>
                  <w:tcW w:w="41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T,I</w:t>
                  </w:r>
                </w:p>
              </w:tc>
              <w:tc>
                <w:tcPr>
                  <w:tcW w:w="509"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eastAsia" w:ascii="Times New Roman" w:hAnsi="Times New Roman" w:cs="Times New Roman"/>
                      <w:b w:val="0"/>
                      <w:bCs w:val="0"/>
                      <w:color w:val="auto"/>
                      <w:szCs w:val="21"/>
                      <w:highlight w:val="none"/>
                      <w:lang w:val="en-US" w:eastAsia="zh-CN"/>
                    </w:rPr>
                    <w:t>钢制</w:t>
                  </w:r>
                  <w:r>
                    <w:rPr>
                      <w:rFonts w:hint="default" w:ascii="Times New Roman" w:hAnsi="Times New Roman" w:cs="Times New Roman"/>
                      <w:b w:val="0"/>
                      <w:bCs w:val="0"/>
                      <w:color w:val="auto"/>
                      <w:szCs w:val="21"/>
                      <w:highlight w:val="none"/>
                    </w:rPr>
                    <w:t>桶装</w:t>
                  </w:r>
                </w:p>
              </w:tc>
              <w:tc>
                <w:tcPr>
                  <w:tcW w:w="442" w:type="pct"/>
                  <w:noWrap w:val="0"/>
                  <w:vAlign w:val="center"/>
                </w:tcPr>
                <w:p>
                  <w:pPr>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Cs w:val="21"/>
                      <w:highlight w:val="none"/>
                      <w:lang w:val="en-US" w:eastAsia="zh-CN"/>
                    </w:rPr>
                    <w:t>0.1</w:t>
                  </w:r>
                  <w:r>
                    <w:rPr>
                      <w:rFonts w:hint="default" w:ascii="Times New Roman" w:hAnsi="Times New Roman" w:cs="Times New Roman"/>
                      <w:b w:val="0"/>
                      <w:bCs w:val="0"/>
                      <w:color w:val="auto"/>
                      <w:szCs w:val="21"/>
                      <w:highlight w:val="none"/>
                    </w:rPr>
                    <w:t>t/a</w:t>
                  </w:r>
                </w:p>
              </w:tc>
              <w:tc>
                <w:tcPr>
                  <w:tcW w:w="563"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eastAsia" w:ascii="Times New Roman" w:hAnsi="Times New Roman" w:cs="Times New Roman"/>
                      <w:b w:val="0"/>
                      <w:bCs w:val="0"/>
                      <w:color w:val="auto"/>
                      <w:szCs w:val="21"/>
                      <w:highlight w:val="none"/>
                      <w:lang w:val="en-US" w:eastAsia="zh-CN"/>
                    </w:rPr>
                    <w:t>0.1</w:t>
                  </w:r>
                  <w:r>
                    <w:rPr>
                      <w:rFonts w:hint="default" w:ascii="Times New Roman" w:hAnsi="Times New Roman" w:cs="Times New Roman"/>
                      <w:b w:val="0"/>
                      <w:bCs w:val="0"/>
                      <w:color w:val="auto"/>
                      <w:szCs w:val="21"/>
                      <w:highlight w:val="none"/>
                    </w:rPr>
                    <w:t>t/a</w:t>
                  </w:r>
                </w:p>
              </w:tc>
              <w:tc>
                <w:tcPr>
                  <w:tcW w:w="455" w:type="pc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300d</w:t>
                  </w:r>
                </w:p>
              </w:tc>
              <w:tc>
                <w:tcPr>
                  <w:tcW w:w="496" w:type="pc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eastAsia"/>
                      <w:color w:val="auto"/>
                      <w:szCs w:val="21"/>
                      <w:highlight w:val="none"/>
                      <w:lang w:val="en-US" w:eastAsia="zh-CN"/>
                    </w:rPr>
                    <w:t>1</w:t>
                  </w:r>
                  <w:r>
                    <w:rPr>
                      <w:rFonts w:hint="eastAsia"/>
                      <w:color w:val="auto"/>
                      <w:szCs w:val="21"/>
                      <w:highlight w:val="none"/>
                    </w:rPr>
                    <w:t>次</w:t>
                  </w:r>
                  <w:r>
                    <w:rPr>
                      <w:rFonts w:hint="eastAsia"/>
                      <w:color w:val="auto"/>
                      <w:szCs w:val="21"/>
                      <w:highlight w:val="none"/>
                      <w:lang w:val="en-US" w:eastAsia="zh-CN"/>
                    </w:rPr>
                    <w:t>/a</w:t>
                  </w:r>
                </w:p>
              </w:tc>
              <w:tc>
                <w:tcPr>
                  <w:tcW w:w="425" w:type="pct"/>
                  <w:vMerge w:val="restar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val="0"/>
                      <w:bCs w:val="0"/>
                      <w:color w:val="auto"/>
                      <w:szCs w:val="21"/>
                      <w:highlight w:val="none"/>
                      <w:lang w:val="en-US" w:eastAsia="zh-CN"/>
                    </w:rPr>
                    <w:t>具有相应资质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continue"/>
                  <w:noWrap w:val="0"/>
                  <w:vAlign w:val="center"/>
                </w:tcPr>
                <w:p>
                  <w:pPr>
                    <w:adjustRightInd w:val="0"/>
                    <w:snapToGrid w:val="0"/>
                    <w:jc w:val="center"/>
                    <w:rPr>
                      <w:rFonts w:hint="default" w:ascii="Times New Roman" w:hAnsi="Times New Roman" w:cs="Times New Roman"/>
                      <w:b w:val="0"/>
                      <w:bCs w:val="0"/>
                      <w:color w:val="auto"/>
                      <w:szCs w:val="21"/>
                      <w:highlight w:val="none"/>
                    </w:rPr>
                  </w:pPr>
                </w:p>
              </w:tc>
              <w:tc>
                <w:tcPr>
                  <w:tcW w:w="40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废油桶</w:t>
                  </w:r>
                </w:p>
              </w:tc>
              <w:tc>
                <w:tcPr>
                  <w:tcW w:w="734" w:type="pc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rPr>
                    <w:t>HW</w:t>
                  </w:r>
                  <w:r>
                    <w:rPr>
                      <w:rFonts w:hint="eastAsia" w:ascii="Times New Roman" w:hAnsi="Times New Roman" w:cs="Times New Roman"/>
                      <w:b w:val="0"/>
                      <w:bCs w:val="0"/>
                      <w:color w:val="auto"/>
                      <w:szCs w:val="21"/>
                      <w:highlight w:val="none"/>
                      <w:lang w:val="en-US" w:eastAsia="zh-CN"/>
                    </w:rPr>
                    <w:t>08</w:t>
                  </w:r>
                </w:p>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rPr>
                    <w:t>900-</w:t>
                  </w:r>
                  <w:r>
                    <w:rPr>
                      <w:rFonts w:hint="eastAsia" w:ascii="Times New Roman" w:hAnsi="Times New Roman" w:cs="Times New Roman"/>
                      <w:b w:val="0"/>
                      <w:bCs w:val="0"/>
                      <w:color w:val="auto"/>
                      <w:szCs w:val="21"/>
                      <w:highlight w:val="none"/>
                      <w:lang w:val="en-US" w:eastAsia="zh-CN"/>
                    </w:rPr>
                    <w:t>249</w:t>
                  </w:r>
                  <w:r>
                    <w:rPr>
                      <w:rFonts w:hint="default" w:ascii="Times New Roman" w:hAnsi="Times New Roman" w:cs="Times New Roman"/>
                      <w:b w:val="0"/>
                      <w:bCs w:val="0"/>
                      <w:color w:val="auto"/>
                      <w:szCs w:val="21"/>
                      <w:highlight w:val="none"/>
                    </w:rPr>
                    <w:t>-</w:t>
                  </w:r>
                  <w:r>
                    <w:rPr>
                      <w:rFonts w:hint="eastAsia" w:ascii="Times New Roman" w:hAnsi="Times New Roman" w:cs="Times New Roman"/>
                      <w:b w:val="0"/>
                      <w:bCs w:val="0"/>
                      <w:color w:val="auto"/>
                      <w:szCs w:val="21"/>
                      <w:highlight w:val="none"/>
                      <w:lang w:val="en-US" w:eastAsia="zh-CN"/>
                    </w:rPr>
                    <w:t>08</w:t>
                  </w:r>
                </w:p>
              </w:tc>
              <w:tc>
                <w:tcPr>
                  <w:tcW w:w="414"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T,I</w:t>
                  </w:r>
                </w:p>
              </w:tc>
              <w:tc>
                <w:tcPr>
                  <w:tcW w:w="509" w:type="pct"/>
                  <w:noWrap w:val="0"/>
                  <w:vAlign w:val="center"/>
                </w:tcPr>
                <w:p>
                  <w:pPr>
                    <w:adjustRightInd w:val="0"/>
                    <w:snapToGrid w:val="0"/>
                    <w:jc w:val="center"/>
                    <w:rPr>
                      <w:rFonts w:hint="eastAsia" w:ascii="Times New Roman" w:hAnsi="Times New Roman" w:eastAsia="宋体" w:cs="Times New Roman"/>
                      <w:b w:val="0"/>
                      <w:bCs w:val="0"/>
                      <w:color w:val="auto"/>
                      <w:szCs w:val="21"/>
                      <w:highlight w:val="none"/>
                      <w:lang w:eastAsia="zh-CN"/>
                    </w:rPr>
                  </w:pPr>
                  <w:r>
                    <w:rPr>
                      <w:rFonts w:hint="eastAsia" w:ascii="Times New Roman" w:hAnsi="Times New Roman" w:cs="Times New Roman"/>
                      <w:b w:val="0"/>
                      <w:bCs w:val="0"/>
                      <w:color w:val="auto"/>
                      <w:szCs w:val="21"/>
                      <w:highlight w:val="none"/>
                      <w:lang w:val="en-US" w:eastAsia="zh-CN"/>
                    </w:rPr>
                    <w:t>-</w:t>
                  </w:r>
                </w:p>
              </w:tc>
              <w:tc>
                <w:tcPr>
                  <w:tcW w:w="442" w:type="pct"/>
                  <w:noWrap w:val="0"/>
                  <w:vAlign w:val="center"/>
                </w:tcPr>
                <w:p>
                  <w:pPr>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Cs w:val="21"/>
                      <w:highlight w:val="none"/>
                      <w:lang w:val="en-US" w:eastAsia="zh-CN"/>
                    </w:rPr>
                    <w:t>0.06t</w:t>
                  </w:r>
                  <w:r>
                    <w:rPr>
                      <w:rFonts w:hint="default" w:ascii="Times New Roman" w:hAnsi="Times New Roman" w:cs="Times New Roman"/>
                      <w:b w:val="0"/>
                      <w:bCs w:val="0"/>
                      <w:color w:val="auto"/>
                      <w:szCs w:val="21"/>
                      <w:highlight w:val="none"/>
                    </w:rPr>
                    <w:t>/a</w:t>
                  </w:r>
                </w:p>
              </w:tc>
              <w:tc>
                <w:tcPr>
                  <w:tcW w:w="563"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eastAsia" w:ascii="Times New Roman" w:hAnsi="Times New Roman" w:cs="Times New Roman"/>
                      <w:b w:val="0"/>
                      <w:bCs w:val="0"/>
                      <w:color w:val="auto"/>
                      <w:szCs w:val="21"/>
                      <w:highlight w:val="none"/>
                      <w:lang w:val="en-US" w:eastAsia="zh-CN"/>
                    </w:rPr>
                    <w:t>0.06t</w:t>
                  </w:r>
                  <w:r>
                    <w:rPr>
                      <w:rFonts w:hint="default" w:ascii="Times New Roman" w:hAnsi="Times New Roman" w:cs="Times New Roman"/>
                      <w:b w:val="0"/>
                      <w:bCs w:val="0"/>
                      <w:color w:val="auto"/>
                      <w:szCs w:val="21"/>
                      <w:highlight w:val="none"/>
                    </w:rPr>
                    <w:t>/a</w:t>
                  </w:r>
                </w:p>
              </w:tc>
              <w:tc>
                <w:tcPr>
                  <w:tcW w:w="455" w:type="pct"/>
                  <w:noWrap w:val="0"/>
                  <w:vAlign w:val="center"/>
                </w:tcPr>
                <w:p>
                  <w:pPr>
                    <w:adjustRightInd w:val="0"/>
                    <w:snapToGrid w:val="0"/>
                    <w:jc w:val="center"/>
                    <w:rPr>
                      <w:rFonts w:hint="default" w:ascii="Times New Roman" w:hAnsi="Times New Roman" w:cs="Times New Roman"/>
                      <w:b w:val="0"/>
                      <w:bCs w:val="0"/>
                      <w:color w:val="auto"/>
                      <w:szCs w:val="21"/>
                      <w:highlight w:val="none"/>
                    </w:rPr>
                  </w:pPr>
                  <w:r>
                    <w:rPr>
                      <w:rFonts w:hint="eastAsia" w:ascii="Times New Roman" w:hAnsi="Times New Roman" w:cs="Times New Roman"/>
                      <w:b w:val="0"/>
                      <w:bCs w:val="0"/>
                      <w:color w:val="auto"/>
                      <w:szCs w:val="21"/>
                      <w:highlight w:val="none"/>
                      <w:lang w:val="en-US" w:eastAsia="zh-CN"/>
                    </w:rPr>
                    <w:t>300d</w:t>
                  </w:r>
                </w:p>
              </w:tc>
              <w:tc>
                <w:tcPr>
                  <w:tcW w:w="496" w:type="pct"/>
                  <w:noWrap w:val="0"/>
                  <w:vAlign w:val="center"/>
                </w:tcPr>
                <w:p>
                  <w:pPr>
                    <w:adjustRightInd w:val="0"/>
                    <w:snapToGrid w:val="0"/>
                    <w:jc w:val="center"/>
                    <w:rPr>
                      <w:rFonts w:hint="default" w:ascii="Times New Roman" w:hAnsi="Times New Roman" w:eastAsia="宋体" w:cs="Times New Roman"/>
                      <w:b w:val="0"/>
                      <w:bCs w:val="0"/>
                      <w:color w:val="auto"/>
                      <w:szCs w:val="21"/>
                      <w:highlight w:val="none"/>
                      <w:lang w:val="en-US" w:eastAsia="zh-CN"/>
                    </w:rPr>
                  </w:pPr>
                  <w:r>
                    <w:rPr>
                      <w:rFonts w:hint="eastAsia"/>
                      <w:color w:val="auto"/>
                      <w:szCs w:val="21"/>
                      <w:highlight w:val="none"/>
                      <w:lang w:val="en-US" w:eastAsia="zh-CN"/>
                    </w:rPr>
                    <w:t>1</w:t>
                  </w:r>
                  <w:r>
                    <w:rPr>
                      <w:rFonts w:hint="eastAsia"/>
                      <w:color w:val="auto"/>
                      <w:szCs w:val="21"/>
                      <w:highlight w:val="none"/>
                    </w:rPr>
                    <w:t>次</w:t>
                  </w:r>
                  <w:r>
                    <w:rPr>
                      <w:rFonts w:hint="eastAsia"/>
                      <w:color w:val="auto"/>
                      <w:szCs w:val="21"/>
                      <w:highlight w:val="none"/>
                      <w:lang w:val="en-US" w:eastAsia="zh-CN"/>
                    </w:rPr>
                    <w:t>/a</w:t>
                  </w:r>
                </w:p>
              </w:tc>
              <w:tc>
                <w:tcPr>
                  <w:tcW w:w="425" w:type="pct"/>
                  <w:vMerge w:val="continue"/>
                  <w:noWrap w:val="0"/>
                  <w:vAlign w:val="center"/>
                </w:tcPr>
                <w:p>
                  <w:pPr>
                    <w:adjustRightInd w:val="0"/>
                    <w:snapToGrid w:val="0"/>
                    <w:jc w:val="center"/>
                    <w:rPr>
                      <w:rFonts w:hint="eastAsia" w:ascii="Times New Roman" w:hAnsi="Times New Roman" w:eastAsia="宋体" w:cs="Times New Roman"/>
                      <w:b w:val="0"/>
                      <w:bCs w:val="0"/>
                      <w:color w:val="auto"/>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pacing w:val="-2"/>
                <w:sz w:val="21"/>
                <w:szCs w:val="21"/>
                <w:highlight w:val="none"/>
                <w:lang w:val="en-US"/>
              </w:rPr>
            </w:pPr>
            <w:r>
              <w:rPr>
                <w:rFonts w:hint="default" w:ascii="Times New Roman" w:hAnsi="Times New Roman" w:cs="Times New Roman"/>
                <w:color w:val="auto"/>
                <w:spacing w:val="-2"/>
                <w:sz w:val="21"/>
                <w:szCs w:val="21"/>
                <w:highlight w:val="none"/>
              </w:rPr>
              <w:t>注：</w:t>
            </w:r>
            <w:r>
              <w:rPr>
                <w:rFonts w:hint="eastAsia" w:ascii="Times New Roman" w:hAnsi="Times New Roman" w:cs="Times New Roman"/>
                <w:color w:val="auto"/>
                <w:spacing w:val="-2"/>
                <w:sz w:val="21"/>
                <w:szCs w:val="21"/>
                <w:highlight w:val="none"/>
                <w:lang w:val="en-US" w:eastAsia="zh-CN"/>
              </w:rPr>
              <w:t>最大储存量通过转运周期换算而来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Ⅱ、危险废物贮存能力环境影响分析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Cs/>
                <w:color w:val="auto"/>
                <w:sz w:val="24"/>
                <w:highlight w:val="none"/>
                <w:lang w:val="en-US" w:eastAsia="zh-CN"/>
              </w:rPr>
              <w:t>厂区</w:t>
            </w:r>
            <w:r>
              <w:rPr>
                <w:rFonts w:hint="default" w:ascii="Times New Roman" w:hAnsi="Times New Roman" w:cs="Times New Roman"/>
                <w:color w:val="auto"/>
                <w:sz w:val="24"/>
                <w:highlight w:val="none"/>
              </w:rPr>
              <w:t>危险废物暂存间位于</w:t>
            </w:r>
            <w:r>
              <w:rPr>
                <w:rFonts w:hint="eastAsia" w:cs="Times New Roman"/>
                <w:color w:val="auto"/>
                <w:sz w:val="24"/>
                <w:highlight w:val="none"/>
                <w:lang w:val="en-US" w:eastAsia="zh-CN"/>
              </w:rPr>
              <w:t>生产车间内东南角</w:t>
            </w:r>
            <w:r>
              <w:rPr>
                <w:rFonts w:hint="default" w:ascii="Times New Roman" w:hAnsi="Times New Roman" w:cs="Times New Roman"/>
                <w:color w:val="auto"/>
                <w:sz w:val="24"/>
                <w:highlight w:val="none"/>
              </w:rPr>
              <w:t>，占地面积为</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4"/>
                <w:highlight w:val="none"/>
                <w:lang w:val="en-US" w:eastAsia="zh-CN"/>
              </w:rPr>
              <w:t>项目产生少量废矿物油和废油桶，危废间存储面积可以满足危险废物存储需求。</w:t>
            </w:r>
            <w:r>
              <w:rPr>
                <w:rFonts w:hint="eastAsia" w:ascii="Times New Roman" w:hAnsi="Times New Roman" w:cs="Times New Roman"/>
                <w:color w:val="auto"/>
                <w:sz w:val="24"/>
                <w:highlight w:val="none"/>
                <w:lang w:eastAsia="zh-CN"/>
              </w:rPr>
              <w:t>危险废物暂存间</w:t>
            </w:r>
            <w:r>
              <w:rPr>
                <w:rFonts w:hint="default" w:ascii="Times New Roman" w:hAnsi="Times New Roman" w:cs="Times New Roman"/>
                <w:color w:val="auto"/>
                <w:sz w:val="24"/>
                <w:highlight w:val="none"/>
              </w:rPr>
              <w:t>按照《危险废物贮存污染控制标准》(GB18597-20</w:t>
            </w:r>
            <w:r>
              <w:rPr>
                <w:rFonts w:hint="eastAsia" w:ascii="Times New Roman" w:hAnsi="Times New Roman" w:cs="Times New Roman"/>
                <w:color w:val="auto"/>
                <w:sz w:val="24"/>
                <w:highlight w:val="none"/>
                <w:lang w:val="en-US" w:eastAsia="zh-CN"/>
              </w:rPr>
              <w:t>23</w:t>
            </w:r>
            <w:r>
              <w:rPr>
                <w:rFonts w:hint="default" w:ascii="Times New Roman" w:hAnsi="Times New Roman" w:cs="Times New Roman"/>
                <w:color w:val="auto"/>
                <w:sz w:val="24"/>
                <w:highlight w:val="none"/>
              </w:rPr>
              <w:t>)的相关要求采取防火、防雨、防渗处理，设有防渗透、防溢流围堰，配有消防栓、消防沙等消防应急物资，并设立危险废物警示标志，由专人进行管理，并建有危险废物排放量及处置记录等，</w:t>
            </w:r>
            <w:r>
              <w:rPr>
                <w:rFonts w:hint="eastAsia" w:ascii="Times New Roman" w:hAnsi="Times New Roman" w:cs="Times New Roman"/>
                <w:color w:val="auto"/>
                <w:sz w:val="24"/>
                <w:highlight w:val="none"/>
                <w:lang w:eastAsia="zh-CN"/>
              </w:rPr>
              <w:t>危险废物暂存间</w:t>
            </w:r>
            <w:r>
              <w:rPr>
                <w:rFonts w:hint="default" w:ascii="Times New Roman" w:hAnsi="Times New Roman" w:cs="Times New Roman"/>
                <w:color w:val="auto"/>
                <w:sz w:val="24"/>
                <w:highlight w:val="none"/>
              </w:rPr>
              <w:t>的地面和四周裙角均需进行防渗处理，保证防渗层渗透系数小于</w:t>
            </w:r>
            <w:r>
              <w:rPr>
                <w:rFonts w:hint="default" w:ascii="Times New Roman" w:hAnsi="Times New Roman" w:cs="Times New Roman"/>
                <w:color w:val="auto"/>
                <w:sz w:val="24"/>
                <w:highlight w:val="none"/>
                <w:lang w:val="en-US" w:eastAsia="zh-CN"/>
              </w:rPr>
              <w:t>等于</w:t>
            </w:r>
            <w:r>
              <w:rPr>
                <w:rFonts w:hint="default" w:ascii="Times New Roman" w:hAnsi="Times New Roman" w:cs="Times New Roman"/>
                <w:color w:val="auto"/>
                <w:sz w:val="24"/>
                <w:highlight w:val="none"/>
              </w:rPr>
              <w:t>1×10</w:t>
            </w:r>
            <w:r>
              <w:rPr>
                <w:rFonts w:hint="default" w:ascii="Times New Roman" w:hAnsi="Times New Roman" w:cs="Times New Roman"/>
                <w:color w:val="auto"/>
                <w:sz w:val="24"/>
                <w:highlight w:val="none"/>
                <w:vertAlign w:val="superscript"/>
              </w:rPr>
              <w:t>-10</w:t>
            </w:r>
            <w:r>
              <w:rPr>
                <w:rFonts w:hint="default" w:ascii="Times New Roman" w:hAnsi="Times New Roman" w:cs="Times New Roman"/>
                <w:color w:val="auto"/>
                <w:sz w:val="24"/>
                <w:highlight w:val="none"/>
              </w:rPr>
              <w:t>cm/s。</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lang w:val="en-US" w:eastAsia="zh-CN"/>
              </w:rPr>
              <w:t>运输过程影响分析</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厂区产生的危险废物经收集后通过运至危险废物暂存间贮存，运输</w:t>
            </w:r>
            <w:r>
              <w:rPr>
                <w:rFonts w:hint="eastAsia" w:cs="Times New Roman"/>
                <w:color w:val="auto"/>
                <w:sz w:val="24"/>
                <w:szCs w:val="24"/>
                <w:highlight w:val="none"/>
                <w:lang w:val="en-US" w:eastAsia="zh-CN"/>
              </w:rPr>
              <w:t>路线</w:t>
            </w:r>
            <w:r>
              <w:rPr>
                <w:rFonts w:hint="default" w:ascii="Times New Roman" w:hAnsi="Times New Roman" w:eastAsia="宋体" w:cs="Times New Roman"/>
                <w:color w:val="auto"/>
                <w:sz w:val="24"/>
                <w:szCs w:val="24"/>
                <w:highlight w:val="none"/>
                <w:lang w:val="en-US" w:eastAsia="zh-CN"/>
              </w:rPr>
              <w:t>较短，且路线不经过办公区等人员密集区，转运结束后及时对转运路线进行检查和清理，确保无危险废物散落或泄漏在转运路线上。危险废物运输过程中全部采用密闭容器储存，正常情况下不会发生散落或泄漏，同时本项目</w:t>
            </w:r>
            <w:r>
              <w:rPr>
                <w:rFonts w:hint="eastAsia" w:cs="Times New Roman"/>
                <w:color w:val="auto"/>
                <w:sz w:val="24"/>
                <w:szCs w:val="24"/>
                <w:highlight w:val="none"/>
                <w:lang w:val="en-US" w:eastAsia="zh-CN"/>
              </w:rPr>
              <w:t>车间内全部硬化</w:t>
            </w:r>
            <w:r>
              <w:rPr>
                <w:rFonts w:hint="default" w:ascii="Times New Roman" w:hAnsi="Times New Roman" w:eastAsia="宋体" w:cs="Times New Roman"/>
                <w:color w:val="auto"/>
                <w:sz w:val="24"/>
                <w:szCs w:val="24"/>
                <w:highlight w:val="none"/>
                <w:lang w:val="en-US" w:eastAsia="zh-CN"/>
              </w:rPr>
              <w:t xml:space="preserve">，可有效阻止泄漏后危险废物的下渗，因此危险废物在运输过程中发生散落或泄漏时，及时清理，不会对周边环境产生明显影响。 </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④委托处置的环境影响分析 </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项目产生的危险废物中废矿物油</w:t>
            </w:r>
            <w:r>
              <w:rPr>
                <w:rFonts w:hint="eastAsia" w:ascii="Times New Roman" w:hAnsi="Times New Roman" w:eastAsia="宋体" w:cs="Times New Roman"/>
                <w:color w:val="auto"/>
                <w:sz w:val="24"/>
                <w:szCs w:val="24"/>
                <w:highlight w:val="none"/>
                <w:lang w:val="en-US" w:eastAsia="zh-CN"/>
              </w:rPr>
              <w:t>、废油桶</w:t>
            </w:r>
            <w:r>
              <w:rPr>
                <w:rFonts w:hint="default" w:ascii="Times New Roman" w:hAnsi="Times New Roman" w:eastAsia="宋体" w:cs="Times New Roman"/>
                <w:color w:val="auto"/>
                <w:sz w:val="24"/>
                <w:szCs w:val="24"/>
                <w:highlight w:val="none"/>
                <w:lang w:val="en-US" w:eastAsia="zh-CN"/>
              </w:rPr>
              <w:t>委托</w:t>
            </w:r>
            <w:r>
              <w:rPr>
                <w:rFonts w:hint="eastAsia" w:ascii="Times New Roman" w:hAnsi="Times New Roman" w:eastAsia="宋体" w:cs="Times New Roman"/>
                <w:color w:val="auto"/>
                <w:sz w:val="24"/>
                <w:szCs w:val="24"/>
                <w:highlight w:val="none"/>
                <w:lang w:val="en-US" w:eastAsia="zh-CN"/>
              </w:rPr>
              <w:t>有资质单位处理</w:t>
            </w:r>
            <w:r>
              <w:rPr>
                <w:rFonts w:hint="default" w:ascii="Times New Roman" w:hAnsi="Times New Roman" w:eastAsia="宋体" w:cs="Times New Roman"/>
                <w:color w:val="auto"/>
                <w:sz w:val="24"/>
                <w:szCs w:val="24"/>
                <w:highlight w:val="none"/>
                <w:lang w:val="en-US" w:eastAsia="zh-CN"/>
              </w:rPr>
              <w:t>处理，危险废物处置单位危险废物经营许可范围</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包含项目危险废物类别，</w:t>
            </w:r>
            <w:r>
              <w:rPr>
                <w:rFonts w:hint="eastAsia" w:ascii="Times New Roman" w:hAnsi="Times New Roman" w:eastAsia="宋体" w:cs="Times New Roman"/>
                <w:color w:val="auto"/>
                <w:sz w:val="24"/>
                <w:szCs w:val="24"/>
                <w:highlight w:val="none"/>
                <w:lang w:val="en-US" w:eastAsia="zh-CN"/>
              </w:rPr>
              <w:t>且许可证在有效期范围内，满足上述要求后，</w:t>
            </w:r>
            <w:r>
              <w:rPr>
                <w:rFonts w:hint="default" w:ascii="Times New Roman" w:hAnsi="Times New Roman" w:eastAsia="宋体" w:cs="Times New Roman"/>
                <w:color w:val="auto"/>
                <w:sz w:val="24"/>
                <w:szCs w:val="24"/>
                <w:highlight w:val="none"/>
                <w:lang w:val="en-US" w:eastAsia="zh-CN"/>
              </w:rPr>
              <w:t>能够满足委托处置要求，不会对周边环境产生明显影响。</w:t>
            </w:r>
          </w:p>
          <w:p>
            <w:pPr>
              <w:spacing w:line="480" w:lineRule="exact"/>
              <w:ind w:firstLine="480" w:firstLineChars="200"/>
              <w:rPr>
                <w:rFonts w:hint="default"/>
                <w:color w:val="auto"/>
                <w:sz w:val="24"/>
                <w:highlight w:val="none"/>
                <w:lang w:val="en-US" w:eastAsia="zh-CN"/>
              </w:rPr>
            </w:pPr>
            <w:r>
              <w:rPr>
                <w:rFonts w:hint="default"/>
                <w:color w:val="auto"/>
                <w:sz w:val="24"/>
                <w:highlight w:val="none"/>
                <w:lang w:val="en-US" w:eastAsia="zh-CN"/>
              </w:rPr>
              <w:t>（2）环境管理要求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①一般固废环境管理要求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项目产生的一般固废</w:t>
            </w:r>
            <w:r>
              <w:rPr>
                <w:rFonts w:hint="eastAsia" w:ascii="Times New Roman" w:hAnsi="Times New Roman" w:eastAsia="宋体" w:cs="Times New Roman"/>
                <w:color w:val="auto"/>
                <w:sz w:val="24"/>
                <w:szCs w:val="24"/>
                <w:highlight w:val="none"/>
                <w:lang w:val="en-US" w:eastAsia="zh-CN"/>
              </w:rPr>
              <w:t>集中</w:t>
            </w:r>
            <w:r>
              <w:rPr>
                <w:rFonts w:hint="default" w:ascii="Times New Roman" w:hAnsi="Times New Roman" w:eastAsia="宋体" w:cs="Times New Roman"/>
                <w:color w:val="auto"/>
                <w:sz w:val="24"/>
                <w:szCs w:val="24"/>
                <w:highlight w:val="none"/>
                <w:lang w:val="en-US" w:eastAsia="zh-CN"/>
              </w:rPr>
              <w:t>收集后暂存于</w:t>
            </w:r>
            <w:r>
              <w:rPr>
                <w:rFonts w:hint="eastAsia" w:ascii="Times New Roman" w:hAnsi="Times New Roman" w:eastAsia="宋体" w:cs="Times New Roman"/>
                <w:color w:val="auto"/>
                <w:sz w:val="24"/>
                <w:szCs w:val="24"/>
                <w:highlight w:val="none"/>
                <w:lang w:val="en-US" w:eastAsia="zh-CN"/>
              </w:rPr>
              <w:t>生产车间内部</w:t>
            </w:r>
            <w:r>
              <w:rPr>
                <w:rFonts w:hint="default" w:ascii="Times New Roman" w:hAnsi="Times New Roman" w:eastAsia="宋体" w:cs="Times New Roman"/>
                <w:color w:val="auto"/>
                <w:sz w:val="24"/>
                <w:szCs w:val="24"/>
                <w:highlight w:val="none"/>
                <w:lang w:val="en-US" w:eastAsia="zh-CN"/>
              </w:rPr>
              <w:t>一般工业固废暂存</w:t>
            </w:r>
            <w:r>
              <w:rPr>
                <w:rFonts w:hint="eastAsia" w:cs="Times New Roman"/>
                <w:color w:val="auto"/>
                <w:sz w:val="24"/>
                <w:szCs w:val="24"/>
                <w:highlight w:val="none"/>
                <w:lang w:val="en-US" w:eastAsia="zh-CN"/>
              </w:rPr>
              <w:t>区</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一般固废暂存满足以下要求：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为防止一般工业固体废物在厂内临时存储过程中对环境产生污染影响</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厂内一般固体废弃物应按规定设置一般工业固体废物临时贮存场所，并专人负责固体废物的收集、贮存，同时配合地方要求进行集中处置。一般工业固体废物贮存应满足以下要求：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1)加强监督管理，贮存场所设置环境保护图形标志；</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2)一般工业固体废物贮存，禁止危险废物和生活垃圾混入；</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cs="Times New Roman"/>
                <w:color w:val="auto"/>
                <w:sz w:val="24"/>
                <w:highlight w:val="none"/>
                <w:lang w:val="en-US" w:eastAsia="zh-CN"/>
              </w:rPr>
              <w:t>一般工业固体废物贮存过程应满足相应防渗漏、防雨淋、防扬尘等环境保护要求；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)应建立检查维护制度；</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)应建立档案制度，应将一般工业固体废物的种类和数量等资料详细记录在案，长期保存，供随时查阅。</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②危险废物环境管理要求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为防止危险废物在厂内临时存储过程中对环境产生污染影响，根据《危险废物贮存污染控制标准》(GB18597-20</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val="en-US" w:eastAsia="zh-CN"/>
              </w:rPr>
              <w:t>)相关内容，本评价要求公司危险废物环境管理应满足以下要求：</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1)危险废物</w:t>
            </w:r>
            <w:r>
              <w:rPr>
                <w:rFonts w:hint="eastAsia" w:ascii="Times New Roman" w:hAnsi="Times New Roman" w:eastAsia="宋体" w:cs="Times New Roman"/>
                <w:color w:val="auto"/>
                <w:sz w:val="24"/>
                <w:szCs w:val="24"/>
                <w:highlight w:val="none"/>
                <w:lang w:val="en-US" w:eastAsia="zh-CN"/>
              </w:rPr>
              <w:t>暂存于</w:t>
            </w:r>
            <w:r>
              <w:rPr>
                <w:rFonts w:hint="eastAsia" w:cs="Times New Roman"/>
                <w:color w:val="auto"/>
                <w:sz w:val="24"/>
                <w:szCs w:val="24"/>
                <w:highlight w:val="none"/>
                <w:lang w:val="en-US" w:eastAsia="zh-CN"/>
              </w:rPr>
              <w:t>生产车间东南侧设置</w:t>
            </w:r>
            <w:r>
              <w:rPr>
                <w:rFonts w:hint="default" w:ascii="Times New Roman" w:hAnsi="Times New Roman" w:eastAsia="宋体" w:cs="Times New Roman"/>
                <w:color w:val="auto"/>
                <w:sz w:val="24"/>
                <w:szCs w:val="24"/>
                <w:highlight w:val="none"/>
                <w:lang w:val="en-US" w:eastAsia="zh-CN"/>
              </w:rPr>
              <w:t>一座</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危险废物暂存间</w:t>
            </w:r>
            <w:r>
              <w:rPr>
                <w:rFonts w:hint="default" w:ascii="Times New Roman" w:hAnsi="Times New Roman" w:eastAsia="宋体" w:cs="Times New Roman"/>
                <w:color w:val="auto"/>
                <w:sz w:val="24"/>
                <w:szCs w:val="24"/>
                <w:highlight w:val="none"/>
                <w:lang w:val="en-US" w:eastAsia="zh-CN"/>
              </w:rPr>
              <w:t>暂存，根据调查，按照《危险废物贮存污染控制标准》的相关要求，</w:t>
            </w:r>
            <w:r>
              <w:rPr>
                <w:rFonts w:hint="eastAsia" w:ascii="Times New Roman" w:hAnsi="Times New Roman" w:cs="Times New Roman"/>
                <w:color w:val="auto"/>
                <w:sz w:val="24"/>
                <w:szCs w:val="24"/>
                <w:highlight w:val="none"/>
                <w:lang w:val="en-US" w:eastAsia="zh-CN"/>
              </w:rPr>
              <w:t>危险废物暂存间</w:t>
            </w:r>
            <w:r>
              <w:rPr>
                <w:rFonts w:hint="default" w:ascii="Times New Roman" w:hAnsi="Times New Roman" w:eastAsia="宋体" w:cs="Times New Roman"/>
                <w:color w:val="auto"/>
                <w:sz w:val="24"/>
                <w:szCs w:val="24"/>
                <w:highlight w:val="none"/>
                <w:lang w:val="en-US" w:eastAsia="zh-CN"/>
              </w:rPr>
              <w:t>的地面和裙脚已进行防腐防渗处理，同时设置明沟和泄漏液体的收集设施。</w:t>
            </w:r>
          </w:p>
          <w:p>
            <w:pPr>
              <w:jc w:val="center"/>
              <w:rPr>
                <w:highlight w:val="none"/>
              </w:rPr>
            </w:pPr>
            <w:r>
              <w:rPr>
                <w:highlight w:val="none"/>
              </w:rPr>
              <w:drawing>
                <wp:inline distT="0" distB="0" distL="114300" distR="114300">
                  <wp:extent cx="3541395" cy="2232025"/>
                  <wp:effectExtent l="0" t="0" r="1905" b="1587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3"/>
                          <a:stretch>
                            <a:fillRect/>
                          </a:stretch>
                        </pic:blipFill>
                        <pic:spPr>
                          <a:xfrm>
                            <a:off x="0" y="0"/>
                            <a:ext cx="3541395" cy="2232025"/>
                          </a:xfrm>
                          <a:prstGeom prst="rect">
                            <a:avLst/>
                          </a:prstGeom>
                          <a:noFill/>
                          <a:ln>
                            <a:noFill/>
                          </a:ln>
                        </pic:spPr>
                      </pic:pic>
                    </a:graphicData>
                  </a:graphic>
                </wp:inline>
              </w:drawing>
            </w:r>
          </w:p>
          <w:p>
            <w:pPr>
              <w:jc w:val="center"/>
              <w:rPr>
                <w:rFonts w:hint="default" w:ascii="Times New Roman" w:hAnsi="Times New Roman" w:eastAsia="宋体" w:cs="Times New Roman"/>
                <w:b/>
                <w:bCs/>
                <w:snapToGrid w:val="0"/>
                <w:color w:val="auto"/>
                <w:sz w:val="24"/>
                <w:highlight w:val="none"/>
              </w:rPr>
            </w:pPr>
            <w:r>
              <w:rPr>
                <w:rFonts w:hint="default" w:ascii="Times New Roman" w:hAnsi="Times New Roman" w:eastAsia="宋体" w:cs="Times New Roman"/>
                <w:b/>
                <w:bCs/>
                <w:snapToGrid w:val="0"/>
                <w:color w:val="auto"/>
                <w:sz w:val="24"/>
                <w:highlight w:val="none"/>
              </w:rPr>
              <w:t>图</w:t>
            </w:r>
            <w:r>
              <w:rPr>
                <w:rFonts w:hint="eastAsia" w:cs="Times New Roman"/>
                <w:b/>
                <w:bCs/>
                <w:snapToGrid w:val="0"/>
                <w:color w:val="auto"/>
                <w:sz w:val="24"/>
                <w:highlight w:val="none"/>
                <w:lang w:val="en-US" w:eastAsia="zh-CN"/>
              </w:rPr>
              <w:t>4</w:t>
            </w:r>
            <w:r>
              <w:rPr>
                <w:rFonts w:hint="default" w:ascii="Times New Roman" w:hAnsi="Times New Roman" w:eastAsia="宋体" w:cs="Times New Roman"/>
                <w:b/>
                <w:bCs/>
                <w:snapToGrid w:val="0"/>
                <w:color w:val="auto"/>
                <w:sz w:val="24"/>
                <w:highlight w:val="none"/>
              </w:rPr>
              <w:t xml:space="preserve"> </w:t>
            </w:r>
            <w:r>
              <w:rPr>
                <w:rFonts w:hint="default" w:ascii="Times New Roman" w:hAnsi="Times New Roman" w:eastAsia="宋体" w:cs="Times New Roman"/>
                <w:b/>
                <w:bCs/>
                <w:snapToGrid w:val="0"/>
                <w:color w:val="auto"/>
                <w:sz w:val="24"/>
                <w:highlight w:val="none"/>
                <w:lang w:val="en-US" w:eastAsia="zh-CN"/>
              </w:rPr>
              <w:t>危险废物贮存场所标识</w:t>
            </w:r>
            <w:r>
              <w:rPr>
                <w:rFonts w:hint="default" w:ascii="Times New Roman" w:hAnsi="Times New Roman" w:eastAsia="宋体" w:cs="Times New Roman"/>
                <w:b/>
                <w:bCs/>
                <w:snapToGrid w:val="0"/>
                <w:color w:val="auto"/>
                <w:sz w:val="24"/>
                <w:highlight w:val="none"/>
              </w:rPr>
              <w:t>示意图</w:t>
            </w:r>
          </w:p>
          <w:p>
            <w:pPr>
              <w:keepNext w:val="0"/>
              <w:keepLines w:val="0"/>
              <w:pageBreakBefore w:val="0"/>
              <w:widowControl w:val="0"/>
              <w:tabs>
                <w:tab w:val="left" w:pos="6520"/>
              </w:tabs>
              <w:kinsoku/>
              <w:wordWrap/>
              <w:overflowPunct/>
              <w:topLinePunct w:val="0"/>
              <w:bidi w:val="0"/>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2)按照危险废物贮存污染控制标准要求，废矿物油</w:t>
            </w:r>
            <w:r>
              <w:rPr>
                <w:rFonts w:hint="default" w:ascii="Times New Roman" w:hAnsi="Times New Roman" w:eastAsia="宋体" w:cs="Times New Roman"/>
                <w:color w:val="auto"/>
                <w:sz w:val="24"/>
                <w:szCs w:val="24"/>
                <w:highlight w:val="none"/>
              </w:rPr>
              <w:t>采用</w:t>
            </w:r>
            <w:r>
              <w:rPr>
                <w:rFonts w:hint="default" w:ascii="Times New Roman" w:hAnsi="Times New Roman" w:eastAsia="宋体" w:cs="Times New Roman"/>
                <w:color w:val="auto"/>
                <w:sz w:val="24"/>
                <w:szCs w:val="24"/>
                <w:highlight w:val="none"/>
                <w:lang w:val="en-US" w:eastAsia="zh-CN"/>
              </w:rPr>
              <w:t>容器</w:t>
            </w:r>
            <w:r>
              <w:rPr>
                <w:rFonts w:hint="default" w:ascii="Times New Roman" w:hAnsi="Times New Roman" w:eastAsia="宋体" w:cs="Times New Roman"/>
                <w:color w:val="auto"/>
                <w:sz w:val="24"/>
                <w:szCs w:val="24"/>
                <w:highlight w:val="none"/>
              </w:rPr>
              <w:t>密闭收集，</w:t>
            </w:r>
            <w:r>
              <w:rPr>
                <w:rFonts w:hint="default" w:ascii="Times New Roman" w:hAnsi="Times New Roman" w:eastAsia="宋体" w:cs="Times New Roman"/>
                <w:color w:val="auto"/>
                <w:sz w:val="24"/>
                <w:szCs w:val="24"/>
                <w:highlight w:val="none"/>
                <w:lang w:val="en-US" w:eastAsia="zh-CN"/>
              </w:rPr>
              <w:t>与废油桶一期暂存于</w:t>
            </w:r>
            <w:r>
              <w:rPr>
                <w:rFonts w:hint="eastAsia" w:ascii="Times New Roman" w:hAnsi="Times New Roman" w:cs="Times New Roman"/>
                <w:color w:val="auto"/>
                <w:sz w:val="24"/>
                <w:szCs w:val="24"/>
                <w:highlight w:val="none"/>
                <w:lang w:val="en-US" w:eastAsia="zh-CN"/>
              </w:rPr>
              <w:t>危险废物暂存间</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危险废物暂存间</w:t>
            </w:r>
            <w:r>
              <w:rPr>
                <w:rFonts w:hint="default" w:ascii="Times New Roman" w:hAnsi="Times New Roman" w:eastAsia="宋体" w:cs="Times New Roman"/>
                <w:color w:val="auto"/>
                <w:sz w:val="24"/>
                <w:szCs w:val="24"/>
                <w:highlight w:val="none"/>
                <w:lang w:val="en-US" w:eastAsia="zh-CN"/>
              </w:rPr>
              <w:t>内进行分区，不相容的危险废物分开存放，并设有隔断隔离</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80" w:lineRule="exact"/>
              <w:ind w:right="0" w:firstLine="480" w:firstLineChars="200"/>
              <w:jc w:val="left"/>
              <w:textAlignment w:val="auto"/>
              <w:rPr>
                <w:rFonts w:hint="default"/>
                <w:color w:val="auto"/>
                <w:highlight w:val="none"/>
                <w:lang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盛放危险废物的容器应按要求设置明显的表明危险废物相关信息的标签，标签信息应填写完整翔实。</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4)装载液体、半固体的危险废物的容器内必须留足够的空间，容器顶部与液体表面之间保留100mm以上的空间；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5)危险废物的产生、贮存、运移通道等按照《关于印发全省危险废物智能监控体系数据联网规范的通知》(冀环办字函[2018]203号)相关要求安装视频监控、智能地磅、电子液位计等设备并将有关数据实时传输至河北省固体废物动态管理信息平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6)危险废物的贮存要建立台账制度，危险废物的出入库交接记录。</w:t>
            </w:r>
          </w:p>
          <w:p>
            <w:pPr>
              <w:keepNext w:val="0"/>
              <w:keepLines w:val="0"/>
              <w:pageBreakBefore w:val="0"/>
              <w:widowControl w:val="0"/>
              <w:kinsoku/>
              <w:wordWrap/>
              <w:overflowPunct/>
              <w:topLinePunct w:val="0"/>
              <w:autoSpaceDE/>
              <w:autoSpaceDN/>
              <w:bidi w:val="0"/>
              <w:adjustRightInd w:val="0"/>
              <w:snapToGrid w:val="0"/>
              <w:spacing w:line="500" w:lineRule="exact"/>
              <w:ind w:firstLine="436" w:firstLineChars="182"/>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综合以上分析，</w:t>
            </w:r>
            <w:r>
              <w:rPr>
                <w:rFonts w:hint="eastAsia" w:ascii="Times New Roman" w:hAnsi="Times New Roman" w:cs="Times New Roman"/>
                <w:color w:val="auto"/>
                <w:sz w:val="24"/>
                <w:highlight w:val="none"/>
                <w:lang w:val="en-US" w:eastAsia="zh-CN"/>
              </w:rPr>
              <w:t>项目</w:t>
            </w:r>
            <w:r>
              <w:rPr>
                <w:rFonts w:hint="default" w:ascii="Times New Roman" w:hAnsi="Times New Roman" w:cs="Times New Roman"/>
                <w:color w:val="auto"/>
                <w:sz w:val="24"/>
                <w:highlight w:val="none"/>
                <w:lang w:val="en-US" w:eastAsia="zh-CN"/>
              </w:rPr>
              <w:t>产生的固体废物全部妥善处置。</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00" w:lineRule="exact"/>
              <w:ind w:firstLine="439" w:firstLineChars="182"/>
              <w:textAlignment w:val="auto"/>
              <w:rPr>
                <w:rFonts w:hint="default"/>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5、地下水、土壤</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lang w:eastAsia="zh-CN"/>
              </w:rPr>
            </w:pPr>
            <w:r>
              <w:rPr>
                <w:color w:val="auto"/>
                <w:sz w:val="24"/>
                <w:szCs w:val="24"/>
                <w:highlight w:val="none"/>
              </w:rPr>
              <w:t>项目可能涉及</w:t>
            </w:r>
            <w:r>
              <w:rPr>
                <w:rFonts w:hint="eastAsia"/>
                <w:color w:val="auto"/>
                <w:sz w:val="24"/>
                <w:szCs w:val="24"/>
                <w:highlight w:val="none"/>
                <w:lang w:eastAsia="zh-CN"/>
              </w:rPr>
              <w:t>地下水和</w:t>
            </w:r>
            <w:r>
              <w:rPr>
                <w:color w:val="auto"/>
                <w:sz w:val="24"/>
                <w:szCs w:val="24"/>
                <w:highlight w:val="none"/>
              </w:rPr>
              <w:t>土壤污染的途径主要为</w:t>
            </w:r>
            <w:r>
              <w:rPr>
                <w:rFonts w:hint="eastAsia"/>
                <w:color w:val="auto"/>
                <w:sz w:val="24"/>
                <w:szCs w:val="24"/>
                <w:highlight w:val="none"/>
                <w:lang w:val="en-US" w:eastAsia="zh-CN"/>
              </w:rPr>
              <w:t>润滑油</w:t>
            </w:r>
            <w:r>
              <w:rPr>
                <w:color w:val="auto"/>
                <w:sz w:val="24"/>
                <w:szCs w:val="24"/>
                <w:highlight w:val="none"/>
              </w:rPr>
              <w:t>及危险废物。通过工程分析可知，</w:t>
            </w:r>
            <w:r>
              <w:rPr>
                <w:rFonts w:hint="eastAsia" w:ascii="Times New Roman" w:hAnsi="Times New Roman" w:eastAsia="宋体" w:cs="Times New Roman"/>
                <w:bCs/>
                <w:color w:val="auto"/>
                <w:sz w:val="24"/>
                <w:szCs w:val="24"/>
                <w:highlight w:val="none"/>
                <w:lang w:val="en-US" w:eastAsia="zh-CN"/>
              </w:rPr>
              <w:t>本项目废气</w:t>
            </w:r>
            <w:r>
              <w:rPr>
                <w:rFonts w:hint="eastAsia" w:ascii="Times New Roman" w:hAnsi="Times New Roman" w:eastAsia="宋体" w:cs="Times New Roman"/>
                <w:color w:val="auto"/>
                <w:sz w:val="24"/>
                <w:szCs w:val="24"/>
                <w:highlight w:val="none"/>
                <w:lang w:val="en-US" w:eastAsia="zh-CN"/>
              </w:rPr>
              <w:t>为颗粒物，不涉及重金属，项目</w:t>
            </w:r>
            <w:r>
              <w:rPr>
                <w:rFonts w:hint="eastAsia"/>
                <w:color w:val="auto"/>
                <w:sz w:val="24"/>
                <w:szCs w:val="24"/>
                <w:highlight w:val="none"/>
                <w:lang w:eastAsia="zh-CN"/>
              </w:rPr>
              <w:t>地下水和土壤污染识别见下表。</w:t>
            </w:r>
          </w:p>
          <w:p>
            <w:pPr>
              <w:keepNext w:val="0"/>
              <w:keepLines w:val="0"/>
              <w:pageBreakBefore w:val="0"/>
              <w:widowControl/>
              <w:kinsoku/>
              <w:wordWrap/>
              <w:overflowPunct/>
              <w:topLinePunct w:val="0"/>
              <w:autoSpaceDE/>
              <w:autoSpaceDN/>
              <w:bidi w:val="0"/>
              <w:adjustRightInd/>
              <w:snapToGrid/>
              <w:spacing w:line="500" w:lineRule="exact"/>
              <w:ind w:firstLine="2650" w:firstLineChars="11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41</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地下水污染识别结果</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识别情景</w:t>
                  </w:r>
                </w:p>
              </w:tc>
              <w:tc>
                <w:tcPr>
                  <w:tcW w:w="13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识别内容</w:t>
                  </w:r>
                </w:p>
              </w:tc>
              <w:tc>
                <w:tcPr>
                  <w:tcW w:w="5099" w:type="dxa"/>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施工期</w:t>
                  </w:r>
                </w:p>
              </w:tc>
              <w:tc>
                <w:tcPr>
                  <w:tcW w:w="354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特征因子</w:t>
                  </w: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pH、</w:t>
                  </w:r>
                  <w:r>
                    <w:rPr>
                      <w:rFonts w:hint="eastAsia" w:ascii="Times New Roman" w:hAnsi="Times New Roman" w:eastAsia="宋体" w:cs="Times New Roman"/>
                      <w:color w:val="auto"/>
                      <w:sz w:val="21"/>
                      <w:szCs w:val="21"/>
                      <w:highlight w:val="none"/>
                      <w:lang w:eastAsia="zh-CN"/>
                    </w:rPr>
                    <w:t>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正常状况</w:t>
                  </w:r>
                </w:p>
              </w:tc>
              <w:tc>
                <w:tcPr>
                  <w:tcW w:w="13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污染途径</w:t>
                  </w: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非正常状况</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防腐防渗措施失效，垂直入渗</w:t>
                  </w:r>
                </w:p>
              </w:tc>
            </w:tr>
          </w:tbl>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42</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土壤环境影响及影响因子识别表</w:t>
            </w:r>
          </w:p>
          <w:tbl>
            <w:tblPr>
              <w:tblStyle w:val="33"/>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11"/>
              <w:gridCol w:w="1392"/>
              <w:gridCol w:w="2727"/>
              <w:gridCol w:w="1200"/>
              <w:gridCol w:w="886"/>
              <w:gridCol w:w="7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45" w:hRule="atLeast"/>
              </w:trPr>
              <w:tc>
                <w:tcPr>
                  <w:tcW w:w="745" w:type="pct"/>
                  <w:noWrap w:val="0"/>
                  <w:vAlign w:val="center"/>
                </w:tcPr>
                <w:p>
                  <w:pPr>
                    <w:keepNext w:val="0"/>
                    <w:keepLines w:val="0"/>
                    <w:pageBreakBefore w:val="0"/>
                    <w:tabs>
                      <w:tab w:val="left" w:pos="60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val="0"/>
                      <w:bCs/>
                      <w:color w:val="auto"/>
                      <w:highlight w:val="none"/>
                      <w:lang w:eastAsia="zh-CN"/>
                    </w:rPr>
                    <w:t>污染源</w:t>
                  </w:r>
                </w:p>
              </w:tc>
              <w:tc>
                <w:tcPr>
                  <w:tcW w:w="85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eastAsia="zh-CN"/>
                    </w:rPr>
                    <w:t>工艺流程</w:t>
                  </w:r>
                  <w:r>
                    <w:rPr>
                      <w:rFonts w:hint="default" w:ascii="Times New Roman" w:hAnsi="Times New Roman" w:eastAsia="宋体" w:cs="Times New Roman"/>
                      <w:bCs/>
                      <w:color w:val="auto"/>
                      <w:highlight w:val="none"/>
                      <w:lang w:val="en-US" w:eastAsia="zh-CN"/>
                    </w:rPr>
                    <w:t>/节点</w:t>
                  </w:r>
                </w:p>
              </w:tc>
              <w:tc>
                <w:tcPr>
                  <w:tcW w:w="167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污染途径</w:t>
                  </w:r>
                </w:p>
              </w:tc>
              <w:tc>
                <w:tcPr>
                  <w:tcW w:w="738"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全部污染物指标</w:t>
                  </w:r>
                </w:p>
              </w:tc>
              <w:tc>
                <w:tcPr>
                  <w:tcW w:w="545"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特征因子</w:t>
                  </w:r>
                </w:p>
              </w:tc>
              <w:tc>
                <w:tcPr>
                  <w:tcW w:w="437" w:type="pct"/>
                  <w:tcBorders>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5" w:hRule="atLeast"/>
              </w:trPr>
              <w:tc>
                <w:tcPr>
                  <w:tcW w:w="745" w:type="pct"/>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润滑油</w:t>
                  </w:r>
                </w:p>
              </w:tc>
              <w:tc>
                <w:tcPr>
                  <w:tcW w:w="85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生产车间内润滑油储存区</w:t>
                  </w:r>
                </w:p>
              </w:tc>
              <w:tc>
                <w:tcPr>
                  <w:tcW w:w="167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使用油类物质的设备区，因油跑、冒、滴、漏，发生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sz w:val="21"/>
                      <w:szCs w:val="21"/>
                      <w:highlight w:val="none"/>
                      <w:lang w:eastAsia="zh-CN"/>
                    </w:rPr>
                    <w:t>石油烃</w:t>
                  </w:r>
                </w:p>
              </w:tc>
              <w:tc>
                <w:tcPr>
                  <w:tcW w:w="545"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石油烃</w:t>
                  </w:r>
                </w:p>
              </w:tc>
              <w:tc>
                <w:tcPr>
                  <w:tcW w:w="437" w:type="pct"/>
                  <w:tcBorders>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20" w:hRule="atLeast"/>
              </w:trPr>
              <w:tc>
                <w:tcPr>
                  <w:tcW w:w="745" w:type="pct"/>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废润滑油、废油桶</w:t>
                  </w:r>
                </w:p>
              </w:tc>
              <w:tc>
                <w:tcPr>
                  <w:tcW w:w="85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危险废物暂存</w:t>
                  </w:r>
                </w:p>
              </w:tc>
              <w:tc>
                <w:tcPr>
                  <w:tcW w:w="167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val="en-US" w:eastAsia="zh-CN"/>
                    </w:rPr>
                    <w:t>包装损坏、防渗失效，发生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eastAsia="zh-CN"/>
                    </w:rPr>
                    <w:t>石油烃</w:t>
                  </w:r>
                </w:p>
              </w:tc>
              <w:tc>
                <w:tcPr>
                  <w:tcW w:w="545"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eastAsia="zh-CN"/>
                    </w:rPr>
                    <w:t>石油烃</w:t>
                  </w:r>
                </w:p>
              </w:tc>
              <w:tc>
                <w:tcPr>
                  <w:tcW w:w="437" w:type="pct"/>
                  <w:tcBorders>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val="en-US" w:eastAsia="zh-CN"/>
                    </w:rPr>
                    <w:t>事故</w:t>
                  </w:r>
                </w:p>
              </w:tc>
            </w:tr>
          </w:tbl>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color w:val="auto"/>
                <w:sz w:val="24"/>
                <w:szCs w:val="24"/>
                <w:highlight w:val="none"/>
              </w:rPr>
            </w:pPr>
            <w:r>
              <w:rPr>
                <w:rFonts w:hint="eastAsia"/>
                <w:color w:val="auto"/>
                <w:sz w:val="24"/>
                <w:szCs w:val="24"/>
                <w:highlight w:val="none"/>
                <w:lang w:eastAsia="zh-CN"/>
              </w:rPr>
              <w:t>根据上表分析可知，</w:t>
            </w:r>
            <w:r>
              <w:rPr>
                <w:color w:val="auto"/>
                <w:sz w:val="24"/>
                <w:szCs w:val="24"/>
                <w:highlight w:val="none"/>
              </w:rPr>
              <w:t>本项目涉及土壤污染的途径为</w:t>
            </w:r>
            <w:r>
              <w:rPr>
                <w:rFonts w:hint="eastAsia"/>
                <w:color w:val="auto"/>
                <w:sz w:val="24"/>
                <w:szCs w:val="24"/>
                <w:highlight w:val="none"/>
                <w:lang w:eastAsia="zh-CN"/>
              </w:rPr>
              <w:t>润滑油</w:t>
            </w:r>
            <w:r>
              <w:rPr>
                <w:rFonts w:hint="eastAsia"/>
                <w:color w:val="auto"/>
                <w:sz w:val="24"/>
                <w:szCs w:val="24"/>
                <w:highlight w:val="none"/>
                <w:lang w:val="en-US" w:eastAsia="zh-CN"/>
              </w:rPr>
              <w:t>、</w:t>
            </w:r>
            <w:r>
              <w:rPr>
                <w:rFonts w:hint="eastAsia"/>
                <w:color w:val="auto"/>
                <w:sz w:val="24"/>
                <w:szCs w:val="24"/>
                <w:highlight w:val="none"/>
                <w:lang w:eastAsia="zh-CN"/>
              </w:rPr>
              <w:t>废润滑油</w:t>
            </w:r>
            <w:r>
              <w:rPr>
                <w:rFonts w:hint="eastAsia"/>
                <w:color w:val="auto"/>
                <w:sz w:val="24"/>
                <w:szCs w:val="24"/>
                <w:highlight w:val="none"/>
                <w:lang w:val="en-US" w:eastAsia="zh-CN"/>
              </w:rPr>
              <w:t>物质</w:t>
            </w:r>
            <w:r>
              <w:rPr>
                <w:color w:val="auto"/>
                <w:sz w:val="24"/>
                <w:szCs w:val="24"/>
                <w:highlight w:val="none"/>
              </w:rPr>
              <w:t>垂直入渗。根据生产装置、辅助设施可能泄漏特殊的性质将污染区</w:t>
            </w:r>
            <w:r>
              <w:rPr>
                <w:rFonts w:hint="eastAsia"/>
                <w:color w:val="auto"/>
                <w:sz w:val="24"/>
                <w:szCs w:val="24"/>
                <w:highlight w:val="none"/>
                <w:lang w:eastAsia="zh-CN"/>
              </w:rPr>
              <w:t>设</w:t>
            </w:r>
            <w:r>
              <w:rPr>
                <w:color w:val="auto"/>
                <w:sz w:val="24"/>
                <w:szCs w:val="24"/>
                <w:highlight w:val="none"/>
              </w:rPr>
              <w:t>为重点污染防治区，对污染防治区采取防渗方案：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color w:val="auto"/>
                <w:sz w:val="24"/>
                <w:szCs w:val="24"/>
                <w:highlight w:val="none"/>
                <w:lang w:val="en-US" w:eastAsia="zh-CN"/>
              </w:rPr>
              <w:t>（1）</w:t>
            </w:r>
            <w:r>
              <w:rPr>
                <w:rFonts w:hint="eastAsia" w:ascii="Times New Roman" w:hAnsi="Times New Roman" w:eastAsia="宋体" w:cs="Times New Roman"/>
                <w:bCs/>
                <w:color w:val="auto"/>
                <w:sz w:val="24"/>
                <w:highlight w:val="none"/>
                <w:lang w:val="en-US" w:eastAsia="zh-CN"/>
              </w:rPr>
              <w:t>地下水</w:t>
            </w:r>
            <w:r>
              <w:rPr>
                <w:rFonts w:hint="eastAsia"/>
                <w:color w:val="auto"/>
                <w:sz w:val="24"/>
                <w:highlight w:val="none"/>
                <w:lang w:val="en-US" w:eastAsia="zh-CN"/>
              </w:rPr>
              <w:t>、土壤</w:t>
            </w:r>
            <w:r>
              <w:rPr>
                <w:rFonts w:hint="default" w:ascii="Times New Roman" w:hAnsi="Times New Roman" w:eastAsia="宋体" w:cs="Times New Roman"/>
                <w:bCs/>
                <w:color w:val="auto"/>
                <w:sz w:val="24"/>
                <w:highlight w:val="none"/>
                <w:lang w:val="en-US" w:eastAsia="zh-CN"/>
              </w:rPr>
              <w:t>污染防护措施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z w:val="24"/>
                <w:szCs w:val="24"/>
                <w:highlight w:val="none"/>
                <w:lang w:val="en-US" w:eastAsia="zh-CN"/>
              </w:rPr>
              <w:t>导则</w:t>
            </w:r>
            <w:r>
              <w:rPr>
                <w:rFonts w:hint="default" w:ascii="Times New Roman" w:hAnsi="Times New Roman" w:eastAsia="宋体" w:cs="Times New Roman"/>
                <w:color w:val="auto"/>
                <w:sz w:val="24"/>
                <w:szCs w:val="24"/>
                <w:highlight w:val="none"/>
                <w:lang w:val="en-US" w:eastAsia="zh-CN"/>
              </w:rPr>
              <w:t>要求，</w:t>
            </w:r>
            <w:r>
              <w:rPr>
                <w:rFonts w:hint="eastAsia"/>
                <w:color w:val="auto"/>
                <w:sz w:val="24"/>
                <w:szCs w:val="24"/>
                <w:highlight w:val="none"/>
                <w:lang w:eastAsia="zh-CN"/>
              </w:rPr>
              <w:t>地下水、土壤</w:t>
            </w:r>
            <w:r>
              <w:rPr>
                <w:rFonts w:hint="default" w:ascii="Times New Roman" w:hAnsi="Times New Roman" w:eastAsia="宋体" w:cs="Times New Roman"/>
                <w:bCs/>
                <w:color w:val="auto"/>
                <w:sz w:val="24"/>
                <w:highlight w:val="none"/>
                <w:lang w:val="en-US" w:eastAsia="zh-CN"/>
              </w:rPr>
              <w:t>防治措施按照</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源头控制、分区防治、污染监控、应急响应</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相结合的原则，从污染物的产生、入渗、扩散、应急响应进行控制，尽可能从源头上减少污染物的产生，防止环境污染，严格按照国家相关规范要求，对工艺、管道、设备、污水储存及处理构</w:t>
            </w:r>
            <w:r>
              <w:rPr>
                <w:rFonts w:hint="eastAsia" w:ascii="Times New Roman" w:hAnsi="Times New Roman" w:eastAsia="宋体" w:cs="Times New Roman"/>
                <w:bCs/>
                <w:color w:val="auto"/>
                <w:sz w:val="24"/>
                <w:highlight w:val="none"/>
                <w:lang w:val="en-US" w:eastAsia="zh-CN"/>
              </w:rPr>
              <w:t>建筑</w:t>
            </w:r>
            <w:r>
              <w:rPr>
                <w:rFonts w:hint="default" w:ascii="Times New Roman" w:hAnsi="Times New Roman" w:eastAsia="宋体" w:cs="Times New Roman"/>
                <w:bCs/>
                <w:color w:val="auto"/>
                <w:sz w:val="24"/>
                <w:highlight w:val="none"/>
                <w:lang w:val="en-US" w:eastAsia="zh-CN"/>
              </w:rPr>
              <w:t>物采取相应措施，避免由于泄漏造成物料下渗污染</w:t>
            </w:r>
            <w:r>
              <w:rPr>
                <w:rFonts w:hint="eastAsia"/>
                <w:color w:val="auto"/>
                <w:sz w:val="24"/>
                <w:szCs w:val="24"/>
                <w:highlight w:val="none"/>
                <w:lang w:eastAsia="zh-CN"/>
              </w:rPr>
              <w:t>地下水、土壤</w:t>
            </w:r>
            <w:r>
              <w:rPr>
                <w:rFonts w:hint="default" w:ascii="Times New Roman" w:hAnsi="Times New Roman" w:eastAsia="宋体" w:cs="Times New Roman"/>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rPr>
              <w:t>为防止</w:t>
            </w:r>
            <w:r>
              <w:rPr>
                <w:rFonts w:hint="eastAsia" w:ascii="Times New Roman" w:hAnsi="Times New Roman" w:cs="Times New Roman"/>
                <w:bCs/>
                <w:color w:val="auto"/>
                <w:sz w:val="24"/>
                <w:highlight w:val="none"/>
                <w:lang w:val="en-US" w:eastAsia="zh-CN"/>
              </w:rPr>
              <w:t>有机物、油类物质</w:t>
            </w:r>
            <w:r>
              <w:rPr>
                <w:rFonts w:hint="default" w:ascii="Times New Roman" w:hAnsi="Times New Roman" w:cs="Times New Roman"/>
                <w:bCs/>
                <w:color w:val="auto"/>
                <w:sz w:val="24"/>
                <w:highlight w:val="none"/>
              </w:rPr>
              <w:t>对区域</w:t>
            </w:r>
            <w:r>
              <w:rPr>
                <w:rFonts w:hint="eastAsia"/>
                <w:color w:val="auto"/>
                <w:sz w:val="24"/>
                <w:szCs w:val="24"/>
                <w:highlight w:val="none"/>
                <w:lang w:eastAsia="zh-CN"/>
              </w:rPr>
              <w:t>地下水、土壤</w:t>
            </w:r>
            <w:r>
              <w:rPr>
                <w:rFonts w:hint="default" w:ascii="Times New Roman" w:hAnsi="Times New Roman" w:cs="Times New Roman"/>
                <w:bCs/>
                <w:color w:val="auto"/>
                <w:sz w:val="24"/>
                <w:highlight w:val="none"/>
              </w:rPr>
              <w:t>产生污染影响，</w:t>
            </w:r>
            <w:r>
              <w:rPr>
                <w:rFonts w:hint="eastAsia" w:ascii="Times New Roman" w:hAnsi="Times New Roman" w:cs="Times New Roman"/>
                <w:bCs/>
                <w:color w:val="auto"/>
                <w:sz w:val="24"/>
                <w:highlight w:val="none"/>
                <w:lang w:val="en-US" w:eastAsia="zh-CN"/>
              </w:rPr>
              <w:t>本项目提出</w:t>
            </w:r>
            <w:r>
              <w:rPr>
                <w:rFonts w:hint="eastAsia" w:ascii="Times New Roman" w:hAnsi="Times New Roman" w:eastAsia="宋体" w:cs="Times New Roman"/>
                <w:bCs/>
                <w:color w:val="auto"/>
                <w:sz w:val="24"/>
                <w:highlight w:val="none"/>
                <w:lang w:val="en-US" w:eastAsia="zh-CN"/>
              </w:rPr>
              <w:t>地下水</w:t>
            </w:r>
            <w:r>
              <w:rPr>
                <w:rFonts w:hint="eastAsia" w:ascii="Times New Roman" w:hAnsi="Times New Roman" w:cs="Times New Roman"/>
                <w:bCs/>
                <w:color w:val="auto"/>
                <w:sz w:val="24"/>
                <w:highlight w:val="none"/>
                <w:lang w:val="en-US" w:eastAsia="zh-CN"/>
              </w:rPr>
              <w:t>防护措施如下：</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①</w:t>
            </w:r>
            <w:r>
              <w:rPr>
                <w:rFonts w:hint="default" w:ascii="Times New Roman" w:hAnsi="Times New Roman" w:eastAsia="宋体" w:cs="Times New Roman"/>
                <w:bCs/>
                <w:color w:val="auto"/>
                <w:sz w:val="24"/>
                <w:highlight w:val="none"/>
              </w:rPr>
              <w:t>加强设施的维护和管理，防止</w:t>
            </w:r>
            <w:r>
              <w:rPr>
                <w:rFonts w:hint="default" w:ascii="Times New Roman" w:hAnsi="Times New Roman" w:eastAsia="宋体" w:cs="Times New Roman"/>
                <w:bCs/>
                <w:color w:val="auto"/>
                <w:sz w:val="24"/>
                <w:highlight w:val="none"/>
                <w:lang w:val="en-US" w:eastAsia="zh-CN"/>
              </w:rPr>
              <w:t>污染物</w:t>
            </w:r>
            <w:r>
              <w:rPr>
                <w:rFonts w:hint="default" w:ascii="Times New Roman" w:hAnsi="Times New Roman" w:eastAsia="宋体" w:cs="Times New Roman"/>
                <w:bCs/>
                <w:color w:val="auto"/>
                <w:sz w:val="24"/>
                <w:highlight w:val="none"/>
              </w:rPr>
              <w:t>的跑、冒、滴、漏和非正常排放。</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eastAsia="宋体"/>
                <w:color w:val="auto"/>
                <w:sz w:val="24"/>
                <w:szCs w:val="24"/>
                <w:highlight w:val="none"/>
                <w:lang w:eastAsia="zh-CN"/>
              </w:rPr>
            </w:pPr>
            <w:r>
              <w:rPr>
                <w:rFonts w:hint="eastAsia" w:ascii="Times New Roman" w:hAnsi="Times New Roman" w:eastAsia="宋体" w:cs="Times New Roman"/>
                <w:bCs/>
                <w:color w:val="auto"/>
                <w:sz w:val="24"/>
                <w:highlight w:val="none"/>
                <w:lang w:val="en-US" w:eastAsia="zh-CN"/>
              </w:rPr>
              <w:t>②</w:t>
            </w:r>
            <w:r>
              <w:rPr>
                <w:rFonts w:hint="eastAsia" w:ascii="Times New Roman" w:hAnsi="Times New Roman"/>
                <w:color w:val="auto"/>
                <w:sz w:val="24"/>
                <w:szCs w:val="24"/>
                <w:highlight w:val="none"/>
                <w:lang w:eastAsia="zh-CN"/>
              </w:rPr>
              <w:t>建设单位全厂分区防渗管控，具体分区防渗管控情况如下：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厂区内防渗情况应该分为重点防治区、一般防治区和简单防渗区。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重点防渗区（</w:t>
            </w:r>
            <w:r>
              <w:rPr>
                <w:rFonts w:hint="eastAsia"/>
                <w:color w:val="auto"/>
                <w:sz w:val="24"/>
                <w:highlight w:val="none"/>
                <w:lang w:val="en-US" w:eastAsia="zh-CN"/>
              </w:rPr>
              <w:t>生产车间内润滑油储存区及</w:t>
            </w:r>
            <w:r>
              <w:rPr>
                <w:color w:val="auto"/>
                <w:sz w:val="24"/>
                <w:highlight w:val="none"/>
              </w:rPr>
              <w:t>危险废物暂存间</w:t>
            </w:r>
            <w:r>
              <w:rPr>
                <w:rFonts w:hint="eastAsia" w:ascii="Times New Roman" w:hAnsi="Times New Roman" w:eastAsia="宋体" w:cs="Times New Roman"/>
                <w:color w:val="auto"/>
                <w:sz w:val="24"/>
                <w:szCs w:val="24"/>
                <w:highlight w:val="none"/>
                <w:lang w:val="en-US" w:eastAsia="zh-CN"/>
              </w:rPr>
              <w:t>）防渗技术要求：等效黏土防渗层Mb≥6.0m；K≤1×10</w:t>
            </w:r>
            <w:r>
              <w:rPr>
                <w:rFonts w:hint="eastAsia" w:ascii="Times New Roman" w:hAnsi="Times New Roman" w:eastAsia="宋体" w:cs="Times New Roman"/>
                <w:color w:val="auto"/>
                <w:sz w:val="24"/>
                <w:szCs w:val="24"/>
                <w:highlight w:val="none"/>
                <w:vertAlign w:val="superscript"/>
                <w:lang w:val="en-US" w:eastAsia="zh-CN"/>
              </w:rPr>
              <w:t>-10</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一般防渗区：生产车间防渗技术要求：等效黏土防渗层Mb≥1.5m；K≤1×10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简单防渗区：其它区域均为简单防渗区，一般地面硬化即可</w:t>
            </w:r>
            <w:r>
              <w:rPr>
                <w:rFonts w:hint="eastAsia"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color w:val="auto"/>
                <w:sz w:val="24"/>
                <w:szCs w:val="24"/>
                <w:highlight w:val="none"/>
                <w:lang w:val="en-US" w:eastAsia="zh-CN"/>
              </w:rPr>
              <w:t>（2）</w:t>
            </w:r>
            <w:r>
              <w:rPr>
                <w:rFonts w:hint="default" w:ascii="Times New Roman" w:hAnsi="Times New Roman" w:eastAsia="宋体" w:cs="Times New Roman"/>
                <w:bCs/>
                <w:color w:val="auto"/>
                <w:sz w:val="24"/>
                <w:highlight w:val="none"/>
              </w:rPr>
              <w:t>环境影响分析</w:t>
            </w:r>
            <w:r>
              <w:rPr>
                <w:rFonts w:hint="default" w:ascii="Times New Roman" w:hAnsi="Times New Roman" w:eastAsia="宋体" w:cs="Times New Roman"/>
                <w:bCs/>
                <w:color w:val="auto"/>
                <w:sz w:val="24"/>
                <w:highlight w:val="none"/>
                <w:lang w:val="en-US" w:eastAsia="zh-CN"/>
              </w:rPr>
              <w:t>结论</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480"/>
              <w:textAlignment w:val="auto"/>
              <w:rPr>
                <w:rFonts w:hint="eastAsia"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综上，本项目采取上述防控措施后，项目实施无污染土壤及地下水环境的途径，不会对土壤及地下水环境产生明显影响</w:t>
            </w:r>
            <w:r>
              <w:rPr>
                <w:rFonts w:hint="default" w:ascii="Times New Roman" w:hAnsi="Times New Roman" w:eastAsia="宋体" w:cs="Times New Roman"/>
                <w:color w:val="auto"/>
                <w:sz w:val="24"/>
                <w:szCs w:val="24"/>
                <w:highlight w:val="none"/>
              </w:rPr>
              <w:t>为</w:t>
            </w:r>
            <w:r>
              <w:rPr>
                <w:rFonts w:hint="eastAsia" w:cs="Times New Roman"/>
                <w:color w:val="auto"/>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6、生态</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位于</w:t>
            </w:r>
            <w:r>
              <w:rPr>
                <w:rFonts w:hint="eastAsia" w:ascii="Times New Roman" w:hAnsi="Times New Roman" w:eastAsia="宋体" w:cs="Times New Roman"/>
                <w:snapToGrid w:val="0"/>
                <w:color w:val="auto"/>
                <w:kern w:val="0"/>
                <w:sz w:val="24"/>
                <w:szCs w:val="22"/>
                <w:highlight w:val="none"/>
                <w:lang w:val="en-US" w:eastAsia="zh-CN"/>
              </w:rPr>
              <w:t>河北省唐山市遵化市遵化镇团练屯村</w:t>
            </w:r>
            <w:r>
              <w:rPr>
                <w:rFonts w:hint="eastAsia" w:ascii="Times New Roman" w:hAnsi="Times New Roman"/>
                <w:color w:val="auto"/>
                <w:sz w:val="24"/>
                <w:szCs w:val="24"/>
                <w:highlight w:val="none"/>
                <w:lang w:val="en-US" w:eastAsia="zh-CN"/>
              </w:rPr>
              <w:t>，</w:t>
            </w:r>
            <w:r>
              <w:rPr>
                <w:rFonts w:hint="eastAsia"/>
                <w:color w:val="auto"/>
                <w:kern w:val="0"/>
                <w:sz w:val="24"/>
                <w:szCs w:val="24"/>
                <w:highlight w:val="none"/>
                <w:lang w:val="en-US" w:eastAsia="zh-CN"/>
              </w:rPr>
              <w:t>利用现有闲置厂房进行建设</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占地区域为现有建设用地</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占地现状植被覆盖度低，</w:t>
            </w:r>
            <w:r>
              <w:rPr>
                <w:rFonts w:hint="eastAsia"/>
                <w:color w:val="auto"/>
                <w:sz w:val="24"/>
                <w:highlight w:val="none"/>
                <w:lang w:val="en-US" w:eastAsia="zh-CN"/>
              </w:rPr>
              <w:t>项目实施后对厂区合理进行绿化，不会对区域内生态环境造成明显影响</w:t>
            </w:r>
            <w:r>
              <w:rPr>
                <w:rFonts w:hint="eastAsia" w:ascii="Times New Roman" w:hAnsi="Times New Roman"/>
                <w:color w:val="auto"/>
                <w:sz w:val="24"/>
                <w:szCs w:val="24"/>
                <w:highlight w:val="none"/>
                <w:lang w:val="en-US"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7、环境风险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default"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（1）</w:t>
            </w:r>
            <w:r>
              <w:rPr>
                <w:rFonts w:hint="eastAsia" w:ascii="Times New Roman" w:hAnsi="Times New Roman" w:eastAsia="宋体" w:cs="Times New Roman"/>
                <w:color w:val="auto"/>
                <w:sz w:val="24"/>
                <w:szCs w:val="20"/>
                <w:highlight w:val="none"/>
              </w:rPr>
              <w:t>建设项目风险</w:t>
            </w:r>
            <w:r>
              <w:rPr>
                <w:rFonts w:hint="eastAsia" w:ascii="Times New Roman" w:hAnsi="Times New Roman" w:eastAsia="宋体" w:cs="Times New Roman"/>
                <w:color w:val="auto"/>
                <w:sz w:val="24"/>
                <w:szCs w:val="20"/>
                <w:highlight w:val="none"/>
                <w:lang w:val="en-US" w:eastAsia="zh-CN"/>
              </w:rPr>
              <w:t>物质调查及Q值计算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项目所涉及的风险物质主要为润滑油、废矿物油、废油桶，润滑油储存于生产车间内润滑油储存区，危险废物暂存危险废物暂存间。本项目涉及的风险物质概况见下表。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 xml:space="preserve">43   </w:t>
            </w:r>
            <w:r>
              <w:rPr>
                <w:rFonts w:hint="eastAsia"/>
                <w:b/>
                <w:bCs/>
                <w:color w:val="auto"/>
                <w:kern w:val="0"/>
                <w:sz w:val="24"/>
                <w:highlight w:val="none"/>
              </w:rPr>
              <w:t>建设项目风险源调查概况一览表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48"/>
              <w:gridCol w:w="1276"/>
              <w:gridCol w:w="2256"/>
              <w:gridCol w:w="1571"/>
              <w:gridCol w:w="2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276" w:type="dxa"/>
                  <w:noWrap w:val="0"/>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2256"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rPr>
                    <w:t>分布的生产单元</w:t>
                  </w:r>
                </w:p>
              </w:tc>
              <w:tc>
                <w:tcPr>
                  <w:tcW w:w="1571"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rPr>
                    <w:t>最大储存量(t)</w:t>
                  </w:r>
                </w:p>
              </w:tc>
              <w:tc>
                <w:tcPr>
                  <w:tcW w:w="2375"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rPr>
                    <w:t>生产工艺特点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rFonts w:hint="default"/>
                      <w:color w:val="auto"/>
                      <w:spacing w:val="-10"/>
                      <w:kern w:val="2"/>
                      <w:sz w:val="21"/>
                      <w:szCs w:val="21"/>
                      <w:highlight w:val="none"/>
                      <w:lang w:val="en-US" w:eastAsia="zh-CN" w:bidi="ar-SA"/>
                    </w:rPr>
                  </w:pPr>
                  <w:r>
                    <w:rPr>
                      <w:rFonts w:hint="eastAsia"/>
                      <w:color w:val="auto"/>
                      <w:spacing w:val="-10"/>
                      <w:kern w:val="2"/>
                      <w:sz w:val="21"/>
                      <w:szCs w:val="21"/>
                      <w:highlight w:val="none"/>
                      <w:lang w:val="en-US" w:eastAsia="zh-CN" w:bidi="ar-SA"/>
                    </w:rPr>
                    <w:t>1</w:t>
                  </w:r>
                </w:p>
              </w:tc>
              <w:tc>
                <w:tcPr>
                  <w:tcW w:w="1276"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润滑油</w:t>
                  </w:r>
                </w:p>
              </w:tc>
              <w:tc>
                <w:tcPr>
                  <w:tcW w:w="2256" w:type="dxa"/>
                  <w:noWrap w:val="0"/>
                  <w:vAlign w:val="center"/>
                </w:tcPr>
                <w:p>
                  <w:pPr>
                    <w:spacing w:line="240" w:lineRule="atLeast"/>
                    <w:jc w:val="center"/>
                    <w:rPr>
                      <w:rFonts w:hint="default" w:hAnsi="宋体" w:eastAsia="宋体"/>
                      <w:color w:val="auto"/>
                      <w:spacing w:val="-10"/>
                      <w:szCs w:val="21"/>
                      <w:highlight w:val="none"/>
                      <w:lang w:val="en-US" w:eastAsia="zh-CN"/>
                    </w:rPr>
                  </w:pPr>
                  <w:r>
                    <w:rPr>
                      <w:rFonts w:hint="eastAsia" w:hAnsi="宋体"/>
                      <w:color w:val="auto"/>
                      <w:spacing w:val="-10"/>
                      <w:szCs w:val="21"/>
                      <w:highlight w:val="none"/>
                      <w:lang w:val="en-US" w:eastAsia="zh-CN"/>
                    </w:rPr>
                    <w:t>润滑油储存区</w:t>
                  </w:r>
                </w:p>
              </w:tc>
              <w:tc>
                <w:tcPr>
                  <w:tcW w:w="1571" w:type="dxa"/>
                  <w:noWrap w:val="0"/>
                  <w:vAlign w:val="center"/>
                </w:tcPr>
                <w:p>
                  <w:pPr>
                    <w:spacing w:line="240" w:lineRule="atLeast"/>
                    <w:jc w:val="center"/>
                    <w:rPr>
                      <w:rFonts w:hint="default" w:hAnsi="宋体"/>
                      <w:color w:val="auto"/>
                      <w:spacing w:val="-10"/>
                      <w:szCs w:val="21"/>
                      <w:highlight w:val="none"/>
                      <w:lang w:val="en-US" w:eastAsia="zh-CN"/>
                    </w:rPr>
                  </w:pPr>
                  <w:r>
                    <w:rPr>
                      <w:rFonts w:hint="eastAsia" w:hAnsi="宋体"/>
                      <w:color w:val="auto"/>
                      <w:spacing w:val="-10"/>
                      <w:szCs w:val="21"/>
                      <w:highlight w:val="none"/>
                      <w:lang w:val="en-US" w:eastAsia="zh-CN"/>
                    </w:rPr>
                    <w:t>0.3</w:t>
                  </w:r>
                </w:p>
              </w:tc>
              <w:tc>
                <w:tcPr>
                  <w:tcW w:w="2375" w:type="dxa"/>
                  <w:noWrap w:val="0"/>
                  <w:vAlign w:val="center"/>
                </w:tcPr>
                <w:p>
                  <w:pPr>
                    <w:spacing w:line="240" w:lineRule="atLeast"/>
                    <w:jc w:val="center"/>
                    <w:rPr>
                      <w:rFonts w:hint="eastAsia"/>
                      <w:color w:val="auto"/>
                      <w:spacing w:val="-10"/>
                      <w:szCs w:val="21"/>
                      <w:highlight w:val="none"/>
                    </w:rPr>
                  </w:pPr>
                  <w:r>
                    <w:rPr>
                      <w:rFonts w:hint="eastAsia"/>
                      <w:color w:val="auto"/>
                      <w:spacing w:val="-10"/>
                      <w:szCs w:val="21"/>
                      <w:highlight w:val="none"/>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rFonts w:hint="default"/>
                      <w:color w:val="auto"/>
                      <w:spacing w:val="-10"/>
                      <w:kern w:val="2"/>
                      <w:sz w:val="21"/>
                      <w:szCs w:val="21"/>
                      <w:highlight w:val="none"/>
                      <w:lang w:val="en-US" w:eastAsia="zh-CN" w:bidi="ar-SA"/>
                    </w:rPr>
                  </w:pPr>
                  <w:r>
                    <w:rPr>
                      <w:rFonts w:hint="eastAsia"/>
                      <w:color w:val="auto"/>
                      <w:spacing w:val="-10"/>
                      <w:kern w:val="2"/>
                      <w:sz w:val="21"/>
                      <w:szCs w:val="21"/>
                      <w:highlight w:val="none"/>
                      <w:lang w:val="en-US" w:eastAsia="zh-CN" w:bidi="ar-SA"/>
                    </w:rPr>
                    <w:t>2</w:t>
                  </w:r>
                </w:p>
              </w:tc>
              <w:tc>
                <w:tcPr>
                  <w:tcW w:w="1276"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rPr>
                    <w:t>废</w:t>
                  </w:r>
                  <w:r>
                    <w:rPr>
                      <w:rFonts w:hint="eastAsia"/>
                      <w:color w:val="auto"/>
                      <w:spacing w:val="-10"/>
                      <w:szCs w:val="21"/>
                      <w:highlight w:val="none"/>
                      <w:lang w:val="en-US" w:eastAsia="zh-CN"/>
                    </w:rPr>
                    <w:t>润滑油</w:t>
                  </w:r>
                </w:p>
              </w:tc>
              <w:tc>
                <w:tcPr>
                  <w:tcW w:w="2256" w:type="dxa"/>
                  <w:vMerge w:val="restart"/>
                  <w:noWrap w:val="0"/>
                  <w:vAlign w:val="center"/>
                </w:tcPr>
                <w:p>
                  <w:pPr>
                    <w:spacing w:line="240" w:lineRule="atLeast"/>
                    <w:jc w:val="center"/>
                    <w:rPr>
                      <w:rFonts w:hint="eastAsia" w:hAnsi="宋体"/>
                      <w:color w:val="auto"/>
                      <w:spacing w:val="-10"/>
                      <w:szCs w:val="21"/>
                      <w:highlight w:val="none"/>
                    </w:rPr>
                  </w:pPr>
                  <w:r>
                    <w:rPr>
                      <w:rFonts w:hint="eastAsia" w:hAnsi="宋体"/>
                      <w:color w:val="auto"/>
                      <w:spacing w:val="-10"/>
                      <w:szCs w:val="21"/>
                      <w:highlight w:val="none"/>
                    </w:rPr>
                    <w:t>危险废物暂存间</w:t>
                  </w:r>
                </w:p>
              </w:tc>
              <w:tc>
                <w:tcPr>
                  <w:tcW w:w="1571" w:type="dxa"/>
                  <w:noWrap w:val="0"/>
                  <w:vAlign w:val="center"/>
                </w:tcPr>
                <w:p>
                  <w:pPr>
                    <w:spacing w:line="240" w:lineRule="atLeast"/>
                    <w:jc w:val="center"/>
                    <w:rPr>
                      <w:rFonts w:hint="default" w:hAnsi="宋体" w:eastAsia="宋体"/>
                      <w:color w:val="auto"/>
                      <w:spacing w:val="-10"/>
                      <w:szCs w:val="21"/>
                      <w:highlight w:val="none"/>
                      <w:lang w:val="en-US" w:eastAsia="zh-CN"/>
                    </w:rPr>
                  </w:pPr>
                  <w:r>
                    <w:rPr>
                      <w:rFonts w:hint="eastAsia" w:hAnsi="宋体" w:eastAsia="宋体"/>
                      <w:color w:val="auto"/>
                      <w:spacing w:val="-10"/>
                      <w:szCs w:val="21"/>
                      <w:highlight w:val="none"/>
                      <w:lang w:val="en-US" w:eastAsia="zh-CN"/>
                    </w:rPr>
                    <w:t>0.1</w:t>
                  </w:r>
                </w:p>
              </w:tc>
              <w:tc>
                <w:tcPr>
                  <w:tcW w:w="2375" w:type="dxa"/>
                  <w:noWrap w:val="0"/>
                  <w:vAlign w:val="center"/>
                </w:tcPr>
                <w:p>
                  <w:pPr>
                    <w:spacing w:line="240" w:lineRule="atLeast"/>
                    <w:jc w:val="center"/>
                    <w:rPr>
                      <w:rFonts w:hint="eastAsia" w:hAnsi="宋体"/>
                      <w:color w:val="auto"/>
                      <w:spacing w:val="-10"/>
                      <w:szCs w:val="21"/>
                      <w:highlight w:val="none"/>
                    </w:rPr>
                  </w:pPr>
                  <w:r>
                    <w:rPr>
                      <w:rFonts w:hint="eastAsia"/>
                      <w:color w:val="auto"/>
                      <w:spacing w:val="-10"/>
                      <w:szCs w:val="21"/>
                      <w:highlight w:val="none"/>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rFonts w:hint="default"/>
                      <w:color w:val="auto"/>
                      <w:spacing w:val="-10"/>
                      <w:kern w:val="2"/>
                      <w:sz w:val="21"/>
                      <w:szCs w:val="21"/>
                      <w:highlight w:val="none"/>
                      <w:lang w:val="en-US" w:eastAsia="zh-CN" w:bidi="ar-SA"/>
                    </w:rPr>
                  </w:pPr>
                  <w:r>
                    <w:rPr>
                      <w:rFonts w:hint="eastAsia"/>
                      <w:color w:val="auto"/>
                      <w:spacing w:val="-10"/>
                      <w:kern w:val="2"/>
                      <w:sz w:val="21"/>
                      <w:szCs w:val="21"/>
                      <w:highlight w:val="none"/>
                      <w:lang w:val="en-US" w:eastAsia="zh-CN" w:bidi="ar-SA"/>
                    </w:rPr>
                    <w:t>3</w:t>
                  </w:r>
                </w:p>
              </w:tc>
              <w:tc>
                <w:tcPr>
                  <w:tcW w:w="1276" w:type="dxa"/>
                  <w:noWrap w:val="0"/>
                  <w:vAlign w:val="center"/>
                </w:tcPr>
                <w:p>
                  <w:pPr>
                    <w:spacing w:line="240" w:lineRule="atLeast"/>
                    <w:jc w:val="center"/>
                    <w:rPr>
                      <w:rFonts w:hint="eastAsia"/>
                      <w:color w:val="auto"/>
                      <w:spacing w:val="-10"/>
                      <w:szCs w:val="21"/>
                      <w:highlight w:val="none"/>
                    </w:rPr>
                  </w:pPr>
                  <w:r>
                    <w:rPr>
                      <w:rFonts w:hint="eastAsia"/>
                      <w:color w:val="auto"/>
                      <w:spacing w:val="-10"/>
                      <w:szCs w:val="21"/>
                      <w:highlight w:val="none"/>
                    </w:rPr>
                    <w:t>废油桶</w:t>
                  </w:r>
                </w:p>
              </w:tc>
              <w:tc>
                <w:tcPr>
                  <w:tcW w:w="2256" w:type="dxa"/>
                  <w:vMerge w:val="continue"/>
                  <w:noWrap w:val="0"/>
                  <w:vAlign w:val="center"/>
                </w:tcPr>
                <w:p>
                  <w:pPr>
                    <w:spacing w:line="240" w:lineRule="atLeast"/>
                    <w:jc w:val="center"/>
                    <w:rPr>
                      <w:rFonts w:hint="eastAsia" w:hAnsi="宋体"/>
                      <w:color w:val="auto"/>
                      <w:spacing w:val="-10"/>
                      <w:szCs w:val="21"/>
                      <w:highlight w:val="none"/>
                    </w:rPr>
                  </w:pPr>
                </w:p>
              </w:tc>
              <w:tc>
                <w:tcPr>
                  <w:tcW w:w="1571" w:type="dxa"/>
                  <w:noWrap w:val="0"/>
                  <w:vAlign w:val="center"/>
                </w:tcPr>
                <w:p>
                  <w:pPr>
                    <w:spacing w:line="240" w:lineRule="atLeast"/>
                    <w:jc w:val="center"/>
                    <w:rPr>
                      <w:rFonts w:hint="default" w:hAnsi="宋体"/>
                      <w:color w:val="auto"/>
                      <w:spacing w:val="-10"/>
                      <w:szCs w:val="21"/>
                      <w:highlight w:val="none"/>
                      <w:lang w:val="en-US" w:eastAsia="zh-CN"/>
                    </w:rPr>
                  </w:pPr>
                  <w:r>
                    <w:rPr>
                      <w:rFonts w:hint="eastAsia" w:hAnsi="宋体"/>
                      <w:color w:val="auto"/>
                      <w:spacing w:val="-10"/>
                      <w:szCs w:val="21"/>
                      <w:highlight w:val="none"/>
                      <w:lang w:val="en-US" w:eastAsia="zh-CN"/>
                    </w:rPr>
                    <w:t>0.06</w:t>
                  </w:r>
                </w:p>
              </w:tc>
              <w:tc>
                <w:tcPr>
                  <w:tcW w:w="2375" w:type="dxa"/>
                  <w:noWrap w:val="0"/>
                  <w:vAlign w:val="center"/>
                </w:tcPr>
                <w:p>
                  <w:pPr>
                    <w:spacing w:line="240" w:lineRule="atLeast"/>
                    <w:jc w:val="center"/>
                    <w:rPr>
                      <w:rFonts w:hint="eastAsia"/>
                      <w:color w:val="auto"/>
                      <w:spacing w:val="-10"/>
                      <w:szCs w:val="21"/>
                      <w:highlight w:val="none"/>
                    </w:rPr>
                  </w:pPr>
                  <w:r>
                    <w:rPr>
                      <w:rFonts w:hint="eastAsia"/>
                      <w:color w:val="auto"/>
                      <w:spacing w:val="-10"/>
                      <w:szCs w:val="21"/>
                      <w:highlight w:val="none"/>
                    </w:rPr>
                    <w:t>涉及危险物质贮存</w:t>
                  </w:r>
                </w:p>
              </w:tc>
            </w:tr>
          </w:tbl>
          <w:p>
            <w:pPr>
              <w:spacing w:line="480" w:lineRule="exact"/>
              <w:ind w:firstLine="480" w:firstLineChars="200"/>
              <w:rPr>
                <w:color w:val="auto"/>
                <w:sz w:val="24"/>
                <w:highlight w:val="none"/>
              </w:rPr>
            </w:pPr>
            <w:r>
              <w:rPr>
                <w:rFonts w:hint="eastAsia"/>
                <w:color w:val="auto"/>
                <w:sz w:val="24"/>
                <w:highlight w:val="none"/>
              </w:rPr>
              <w:t>项目</w:t>
            </w:r>
            <w:r>
              <w:rPr>
                <w:rFonts w:hint="eastAsia"/>
                <w:color w:val="auto"/>
                <w:sz w:val="24"/>
                <w:highlight w:val="none"/>
                <w:lang w:val="en-US" w:eastAsia="zh-CN"/>
              </w:rPr>
              <w:t>风险物质</w:t>
            </w:r>
            <w:r>
              <w:rPr>
                <w:rFonts w:hint="eastAsia"/>
                <w:color w:val="auto"/>
                <w:sz w:val="24"/>
                <w:highlight w:val="none"/>
              </w:rPr>
              <w:t>数量与临界量比值Q见下表。</w:t>
            </w:r>
          </w:p>
          <w:p>
            <w:pPr>
              <w:autoSpaceDE w:val="0"/>
              <w:autoSpaceDN w:val="0"/>
              <w:spacing w:line="480" w:lineRule="exact"/>
              <w:jc w:val="center"/>
              <w:rPr>
                <w:b/>
                <w:bCs/>
                <w:color w:val="auto"/>
                <w:kern w:val="0"/>
                <w:sz w:val="24"/>
                <w:highlight w:val="none"/>
              </w:rPr>
            </w:pPr>
          </w:p>
          <w:p>
            <w:pPr>
              <w:autoSpaceDE w:val="0"/>
              <w:autoSpaceDN w:val="0"/>
              <w:spacing w:line="480" w:lineRule="exact"/>
              <w:jc w:val="center"/>
              <w:rPr>
                <w:b/>
                <w:bCs/>
                <w:color w:val="auto"/>
                <w:kern w:val="0"/>
                <w:sz w:val="24"/>
                <w:highlight w:val="none"/>
              </w:rPr>
            </w:pP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44   风险物质</w:t>
            </w:r>
            <w:r>
              <w:rPr>
                <w:rFonts w:hint="eastAsia"/>
                <w:b/>
                <w:bCs/>
                <w:color w:val="auto"/>
                <w:kern w:val="0"/>
                <w:sz w:val="24"/>
                <w:highlight w:val="none"/>
              </w:rPr>
              <w:t>数量与临界量比值一览表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48"/>
              <w:gridCol w:w="1276"/>
              <w:gridCol w:w="1134"/>
              <w:gridCol w:w="1843"/>
              <w:gridCol w:w="1275"/>
              <w:gridCol w:w="1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276" w:type="dxa"/>
                  <w:noWrap w:val="0"/>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1134"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CAS号</w:t>
                  </w:r>
                </w:p>
              </w:tc>
              <w:tc>
                <w:tcPr>
                  <w:tcW w:w="1843"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最大存在总量q</w:t>
                  </w:r>
                  <w:r>
                    <w:rPr>
                      <w:rFonts w:hint="eastAsia" w:hAnsi="宋体"/>
                      <w:color w:val="auto"/>
                      <w:spacing w:val="-10"/>
                      <w:szCs w:val="21"/>
                      <w:highlight w:val="none"/>
                      <w:shd w:val="clear" w:color="auto" w:fill="FFFFFF"/>
                      <w:vertAlign w:val="subscript"/>
                    </w:rPr>
                    <w:t>n</w:t>
                  </w:r>
                  <w:r>
                    <w:rPr>
                      <w:rFonts w:hint="eastAsia" w:hAnsi="宋体"/>
                      <w:color w:val="auto"/>
                      <w:spacing w:val="-10"/>
                      <w:szCs w:val="21"/>
                      <w:highlight w:val="none"/>
                      <w:shd w:val="clear" w:color="auto" w:fill="FFFFFF"/>
                    </w:rPr>
                    <w:t>(t)</w:t>
                  </w:r>
                </w:p>
              </w:tc>
              <w:tc>
                <w:tcPr>
                  <w:tcW w:w="1275"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临界量Q</w:t>
                  </w:r>
                  <w:r>
                    <w:rPr>
                      <w:rFonts w:hint="eastAsia" w:hAnsi="宋体"/>
                      <w:color w:val="auto"/>
                      <w:spacing w:val="-10"/>
                      <w:szCs w:val="21"/>
                      <w:highlight w:val="none"/>
                      <w:shd w:val="clear" w:color="auto" w:fill="FFFFFF"/>
                      <w:vertAlign w:val="subscript"/>
                    </w:rPr>
                    <w:t>n</w:t>
                  </w:r>
                  <w:r>
                    <w:rPr>
                      <w:rFonts w:hint="eastAsia" w:hAnsi="宋体"/>
                      <w:color w:val="auto"/>
                      <w:spacing w:val="-10"/>
                      <w:szCs w:val="21"/>
                      <w:highlight w:val="none"/>
                      <w:shd w:val="clear" w:color="auto" w:fill="FFFFFF"/>
                    </w:rPr>
                    <w:t>(t)</w:t>
                  </w:r>
                </w:p>
              </w:tc>
              <w:tc>
                <w:tcPr>
                  <w:tcW w:w="1950" w:type="dxa"/>
                  <w:noWrap w:val="0"/>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该种危险物质Q值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48" w:type="dxa"/>
                  <w:noWrap w:val="0"/>
                  <w:vAlign w:val="center"/>
                </w:tcPr>
                <w:p>
                  <w:pPr>
                    <w:spacing w:line="240" w:lineRule="atLeast"/>
                    <w:jc w:val="center"/>
                    <w:rPr>
                      <w:color w:val="auto"/>
                      <w:spacing w:val="-10"/>
                      <w:szCs w:val="21"/>
                      <w:highlight w:val="none"/>
                    </w:rPr>
                  </w:pPr>
                  <w:r>
                    <w:rPr>
                      <w:rFonts w:hint="eastAsia"/>
                      <w:color w:val="auto"/>
                      <w:spacing w:val="-10"/>
                      <w:szCs w:val="21"/>
                      <w:highlight w:val="none"/>
                    </w:rPr>
                    <w:t>1</w:t>
                  </w:r>
                </w:p>
              </w:tc>
              <w:tc>
                <w:tcPr>
                  <w:tcW w:w="1276" w:type="dxa"/>
                  <w:noWrap w:val="0"/>
                  <w:vAlign w:val="center"/>
                </w:tcPr>
                <w:p>
                  <w:pPr>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lang w:val="en-US" w:eastAsia="zh-CN"/>
                    </w:rPr>
                    <w:t>润滑油</w:t>
                  </w:r>
                </w:p>
              </w:tc>
              <w:tc>
                <w:tcPr>
                  <w:tcW w:w="1134" w:type="dxa"/>
                  <w:noWrap w:val="0"/>
                  <w:vAlign w:val="top"/>
                </w:tcPr>
                <w:p>
                  <w:pPr>
                    <w:spacing w:line="240" w:lineRule="atLeast"/>
                    <w:jc w:val="center"/>
                    <w:rPr>
                      <w:rFonts w:hint="eastAsia" w:hAnsi="宋体"/>
                      <w:color w:val="auto"/>
                      <w:spacing w:val="-10"/>
                      <w:kern w:val="2"/>
                      <w:sz w:val="21"/>
                      <w:szCs w:val="21"/>
                      <w:highlight w:val="none"/>
                      <w:shd w:val="clear" w:color="auto" w:fill="FFFFFF"/>
                      <w:lang w:val="en-US" w:eastAsia="zh-CN" w:bidi="ar-SA"/>
                    </w:rPr>
                  </w:pPr>
                  <w:r>
                    <w:rPr>
                      <w:rFonts w:hint="eastAsia" w:ascii="Times New Roman" w:hAnsi="宋体" w:eastAsia="宋体" w:cs="Times New Roman"/>
                      <w:color w:val="auto"/>
                      <w:spacing w:val="-10"/>
                      <w:szCs w:val="21"/>
                      <w:highlight w:val="none"/>
                      <w:shd w:val="clear" w:color="auto" w:fill="FFFFFF"/>
                      <w:lang w:val="en-US" w:eastAsia="zh-CN"/>
                    </w:rPr>
                    <w:t>—</w:t>
                  </w:r>
                </w:p>
              </w:tc>
              <w:tc>
                <w:tcPr>
                  <w:tcW w:w="1843" w:type="dxa"/>
                  <w:noWrap w:val="0"/>
                  <w:vAlign w:val="center"/>
                </w:tcPr>
                <w:p>
                  <w:pPr>
                    <w:spacing w:line="240" w:lineRule="atLeast"/>
                    <w:jc w:val="center"/>
                    <w:rPr>
                      <w:rFonts w:hint="default" w:ascii="Times New Roman" w:hAnsi="宋体" w:eastAsia="宋体" w:cs="Times New Roman"/>
                      <w:color w:val="auto"/>
                      <w:spacing w:val="-10"/>
                      <w:kern w:val="2"/>
                      <w:sz w:val="21"/>
                      <w:szCs w:val="21"/>
                      <w:highlight w:val="none"/>
                      <w:lang w:val="en-US" w:eastAsia="zh-CN" w:bidi="ar-SA"/>
                    </w:rPr>
                  </w:pPr>
                  <w:r>
                    <w:rPr>
                      <w:rFonts w:hint="eastAsia" w:hAnsi="宋体"/>
                      <w:color w:val="auto"/>
                      <w:spacing w:val="-10"/>
                      <w:szCs w:val="21"/>
                      <w:highlight w:val="none"/>
                      <w:lang w:val="en-US" w:eastAsia="zh-CN"/>
                    </w:rPr>
                    <w:t>0.3</w:t>
                  </w:r>
                </w:p>
              </w:tc>
              <w:tc>
                <w:tcPr>
                  <w:tcW w:w="1275" w:type="dxa"/>
                  <w:noWrap w:val="0"/>
                  <w:vAlign w:val="center"/>
                </w:tcPr>
                <w:p>
                  <w:pPr>
                    <w:spacing w:line="240" w:lineRule="atLeast"/>
                    <w:jc w:val="center"/>
                    <w:rPr>
                      <w:rFonts w:hint="default" w:hAnsi="宋体"/>
                      <w:color w:val="auto"/>
                      <w:spacing w:val="-10"/>
                      <w:kern w:val="2"/>
                      <w:sz w:val="21"/>
                      <w:szCs w:val="21"/>
                      <w:highlight w:val="none"/>
                      <w:shd w:val="clear" w:color="auto" w:fill="FFFFFF"/>
                      <w:lang w:val="en-US" w:eastAsia="zh-CN" w:bidi="ar-SA"/>
                    </w:rPr>
                  </w:pPr>
                  <w:r>
                    <w:rPr>
                      <w:rFonts w:hint="eastAsia" w:ascii="Times New Roman" w:hAnsi="宋体" w:eastAsia="宋体" w:cs="Times New Roman"/>
                      <w:color w:val="auto"/>
                      <w:spacing w:val="-10"/>
                      <w:szCs w:val="21"/>
                      <w:highlight w:val="none"/>
                      <w:shd w:val="clear" w:color="auto" w:fill="FFFFFF"/>
                      <w:lang w:val="en-US" w:eastAsia="zh-CN"/>
                    </w:rPr>
                    <w:t>100</w:t>
                  </w:r>
                </w:p>
              </w:tc>
              <w:tc>
                <w:tcPr>
                  <w:tcW w:w="1950" w:type="dxa"/>
                  <w:noWrap w:val="0"/>
                  <w:vAlign w:val="center"/>
                </w:tcPr>
                <w:p>
                  <w:pPr>
                    <w:spacing w:line="240" w:lineRule="atLeast"/>
                    <w:jc w:val="center"/>
                    <w:rPr>
                      <w:rFonts w:hint="default" w:hAnsi="宋体" w:eastAsia="宋体"/>
                      <w:color w:val="auto"/>
                      <w:spacing w:val="-10"/>
                      <w:kern w:val="2"/>
                      <w:sz w:val="21"/>
                      <w:szCs w:val="21"/>
                      <w:highlight w:val="none"/>
                      <w:shd w:val="clear" w:color="auto" w:fill="FFFFFF"/>
                      <w:lang w:val="en-US" w:eastAsia="zh-CN" w:bidi="ar-SA"/>
                    </w:rPr>
                  </w:pPr>
                  <w:r>
                    <w:rPr>
                      <w:rFonts w:hint="eastAsia" w:hAnsi="宋体" w:eastAsia="宋体"/>
                      <w:color w:val="auto"/>
                      <w:spacing w:val="-10"/>
                      <w:kern w:val="2"/>
                      <w:sz w:val="21"/>
                      <w:szCs w:val="21"/>
                      <w:highlight w:val="none"/>
                      <w:shd w:val="clear" w:color="auto" w:fill="FFFFFF"/>
                      <w:lang w:val="en-US" w:eastAsia="zh-CN" w:bidi="ar-SA"/>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2</w:t>
                  </w:r>
                </w:p>
              </w:tc>
              <w:tc>
                <w:tcPr>
                  <w:tcW w:w="1276" w:type="dxa"/>
                  <w:noWrap w:val="0"/>
                  <w:vAlign w:val="center"/>
                </w:tcPr>
                <w:p>
                  <w:pPr>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废</w:t>
                  </w:r>
                  <w:r>
                    <w:rPr>
                      <w:rFonts w:hint="eastAsia"/>
                      <w:color w:val="auto"/>
                      <w:spacing w:val="-10"/>
                      <w:szCs w:val="21"/>
                      <w:highlight w:val="none"/>
                      <w:lang w:val="en-US" w:eastAsia="zh-CN"/>
                    </w:rPr>
                    <w:t>润滑油</w:t>
                  </w:r>
                </w:p>
              </w:tc>
              <w:tc>
                <w:tcPr>
                  <w:tcW w:w="1134" w:type="dxa"/>
                  <w:noWrap w:val="0"/>
                  <w:vAlign w:val="top"/>
                </w:tcPr>
                <w:p>
                  <w:pPr>
                    <w:spacing w:line="240" w:lineRule="atLeast"/>
                    <w:jc w:val="center"/>
                    <w:rPr>
                      <w:rFonts w:hint="eastAsia" w:ascii="Times New Roman" w:hAnsi="宋体" w:eastAsia="宋体" w:cs="Times New Roman"/>
                      <w:color w:val="auto"/>
                      <w:spacing w:val="-10"/>
                      <w:szCs w:val="21"/>
                      <w:highlight w:val="none"/>
                      <w:shd w:val="clear" w:color="auto" w:fill="FFFFFF"/>
                      <w:lang w:val="en-US" w:eastAsia="zh-CN"/>
                    </w:rPr>
                  </w:pPr>
                  <w:r>
                    <w:rPr>
                      <w:rFonts w:hint="eastAsia" w:ascii="Times New Roman" w:hAnsi="宋体" w:eastAsia="宋体" w:cs="Times New Roman"/>
                      <w:color w:val="auto"/>
                      <w:spacing w:val="-10"/>
                      <w:szCs w:val="21"/>
                      <w:highlight w:val="none"/>
                      <w:shd w:val="clear" w:color="auto" w:fill="FFFFFF"/>
                      <w:lang w:val="en-US" w:eastAsia="zh-CN"/>
                    </w:rPr>
                    <w:t>—</w:t>
                  </w:r>
                </w:p>
              </w:tc>
              <w:tc>
                <w:tcPr>
                  <w:tcW w:w="1843" w:type="dxa"/>
                  <w:noWrap w:val="0"/>
                  <w:vAlign w:val="center"/>
                </w:tcPr>
                <w:p>
                  <w:pPr>
                    <w:spacing w:line="240" w:lineRule="atLeast"/>
                    <w:jc w:val="center"/>
                    <w:rPr>
                      <w:rFonts w:hint="eastAsia" w:ascii="Times New Roman" w:hAnsi="宋体" w:eastAsia="宋体" w:cs="Times New Roman"/>
                      <w:color w:val="auto"/>
                      <w:spacing w:val="-10"/>
                      <w:kern w:val="2"/>
                      <w:sz w:val="21"/>
                      <w:szCs w:val="21"/>
                      <w:highlight w:val="none"/>
                      <w:lang w:val="en-US" w:eastAsia="zh-CN" w:bidi="ar-SA"/>
                    </w:rPr>
                  </w:pPr>
                  <w:r>
                    <w:rPr>
                      <w:rFonts w:hint="eastAsia" w:hAnsi="宋体" w:eastAsia="宋体"/>
                      <w:color w:val="auto"/>
                      <w:spacing w:val="-10"/>
                      <w:szCs w:val="21"/>
                      <w:highlight w:val="none"/>
                      <w:lang w:val="en-US" w:eastAsia="zh-CN"/>
                    </w:rPr>
                    <w:t>0.1</w:t>
                  </w:r>
                </w:p>
              </w:tc>
              <w:tc>
                <w:tcPr>
                  <w:tcW w:w="1275" w:type="dxa"/>
                  <w:noWrap w:val="0"/>
                  <w:vAlign w:val="center"/>
                </w:tcPr>
                <w:p>
                  <w:pPr>
                    <w:spacing w:line="240" w:lineRule="atLeast"/>
                    <w:jc w:val="center"/>
                    <w:rPr>
                      <w:rFonts w:hint="eastAsia" w:ascii="Times New Roman" w:hAnsi="宋体" w:eastAsia="宋体" w:cs="Times New Roman"/>
                      <w:color w:val="auto"/>
                      <w:spacing w:val="-10"/>
                      <w:szCs w:val="21"/>
                      <w:highlight w:val="none"/>
                      <w:shd w:val="clear" w:color="auto" w:fill="FFFFFF"/>
                      <w:lang w:val="en-US" w:eastAsia="zh-CN"/>
                    </w:rPr>
                  </w:pPr>
                  <w:r>
                    <w:rPr>
                      <w:rFonts w:hint="eastAsia" w:ascii="Times New Roman" w:hAnsi="宋体" w:eastAsia="宋体" w:cs="Times New Roman"/>
                      <w:color w:val="auto"/>
                      <w:spacing w:val="-10"/>
                      <w:szCs w:val="21"/>
                      <w:highlight w:val="none"/>
                      <w:shd w:val="clear" w:color="auto" w:fill="FFFFFF"/>
                      <w:lang w:val="en-US" w:eastAsia="zh-CN"/>
                    </w:rPr>
                    <w:t>2500</w:t>
                  </w:r>
                </w:p>
              </w:tc>
              <w:tc>
                <w:tcPr>
                  <w:tcW w:w="1950" w:type="dxa"/>
                  <w:noWrap w:val="0"/>
                  <w:vAlign w:val="center"/>
                </w:tcPr>
                <w:p>
                  <w:pPr>
                    <w:spacing w:line="240" w:lineRule="atLeast"/>
                    <w:jc w:val="center"/>
                    <w:rPr>
                      <w:rFonts w:hint="default" w:ascii="Times New Roman" w:hAnsi="宋体" w:eastAsia="宋体" w:cs="Times New Roman"/>
                      <w:color w:val="auto"/>
                      <w:spacing w:val="-10"/>
                      <w:szCs w:val="21"/>
                      <w:highlight w:val="none"/>
                      <w:shd w:val="clear" w:color="auto" w:fill="FFFFFF"/>
                      <w:lang w:val="en-US" w:eastAsia="zh-CN"/>
                    </w:rPr>
                  </w:pPr>
                  <w:r>
                    <w:rPr>
                      <w:rFonts w:hint="eastAsia" w:ascii="Times New Roman" w:hAnsi="宋体" w:eastAsia="宋体" w:cs="Times New Roman"/>
                      <w:color w:val="auto"/>
                      <w:spacing w:val="-10"/>
                      <w:szCs w:val="21"/>
                      <w:highlight w:val="none"/>
                      <w:shd w:val="clear" w:color="auto" w:fill="FFFFFF"/>
                      <w:lang w:val="en-US" w:eastAsia="zh-CN"/>
                    </w:rPr>
                    <w:t>0.00004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8"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3</w:t>
                  </w:r>
                </w:p>
              </w:tc>
              <w:tc>
                <w:tcPr>
                  <w:tcW w:w="1276" w:type="dxa"/>
                  <w:noWrap w:val="0"/>
                  <w:vAlign w:val="center"/>
                </w:tcPr>
                <w:p>
                  <w:pPr>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废油桶</w:t>
                  </w:r>
                </w:p>
              </w:tc>
              <w:tc>
                <w:tcPr>
                  <w:tcW w:w="1134" w:type="dxa"/>
                  <w:noWrap w:val="0"/>
                  <w:vAlign w:val="top"/>
                </w:tcPr>
                <w:p>
                  <w:pPr>
                    <w:spacing w:line="240" w:lineRule="atLeast"/>
                    <w:jc w:val="center"/>
                    <w:rPr>
                      <w:rFonts w:hint="eastAsia" w:ascii="Times New Roman" w:hAnsi="宋体" w:eastAsia="宋体" w:cs="Times New Roman"/>
                      <w:color w:val="auto"/>
                      <w:spacing w:val="-10"/>
                      <w:kern w:val="2"/>
                      <w:sz w:val="21"/>
                      <w:szCs w:val="21"/>
                      <w:highlight w:val="none"/>
                      <w:shd w:val="clear" w:color="auto" w:fill="FFFFFF"/>
                      <w:lang w:val="en-US" w:eastAsia="zh-CN" w:bidi="ar-SA"/>
                    </w:rPr>
                  </w:pPr>
                  <w:r>
                    <w:rPr>
                      <w:rFonts w:hint="eastAsia" w:ascii="Times New Roman" w:hAnsi="宋体" w:eastAsia="宋体" w:cs="Times New Roman"/>
                      <w:color w:val="auto"/>
                      <w:spacing w:val="-10"/>
                      <w:szCs w:val="21"/>
                      <w:highlight w:val="none"/>
                      <w:shd w:val="clear" w:color="auto" w:fill="FFFFFF"/>
                      <w:lang w:val="en-US" w:eastAsia="zh-CN"/>
                    </w:rPr>
                    <w:t>—</w:t>
                  </w:r>
                </w:p>
              </w:tc>
              <w:tc>
                <w:tcPr>
                  <w:tcW w:w="1843" w:type="dxa"/>
                  <w:noWrap w:val="0"/>
                  <w:vAlign w:val="center"/>
                </w:tcPr>
                <w:p>
                  <w:pPr>
                    <w:spacing w:line="240" w:lineRule="atLeast"/>
                    <w:jc w:val="center"/>
                    <w:rPr>
                      <w:rFonts w:hint="eastAsia" w:ascii="Times New Roman" w:hAnsi="宋体" w:eastAsia="宋体" w:cs="Times New Roman"/>
                      <w:color w:val="auto"/>
                      <w:spacing w:val="-10"/>
                      <w:kern w:val="2"/>
                      <w:sz w:val="21"/>
                      <w:szCs w:val="21"/>
                      <w:highlight w:val="none"/>
                      <w:lang w:val="en-US" w:eastAsia="zh-CN" w:bidi="ar-SA"/>
                    </w:rPr>
                  </w:pPr>
                  <w:r>
                    <w:rPr>
                      <w:rFonts w:hint="eastAsia" w:hAnsi="宋体"/>
                      <w:color w:val="auto"/>
                      <w:spacing w:val="-10"/>
                      <w:szCs w:val="21"/>
                      <w:highlight w:val="none"/>
                      <w:lang w:val="en-US" w:eastAsia="zh-CN"/>
                    </w:rPr>
                    <w:t>0.06</w:t>
                  </w:r>
                </w:p>
              </w:tc>
              <w:tc>
                <w:tcPr>
                  <w:tcW w:w="1275" w:type="dxa"/>
                  <w:noWrap w:val="0"/>
                  <w:vAlign w:val="center"/>
                </w:tcPr>
                <w:p>
                  <w:pPr>
                    <w:spacing w:line="240" w:lineRule="atLeast"/>
                    <w:jc w:val="center"/>
                    <w:rPr>
                      <w:rFonts w:hint="eastAsia" w:ascii="Times New Roman" w:hAnsi="宋体" w:eastAsia="宋体" w:cs="Times New Roman"/>
                      <w:color w:val="auto"/>
                      <w:spacing w:val="-10"/>
                      <w:kern w:val="2"/>
                      <w:sz w:val="21"/>
                      <w:szCs w:val="21"/>
                      <w:highlight w:val="none"/>
                      <w:shd w:val="clear" w:color="auto" w:fill="FFFFFF"/>
                      <w:lang w:val="en-US" w:eastAsia="zh-CN" w:bidi="ar-SA"/>
                    </w:rPr>
                  </w:pPr>
                  <w:r>
                    <w:rPr>
                      <w:rFonts w:hint="eastAsia" w:ascii="Times New Roman" w:hAnsi="宋体" w:eastAsia="宋体" w:cs="Times New Roman"/>
                      <w:color w:val="auto"/>
                      <w:spacing w:val="-10"/>
                      <w:szCs w:val="21"/>
                      <w:highlight w:val="none"/>
                      <w:shd w:val="clear" w:color="auto" w:fill="FFFFFF"/>
                      <w:lang w:val="en-US" w:eastAsia="zh-CN"/>
                    </w:rPr>
                    <w:t>2500</w:t>
                  </w:r>
                </w:p>
              </w:tc>
              <w:tc>
                <w:tcPr>
                  <w:tcW w:w="1950" w:type="dxa"/>
                  <w:noWrap w:val="0"/>
                  <w:vAlign w:val="center"/>
                </w:tcPr>
                <w:p>
                  <w:pPr>
                    <w:spacing w:line="240" w:lineRule="atLeast"/>
                    <w:jc w:val="center"/>
                    <w:rPr>
                      <w:rFonts w:hint="default" w:ascii="Times New Roman" w:hAnsi="宋体" w:eastAsia="宋体" w:cs="Times New Roman"/>
                      <w:color w:val="auto"/>
                      <w:spacing w:val="-10"/>
                      <w:kern w:val="2"/>
                      <w:sz w:val="21"/>
                      <w:szCs w:val="21"/>
                      <w:highlight w:val="none"/>
                      <w:shd w:val="clear" w:color="auto" w:fill="FFFFFF"/>
                      <w:lang w:val="en-US" w:eastAsia="zh-CN" w:bidi="ar-SA"/>
                    </w:rPr>
                  </w:pPr>
                  <w:r>
                    <w:rPr>
                      <w:rFonts w:hint="eastAsia" w:hAnsi="宋体" w:cs="Times New Roman"/>
                      <w:color w:val="auto"/>
                      <w:spacing w:val="-10"/>
                      <w:kern w:val="2"/>
                      <w:sz w:val="21"/>
                      <w:szCs w:val="21"/>
                      <w:highlight w:val="none"/>
                      <w:shd w:val="clear" w:color="auto" w:fill="FFFFFF"/>
                      <w:lang w:val="en-US" w:eastAsia="zh-CN" w:bidi="ar-SA"/>
                    </w:rPr>
                    <w:t>0.000024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6" w:type="dxa"/>
                  <w:gridSpan w:val="5"/>
                  <w:noWrap w:val="0"/>
                  <w:vAlign w:val="center"/>
                </w:tcPr>
                <w:p>
                  <w:pPr>
                    <w:spacing w:line="240" w:lineRule="atLeast"/>
                    <w:jc w:val="center"/>
                    <w:rPr>
                      <w:rFonts w:hint="eastAsia"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项目Q值∑</w:t>
                  </w:r>
                </w:p>
              </w:tc>
              <w:tc>
                <w:tcPr>
                  <w:tcW w:w="1950" w:type="dxa"/>
                  <w:noWrap w:val="0"/>
                  <w:vAlign w:val="center"/>
                </w:tcPr>
                <w:p>
                  <w:pPr>
                    <w:spacing w:line="240" w:lineRule="atLeast"/>
                    <w:jc w:val="center"/>
                    <w:rPr>
                      <w:rFonts w:hint="default" w:hAnsi="宋体" w:eastAsia="宋体"/>
                      <w:color w:val="auto"/>
                      <w:spacing w:val="-10"/>
                      <w:szCs w:val="21"/>
                      <w:highlight w:val="none"/>
                      <w:shd w:val="clear" w:color="auto" w:fill="FFFFFF"/>
                      <w:lang w:val="en-US" w:eastAsia="zh-CN"/>
                    </w:rPr>
                  </w:pPr>
                  <w:r>
                    <w:rPr>
                      <w:rFonts w:hint="eastAsia" w:hAnsi="宋体" w:eastAsia="宋体"/>
                      <w:color w:val="auto"/>
                      <w:spacing w:val="-10"/>
                      <w:szCs w:val="21"/>
                      <w:highlight w:val="none"/>
                      <w:shd w:val="clear" w:color="auto" w:fill="FFFFFF"/>
                      <w:lang w:val="en-US" w:eastAsia="zh-CN"/>
                    </w:rPr>
                    <w:t>0.003064</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eastAsia" w:ascii="Times New Roman" w:hAnsi="Times New Roman" w:eastAsia="宋体" w:cs="Times New Roman"/>
                <w:color w:val="auto"/>
                <w:sz w:val="24"/>
                <w:szCs w:val="20"/>
                <w:highlight w:val="none"/>
                <w:lang w:eastAsia="zh-CN"/>
              </w:rPr>
            </w:pPr>
            <w:r>
              <w:rPr>
                <w:rFonts w:hint="eastAsia" w:ascii="Times New Roman" w:hAnsi="Times New Roman" w:eastAsia="宋体" w:cs="Times New Roman"/>
                <w:color w:val="auto"/>
                <w:sz w:val="24"/>
                <w:szCs w:val="20"/>
                <w:highlight w:val="none"/>
                <w:lang w:eastAsia="zh-CN"/>
              </w:rPr>
              <w:t>经计算，项目Q值为</w:t>
            </w:r>
            <w:r>
              <w:rPr>
                <w:rFonts w:hint="eastAsia" w:ascii="Times New Roman" w:hAnsi="Times New Roman" w:eastAsia="宋体" w:cs="Times New Roman"/>
                <w:color w:val="auto"/>
                <w:sz w:val="24"/>
                <w:szCs w:val="20"/>
                <w:highlight w:val="none"/>
                <w:lang w:val="en-US" w:eastAsia="zh-CN"/>
              </w:rPr>
              <w:t>0.003064</w:t>
            </w:r>
            <w:r>
              <w:rPr>
                <w:rFonts w:hint="eastAsia" w:ascii="Times New Roman" w:hAnsi="Times New Roman" w:eastAsia="宋体" w:cs="Times New Roman"/>
                <w:color w:val="auto"/>
                <w:sz w:val="24"/>
                <w:szCs w:val="20"/>
                <w:highlight w:val="none"/>
                <w:lang w:eastAsia="zh-CN"/>
              </w:rPr>
              <w:t>，故项目</w:t>
            </w:r>
            <w:r>
              <w:rPr>
                <w:rFonts w:hint="eastAsia" w:ascii="Times New Roman" w:hAnsi="Times New Roman" w:eastAsia="宋体" w:cs="Times New Roman"/>
                <w:color w:val="auto"/>
                <w:sz w:val="24"/>
                <w:szCs w:val="20"/>
                <w:highlight w:val="none"/>
                <w:lang w:val="en-US" w:eastAsia="zh-CN"/>
              </w:rPr>
              <w:t>风险物质</w:t>
            </w:r>
            <w:r>
              <w:rPr>
                <w:rFonts w:hint="eastAsia" w:ascii="Times New Roman" w:hAnsi="Times New Roman" w:eastAsia="宋体" w:cs="Times New Roman"/>
                <w:color w:val="auto"/>
                <w:sz w:val="24"/>
                <w:szCs w:val="20"/>
                <w:highlight w:val="none"/>
                <w:lang w:eastAsia="zh-CN"/>
              </w:rPr>
              <w:t>数量与临界量比值＜1，</w:t>
            </w:r>
            <w:r>
              <w:rPr>
                <w:rFonts w:hint="eastAsia" w:ascii="Times New Roman" w:hAnsi="Times New Roman" w:eastAsia="宋体" w:cs="Times New Roman"/>
                <w:color w:val="auto"/>
                <w:sz w:val="24"/>
                <w:szCs w:val="20"/>
                <w:highlight w:val="none"/>
                <w:lang w:val="en-US" w:eastAsia="zh-CN"/>
              </w:rPr>
              <w:t>根据</w:t>
            </w:r>
            <w:r>
              <w:rPr>
                <w:rFonts w:hint="eastAsia" w:ascii="Times New Roman" w:hAnsi="Times New Roman" w:eastAsia="宋体" w:cs="Times New Roman"/>
                <w:color w:val="auto"/>
                <w:sz w:val="24"/>
                <w:szCs w:val="20"/>
                <w:highlight w:val="none"/>
                <w:lang w:eastAsia="zh-CN"/>
              </w:rPr>
              <w:t>《</w:t>
            </w:r>
            <w:r>
              <w:rPr>
                <w:rFonts w:ascii="宋体" w:hAnsi="宋体" w:eastAsia="宋体" w:cs="宋体"/>
                <w:color w:val="auto"/>
                <w:sz w:val="24"/>
                <w:szCs w:val="24"/>
                <w:highlight w:val="none"/>
              </w:rPr>
              <w:t>建设项目环境影响报告表编制技术指南（污染影响类）（试行）</w:t>
            </w:r>
            <w:r>
              <w:rPr>
                <w:rFonts w:hint="eastAsia" w:ascii="Times New Roman" w:hAnsi="Times New Roman" w:eastAsia="宋体"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val="en-US" w:eastAsia="zh-CN"/>
              </w:rPr>
              <w:t>中专项评价设置原则表，项目无需开展环境风险专项评价</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（2）</w:t>
            </w:r>
            <w:r>
              <w:rPr>
                <w:rFonts w:hint="eastAsia" w:ascii="Times New Roman" w:hAnsi="Times New Roman" w:eastAsia="宋体" w:cs="Times New Roman"/>
                <w:color w:val="auto"/>
                <w:sz w:val="24"/>
                <w:szCs w:val="20"/>
                <w:highlight w:val="none"/>
              </w:rPr>
              <w:t>建设项目风险</w:t>
            </w:r>
            <w:r>
              <w:rPr>
                <w:rFonts w:hint="eastAsia" w:ascii="Times New Roman" w:hAnsi="Times New Roman" w:eastAsia="宋体" w:cs="Times New Roman"/>
                <w:color w:val="auto"/>
                <w:sz w:val="24"/>
                <w:szCs w:val="20"/>
                <w:highlight w:val="none"/>
                <w:lang w:val="en-US" w:eastAsia="zh-CN"/>
              </w:rPr>
              <w:t>及影响环境的途径识别</w:t>
            </w:r>
          </w:p>
          <w:p>
            <w:pPr>
              <w:spacing w:line="480" w:lineRule="exact"/>
              <w:ind w:firstLine="480" w:firstLineChars="200"/>
              <w:rPr>
                <w:color w:val="auto"/>
                <w:sz w:val="24"/>
                <w:highlight w:val="none"/>
              </w:rPr>
            </w:pPr>
            <w:r>
              <w:rPr>
                <w:color w:val="auto"/>
                <w:sz w:val="24"/>
                <w:highlight w:val="none"/>
              </w:rPr>
              <w:t>风险识别内容包括物质危险性识别、生产系统危险性识别及危险物质向环境转移的途径识别。</w:t>
            </w:r>
          </w:p>
          <w:p>
            <w:pPr>
              <w:spacing w:line="480" w:lineRule="exact"/>
              <w:ind w:firstLine="480" w:firstLineChars="200"/>
              <w:rPr>
                <w:color w:val="auto"/>
                <w:sz w:val="24"/>
                <w:highlight w:val="none"/>
              </w:rPr>
            </w:pPr>
            <w:r>
              <w:rPr>
                <w:rFonts w:hint="eastAsia" w:ascii="宋体" w:hAnsi="宋体" w:cs="宋体"/>
                <w:color w:val="auto"/>
                <w:sz w:val="24"/>
                <w:highlight w:val="none"/>
              </w:rPr>
              <w:t>①</w:t>
            </w:r>
            <w:r>
              <w:rPr>
                <w:color w:val="auto"/>
                <w:sz w:val="24"/>
                <w:highlight w:val="none"/>
              </w:rPr>
              <w:t>物质危险性识别</w:t>
            </w:r>
          </w:p>
          <w:p>
            <w:pPr>
              <w:spacing w:line="480" w:lineRule="exact"/>
              <w:ind w:firstLine="510"/>
              <w:rPr>
                <w:rFonts w:eastAsia="黑体"/>
                <w:b/>
                <w:bCs/>
                <w:color w:val="auto"/>
                <w:kern w:val="0"/>
                <w:szCs w:val="28"/>
                <w:highlight w:val="none"/>
              </w:rPr>
            </w:pPr>
            <w:r>
              <w:rPr>
                <w:color w:val="auto"/>
                <w:sz w:val="24"/>
                <w:highlight w:val="none"/>
              </w:rPr>
              <w:t>本项目涉及的危险物质主要</w:t>
            </w:r>
            <w:r>
              <w:rPr>
                <w:rFonts w:hint="eastAsia"/>
                <w:color w:val="auto"/>
                <w:sz w:val="24"/>
                <w:highlight w:val="none"/>
                <w:lang w:val="en-US" w:eastAsia="zh-CN"/>
              </w:rPr>
              <w:t>为</w:t>
            </w:r>
            <w:r>
              <w:rPr>
                <w:color w:val="auto"/>
                <w:sz w:val="24"/>
                <w:highlight w:val="none"/>
              </w:rPr>
              <w:t>油类物质等，其危险特性、分布情况见</w:t>
            </w:r>
            <w:r>
              <w:rPr>
                <w:rFonts w:hint="eastAsia"/>
                <w:color w:val="auto"/>
                <w:sz w:val="24"/>
                <w:highlight w:val="none"/>
              </w:rPr>
              <w:t>下</w:t>
            </w:r>
            <w:r>
              <w:rPr>
                <w:color w:val="auto"/>
                <w:sz w:val="24"/>
                <w:highlight w:val="none"/>
              </w:rPr>
              <w:t>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 xml:space="preserve">45   </w:t>
            </w:r>
            <w:r>
              <w:rPr>
                <w:b/>
                <w:bCs/>
                <w:color w:val="auto"/>
                <w:kern w:val="0"/>
                <w:sz w:val="24"/>
                <w:highlight w:val="none"/>
              </w:rPr>
              <w:t>物质危险性识别结果一览表</w:t>
            </w:r>
          </w:p>
          <w:tbl>
            <w:tblPr>
              <w:tblStyle w:val="33"/>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26"/>
              <w:gridCol w:w="1523"/>
              <w:gridCol w:w="2208"/>
              <w:gridCol w:w="1371"/>
              <w:gridCol w:w="2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noWrap w:val="0"/>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523" w:type="dxa"/>
                  <w:noWrap w:val="0"/>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2208" w:type="dxa"/>
                  <w:noWrap w:val="0"/>
                  <w:vAlign w:val="center"/>
                </w:tcPr>
                <w:p>
                  <w:pPr>
                    <w:spacing w:line="240" w:lineRule="atLeast"/>
                    <w:jc w:val="center"/>
                    <w:rPr>
                      <w:color w:val="auto"/>
                      <w:spacing w:val="-10"/>
                      <w:szCs w:val="21"/>
                      <w:highlight w:val="none"/>
                    </w:rPr>
                  </w:pPr>
                  <w:r>
                    <w:rPr>
                      <w:color w:val="auto"/>
                      <w:spacing w:val="-10"/>
                      <w:szCs w:val="21"/>
                      <w:highlight w:val="none"/>
                    </w:rPr>
                    <w:t>易燃易爆性</w:t>
                  </w:r>
                </w:p>
              </w:tc>
              <w:tc>
                <w:tcPr>
                  <w:tcW w:w="1371" w:type="dxa"/>
                  <w:noWrap w:val="0"/>
                  <w:vAlign w:val="center"/>
                </w:tcPr>
                <w:p>
                  <w:pPr>
                    <w:spacing w:line="240" w:lineRule="atLeast"/>
                    <w:jc w:val="center"/>
                    <w:rPr>
                      <w:color w:val="auto"/>
                      <w:spacing w:val="-10"/>
                      <w:szCs w:val="21"/>
                      <w:highlight w:val="none"/>
                    </w:rPr>
                  </w:pPr>
                  <w:r>
                    <w:rPr>
                      <w:color w:val="auto"/>
                      <w:spacing w:val="-10"/>
                      <w:szCs w:val="21"/>
                      <w:highlight w:val="none"/>
                    </w:rPr>
                    <w:t>有毒有害性</w:t>
                  </w:r>
                </w:p>
              </w:tc>
              <w:tc>
                <w:tcPr>
                  <w:tcW w:w="2298" w:type="dxa"/>
                  <w:noWrap w:val="0"/>
                  <w:vAlign w:val="center"/>
                </w:tcPr>
                <w:p>
                  <w:pPr>
                    <w:spacing w:line="240" w:lineRule="atLeast"/>
                    <w:jc w:val="center"/>
                    <w:rPr>
                      <w:color w:val="auto"/>
                      <w:spacing w:val="-10"/>
                      <w:szCs w:val="21"/>
                      <w:highlight w:val="none"/>
                    </w:rPr>
                  </w:pPr>
                  <w:r>
                    <w:rPr>
                      <w:color w:val="auto"/>
                      <w:spacing w:val="-10"/>
                      <w:szCs w:val="21"/>
                      <w:highlight w:val="none"/>
                    </w:rPr>
                    <w:t>分布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noWrap w:val="0"/>
                  <w:vAlign w:val="center"/>
                </w:tcPr>
                <w:p>
                  <w:pPr>
                    <w:spacing w:line="240" w:lineRule="atLeast"/>
                    <w:jc w:val="center"/>
                    <w:rPr>
                      <w:color w:val="auto"/>
                      <w:spacing w:val="-10"/>
                      <w:szCs w:val="21"/>
                      <w:highlight w:val="none"/>
                    </w:rPr>
                  </w:pPr>
                  <w:r>
                    <w:rPr>
                      <w:color w:val="auto"/>
                      <w:spacing w:val="-10"/>
                      <w:szCs w:val="21"/>
                      <w:highlight w:val="none"/>
                    </w:rPr>
                    <w:t>1</w:t>
                  </w:r>
                </w:p>
              </w:tc>
              <w:tc>
                <w:tcPr>
                  <w:tcW w:w="1523" w:type="dxa"/>
                  <w:noWrap w:val="0"/>
                  <w:vAlign w:val="center"/>
                </w:tcPr>
                <w:p>
                  <w:pPr>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rPr>
                    <w:t>油类</w:t>
                  </w:r>
                  <w:r>
                    <w:rPr>
                      <w:rFonts w:hint="default" w:ascii="Times New Roman" w:hAnsi="Times New Roman" w:eastAsia="宋体" w:cs="Times New Roman"/>
                      <w:color w:val="auto"/>
                      <w:spacing w:val="-10"/>
                      <w:sz w:val="21"/>
                      <w:szCs w:val="21"/>
                      <w:highlight w:val="none"/>
                      <w:lang w:val="en-US" w:eastAsia="zh-CN"/>
                    </w:rPr>
                    <w:t>物质</w:t>
                  </w:r>
                </w:p>
              </w:tc>
              <w:tc>
                <w:tcPr>
                  <w:tcW w:w="2208" w:type="dxa"/>
                  <w:noWrap w:val="0"/>
                  <w:vAlign w:val="center"/>
                </w:tcPr>
                <w:p>
                  <w:pPr>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rPr>
                    <w:t>发生热裂解反应，生成易挥发及较低闪点的低聚物</w:t>
                  </w:r>
                </w:p>
              </w:tc>
              <w:tc>
                <w:tcPr>
                  <w:tcW w:w="1371" w:type="dxa"/>
                  <w:noWrap w:val="0"/>
                  <w:vAlign w:val="center"/>
                </w:tcPr>
                <w:p>
                  <w:pPr>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eastAsia="宋体" w:cs="Times New Roman"/>
                      <w:color w:val="auto"/>
                      <w:spacing w:val="-10"/>
                      <w:sz w:val="21"/>
                      <w:szCs w:val="21"/>
                      <w:highlight w:val="none"/>
                    </w:rPr>
                    <w:t>--</w:t>
                  </w:r>
                </w:p>
              </w:tc>
              <w:tc>
                <w:tcPr>
                  <w:tcW w:w="2298" w:type="dxa"/>
                  <w:noWrap w:val="0"/>
                  <w:vAlign w:val="center"/>
                </w:tcPr>
                <w:p>
                  <w:pPr>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sz w:val="21"/>
                      <w:szCs w:val="21"/>
                      <w:highlight w:val="none"/>
                      <w:lang w:val="en-US" w:eastAsia="zh-CN"/>
                    </w:rPr>
                    <w:t>生产车间润滑油储存区、</w:t>
                  </w:r>
                  <w:r>
                    <w:rPr>
                      <w:rFonts w:hint="default" w:ascii="Times New Roman" w:hAnsi="Times New Roman" w:eastAsia="宋体" w:cs="Times New Roman"/>
                      <w:color w:val="auto"/>
                      <w:spacing w:val="-10"/>
                      <w:sz w:val="21"/>
                      <w:szCs w:val="21"/>
                      <w:highlight w:val="none"/>
                    </w:rPr>
                    <w:t>危废间</w:t>
                  </w:r>
                </w:p>
              </w:tc>
            </w:tr>
          </w:tbl>
          <w:p>
            <w:pPr>
              <w:spacing w:line="480" w:lineRule="exact"/>
              <w:ind w:firstLine="480" w:firstLineChars="200"/>
              <w:rPr>
                <w:color w:val="auto"/>
                <w:sz w:val="24"/>
                <w:highlight w:val="none"/>
              </w:rPr>
            </w:pPr>
            <w:r>
              <w:rPr>
                <w:rFonts w:hint="eastAsia" w:ascii="宋体" w:hAnsi="宋体" w:cs="宋体"/>
                <w:color w:val="auto"/>
                <w:sz w:val="24"/>
                <w:highlight w:val="none"/>
              </w:rPr>
              <w:t>②</w:t>
            </w:r>
            <w:r>
              <w:rPr>
                <w:color w:val="auto"/>
                <w:sz w:val="24"/>
                <w:highlight w:val="none"/>
              </w:rPr>
              <w:t>生产系统危险性识别</w:t>
            </w:r>
          </w:p>
          <w:p>
            <w:pPr>
              <w:spacing w:line="480" w:lineRule="exact"/>
              <w:ind w:firstLine="480" w:firstLineChars="200"/>
              <w:rPr>
                <w:color w:val="auto"/>
                <w:sz w:val="24"/>
                <w:highlight w:val="none"/>
              </w:rPr>
            </w:pPr>
            <w:r>
              <w:rPr>
                <w:color w:val="auto"/>
                <w:sz w:val="24"/>
                <w:highlight w:val="none"/>
              </w:rPr>
              <w:t>根据本项目工艺流程及平面布置功能分区，并结合物质危险性识别，确定危险单元包括</w:t>
            </w:r>
            <w:r>
              <w:rPr>
                <w:rFonts w:hint="eastAsia"/>
                <w:color w:val="auto"/>
                <w:sz w:val="24"/>
                <w:highlight w:val="none"/>
                <w:lang w:val="en-US" w:eastAsia="zh-CN"/>
              </w:rPr>
              <w:t>生产车间内润滑油储存区、</w:t>
            </w:r>
            <w:r>
              <w:rPr>
                <w:rFonts w:hint="eastAsia"/>
                <w:color w:val="auto"/>
                <w:sz w:val="24"/>
                <w:highlight w:val="none"/>
                <w:lang w:eastAsia="zh-CN"/>
              </w:rPr>
              <w:t>危险废物暂存间</w:t>
            </w:r>
            <w:r>
              <w:rPr>
                <w:color w:val="auto"/>
                <w:sz w:val="24"/>
                <w:highlight w:val="none"/>
              </w:rPr>
              <w:t>。</w:t>
            </w:r>
          </w:p>
          <w:p>
            <w:pPr>
              <w:spacing w:line="480" w:lineRule="exact"/>
              <w:ind w:firstLine="480" w:firstLineChars="200"/>
              <w:rPr>
                <w:color w:val="auto"/>
                <w:sz w:val="24"/>
                <w:highlight w:val="none"/>
              </w:rPr>
            </w:pPr>
            <w:r>
              <w:rPr>
                <w:rFonts w:hint="eastAsia" w:ascii="宋体" w:hAnsi="宋体" w:cs="宋体"/>
                <w:color w:val="auto"/>
                <w:sz w:val="24"/>
                <w:highlight w:val="none"/>
              </w:rPr>
              <w:t>③</w:t>
            </w:r>
            <w:r>
              <w:rPr>
                <w:bCs/>
                <w:color w:val="auto"/>
                <w:sz w:val="24"/>
                <w:highlight w:val="none"/>
              </w:rPr>
              <w:t>危险物质向环境转移的途径识别</w:t>
            </w:r>
          </w:p>
          <w:p>
            <w:pPr>
              <w:spacing w:line="480" w:lineRule="exact"/>
              <w:ind w:firstLine="480" w:firstLineChars="200"/>
              <w:rPr>
                <w:color w:val="auto"/>
                <w:sz w:val="24"/>
                <w:highlight w:val="none"/>
              </w:rPr>
            </w:pPr>
            <w:r>
              <w:rPr>
                <w:color w:val="auto"/>
                <w:sz w:val="24"/>
                <w:highlight w:val="none"/>
              </w:rPr>
              <w:t>根据本项目危险物质及生产系统危险性识别结果，项目涉及的环境风险类型涉及危险物质泄漏以及火灾爆炸引发的次生污染物排放。危险物质向环境转移的可能途径及影响方式主要有以下几个方面：</w:t>
            </w:r>
          </w:p>
          <w:p>
            <w:pPr>
              <w:spacing w:line="480" w:lineRule="exact"/>
              <w:ind w:firstLine="480" w:firstLineChars="200"/>
              <w:rPr>
                <w:color w:val="auto"/>
                <w:sz w:val="24"/>
                <w:highlight w:val="none"/>
              </w:rPr>
            </w:pPr>
            <w:r>
              <w:rPr>
                <w:color w:val="auto"/>
                <w:sz w:val="24"/>
                <w:highlight w:val="none"/>
              </w:rPr>
              <w:t>大气扩散：</w:t>
            </w:r>
            <w:r>
              <w:rPr>
                <w:rFonts w:hint="eastAsia"/>
                <w:color w:val="auto"/>
                <w:sz w:val="24"/>
                <w:highlight w:val="none"/>
                <w:lang w:val="en-US" w:eastAsia="zh-CN"/>
              </w:rPr>
              <w:t>油类物质</w:t>
            </w:r>
            <w:r>
              <w:rPr>
                <w:color w:val="auto"/>
                <w:sz w:val="24"/>
                <w:highlight w:val="none"/>
              </w:rPr>
              <w:t>发生火灾或爆炸后产生的</w:t>
            </w:r>
            <w:r>
              <w:rPr>
                <w:rFonts w:hint="eastAsia"/>
                <w:color w:val="auto"/>
                <w:sz w:val="24"/>
                <w:highlight w:val="none"/>
              </w:rPr>
              <w:t>次</w:t>
            </w:r>
            <w:r>
              <w:rPr>
                <w:color w:val="auto"/>
                <w:sz w:val="24"/>
                <w:highlight w:val="none"/>
              </w:rPr>
              <w:t>生污染物进入大气环境，通过大气扩散对周围环境造成影响。</w:t>
            </w:r>
          </w:p>
          <w:p>
            <w:pPr>
              <w:spacing w:line="480" w:lineRule="exact"/>
              <w:ind w:firstLine="480" w:firstLineChars="200"/>
              <w:rPr>
                <w:color w:val="auto"/>
                <w:sz w:val="24"/>
                <w:highlight w:val="none"/>
              </w:rPr>
            </w:pPr>
            <w:r>
              <w:rPr>
                <w:color w:val="auto"/>
                <w:sz w:val="24"/>
                <w:highlight w:val="none"/>
              </w:rPr>
              <w:t>水环境扩散：项目泄漏物料和泄漏物料发生火灾事故时产生的消防废水以及初期雨水未得到有效收集而进入外环境，对周围水环境造成影响。</w:t>
            </w:r>
          </w:p>
          <w:p>
            <w:pPr>
              <w:spacing w:line="480" w:lineRule="exact"/>
              <w:ind w:firstLine="480" w:firstLineChars="200"/>
              <w:rPr>
                <w:color w:val="auto"/>
                <w:sz w:val="24"/>
                <w:highlight w:val="none"/>
              </w:rPr>
            </w:pPr>
            <w:r>
              <w:rPr>
                <w:color w:val="auto"/>
                <w:sz w:val="24"/>
                <w:highlight w:val="none"/>
              </w:rPr>
              <w:t>土壤扩散：项目</w:t>
            </w:r>
            <w:r>
              <w:rPr>
                <w:rFonts w:hint="eastAsia"/>
                <w:color w:val="auto"/>
                <w:sz w:val="24"/>
                <w:highlight w:val="none"/>
                <w:lang w:val="en-US" w:eastAsia="zh-CN"/>
              </w:rPr>
              <w:t>油类</w:t>
            </w:r>
            <w:r>
              <w:rPr>
                <w:color w:val="auto"/>
                <w:sz w:val="24"/>
                <w:highlight w:val="none"/>
              </w:rPr>
              <w:t>物质泄漏后聚积地面，在防渗层失效情况下，通过地表渗透进入土壤或地下水，对土壤、地下水环境造成影响。</w:t>
            </w:r>
          </w:p>
          <w:p>
            <w:pPr>
              <w:spacing w:line="480" w:lineRule="exact"/>
              <w:ind w:firstLine="480" w:firstLineChars="200"/>
              <w:rPr>
                <w:color w:val="auto"/>
                <w:sz w:val="24"/>
                <w:highlight w:val="none"/>
              </w:rPr>
            </w:pPr>
            <w:r>
              <w:rPr>
                <w:rFonts w:hint="eastAsia" w:ascii="宋体" w:hAnsi="宋体" w:cs="宋体"/>
                <w:color w:val="auto"/>
                <w:sz w:val="24"/>
                <w:highlight w:val="none"/>
              </w:rPr>
              <w:t>④</w:t>
            </w:r>
            <w:r>
              <w:rPr>
                <w:color w:val="auto"/>
                <w:sz w:val="24"/>
                <w:highlight w:val="none"/>
              </w:rPr>
              <w:t>风险识别结果</w:t>
            </w:r>
          </w:p>
          <w:p>
            <w:pPr>
              <w:spacing w:line="480" w:lineRule="exact"/>
              <w:ind w:firstLine="480" w:firstLineChars="200"/>
              <w:rPr>
                <w:color w:val="auto"/>
                <w:sz w:val="24"/>
                <w:highlight w:val="none"/>
              </w:rPr>
            </w:pPr>
            <w:r>
              <w:rPr>
                <w:color w:val="auto"/>
                <w:sz w:val="24"/>
                <w:highlight w:val="none"/>
              </w:rPr>
              <w:t>本项目物质及生产系统危险性识别结果见</w:t>
            </w:r>
            <w:r>
              <w:rPr>
                <w:rFonts w:hint="eastAsia"/>
                <w:color w:val="auto"/>
                <w:sz w:val="24"/>
                <w:highlight w:val="none"/>
              </w:rPr>
              <w:t>下</w:t>
            </w:r>
            <w:r>
              <w:rPr>
                <w:color w:val="auto"/>
                <w:sz w:val="24"/>
                <w:highlight w:val="none"/>
              </w:rPr>
              <w:t>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 xml:space="preserve">46   </w:t>
            </w:r>
            <w:r>
              <w:rPr>
                <w:b/>
                <w:bCs/>
                <w:color w:val="auto"/>
                <w:kern w:val="0"/>
                <w:sz w:val="24"/>
                <w:highlight w:val="none"/>
              </w:rPr>
              <w:t>本项目环境风险识别表</w:t>
            </w:r>
          </w:p>
          <w:tbl>
            <w:tblPr>
              <w:tblStyle w:val="33"/>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23"/>
              <w:gridCol w:w="1198"/>
              <w:gridCol w:w="1361"/>
              <w:gridCol w:w="942"/>
              <w:gridCol w:w="1211"/>
              <w:gridCol w:w="1243"/>
              <w:gridCol w:w="15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23" w:type="dxa"/>
                  <w:noWrap w:val="0"/>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198" w:type="dxa"/>
                  <w:noWrap w:val="0"/>
                  <w:vAlign w:val="center"/>
                </w:tcPr>
                <w:p>
                  <w:pPr>
                    <w:spacing w:line="240" w:lineRule="atLeast"/>
                    <w:jc w:val="center"/>
                    <w:rPr>
                      <w:color w:val="auto"/>
                      <w:spacing w:val="-10"/>
                      <w:szCs w:val="21"/>
                      <w:highlight w:val="none"/>
                    </w:rPr>
                  </w:pPr>
                  <w:r>
                    <w:rPr>
                      <w:color w:val="auto"/>
                      <w:spacing w:val="-10"/>
                      <w:szCs w:val="21"/>
                      <w:highlight w:val="none"/>
                    </w:rPr>
                    <w:t>危险单元</w:t>
                  </w:r>
                </w:p>
              </w:tc>
              <w:tc>
                <w:tcPr>
                  <w:tcW w:w="1361" w:type="dxa"/>
                  <w:noWrap w:val="0"/>
                  <w:vAlign w:val="center"/>
                </w:tcPr>
                <w:p>
                  <w:pPr>
                    <w:spacing w:line="240" w:lineRule="atLeast"/>
                    <w:jc w:val="center"/>
                    <w:rPr>
                      <w:color w:val="auto"/>
                      <w:spacing w:val="-10"/>
                      <w:szCs w:val="21"/>
                      <w:highlight w:val="none"/>
                    </w:rPr>
                  </w:pPr>
                  <w:r>
                    <w:rPr>
                      <w:color w:val="auto"/>
                      <w:spacing w:val="-10"/>
                      <w:szCs w:val="21"/>
                      <w:highlight w:val="none"/>
                    </w:rPr>
                    <w:t>风险源</w:t>
                  </w:r>
                </w:p>
              </w:tc>
              <w:tc>
                <w:tcPr>
                  <w:tcW w:w="942" w:type="dxa"/>
                  <w:noWrap w:val="0"/>
                  <w:vAlign w:val="center"/>
                </w:tcPr>
                <w:p>
                  <w:pPr>
                    <w:spacing w:line="240" w:lineRule="atLeast"/>
                    <w:jc w:val="center"/>
                    <w:rPr>
                      <w:color w:val="auto"/>
                      <w:spacing w:val="-10"/>
                      <w:szCs w:val="21"/>
                      <w:highlight w:val="none"/>
                    </w:rPr>
                  </w:pPr>
                  <w:r>
                    <w:rPr>
                      <w:color w:val="auto"/>
                      <w:spacing w:val="-10"/>
                      <w:szCs w:val="21"/>
                      <w:highlight w:val="none"/>
                    </w:rPr>
                    <w:t>主要危险物质</w:t>
                  </w:r>
                </w:p>
              </w:tc>
              <w:tc>
                <w:tcPr>
                  <w:tcW w:w="1211" w:type="dxa"/>
                  <w:noWrap w:val="0"/>
                  <w:vAlign w:val="center"/>
                </w:tcPr>
                <w:p>
                  <w:pPr>
                    <w:spacing w:line="240" w:lineRule="atLeast"/>
                    <w:jc w:val="center"/>
                    <w:rPr>
                      <w:color w:val="auto"/>
                      <w:spacing w:val="-10"/>
                      <w:szCs w:val="21"/>
                      <w:highlight w:val="none"/>
                    </w:rPr>
                  </w:pPr>
                  <w:r>
                    <w:rPr>
                      <w:color w:val="auto"/>
                      <w:spacing w:val="-10"/>
                      <w:szCs w:val="21"/>
                      <w:highlight w:val="none"/>
                    </w:rPr>
                    <w:t>环境风险类型</w:t>
                  </w:r>
                </w:p>
              </w:tc>
              <w:tc>
                <w:tcPr>
                  <w:tcW w:w="1243" w:type="dxa"/>
                  <w:noWrap w:val="0"/>
                  <w:vAlign w:val="center"/>
                </w:tcPr>
                <w:p>
                  <w:pPr>
                    <w:spacing w:line="240" w:lineRule="atLeast"/>
                    <w:jc w:val="center"/>
                    <w:rPr>
                      <w:color w:val="auto"/>
                      <w:spacing w:val="-10"/>
                      <w:szCs w:val="21"/>
                      <w:highlight w:val="none"/>
                    </w:rPr>
                  </w:pPr>
                  <w:r>
                    <w:rPr>
                      <w:color w:val="auto"/>
                      <w:spacing w:val="-10"/>
                      <w:szCs w:val="21"/>
                      <w:highlight w:val="none"/>
                    </w:rPr>
                    <w:t>环境影响途径</w:t>
                  </w:r>
                </w:p>
              </w:tc>
              <w:tc>
                <w:tcPr>
                  <w:tcW w:w="1548" w:type="dxa"/>
                  <w:noWrap w:val="0"/>
                  <w:vAlign w:val="center"/>
                </w:tcPr>
                <w:p>
                  <w:pPr>
                    <w:spacing w:line="240" w:lineRule="atLeast"/>
                    <w:jc w:val="center"/>
                    <w:rPr>
                      <w:color w:val="auto"/>
                      <w:spacing w:val="-10"/>
                      <w:szCs w:val="21"/>
                      <w:highlight w:val="none"/>
                    </w:rPr>
                  </w:pPr>
                  <w:r>
                    <w:rPr>
                      <w:color w:val="auto"/>
                      <w:spacing w:val="-10"/>
                      <w:szCs w:val="21"/>
                      <w:highlight w:val="none"/>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23"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1</w:t>
                  </w:r>
                </w:p>
              </w:tc>
              <w:tc>
                <w:tcPr>
                  <w:tcW w:w="1198" w:type="dxa"/>
                  <w:noWrap w:val="0"/>
                  <w:vAlign w:val="center"/>
                </w:tcPr>
                <w:p>
                  <w:pPr>
                    <w:widowControl/>
                    <w:jc w:val="center"/>
                    <w:rPr>
                      <w:rFonts w:hint="default"/>
                      <w:color w:val="auto"/>
                      <w:spacing w:val="-10"/>
                      <w:szCs w:val="21"/>
                      <w:highlight w:val="none"/>
                      <w:lang w:val="en-US" w:eastAsia="zh-CN"/>
                    </w:rPr>
                  </w:pPr>
                  <w:r>
                    <w:rPr>
                      <w:rFonts w:hint="eastAsia"/>
                      <w:color w:val="auto"/>
                      <w:spacing w:val="-10"/>
                      <w:szCs w:val="21"/>
                      <w:highlight w:val="none"/>
                      <w:lang w:val="en-US" w:eastAsia="zh-CN"/>
                    </w:rPr>
                    <w:t>生产车间润滑油储存区</w:t>
                  </w:r>
                </w:p>
              </w:tc>
              <w:tc>
                <w:tcPr>
                  <w:tcW w:w="1361" w:type="dxa"/>
                  <w:noWrap w:val="0"/>
                  <w:vAlign w:val="center"/>
                </w:tcPr>
                <w:p>
                  <w:pPr>
                    <w:spacing w:line="240" w:lineRule="atLeast"/>
                    <w:jc w:val="center"/>
                    <w:rPr>
                      <w:rFonts w:hint="default"/>
                      <w:color w:val="auto"/>
                      <w:spacing w:val="-10"/>
                      <w:szCs w:val="21"/>
                      <w:highlight w:val="none"/>
                      <w:lang w:val="en-US" w:eastAsia="zh-CN"/>
                    </w:rPr>
                  </w:pPr>
                  <w:r>
                    <w:rPr>
                      <w:rFonts w:hint="eastAsia"/>
                      <w:color w:val="auto"/>
                      <w:spacing w:val="-10"/>
                      <w:szCs w:val="21"/>
                      <w:highlight w:val="none"/>
                      <w:lang w:val="en-US" w:eastAsia="zh-CN"/>
                    </w:rPr>
                    <w:t>润滑油</w:t>
                  </w:r>
                </w:p>
              </w:tc>
              <w:tc>
                <w:tcPr>
                  <w:tcW w:w="942" w:type="dxa"/>
                  <w:noWrap w:val="0"/>
                  <w:vAlign w:val="center"/>
                </w:tcPr>
                <w:p>
                  <w:pPr>
                    <w:spacing w:line="240" w:lineRule="atLeast"/>
                    <w:jc w:val="center"/>
                    <w:rPr>
                      <w:rFonts w:hint="default"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油类物质</w:t>
                  </w:r>
                </w:p>
              </w:tc>
              <w:tc>
                <w:tcPr>
                  <w:tcW w:w="1211" w:type="dxa"/>
                  <w:noWrap w:val="0"/>
                  <w:vAlign w:val="center"/>
                </w:tcPr>
                <w:p>
                  <w:pPr>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泄漏、火灾</w:t>
                  </w:r>
                </w:p>
              </w:tc>
              <w:tc>
                <w:tcPr>
                  <w:tcW w:w="1243" w:type="dxa"/>
                  <w:noWrap w:val="0"/>
                  <w:vAlign w:val="center"/>
                </w:tcPr>
                <w:p>
                  <w:pPr>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大气、</w:t>
                  </w:r>
                  <w:r>
                    <w:rPr>
                      <w:color w:val="auto"/>
                      <w:spacing w:val="-10"/>
                      <w:szCs w:val="21"/>
                      <w:highlight w:val="none"/>
                    </w:rPr>
                    <w:t>地表水、地下水</w:t>
                  </w:r>
                </w:p>
              </w:tc>
              <w:tc>
                <w:tcPr>
                  <w:tcW w:w="1548" w:type="dxa"/>
                  <w:noWrap w:val="0"/>
                  <w:vAlign w:val="center"/>
                </w:tcPr>
                <w:p>
                  <w:pPr>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居民区、地表水、地下水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noWrap w:val="0"/>
                  <w:vAlign w:val="center"/>
                </w:tcPr>
                <w:p>
                  <w:pPr>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2</w:t>
                  </w:r>
                </w:p>
              </w:tc>
              <w:tc>
                <w:tcPr>
                  <w:tcW w:w="1198" w:type="dxa"/>
                  <w:noWrap w:val="0"/>
                  <w:vAlign w:val="center"/>
                </w:tcPr>
                <w:p>
                  <w:pPr>
                    <w:widowControl/>
                    <w:jc w:val="center"/>
                    <w:rPr>
                      <w:rFonts w:hint="eastAsia" w:eastAsia="宋体"/>
                      <w:color w:val="auto"/>
                      <w:spacing w:val="-10"/>
                      <w:kern w:val="2"/>
                      <w:sz w:val="21"/>
                      <w:szCs w:val="21"/>
                      <w:highlight w:val="none"/>
                      <w:lang w:val="en-US" w:eastAsia="zh-CN" w:bidi="ar-SA"/>
                    </w:rPr>
                  </w:pPr>
                  <w:r>
                    <w:rPr>
                      <w:rFonts w:hint="eastAsia"/>
                      <w:color w:val="auto"/>
                      <w:spacing w:val="-10"/>
                      <w:szCs w:val="21"/>
                      <w:highlight w:val="none"/>
                      <w:lang w:eastAsia="zh-CN"/>
                    </w:rPr>
                    <w:t>危险废物暂存间</w:t>
                  </w:r>
                </w:p>
              </w:tc>
              <w:tc>
                <w:tcPr>
                  <w:tcW w:w="1361" w:type="dxa"/>
                  <w:noWrap w:val="0"/>
                  <w:vAlign w:val="center"/>
                </w:tcPr>
                <w:p>
                  <w:pPr>
                    <w:spacing w:line="240" w:lineRule="atLeast"/>
                    <w:jc w:val="center"/>
                    <w:rPr>
                      <w:rFonts w:hint="default" w:eastAsia="宋体"/>
                      <w:color w:val="auto"/>
                      <w:spacing w:val="-10"/>
                      <w:kern w:val="2"/>
                      <w:sz w:val="21"/>
                      <w:szCs w:val="21"/>
                      <w:highlight w:val="none"/>
                      <w:lang w:val="en-US" w:eastAsia="zh-CN" w:bidi="ar-SA"/>
                    </w:rPr>
                  </w:pPr>
                  <w:r>
                    <w:rPr>
                      <w:rFonts w:hint="eastAsia"/>
                      <w:color w:val="auto"/>
                      <w:spacing w:val="-10"/>
                      <w:szCs w:val="21"/>
                      <w:highlight w:val="none"/>
                      <w:lang w:val="en-US" w:eastAsia="zh-CN"/>
                    </w:rPr>
                    <w:t>废润滑油、废油桶</w:t>
                  </w:r>
                </w:p>
              </w:tc>
              <w:tc>
                <w:tcPr>
                  <w:tcW w:w="942" w:type="dxa"/>
                  <w:noWrap w:val="0"/>
                  <w:vAlign w:val="center"/>
                </w:tcPr>
                <w:p>
                  <w:pPr>
                    <w:spacing w:line="240" w:lineRule="atLeast"/>
                    <w:jc w:val="center"/>
                    <w:rPr>
                      <w:rFonts w:hint="default" w:eastAsia="宋体"/>
                      <w:color w:val="auto"/>
                      <w:spacing w:val="-10"/>
                      <w:kern w:val="2"/>
                      <w:sz w:val="21"/>
                      <w:szCs w:val="21"/>
                      <w:highlight w:val="none"/>
                      <w:lang w:val="en-US" w:eastAsia="zh-CN" w:bidi="ar-SA"/>
                    </w:rPr>
                  </w:pPr>
                  <w:r>
                    <w:rPr>
                      <w:color w:val="auto"/>
                      <w:spacing w:val="-10"/>
                      <w:szCs w:val="21"/>
                      <w:highlight w:val="none"/>
                    </w:rPr>
                    <w:t>油类物质</w:t>
                  </w:r>
                </w:p>
              </w:tc>
              <w:tc>
                <w:tcPr>
                  <w:tcW w:w="1211" w:type="dxa"/>
                  <w:noWrap w:val="0"/>
                  <w:vAlign w:val="center"/>
                </w:tcPr>
                <w:p>
                  <w:pPr>
                    <w:spacing w:line="240" w:lineRule="atLeast"/>
                    <w:jc w:val="center"/>
                    <w:rPr>
                      <w:color w:val="auto"/>
                      <w:spacing w:val="-10"/>
                      <w:kern w:val="2"/>
                      <w:sz w:val="21"/>
                      <w:szCs w:val="21"/>
                      <w:highlight w:val="none"/>
                      <w:lang w:val="en-US" w:eastAsia="zh-CN" w:bidi="ar-SA"/>
                    </w:rPr>
                  </w:pPr>
                  <w:r>
                    <w:rPr>
                      <w:color w:val="auto"/>
                      <w:spacing w:val="-10"/>
                      <w:szCs w:val="21"/>
                      <w:highlight w:val="none"/>
                    </w:rPr>
                    <w:t>泄漏、火灾</w:t>
                  </w:r>
                </w:p>
              </w:tc>
              <w:tc>
                <w:tcPr>
                  <w:tcW w:w="1243" w:type="dxa"/>
                  <w:noWrap w:val="0"/>
                  <w:vAlign w:val="center"/>
                </w:tcPr>
                <w:p>
                  <w:pPr>
                    <w:spacing w:line="240" w:lineRule="atLeast"/>
                    <w:jc w:val="center"/>
                    <w:rPr>
                      <w:color w:val="auto"/>
                      <w:spacing w:val="-10"/>
                      <w:kern w:val="2"/>
                      <w:sz w:val="21"/>
                      <w:szCs w:val="21"/>
                      <w:highlight w:val="none"/>
                      <w:lang w:val="en-US" w:eastAsia="zh-CN" w:bidi="ar-SA"/>
                    </w:rPr>
                  </w:pPr>
                  <w:r>
                    <w:rPr>
                      <w:rFonts w:hint="eastAsia"/>
                      <w:color w:val="auto"/>
                      <w:spacing w:val="-10"/>
                      <w:szCs w:val="21"/>
                      <w:highlight w:val="none"/>
                    </w:rPr>
                    <w:t>大气、</w:t>
                  </w:r>
                  <w:r>
                    <w:rPr>
                      <w:color w:val="auto"/>
                      <w:spacing w:val="-10"/>
                      <w:szCs w:val="21"/>
                      <w:highlight w:val="none"/>
                    </w:rPr>
                    <w:t>地表水、地下水</w:t>
                  </w:r>
                </w:p>
              </w:tc>
              <w:tc>
                <w:tcPr>
                  <w:tcW w:w="1548" w:type="dxa"/>
                  <w:noWrap w:val="0"/>
                  <w:vAlign w:val="center"/>
                </w:tcPr>
                <w:p>
                  <w:pPr>
                    <w:spacing w:line="240" w:lineRule="atLeast"/>
                    <w:jc w:val="center"/>
                    <w:rPr>
                      <w:color w:val="auto"/>
                      <w:spacing w:val="-10"/>
                      <w:kern w:val="2"/>
                      <w:sz w:val="21"/>
                      <w:szCs w:val="21"/>
                      <w:highlight w:val="none"/>
                      <w:lang w:val="en-US" w:eastAsia="zh-CN" w:bidi="ar-SA"/>
                    </w:rPr>
                  </w:pPr>
                  <w:r>
                    <w:rPr>
                      <w:color w:val="auto"/>
                      <w:spacing w:val="-10"/>
                      <w:szCs w:val="21"/>
                      <w:highlight w:val="none"/>
                    </w:rPr>
                    <w:t>居民区、地表水、地下水</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eastAsia" w:ascii="Times New Roman" w:hAnsi="Times New Roman" w:eastAsia="宋体" w:cs="Times New Roman"/>
                <w:color w:val="auto"/>
                <w:sz w:val="24"/>
                <w:szCs w:val="20"/>
                <w:highlight w:val="none"/>
                <w:lang w:eastAsia="zh-CN"/>
              </w:rPr>
            </w:pPr>
            <w:r>
              <w:rPr>
                <w:rFonts w:hint="eastAsia" w:ascii="Times New Roman" w:hAnsi="Times New Roman" w:eastAsia="宋体" w:cs="Times New Roman"/>
                <w:color w:val="auto"/>
                <w:sz w:val="24"/>
                <w:szCs w:val="20"/>
                <w:highlight w:val="none"/>
                <w:lang w:val="en-US" w:eastAsia="zh-CN"/>
              </w:rPr>
              <w:t>（3）环境风险影响</w:t>
            </w:r>
            <w:r>
              <w:rPr>
                <w:rFonts w:hint="eastAsia" w:ascii="Times New Roman" w:hAnsi="Times New Roman" w:eastAsia="宋体" w:cs="Times New Roman"/>
                <w:color w:val="auto"/>
                <w:sz w:val="24"/>
                <w:szCs w:val="20"/>
                <w:highlight w:val="none"/>
                <w:lang w:eastAsia="zh-CN"/>
              </w:rPr>
              <w:t>分析</w:t>
            </w:r>
          </w:p>
          <w:p>
            <w:pPr>
              <w:spacing w:line="480" w:lineRule="exact"/>
              <w:ind w:firstLine="480" w:firstLineChars="200"/>
              <w:rPr>
                <w:rFonts w:hint="eastAsia"/>
                <w:color w:val="auto"/>
                <w:sz w:val="24"/>
                <w:highlight w:val="none"/>
                <w:lang w:eastAsia="zh-CN"/>
              </w:rPr>
            </w:pPr>
            <w:r>
              <w:rPr>
                <w:rFonts w:hint="eastAsia"/>
                <w:color w:val="auto"/>
                <w:sz w:val="24"/>
                <w:highlight w:val="none"/>
              </w:rPr>
              <w:t>油类物质储存设施可能发生泄漏事故，排放的油类物质下渗进入地下水环境或土壤，引起地下水和土壤污染，油类物质泄漏排放遇到明火发生火灾，可能会对周边大气环境产生影响，</w:t>
            </w:r>
            <w:r>
              <w:rPr>
                <w:color w:val="auto"/>
                <w:sz w:val="24"/>
                <w:highlight w:val="none"/>
              </w:rPr>
              <w:t>但本项目</w:t>
            </w:r>
            <w:r>
              <w:rPr>
                <w:rFonts w:hint="eastAsia"/>
                <w:color w:val="auto"/>
                <w:sz w:val="24"/>
                <w:highlight w:val="none"/>
                <w:lang w:val="en-US" w:eastAsia="zh-CN"/>
              </w:rPr>
              <w:t>生产车间内润滑油储存区及</w:t>
            </w:r>
            <w:r>
              <w:rPr>
                <w:color w:val="auto"/>
                <w:sz w:val="24"/>
                <w:highlight w:val="none"/>
              </w:rPr>
              <w:t>危险废物暂存间</w:t>
            </w:r>
            <w:r>
              <w:rPr>
                <w:rFonts w:hint="eastAsia"/>
                <w:color w:val="auto"/>
                <w:sz w:val="24"/>
                <w:highlight w:val="none"/>
                <w:lang w:val="en-US" w:eastAsia="zh-CN"/>
              </w:rPr>
              <w:t>均采取</w:t>
            </w:r>
            <w:r>
              <w:rPr>
                <w:color w:val="auto"/>
                <w:sz w:val="24"/>
                <w:highlight w:val="none"/>
              </w:rPr>
              <w:t>严格的防渗措施，并设置堵截泄漏的裙脚，油类物质无入渗地下水的通道；油类物质泄漏排放遇到明火发生火灾，但油类物质着火点相对较高，且</w:t>
            </w:r>
            <w:r>
              <w:rPr>
                <w:rFonts w:hint="eastAsia"/>
                <w:color w:val="auto"/>
                <w:sz w:val="24"/>
                <w:highlight w:val="none"/>
                <w:lang w:val="en-US" w:eastAsia="zh-CN"/>
              </w:rPr>
              <w:t>生产车间内润滑油储存区及</w:t>
            </w:r>
            <w:r>
              <w:rPr>
                <w:color w:val="auto"/>
                <w:sz w:val="24"/>
                <w:highlight w:val="none"/>
              </w:rPr>
              <w:t>危险废物暂存间内无明火产生，因此油类物质泄漏发生次生危害的概率极小</w:t>
            </w:r>
            <w:r>
              <w:rPr>
                <w:rFonts w:hint="eastAsia"/>
                <w:color w:val="auto"/>
                <w:sz w:val="24"/>
                <w:highlight w:val="none"/>
                <w:lang w:eastAsia="zh-CN"/>
              </w:rPr>
              <w:t>。</w:t>
            </w:r>
          </w:p>
          <w:p>
            <w:pPr>
              <w:spacing w:line="48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环境风险管理</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风险管理目标是采用最低合理可行原则管控环境风险。采取的环境风险防范措施应与社会经济技术发展水平相适应，运用科学的技术手段和管理方法对环境风险进行有效地预防、监控、响应。</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①大气环境风险防范措施</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项目油类物质泄漏排放遇到明火发生火灾，可能会对周边大气环境产生影响，但油类物质着火点相对较高，且</w:t>
            </w:r>
            <w:r>
              <w:rPr>
                <w:rFonts w:hint="eastAsia"/>
                <w:color w:val="auto"/>
                <w:sz w:val="24"/>
                <w:highlight w:val="none"/>
                <w:lang w:val="en-US" w:eastAsia="zh-CN"/>
              </w:rPr>
              <w:t>生产车间内润滑油储存区及</w:t>
            </w:r>
            <w:r>
              <w:rPr>
                <w:color w:val="auto"/>
                <w:sz w:val="24"/>
                <w:highlight w:val="none"/>
              </w:rPr>
              <w:t>危险废物暂存间</w:t>
            </w:r>
            <w:r>
              <w:rPr>
                <w:rFonts w:hint="default" w:ascii="Times New Roman" w:hAnsi="Times New Roman" w:cs="Times New Roman"/>
                <w:color w:val="auto"/>
                <w:sz w:val="24"/>
                <w:highlight w:val="none"/>
              </w:rPr>
              <w:t>由专人进行看管并配备了灭火器、消防沙等灭火设备，若发生泄漏或火灾，可在第一时间发现并进行处理，因此油类物质泄漏发生次生危害的概率极小，不会对大气环境产生明显影响。</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②地表水环境风险防范措施</w:t>
            </w:r>
          </w:p>
          <w:p>
            <w:pPr>
              <w:spacing w:line="480" w:lineRule="exact"/>
              <w:ind w:firstLine="480" w:firstLineChars="200"/>
              <w:rPr>
                <w:rFonts w:hint="default" w:ascii="Times New Roman" w:hAnsi="Times New Roman" w:cs="Times New Roman"/>
                <w:color w:val="auto"/>
                <w:sz w:val="24"/>
                <w:highlight w:val="none"/>
              </w:rPr>
            </w:pPr>
            <w:r>
              <w:rPr>
                <w:rFonts w:hint="eastAsia"/>
                <w:color w:val="auto"/>
                <w:sz w:val="24"/>
                <w:highlight w:val="none"/>
                <w:lang w:val="en-US" w:eastAsia="zh-CN"/>
              </w:rPr>
              <w:t>生产车间内润滑油储存区及</w:t>
            </w:r>
            <w:r>
              <w:rPr>
                <w:color w:val="auto"/>
                <w:sz w:val="24"/>
                <w:highlight w:val="none"/>
              </w:rPr>
              <w:t>危险废物暂存间</w:t>
            </w:r>
            <w:r>
              <w:rPr>
                <w:rFonts w:hint="eastAsia"/>
                <w:color w:val="auto"/>
                <w:sz w:val="24"/>
                <w:highlight w:val="none"/>
                <w:lang w:val="en-US" w:eastAsia="zh-CN"/>
              </w:rPr>
              <w:t>均</w:t>
            </w:r>
            <w:r>
              <w:rPr>
                <w:rFonts w:hint="eastAsia" w:ascii="宋体" w:hAnsi="宋体" w:cs="宋体"/>
                <w:color w:val="auto"/>
                <w:sz w:val="24"/>
                <w:highlight w:val="none"/>
              </w:rPr>
              <w:t>采取有效</w:t>
            </w:r>
            <w:r>
              <w:rPr>
                <w:rFonts w:hint="eastAsia" w:ascii="宋体" w:hAnsi="宋体" w:cs="宋体"/>
                <w:color w:val="auto"/>
                <w:sz w:val="24"/>
                <w:highlight w:val="none"/>
                <w:lang w:val="en-US" w:eastAsia="zh-CN"/>
              </w:rPr>
              <w:t>防腐防渗</w:t>
            </w:r>
            <w:r>
              <w:rPr>
                <w:rFonts w:hint="eastAsia" w:ascii="宋体" w:hAnsi="宋体" w:cs="宋体"/>
                <w:color w:val="auto"/>
                <w:sz w:val="24"/>
                <w:highlight w:val="none"/>
              </w:rPr>
              <w:t>措施，</w:t>
            </w:r>
            <w:r>
              <w:rPr>
                <w:rFonts w:hint="eastAsia" w:ascii="宋体" w:hAnsi="宋体" w:cs="宋体"/>
                <w:color w:val="auto"/>
                <w:sz w:val="24"/>
                <w:highlight w:val="none"/>
                <w:lang w:val="en-US" w:eastAsia="zh-CN"/>
              </w:rPr>
              <w:t>危险废物暂存间</w:t>
            </w:r>
            <w:r>
              <w:rPr>
                <w:rFonts w:hint="eastAsia" w:ascii="宋体" w:hAnsi="宋体" w:cs="宋体"/>
                <w:color w:val="auto"/>
                <w:sz w:val="24"/>
                <w:highlight w:val="none"/>
              </w:rPr>
              <w:t>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rFonts w:hint="default" w:ascii="Times New Roman" w:hAnsi="Times New Roman" w:cs="Times New Roman"/>
                <w:color w:val="auto"/>
                <w:sz w:val="24"/>
                <w:highlight w:val="none"/>
              </w:rPr>
              <w:t>。</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③地下水环境风险防范措施</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a.源头控制措施</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本项目对</w:t>
            </w:r>
            <w:r>
              <w:rPr>
                <w:rFonts w:hint="eastAsia" w:ascii="Times New Roman" w:hAnsi="Times New Roman" w:cs="Times New Roman"/>
                <w:color w:val="auto"/>
                <w:sz w:val="24"/>
                <w:highlight w:val="none"/>
                <w:lang w:val="en-US" w:eastAsia="zh-CN"/>
              </w:rPr>
              <w:t>风险区域进行</w:t>
            </w:r>
            <w:r>
              <w:rPr>
                <w:rFonts w:hint="default" w:ascii="Times New Roman" w:hAnsi="Times New Roman" w:cs="Times New Roman"/>
                <w:color w:val="auto"/>
                <w:sz w:val="24"/>
                <w:highlight w:val="none"/>
              </w:rPr>
              <w:t>严格</w:t>
            </w:r>
            <w:r>
              <w:rPr>
                <w:rFonts w:hint="eastAsia" w:ascii="Times New Roman" w:hAnsi="Times New Roman" w:cs="Times New Roman"/>
                <w:color w:val="auto"/>
                <w:sz w:val="24"/>
                <w:highlight w:val="none"/>
                <w:lang w:val="en-US" w:eastAsia="zh-CN"/>
              </w:rPr>
              <w:t>排查</w:t>
            </w:r>
            <w:r>
              <w:rPr>
                <w:rFonts w:hint="default" w:ascii="Times New Roman" w:hAnsi="Times New Roman" w:cs="Times New Roman"/>
                <w:color w:val="auto"/>
                <w:sz w:val="24"/>
                <w:highlight w:val="none"/>
              </w:rPr>
              <w:t>，有质量问题的及时更换，</w:t>
            </w:r>
            <w:r>
              <w:rPr>
                <w:rFonts w:hint="eastAsia" w:ascii="Times New Roman" w:hAnsi="Times New Roman" w:cs="Times New Roman"/>
                <w:color w:val="auto"/>
                <w:sz w:val="24"/>
                <w:highlight w:val="none"/>
                <w:lang w:val="en-US" w:eastAsia="zh-CN"/>
              </w:rPr>
              <w:t>盛装容器</w:t>
            </w:r>
            <w:r>
              <w:rPr>
                <w:rFonts w:hint="default" w:ascii="Times New Roman" w:hAnsi="Times New Roman" w:cs="Times New Roman"/>
                <w:color w:val="auto"/>
                <w:sz w:val="24"/>
                <w:highlight w:val="none"/>
              </w:rPr>
              <w:t>采用优质耐腐蚀材料制成的产品。对项目</w:t>
            </w:r>
            <w:r>
              <w:rPr>
                <w:rFonts w:hint="eastAsia"/>
                <w:color w:val="auto"/>
                <w:sz w:val="24"/>
                <w:highlight w:val="none"/>
                <w:lang w:val="en-US" w:eastAsia="zh-CN"/>
              </w:rPr>
              <w:t>生产车间内润滑油储存区及</w:t>
            </w:r>
            <w:r>
              <w:rPr>
                <w:color w:val="auto"/>
                <w:sz w:val="24"/>
                <w:highlight w:val="none"/>
              </w:rPr>
              <w:t>危险废物暂存间</w:t>
            </w:r>
            <w:r>
              <w:rPr>
                <w:rFonts w:hint="default" w:ascii="Times New Roman" w:hAnsi="Times New Roman" w:cs="Times New Roman"/>
                <w:color w:val="auto"/>
                <w:sz w:val="24"/>
                <w:highlight w:val="none"/>
              </w:rPr>
              <w:t>等采取相应的物料控制措施，便于发现污染物的跑、冒、滴、漏，将污染物泄漏的环境风险事故降至最低限度。</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b.分区防控措施</w:t>
            </w:r>
          </w:p>
          <w:p>
            <w:pPr>
              <w:spacing w:line="480" w:lineRule="exact"/>
              <w:ind w:firstLine="480" w:firstLineChars="200"/>
              <w:rPr>
                <w:rFonts w:hint="default" w:ascii="Times New Roman" w:hAnsi="Times New Roman" w:cs="Times New Roman"/>
                <w:bCs/>
                <w:color w:val="auto"/>
                <w:sz w:val="24"/>
                <w:highlight w:val="none"/>
                <w:lang w:val="en-US" w:eastAsia="zh-CN"/>
              </w:rPr>
            </w:pPr>
            <w:r>
              <w:rPr>
                <w:rFonts w:hint="default" w:ascii="Times New Roman" w:hAnsi="Times New Roman" w:cs="Times New Roman"/>
                <w:color w:val="auto"/>
                <w:sz w:val="24"/>
                <w:highlight w:val="none"/>
              </w:rPr>
              <w:t>为避免</w:t>
            </w:r>
            <w:r>
              <w:rPr>
                <w:rFonts w:hint="eastAsia" w:ascii="Times New Roman" w:hAnsi="Times New Roman" w:cs="Times New Roman"/>
                <w:color w:val="auto"/>
                <w:sz w:val="24"/>
                <w:highlight w:val="none"/>
                <w:lang w:val="en-US" w:eastAsia="zh-CN"/>
              </w:rPr>
              <w:t>油类物质</w:t>
            </w:r>
            <w:r>
              <w:rPr>
                <w:rFonts w:hint="default" w:ascii="Times New Roman" w:hAnsi="Times New Roman" w:cs="Times New Roman"/>
                <w:color w:val="auto"/>
                <w:sz w:val="24"/>
                <w:highlight w:val="none"/>
              </w:rPr>
              <w:t>对地下水造成污染影响，采取了分区防渗措施</w:t>
            </w:r>
            <w:r>
              <w:rPr>
                <w:rFonts w:hint="default" w:ascii="Times New Roman" w:hAnsi="Times New Roman" w:cs="Times New Roman"/>
                <w:bCs/>
                <w:color w:val="auto"/>
                <w:sz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厂区内防渗情况应该分为重点防治区、一般防治区和简单防渗区。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重点防渗区（</w:t>
            </w:r>
            <w:r>
              <w:rPr>
                <w:rFonts w:hint="eastAsia"/>
                <w:color w:val="auto"/>
                <w:sz w:val="24"/>
                <w:highlight w:val="none"/>
                <w:lang w:val="en-US" w:eastAsia="zh-CN"/>
              </w:rPr>
              <w:t>生产车间内润滑油储存区及</w:t>
            </w:r>
            <w:r>
              <w:rPr>
                <w:color w:val="auto"/>
                <w:sz w:val="24"/>
                <w:highlight w:val="none"/>
              </w:rPr>
              <w:t>危险废物暂存间</w:t>
            </w:r>
            <w:r>
              <w:rPr>
                <w:rFonts w:hint="eastAsia" w:ascii="Times New Roman" w:hAnsi="Times New Roman" w:eastAsia="宋体" w:cs="Times New Roman"/>
                <w:color w:val="auto"/>
                <w:sz w:val="24"/>
                <w:szCs w:val="24"/>
                <w:highlight w:val="none"/>
                <w:lang w:val="en-US" w:eastAsia="zh-CN"/>
              </w:rPr>
              <w:t>）防渗技术要求：等效黏土防渗层Mb≥6.0m；K≤1×10</w:t>
            </w:r>
            <w:r>
              <w:rPr>
                <w:rFonts w:hint="eastAsia" w:ascii="Times New Roman" w:hAnsi="Times New Roman" w:eastAsia="宋体" w:cs="Times New Roman"/>
                <w:color w:val="auto"/>
                <w:sz w:val="24"/>
                <w:szCs w:val="24"/>
                <w:highlight w:val="none"/>
                <w:vertAlign w:val="superscript"/>
                <w:lang w:val="en-US" w:eastAsia="zh-CN"/>
              </w:rPr>
              <w:t>-10</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一般防渗区（生产车间）防渗技术要求：等效黏土防渗层Mb≥1.5m；K≤1×10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简单防渗区：其它区域均为简单防渗区，一般地面硬化即可。</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④人员疏散通道及安置厂址</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⑤环境风险应急预案</w:t>
            </w:r>
          </w:p>
          <w:p>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本评价建议结合本项目所涉及到的风险源</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编制突发环境事件</w:t>
            </w:r>
            <w:r>
              <w:rPr>
                <w:rFonts w:hint="default" w:ascii="Times New Roman" w:hAnsi="Times New Roman" w:cs="Times New Roman"/>
                <w:color w:val="auto"/>
                <w:sz w:val="24"/>
                <w:highlight w:val="none"/>
              </w:rPr>
              <w:t>应急预案。</w:t>
            </w:r>
          </w:p>
          <w:p>
            <w:pPr>
              <w:spacing w:line="480" w:lineRule="exact"/>
              <w:ind w:firstLine="480" w:firstLineChars="20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评价结论及建议</w:t>
            </w:r>
          </w:p>
          <w:p>
            <w:pPr>
              <w:spacing w:line="480" w:lineRule="exact"/>
              <w:ind w:firstLine="480" w:firstLineChars="200"/>
              <w:rPr>
                <w:color w:val="auto"/>
                <w:sz w:val="24"/>
                <w:highlight w:val="none"/>
              </w:rPr>
            </w:pPr>
            <w:r>
              <w:rPr>
                <w:rFonts w:hint="eastAsia" w:ascii="宋体" w:hAnsi="宋体" w:cs="宋体"/>
                <w:color w:val="auto"/>
                <w:sz w:val="24"/>
                <w:highlight w:val="none"/>
              </w:rPr>
              <w:t>①</w:t>
            </w:r>
            <w:r>
              <w:rPr>
                <w:color w:val="auto"/>
                <w:sz w:val="24"/>
                <w:highlight w:val="none"/>
              </w:rPr>
              <w:t>项目危险因素</w:t>
            </w:r>
          </w:p>
          <w:p>
            <w:pPr>
              <w:spacing w:line="480" w:lineRule="exact"/>
              <w:ind w:firstLine="480" w:firstLineChars="200"/>
              <w:rPr>
                <w:color w:val="auto"/>
                <w:sz w:val="24"/>
                <w:highlight w:val="none"/>
              </w:rPr>
            </w:pPr>
            <w:r>
              <w:rPr>
                <w:color w:val="auto"/>
                <w:sz w:val="24"/>
                <w:highlight w:val="none"/>
              </w:rPr>
              <w:t>本项目主要风险物质</w:t>
            </w:r>
            <w:r>
              <w:rPr>
                <w:rFonts w:hint="eastAsia"/>
                <w:color w:val="auto"/>
                <w:sz w:val="24"/>
                <w:highlight w:val="none"/>
                <w:lang w:val="en-US" w:eastAsia="zh-CN"/>
              </w:rPr>
              <w:t>为油类物质</w:t>
            </w:r>
            <w:r>
              <w:rPr>
                <w:color w:val="auto"/>
                <w:sz w:val="24"/>
                <w:highlight w:val="none"/>
              </w:rPr>
              <w:t>，风险物质主要分布在</w:t>
            </w:r>
            <w:r>
              <w:rPr>
                <w:rFonts w:hint="eastAsia"/>
                <w:color w:val="auto"/>
                <w:sz w:val="24"/>
                <w:highlight w:val="none"/>
                <w:lang w:val="en-US" w:eastAsia="zh-CN"/>
              </w:rPr>
              <w:t>生产车间内润滑油储存区及</w:t>
            </w:r>
            <w:r>
              <w:rPr>
                <w:color w:val="auto"/>
                <w:sz w:val="24"/>
                <w:highlight w:val="none"/>
              </w:rPr>
              <w:t>危险废物暂存间。针对本项目危险因素，建设单位按照《建筑设计防火规范》(GB50016-2006)和其它安全卫生规范的要求，</w:t>
            </w:r>
            <w:r>
              <w:rPr>
                <w:rFonts w:hint="eastAsia"/>
                <w:color w:val="auto"/>
                <w:sz w:val="24"/>
                <w:highlight w:val="none"/>
                <w:lang w:val="en-US" w:eastAsia="zh-CN"/>
              </w:rPr>
              <w:t>进行</w:t>
            </w:r>
            <w:r>
              <w:rPr>
                <w:color w:val="auto"/>
                <w:sz w:val="24"/>
                <w:highlight w:val="none"/>
              </w:rPr>
              <w:t>了平面布局，实现事故状态下危险单元能够与其他危险单元的分割，降低环境风险。</w:t>
            </w:r>
          </w:p>
          <w:p>
            <w:pPr>
              <w:spacing w:line="480" w:lineRule="exact"/>
              <w:ind w:firstLine="480" w:firstLineChars="200"/>
              <w:rPr>
                <w:color w:val="auto"/>
                <w:sz w:val="24"/>
                <w:highlight w:val="none"/>
              </w:rPr>
            </w:pPr>
            <w:r>
              <w:rPr>
                <w:rFonts w:hint="eastAsia" w:ascii="宋体" w:hAnsi="宋体" w:cs="宋体"/>
                <w:color w:val="auto"/>
                <w:sz w:val="24"/>
                <w:highlight w:val="none"/>
              </w:rPr>
              <w:t>②</w:t>
            </w:r>
            <w:r>
              <w:rPr>
                <w:color w:val="auto"/>
                <w:sz w:val="24"/>
                <w:highlight w:val="none"/>
              </w:rPr>
              <w:t>环境敏感性与事故环境影响</w:t>
            </w:r>
          </w:p>
          <w:p>
            <w:pPr>
              <w:spacing w:line="480" w:lineRule="exact"/>
              <w:ind w:firstLine="480" w:firstLineChars="200"/>
              <w:rPr>
                <w:color w:val="auto"/>
                <w:sz w:val="24"/>
                <w:highlight w:val="none"/>
              </w:rPr>
            </w:pPr>
            <w:r>
              <w:rPr>
                <w:color w:val="auto"/>
                <w:sz w:val="24"/>
                <w:highlight w:val="none"/>
              </w:rPr>
              <w:t>根据风险分析内容，分别提出了大气环境、地表水环境、地下水环境风险保护措施及要求。</w:t>
            </w:r>
          </w:p>
          <w:p>
            <w:pPr>
              <w:spacing w:line="480" w:lineRule="exact"/>
              <w:ind w:firstLine="480" w:firstLineChars="200"/>
              <w:rPr>
                <w:color w:val="auto"/>
                <w:sz w:val="24"/>
                <w:highlight w:val="none"/>
              </w:rPr>
            </w:pPr>
            <w:r>
              <w:rPr>
                <w:rFonts w:hint="eastAsia" w:ascii="宋体" w:hAnsi="宋体" w:cs="宋体"/>
                <w:color w:val="auto"/>
                <w:sz w:val="24"/>
                <w:highlight w:val="none"/>
              </w:rPr>
              <w:t>③</w:t>
            </w:r>
            <w:r>
              <w:rPr>
                <w:color w:val="auto"/>
                <w:sz w:val="24"/>
                <w:highlight w:val="none"/>
              </w:rPr>
              <w:t>环境风险防范措施和应急预案</w:t>
            </w:r>
          </w:p>
          <w:p>
            <w:pPr>
              <w:spacing w:line="480" w:lineRule="exact"/>
              <w:ind w:firstLine="480" w:firstLineChars="200"/>
              <w:rPr>
                <w:color w:val="auto"/>
                <w:sz w:val="24"/>
                <w:highlight w:val="none"/>
              </w:rPr>
            </w:pPr>
            <w:r>
              <w:rPr>
                <w:color w:val="auto"/>
                <w:sz w:val="24"/>
                <w:highlight w:val="none"/>
              </w:rPr>
              <w:t>针对本项目可能存在</w:t>
            </w:r>
            <w:r>
              <w:rPr>
                <w:color w:val="auto"/>
                <w:sz w:val="24"/>
                <w:highlight w:val="none"/>
                <w:lang w:val="zh-CN"/>
              </w:rPr>
              <w:t>环境</w:t>
            </w:r>
            <w:r>
              <w:rPr>
                <w:color w:val="auto"/>
                <w:sz w:val="24"/>
                <w:highlight w:val="none"/>
              </w:rPr>
              <w:t>风险事故情形，分别采取了大气、地表水和地下水环境风险防范措施，提出了突发环境事件应急预案编制要求。</w:t>
            </w:r>
          </w:p>
          <w:p>
            <w:pPr>
              <w:spacing w:line="480" w:lineRule="exact"/>
              <w:ind w:firstLine="480" w:firstLineChars="200"/>
              <w:rPr>
                <w:color w:val="auto"/>
                <w:sz w:val="24"/>
                <w:highlight w:val="none"/>
              </w:rPr>
            </w:pPr>
            <w:r>
              <w:rPr>
                <w:rFonts w:hint="eastAsia" w:ascii="宋体" w:hAnsi="宋体" w:cs="宋体"/>
                <w:color w:val="auto"/>
                <w:sz w:val="24"/>
                <w:highlight w:val="none"/>
              </w:rPr>
              <w:t>④</w:t>
            </w:r>
            <w:r>
              <w:rPr>
                <w:color w:val="auto"/>
                <w:sz w:val="24"/>
                <w:highlight w:val="none"/>
              </w:rPr>
              <w:t>环境风险评价结论与建议</w:t>
            </w: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color w:val="auto"/>
                <w:sz w:val="24"/>
                <w:highlight w:val="none"/>
              </w:rPr>
              <w:t>综合环境风险评价工作过程，本项目环境风险可防控，建设单位应针对环境风险事故采取多种防范措施。建议企业强化管理意识，通过加强事故应急演练增强风险防范能力</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napToGrid w:val="0"/>
                <w:color w:val="auto"/>
                <w:sz w:val="30"/>
                <w:szCs w:val="30"/>
                <w:highlight w:val="none"/>
                <w:vertAlign w:val="baseline"/>
              </w:rPr>
            </w:pPr>
          </w:p>
        </w:tc>
      </w:tr>
    </w:tbl>
    <w:p>
      <w:pPr>
        <w:pStyle w:val="30"/>
        <w:jc w:val="center"/>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23" w:name="_Hlk54167917"/>
      <w:r>
        <w:rPr>
          <w:rFonts w:hint="default" w:ascii="Times New Roman" w:hAnsi="Times New Roman" w:eastAsia="黑体" w:cs="Times New Roman"/>
          <w:snapToGrid w:val="0"/>
          <w:color w:val="auto"/>
          <w:sz w:val="30"/>
          <w:szCs w:val="30"/>
          <w:highlight w:val="none"/>
        </w:rPr>
        <w:t>环境保护措施监督检查清单</w:t>
      </w:r>
      <w:bookmarkEnd w:id="19"/>
      <w:bookmarkEnd w:id="20"/>
      <w:bookmarkEnd w:id="23"/>
    </w:p>
    <w:tbl>
      <w:tblPr>
        <w:tblStyle w:val="33"/>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816"/>
        <w:gridCol w:w="3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960" w:firstLineChars="4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要素</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排放口(编号、名称)/污染源</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污染物项目</w:t>
            </w:r>
          </w:p>
        </w:tc>
        <w:tc>
          <w:tcPr>
            <w:tcW w:w="48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环境保护措施</w:t>
            </w:r>
          </w:p>
        </w:tc>
        <w:tc>
          <w:tcPr>
            <w:tcW w:w="379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熔炼</w:t>
            </w:r>
            <w:r>
              <w:rPr>
                <w:rFonts w:hint="default" w:ascii="Times New Roman" w:hAnsi="Times New Roman" w:eastAsia="宋体" w:cs="Times New Roman"/>
                <w:color w:val="auto"/>
                <w:sz w:val="24"/>
                <w:szCs w:val="24"/>
                <w:highlight w:val="none"/>
                <w:lang w:val="en-US" w:eastAsia="zh-CN"/>
              </w:rPr>
              <w:t>废气</w:t>
            </w:r>
          </w:p>
          <w:p>
            <w:pPr>
              <w:pStyle w:val="2"/>
              <w:keepNext w:val="0"/>
              <w:keepLines w:val="0"/>
              <w:pageBreakBefore w:val="0"/>
              <w:kinsoku/>
              <w:wordWrap/>
              <w:overflowPunct/>
              <w:topLinePunct w:val="0"/>
              <w:autoSpaceDE/>
              <w:autoSpaceDN/>
              <w:bidi w:val="0"/>
              <w:spacing w:beforeAutospacing="0" w:after="0" w:afterAutospacing="0" w:line="480" w:lineRule="exact"/>
              <w:ind w:left="0" w:leftChars="0" w:firstLine="0" w:firstLineChars="0"/>
              <w:jc w:val="center"/>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000m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/h</w:t>
            </w: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颗粒物≤10</w:t>
            </w:r>
          </w:p>
        </w:tc>
        <w:tc>
          <w:tcPr>
            <w:tcW w:w="4816"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废气经集气管道收集送脉冲袋式除尘器处理后经15m高排气筒</w:t>
            </w:r>
            <w:r>
              <w:rPr>
                <w:rFonts w:hint="eastAsia" w:cs="Times New Roman"/>
                <w:color w:val="auto"/>
                <w:sz w:val="24"/>
                <w:szCs w:val="24"/>
                <w:highlight w:val="none"/>
                <w:lang w:val="en-US" w:eastAsia="zh-CN"/>
              </w:rPr>
              <w:t>（DA001）</w:t>
            </w:r>
            <w:r>
              <w:rPr>
                <w:rFonts w:hint="eastAsia" w:ascii="Times New Roman" w:hAnsi="Times New Roman" w:eastAsia="宋体" w:cs="Times New Roman"/>
                <w:color w:val="auto"/>
                <w:sz w:val="24"/>
                <w:szCs w:val="24"/>
                <w:highlight w:val="none"/>
                <w:lang w:val="en-US" w:eastAsia="zh-CN"/>
              </w:rPr>
              <w:t>外排</w:t>
            </w:r>
          </w:p>
        </w:tc>
        <w:tc>
          <w:tcPr>
            <w:tcW w:w="37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0"/>
                <w:kern w:val="2"/>
                <w:sz w:val="24"/>
                <w:szCs w:val="24"/>
                <w:highlight w:val="none"/>
                <w:lang w:val="en-US" w:eastAsia="zh-CN" w:bidi="ar-SA"/>
              </w:rPr>
              <w:t>《铸造工业大气污染物排放标准》（GB39726-2020）以及</w:t>
            </w:r>
            <w:r>
              <w:rPr>
                <w:rFonts w:hint="eastAsia" w:ascii="Times New Roman" w:hAnsi="Times New Roman" w:eastAsia="宋体" w:cs="Times New Roman"/>
                <w:color w:val="auto"/>
                <w:sz w:val="24"/>
                <w:szCs w:val="24"/>
                <w:highlight w:val="none"/>
                <w:lang w:val="en-US" w:eastAsia="zh-CN"/>
              </w:rPr>
              <w:t>《唐山市铸造行业烟气达标治理工作方案》颗粒物排放浓度不高于10mg/m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浇注、混砂、</w:t>
            </w:r>
            <w:r>
              <w:rPr>
                <w:rFonts w:hint="default" w:ascii="Times New Roman" w:hAnsi="Times New Roman" w:eastAsia="宋体" w:cs="Times New Roman"/>
                <w:color w:val="auto"/>
                <w:sz w:val="24"/>
                <w:szCs w:val="24"/>
                <w:highlight w:val="none"/>
                <w:lang w:val="en-US" w:eastAsia="zh-CN"/>
              </w:rPr>
              <w:t>砂处理线</w:t>
            </w:r>
            <w:r>
              <w:rPr>
                <w:rFonts w:hint="eastAsia" w:ascii="Times New Roman" w:hAnsi="Times New Roman" w:eastAsia="宋体" w:cs="Times New Roman"/>
                <w:color w:val="auto"/>
                <w:sz w:val="24"/>
                <w:szCs w:val="24"/>
                <w:highlight w:val="none"/>
                <w:lang w:val="en-US" w:eastAsia="zh-CN"/>
              </w:rPr>
              <w:t>以及打磨</w:t>
            </w:r>
            <w:r>
              <w:rPr>
                <w:rFonts w:hint="default" w:ascii="Times New Roman" w:hAnsi="Times New Roman" w:eastAsia="宋体" w:cs="Times New Roman"/>
                <w:color w:val="auto"/>
                <w:sz w:val="24"/>
                <w:szCs w:val="24"/>
                <w:highlight w:val="none"/>
                <w:lang w:val="en-US" w:eastAsia="zh-CN"/>
              </w:rPr>
              <w:t>含尘</w:t>
            </w:r>
            <w:r>
              <w:rPr>
                <w:rFonts w:hint="eastAsia" w:ascii="Times New Roman" w:hAnsi="Times New Roman" w:eastAsia="宋体" w:cs="Times New Roman"/>
                <w:color w:val="auto"/>
                <w:sz w:val="24"/>
                <w:szCs w:val="24"/>
                <w:highlight w:val="none"/>
                <w:lang w:val="en-US" w:eastAsia="zh-CN"/>
              </w:rPr>
              <w:t>顶吸废气（40000m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/h</w:t>
            </w: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颗粒物≤10</w:t>
            </w:r>
          </w:p>
        </w:tc>
        <w:tc>
          <w:tcPr>
            <w:tcW w:w="4816"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各工序废气收集管道设分控阀门，风机设变频风机，废气通过集气罩收集送脉冲袋式除尘器处理后经15m高排气筒</w:t>
            </w:r>
            <w:r>
              <w:rPr>
                <w:rFonts w:hint="eastAsia" w:cs="Times New Roman"/>
                <w:color w:val="auto"/>
                <w:sz w:val="24"/>
                <w:szCs w:val="24"/>
                <w:highlight w:val="none"/>
                <w:lang w:val="en-US" w:eastAsia="zh-CN"/>
              </w:rPr>
              <w:t>（DA002）</w:t>
            </w:r>
            <w:r>
              <w:rPr>
                <w:rFonts w:hint="eastAsia" w:ascii="Times New Roman" w:hAnsi="Times New Roman" w:eastAsia="宋体" w:cs="Times New Roman"/>
                <w:color w:val="auto"/>
                <w:sz w:val="24"/>
                <w:szCs w:val="24"/>
                <w:highlight w:val="none"/>
                <w:lang w:val="en-US" w:eastAsia="zh-CN"/>
              </w:rPr>
              <w:t>外排</w:t>
            </w:r>
          </w:p>
        </w:tc>
        <w:tc>
          <w:tcPr>
            <w:tcW w:w="37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厂界无组织废气</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颗粒物≤0.5</w:t>
            </w:r>
          </w:p>
        </w:tc>
        <w:tc>
          <w:tcPr>
            <w:tcW w:w="48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综合生产车间全封闭，生产时车间出入口处于关闭状态，加强废气收集效率，车间设二次除尘装置</w:t>
            </w:r>
          </w:p>
        </w:tc>
        <w:tc>
          <w:tcPr>
            <w:tcW w:w="3794"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《唐山市铸造行业烟气达标治理工作方案》烃限值要求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车间无组织废气</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颗粒物≤1</w:t>
            </w:r>
          </w:p>
        </w:tc>
        <w:tc>
          <w:tcPr>
            <w:tcW w:w="48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p>
        </w:tc>
        <w:tc>
          <w:tcPr>
            <w:tcW w:w="3794"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《唐山市铸造行业烟气达标治理工作方案》 熔炼车间边界外1m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循环冷却水</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SS</w:t>
            </w:r>
          </w:p>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COD</w:t>
            </w:r>
          </w:p>
        </w:tc>
        <w:tc>
          <w:tcPr>
            <w:tcW w:w="4816"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循环利用，不外排</w:t>
            </w:r>
          </w:p>
        </w:tc>
        <w:tc>
          <w:tcPr>
            <w:tcW w:w="379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生活污水</w:t>
            </w:r>
          </w:p>
        </w:tc>
        <w:tc>
          <w:tcPr>
            <w:tcW w:w="1237"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SS</w:t>
            </w:r>
          </w:p>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COD</w:t>
            </w:r>
          </w:p>
        </w:tc>
        <w:tc>
          <w:tcPr>
            <w:tcW w:w="4816" w:type="dxa"/>
            <w:noWrap w:val="0"/>
            <w:vAlign w:val="center"/>
          </w:tcPr>
          <w:p>
            <w:pPr>
              <w:keepNext w:val="0"/>
              <w:keepLines w:val="0"/>
              <w:pageBreakBefore w:val="0"/>
              <w:kinsoku/>
              <w:wordWrap/>
              <w:overflowPunct/>
              <w:topLinePunct w:val="0"/>
              <w:autoSpaceDE/>
              <w:autoSpaceDN/>
              <w:bidi w:val="0"/>
              <w:spacing w:beforeAutospacing="0" w:afterAutospacing="0" w:line="480" w:lineRule="exact"/>
              <w:jc w:val="center"/>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sz w:val="24"/>
                <w:szCs w:val="24"/>
                <w:highlight w:val="none"/>
                <w:lang w:val="en-US" w:eastAsia="zh-CN"/>
              </w:rPr>
              <w:t>泼洒抑尘不外排</w:t>
            </w:r>
          </w:p>
        </w:tc>
        <w:tc>
          <w:tcPr>
            <w:tcW w:w="379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声环境</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电炉、退火炉、砂处理设备、震击式造型机、滚砂机、混砂机、天车、角磨机、风机、空压机等</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连续等效</w:t>
            </w:r>
            <w:r>
              <w:rPr>
                <w:rFonts w:hint="eastAsia" w:ascii="Times New Roman" w:hAnsi="Times New Roman" w:eastAsia="宋体" w:cs="宋体"/>
                <w:color w:val="auto"/>
                <w:sz w:val="24"/>
                <w:szCs w:val="24"/>
                <w:highlight w:val="none"/>
                <w:lang w:val="en-US" w:eastAsia="zh-CN"/>
              </w:rPr>
              <w:t>A声级</w:t>
            </w:r>
          </w:p>
        </w:tc>
        <w:tc>
          <w:tcPr>
            <w:tcW w:w="48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eastAsia="zh-CN"/>
              </w:rPr>
            </w:pPr>
            <w:r>
              <w:rPr>
                <w:rFonts w:hint="eastAsia" w:eastAsia="宋体"/>
                <w:color w:val="auto"/>
                <w:spacing w:val="0"/>
                <w:w w:val="100"/>
                <w:position w:val="0"/>
                <w:sz w:val="24"/>
                <w:szCs w:val="24"/>
                <w:highlight w:val="none"/>
                <w:lang w:eastAsia="zh-CN"/>
              </w:rPr>
              <w:t>设备置于</w:t>
            </w:r>
            <w:r>
              <w:rPr>
                <w:rFonts w:hint="eastAsia"/>
                <w:color w:val="auto"/>
                <w:spacing w:val="0"/>
                <w:w w:val="100"/>
                <w:position w:val="0"/>
                <w:sz w:val="24"/>
                <w:szCs w:val="24"/>
                <w:highlight w:val="none"/>
                <w:lang w:eastAsia="zh-CN"/>
              </w:rPr>
              <w:t>单</w:t>
            </w:r>
            <w:r>
              <w:rPr>
                <w:color w:val="auto"/>
                <w:spacing w:val="0"/>
                <w:w w:val="100"/>
                <w:position w:val="0"/>
                <w:sz w:val="24"/>
                <w:szCs w:val="24"/>
                <w:highlight w:val="none"/>
              </w:rPr>
              <w:t>层彩钢板结构的封闭</w:t>
            </w:r>
            <w:r>
              <w:rPr>
                <w:rFonts w:hint="eastAsia"/>
                <w:color w:val="auto"/>
                <w:spacing w:val="0"/>
                <w:w w:val="100"/>
                <w:position w:val="0"/>
                <w:sz w:val="24"/>
                <w:szCs w:val="24"/>
                <w:highlight w:val="none"/>
                <w:lang w:eastAsia="zh-CN"/>
              </w:rPr>
              <w:t>库房</w:t>
            </w:r>
            <w:r>
              <w:rPr>
                <w:color w:val="auto"/>
                <w:spacing w:val="0"/>
                <w:w w:val="100"/>
                <w:position w:val="0"/>
                <w:sz w:val="24"/>
                <w:szCs w:val="24"/>
                <w:highlight w:val="none"/>
              </w:rPr>
              <w:t>内</w:t>
            </w:r>
            <w:r>
              <w:rPr>
                <w:rFonts w:hint="eastAsia" w:ascii="Times New Roman" w:hAnsi="Times New Roman" w:eastAsia="宋体" w:cs="Times New Roman"/>
                <w:color w:val="auto"/>
                <w:sz w:val="24"/>
                <w:szCs w:val="24"/>
                <w:highlight w:val="none"/>
                <w:lang w:val="en-US" w:eastAsia="zh-CN"/>
              </w:rPr>
              <w:t>，设备均加装减振基础，</w:t>
            </w:r>
            <w:r>
              <w:rPr>
                <w:rFonts w:hint="default" w:ascii="Times New Roman" w:hAnsi="Times New Roman" w:eastAsia="宋体" w:cs="Times New Roman"/>
                <w:b w:val="0"/>
                <w:bCs w:val="0"/>
                <w:snapToGrid w:val="0"/>
                <w:color w:val="auto"/>
                <w:kern w:val="0"/>
                <w:sz w:val="24"/>
                <w:szCs w:val="24"/>
                <w:highlight w:val="none"/>
              </w:rPr>
              <w:t>可综合降噪</w:t>
            </w:r>
            <w:r>
              <w:rPr>
                <w:rFonts w:hint="eastAsia" w:cs="Times New Roman"/>
                <w:b w:val="0"/>
                <w:bCs w:val="0"/>
                <w:snapToGrid w:val="0"/>
                <w:color w:val="auto"/>
                <w:kern w:val="0"/>
                <w:sz w:val="24"/>
                <w:szCs w:val="24"/>
                <w:highlight w:val="none"/>
                <w:lang w:val="en-US" w:eastAsia="zh-CN"/>
              </w:rPr>
              <w:t>15</w:t>
            </w:r>
            <w:r>
              <w:rPr>
                <w:rFonts w:hint="default" w:ascii="Times New Roman" w:hAnsi="Times New Roman" w:eastAsia="宋体" w:cs="Times New Roman"/>
                <w:b w:val="0"/>
                <w:bCs w:val="0"/>
                <w:snapToGrid w:val="0"/>
                <w:color w:val="auto"/>
                <w:kern w:val="0"/>
                <w:sz w:val="24"/>
                <w:szCs w:val="24"/>
                <w:highlight w:val="none"/>
              </w:rPr>
              <w:t>dB（A）</w:t>
            </w:r>
          </w:p>
        </w:tc>
        <w:tc>
          <w:tcPr>
            <w:tcW w:w="379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厂界噪声</w:t>
            </w:r>
            <w:r>
              <w:rPr>
                <w:rFonts w:hint="eastAsia" w:cs="Times New Roman"/>
                <w:color w:val="auto"/>
                <w:sz w:val="24"/>
                <w:szCs w:val="24"/>
                <w:highlight w:val="none"/>
                <w:lang w:val="en-US" w:eastAsia="zh-CN"/>
              </w:rPr>
              <w:t>贡献</w:t>
            </w:r>
            <w:r>
              <w:rPr>
                <w:rFonts w:hint="eastAsia" w:ascii="Times New Roman" w:hAnsi="Times New Roman" w:eastAsia="宋体" w:cs="Times New Roman"/>
                <w:color w:val="auto"/>
                <w:sz w:val="24"/>
                <w:szCs w:val="24"/>
                <w:highlight w:val="none"/>
                <w:lang w:eastAsia="zh-CN"/>
              </w:rPr>
              <w:t>值均</w:t>
            </w:r>
            <w:r>
              <w:rPr>
                <w:rFonts w:hint="default" w:ascii="Times New Roman" w:hAnsi="Times New Roman" w:eastAsia="宋体" w:cs="Times New Roman"/>
                <w:color w:val="auto"/>
                <w:sz w:val="24"/>
                <w:szCs w:val="24"/>
                <w:highlight w:val="none"/>
              </w:rPr>
              <w:t>满足《工业企业厂界环境噪声排放标准》（GB12348-2008）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24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8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379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r>
              <w:rPr>
                <w:rFonts w:hint="default" w:ascii="Times New Roman" w:hAnsi="Times New Roman" w:eastAsia="宋体" w:cs="Times New Roman"/>
                <w:color w:val="auto"/>
                <w:spacing w:val="0"/>
                <w:w w:val="100"/>
                <w:position w:val="0"/>
                <w:sz w:val="24"/>
                <w:szCs w:val="24"/>
                <w:highlight w:val="none"/>
                <w:lang w:eastAsia="zh-CN"/>
              </w:rPr>
              <w:t>固体废物</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除尘灰集中收集至吨包袋后外售综合利用、熔炼渣集中收集后外售综合利用，切冒口及砂处理磁选出废铁回用于生产，砂处理产生的废砂吨包袋包装后定期由厂家回收利用，废布袋定期由厂家回收</w:t>
            </w:r>
            <w:r>
              <w:rPr>
                <w:rFonts w:hint="default" w:ascii="Times New Roman" w:hAnsi="Times New Roman" w:eastAsia="宋体" w:cs="Times New Roman"/>
                <w:bCs/>
                <w:snapToGrid w:val="0"/>
                <w:color w:val="auto"/>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废</w:t>
            </w:r>
            <w:r>
              <w:rPr>
                <w:rFonts w:hint="default" w:ascii="Times New Roman" w:hAnsi="Times New Roman" w:eastAsia="宋体" w:cs="Times New Roman"/>
                <w:color w:val="auto"/>
                <w:kern w:val="2"/>
                <w:sz w:val="24"/>
                <w:szCs w:val="24"/>
                <w:highlight w:val="none"/>
                <w:lang w:val="en-US" w:eastAsia="zh-CN" w:bidi="ar-SA"/>
              </w:rPr>
              <w:t>矿物油</w:t>
            </w:r>
            <w:r>
              <w:rPr>
                <w:rFonts w:hint="eastAsia" w:ascii="Times New Roman" w:hAnsi="Times New Roman" w:eastAsia="宋体" w:cs="Times New Roman"/>
                <w:color w:val="auto"/>
                <w:kern w:val="2"/>
                <w:sz w:val="24"/>
                <w:szCs w:val="24"/>
                <w:highlight w:val="none"/>
                <w:lang w:val="en-US" w:eastAsia="zh-CN" w:bidi="ar-SA"/>
              </w:rPr>
              <w:t>、废油桶暂存于危废间，委托有资质单位处置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土壤及地下水污染防治措施</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spacing w:beforeAutospacing="0" w:afterAutospacing="0" w:line="480" w:lineRule="exact"/>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z w:val="24"/>
                <w:szCs w:val="24"/>
                <w:highlight w:val="none"/>
                <w:lang w:val="en-US" w:eastAsia="zh-CN"/>
              </w:rPr>
              <w:t>导则</w:t>
            </w:r>
            <w:r>
              <w:rPr>
                <w:rFonts w:hint="default" w:ascii="Times New Roman" w:hAnsi="Times New Roman" w:eastAsia="宋体" w:cs="Times New Roman"/>
                <w:color w:val="auto"/>
                <w:sz w:val="24"/>
                <w:szCs w:val="24"/>
                <w:highlight w:val="none"/>
                <w:lang w:val="en-US" w:eastAsia="zh-CN"/>
              </w:rPr>
              <w:t>要求，</w:t>
            </w:r>
            <w:r>
              <w:rPr>
                <w:rFonts w:hint="eastAsia"/>
                <w:color w:val="auto"/>
                <w:sz w:val="24"/>
                <w:szCs w:val="24"/>
                <w:highlight w:val="none"/>
                <w:lang w:eastAsia="zh-CN"/>
              </w:rPr>
              <w:t>地下水、土壤</w:t>
            </w:r>
            <w:r>
              <w:rPr>
                <w:rFonts w:hint="default" w:ascii="Times New Roman" w:hAnsi="Times New Roman" w:eastAsia="宋体" w:cs="Times New Roman"/>
                <w:bCs/>
                <w:color w:val="auto"/>
                <w:sz w:val="24"/>
                <w:szCs w:val="24"/>
                <w:highlight w:val="none"/>
                <w:lang w:val="en-US" w:eastAsia="zh-CN"/>
              </w:rPr>
              <w:t>防治措施按照</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源头控制、分区防治、污染监控、应急响应</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相结合的原则，从污染物的产生、入渗、扩散、应急响应进行控制，尽可能从源头上减少污染物的产生，防止环境污染，严格按照国家相关规范要求，对工艺、管道、设备、污水储存及处理构</w:t>
            </w:r>
            <w:r>
              <w:rPr>
                <w:rFonts w:hint="eastAsia" w:ascii="Times New Roman" w:hAnsi="Times New Roman" w:eastAsia="宋体" w:cs="Times New Roman"/>
                <w:bCs/>
                <w:color w:val="auto"/>
                <w:sz w:val="24"/>
                <w:szCs w:val="24"/>
                <w:highlight w:val="none"/>
                <w:lang w:val="en-US" w:eastAsia="zh-CN"/>
              </w:rPr>
              <w:t>建筑</w:t>
            </w:r>
            <w:r>
              <w:rPr>
                <w:rFonts w:hint="default" w:ascii="Times New Roman" w:hAnsi="Times New Roman" w:eastAsia="宋体" w:cs="Times New Roman"/>
                <w:bCs/>
                <w:color w:val="auto"/>
                <w:sz w:val="24"/>
                <w:szCs w:val="24"/>
                <w:highlight w:val="none"/>
                <w:lang w:val="en-US" w:eastAsia="zh-CN"/>
              </w:rPr>
              <w:t>物采取相应措施，避免由于泄漏造成物料下渗污染</w:t>
            </w:r>
            <w:r>
              <w:rPr>
                <w:rFonts w:hint="eastAsia"/>
                <w:color w:val="auto"/>
                <w:sz w:val="24"/>
                <w:szCs w:val="24"/>
                <w:highlight w:val="none"/>
                <w:lang w:eastAsia="zh-CN"/>
              </w:rPr>
              <w:t>地下水、土壤</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beforeAutospacing="0" w:afterAutospacing="0" w:line="480" w:lineRule="exact"/>
              <w:ind w:firstLine="480" w:firstLineChars="200"/>
              <w:textAlignment w:val="auto"/>
              <w:rPr>
                <w:rFonts w:hint="eastAsia"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rPr>
              <w:t>为防止</w:t>
            </w:r>
            <w:r>
              <w:rPr>
                <w:rFonts w:hint="eastAsia" w:ascii="Times New Roman" w:hAnsi="Times New Roman" w:cs="Times New Roman"/>
                <w:bCs/>
                <w:color w:val="auto"/>
                <w:sz w:val="24"/>
                <w:szCs w:val="24"/>
                <w:highlight w:val="none"/>
                <w:lang w:val="en-US" w:eastAsia="zh-CN"/>
              </w:rPr>
              <w:t>有机物、油类物质</w:t>
            </w:r>
            <w:r>
              <w:rPr>
                <w:rFonts w:hint="default" w:ascii="Times New Roman" w:hAnsi="Times New Roman" w:cs="Times New Roman"/>
                <w:bCs/>
                <w:color w:val="auto"/>
                <w:sz w:val="24"/>
                <w:szCs w:val="24"/>
                <w:highlight w:val="none"/>
              </w:rPr>
              <w:t>对区域</w:t>
            </w:r>
            <w:r>
              <w:rPr>
                <w:rFonts w:hint="eastAsia"/>
                <w:color w:val="auto"/>
                <w:sz w:val="24"/>
                <w:szCs w:val="24"/>
                <w:highlight w:val="none"/>
                <w:lang w:eastAsia="zh-CN"/>
              </w:rPr>
              <w:t>地下水、土壤</w:t>
            </w:r>
            <w:r>
              <w:rPr>
                <w:rFonts w:hint="default" w:ascii="Times New Roman" w:hAnsi="Times New Roman" w:cs="Times New Roman"/>
                <w:bCs/>
                <w:color w:val="auto"/>
                <w:sz w:val="24"/>
                <w:szCs w:val="24"/>
                <w:highlight w:val="none"/>
              </w:rPr>
              <w:t>产生污染影响，</w:t>
            </w:r>
            <w:r>
              <w:rPr>
                <w:rFonts w:hint="eastAsia" w:ascii="Times New Roman" w:hAnsi="Times New Roman" w:cs="Times New Roman"/>
                <w:bCs/>
                <w:color w:val="auto"/>
                <w:sz w:val="24"/>
                <w:szCs w:val="24"/>
                <w:highlight w:val="none"/>
                <w:lang w:val="en-US" w:eastAsia="zh-CN"/>
              </w:rPr>
              <w:t>本项目提出</w:t>
            </w:r>
            <w:r>
              <w:rPr>
                <w:rFonts w:hint="eastAsia" w:ascii="Times New Roman" w:hAnsi="Times New Roman" w:eastAsia="宋体" w:cs="Times New Roman"/>
                <w:bCs/>
                <w:color w:val="auto"/>
                <w:sz w:val="24"/>
                <w:szCs w:val="24"/>
                <w:highlight w:val="none"/>
                <w:lang w:val="en-US" w:eastAsia="zh-CN"/>
              </w:rPr>
              <w:t>地下水</w:t>
            </w:r>
            <w:r>
              <w:rPr>
                <w:rFonts w:hint="eastAsia" w:ascii="Times New Roman" w:hAnsi="Times New Roman" w:cs="Times New Roman"/>
                <w:bCs/>
                <w:color w:val="auto"/>
                <w:sz w:val="24"/>
                <w:szCs w:val="24"/>
                <w:highlight w:val="none"/>
                <w:lang w:val="en-US" w:eastAsia="zh-CN"/>
              </w:rPr>
              <w:t>防护措施如下：</w:t>
            </w:r>
          </w:p>
          <w:p>
            <w:pPr>
              <w:keepNext w:val="0"/>
              <w:keepLines w:val="0"/>
              <w:pageBreakBefore w:val="0"/>
              <w:widowControl w:val="0"/>
              <w:kinsoku/>
              <w:wordWrap/>
              <w:overflowPunct/>
              <w:topLinePunct w:val="0"/>
              <w:autoSpaceDE/>
              <w:autoSpaceDN/>
              <w:bidi w:val="0"/>
              <w:adjustRightInd/>
              <w:spacing w:beforeAutospacing="0" w:afterAutospacing="0" w:line="480" w:lineRule="exact"/>
              <w:ind w:firstLine="480" w:firstLineChars="200"/>
              <w:textAlignment w:val="auto"/>
              <w:rPr>
                <w:rFonts w:hint="default"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val="en-US" w:eastAsia="zh-CN"/>
              </w:rPr>
              <w:t>①</w:t>
            </w:r>
            <w:r>
              <w:rPr>
                <w:rFonts w:hint="default" w:ascii="Times New Roman" w:hAnsi="Times New Roman" w:eastAsia="宋体" w:cs="Times New Roman"/>
                <w:bCs/>
                <w:color w:val="auto"/>
                <w:sz w:val="24"/>
                <w:szCs w:val="24"/>
                <w:highlight w:val="none"/>
              </w:rPr>
              <w:t>加强设施的维护和管理，防止</w:t>
            </w:r>
            <w:r>
              <w:rPr>
                <w:rFonts w:hint="default" w:ascii="Times New Roman" w:hAnsi="Times New Roman" w:eastAsia="宋体" w:cs="Times New Roman"/>
                <w:bCs/>
                <w:color w:val="auto"/>
                <w:sz w:val="24"/>
                <w:szCs w:val="24"/>
                <w:highlight w:val="none"/>
                <w:lang w:val="en-US" w:eastAsia="zh-CN"/>
              </w:rPr>
              <w:t>污染物</w:t>
            </w:r>
            <w:r>
              <w:rPr>
                <w:rFonts w:hint="default" w:ascii="Times New Roman" w:hAnsi="Times New Roman" w:eastAsia="宋体" w:cs="Times New Roman"/>
                <w:bCs/>
                <w:color w:val="auto"/>
                <w:sz w:val="24"/>
                <w:szCs w:val="24"/>
                <w:highlight w:val="none"/>
              </w:rPr>
              <w:t>的跑、冒、滴、漏和非正常排放。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firstLine="480" w:firstLineChars="200"/>
              <w:jc w:val="left"/>
              <w:textAlignment w:val="auto"/>
              <w:rPr>
                <w:rFonts w:hint="eastAsia" w:ascii="Times New Roman" w:hAnsi="Times New Roman" w:eastAsia="宋体"/>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②</w:t>
            </w:r>
            <w:r>
              <w:rPr>
                <w:rFonts w:hint="eastAsia" w:ascii="Times New Roman" w:hAnsi="Times New Roman"/>
                <w:color w:val="auto"/>
                <w:sz w:val="24"/>
                <w:szCs w:val="24"/>
                <w:highlight w:val="none"/>
                <w:lang w:eastAsia="zh-CN"/>
              </w:rPr>
              <w:t>建设单位全厂分区防渗管控，具体分区防渗管控情况如下：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厂区内防渗情况应该分为重点防治区、一般防治区和简单防渗区。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重点防渗区（</w:t>
            </w:r>
            <w:r>
              <w:rPr>
                <w:rFonts w:hint="eastAsia"/>
                <w:color w:val="auto"/>
                <w:sz w:val="24"/>
                <w:szCs w:val="24"/>
                <w:highlight w:val="none"/>
                <w:lang w:val="en-US" w:eastAsia="zh-CN"/>
              </w:rPr>
              <w:t>生产车间内润滑油储存区及</w:t>
            </w:r>
            <w:r>
              <w:rPr>
                <w:color w:val="auto"/>
                <w:sz w:val="24"/>
                <w:szCs w:val="24"/>
                <w:highlight w:val="none"/>
              </w:rPr>
              <w:t>危险废物暂存间</w:t>
            </w:r>
            <w:r>
              <w:rPr>
                <w:rFonts w:hint="eastAsia" w:ascii="Times New Roman" w:hAnsi="Times New Roman" w:eastAsia="宋体" w:cs="Times New Roman"/>
                <w:color w:val="auto"/>
                <w:sz w:val="24"/>
                <w:szCs w:val="24"/>
                <w:highlight w:val="none"/>
                <w:lang w:val="en-US" w:eastAsia="zh-CN"/>
              </w:rPr>
              <w:t>）防渗技术要求：等效黏土防渗层Mb≥6.0m；K≤1×10</w:t>
            </w:r>
            <w:r>
              <w:rPr>
                <w:rFonts w:hint="eastAsia" w:ascii="Times New Roman" w:hAnsi="Times New Roman" w:eastAsia="宋体" w:cs="Times New Roman"/>
                <w:color w:val="auto"/>
                <w:sz w:val="24"/>
                <w:szCs w:val="24"/>
                <w:highlight w:val="none"/>
                <w:vertAlign w:val="superscript"/>
                <w:lang w:val="en-US" w:eastAsia="zh-CN"/>
              </w:rPr>
              <w:t>-10</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一般防渗区：生产车间防渗技术要求：等效黏土防渗层Mb≥1.5m；K≤1×10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val="0"/>
              <w:snapToGrid/>
              <w:spacing w:beforeAutospacing="0" w:afterAutospacing="0" w:line="48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简单防渗区：其它区域均为简单防渗区，一般地面硬化即可</w:t>
            </w:r>
            <w:r>
              <w:rPr>
                <w:rFonts w:hint="default" w:ascii="Times New Roman" w:hAnsi="Times New Roman" w:eastAsia="宋体" w:cs="Times New Roman"/>
                <w:color w:val="auto"/>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生态保护措施</w:t>
            </w:r>
          </w:p>
        </w:tc>
        <w:tc>
          <w:tcPr>
            <w:tcW w:w="1227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spacing w:val="-8"/>
                <w:sz w:val="24"/>
                <w:szCs w:val="24"/>
                <w:highlight w:val="none"/>
              </w:rPr>
            </w:pPr>
            <w:r>
              <w:rPr>
                <w:rFonts w:hint="default" w:ascii="Times New Roman" w:hAnsi="Times New Roman" w:eastAsia="宋体" w:cs="Times New Roman"/>
                <w:color w:val="auto"/>
                <w:spacing w:val="-8"/>
                <w:sz w:val="24"/>
                <w:szCs w:val="24"/>
                <w:highlight w:val="none"/>
              </w:rPr>
              <w:t>环境风险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8"/>
                <w:sz w:val="24"/>
                <w:szCs w:val="24"/>
                <w:highlight w:val="none"/>
              </w:rPr>
              <w:t>防范措施</w:t>
            </w:r>
          </w:p>
        </w:tc>
        <w:tc>
          <w:tcPr>
            <w:tcW w:w="12279" w:type="dxa"/>
            <w:gridSpan w:val="4"/>
            <w:noWrap w:val="0"/>
            <w:vAlign w:val="center"/>
          </w:tcPr>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风险管理目标是采用最低合理可行原则管控环境风险。采取的环境风险防范措施应与社会经济技术发展水平相适应，运用科学的技术手段和管理方法对环境风险进行有效地预防、监控、响应。</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①大气环境风险防范措施</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项目油类物质泄漏排放遇到明火发生火灾，可能会对周边大气环境产生影响，但油类物质着火点相对较高，且</w:t>
            </w:r>
            <w:r>
              <w:rPr>
                <w:rFonts w:hint="eastAsia"/>
                <w:color w:val="auto"/>
                <w:sz w:val="24"/>
                <w:szCs w:val="24"/>
                <w:highlight w:val="none"/>
                <w:lang w:val="en-US" w:eastAsia="zh-CN"/>
              </w:rPr>
              <w:t>生产车间内润滑油储存区及</w:t>
            </w:r>
            <w:r>
              <w:rPr>
                <w:color w:val="auto"/>
                <w:sz w:val="24"/>
                <w:szCs w:val="24"/>
                <w:highlight w:val="none"/>
              </w:rPr>
              <w:t>危险废物暂存间</w:t>
            </w:r>
            <w:r>
              <w:rPr>
                <w:rFonts w:hint="default" w:ascii="Times New Roman" w:hAnsi="Times New Roman" w:cs="Times New Roman"/>
                <w:color w:val="auto"/>
                <w:sz w:val="24"/>
                <w:szCs w:val="24"/>
                <w:highlight w:val="none"/>
              </w:rPr>
              <w:t>由专人进行看管并配备了灭火器、消防沙等灭火设备，若发生泄漏或火灾，可在第一时间发现并进行处理，因此油类物质泄漏发生次生危害的概率极小，不会对大气环境产生明显影响。</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②地表水环境风险防范措施</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eastAsia"/>
                <w:color w:val="auto"/>
                <w:sz w:val="24"/>
                <w:szCs w:val="24"/>
                <w:highlight w:val="none"/>
                <w:lang w:val="en-US" w:eastAsia="zh-CN"/>
              </w:rPr>
              <w:t>生产车间内润滑油储存区及</w:t>
            </w:r>
            <w:r>
              <w:rPr>
                <w:color w:val="auto"/>
                <w:sz w:val="24"/>
                <w:szCs w:val="24"/>
                <w:highlight w:val="none"/>
              </w:rPr>
              <w:t>危险废物暂存间</w:t>
            </w:r>
            <w:r>
              <w:rPr>
                <w:rFonts w:hint="eastAsia"/>
                <w:color w:val="auto"/>
                <w:sz w:val="24"/>
                <w:szCs w:val="24"/>
                <w:highlight w:val="none"/>
                <w:lang w:val="en-US" w:eastAsia="zh-CN"/>
              </w:rPr>
              <w:t>均</w:t>
            </w:r>
            <w:r>
              <w:rPr>
                <w:rFonts w:hint="eastAsia" w:ascii="宋体" w:hAnsi="宋体" w:cs="宋体"/>
                <w:color w:val="auto"/>
                <w:sz w:val="24"/>
                <w:szCs w:val="24"/>
                <w:highlight w:val="none"/>
              </w:rPr>
              <w:t>采取有效</w:t>
            </w:r>
            <w:r>
              <w:rPr>
                <w:rFonts w:hint="eastAsia" w:ascii="宋体" w:hAnsi="宋体" w:cs="宋体"/>
                <w:color w:val="auto"/>
                <w:sz w:val="24"/>
                <w:szCs w:val="24"/>
                <w:highlight w:val="none"/>
                <w:lang w:val="en-US" w:eastAsia="zh-CN"/>
              </w:rPr>
              <w:t>防腐防渗</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危险废物暂存间</w:t>
            </w:r>
            <w:r>
              <w:rPr>
                <w:rFonts w:hint="eastAsia" w:ascii="宋体" w:hAnsi="宋体" w:cs="宋体"/>
                <w:color w:val="auto"/>
                <w:sz w:val="24"/>
                <w:szCs w:val="24"/>
                <w:highlight w:val="none"/>
              </w:rPr>
              <w:t>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rFonts w:hint="default" w:ascii="Times New Roman" w:hAnsi="Times New Roman" w:cs="Times New Roman"/>
                <w:color w:val="auto"/>
                <w:sz w:val="24"/>
                <w:szCs w:val="24"/>
                <w:highlight w:val="none"/>
              </w:rPr>
              <w:t>。</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③地下水环境风险防范措施</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a.源头控制措施</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本项目对</w:t>
            </w:r>
            <w:r>
              <w:rPr>
                <w:rFonts w:hint="eastAsia" w:ascii="Times New Roman" w:hAnsi="Times New Roman" w:cs="Times New Roman"/>
                <w:color w:val="auto"/>
                <w:sz w:val="24"/>
                <w:szCs w:val="24"/>
                <w:highlight w:val="none"/>
                <w:lang w:val="en-US" w:eastAsia="zh-CN"/>
              </w:rPr>
              <w:t>风险区域进行</w:t>
            </w:r>
            <w:r>
              <w:rPr>
                <w:rFonts w:hint="default" w:ascii="Times New Roman" w:hAnsi="Times New Roman" w:cs="Times New Roman"/>
                <w:color w:val="auto"/>
                <w:sz w:val="24"/>
                <w:szCs w:val="24"/>
                <w:highlight w:val="none"/>
              </w:rPr>
              <w:t>严格</w:t>
            </w:r>
            <w:r>
              <w:rPr>
                <w:rFonts w:hint="eastAsia" w:ascii="Times New Roman" w:hAnsi="Times New Roman" w:cs="Times New Roman"/>
                <w:color w:val="auto"/>
                <w:sz w:val="24"/>
                <w:szCs w:val="24"/>
                <w:highlight w:val="none"/>
                <w:lang w:val="en-US" w:eastAsia="zh-CN"/>
              </w:rPr>
              <w:t>排查</w:t>
            </w:r>
            <w:r>
              <w:rPr>
                <w:rFonts w:hint="default" w:ascii="Times New Roman" w:hAnsi="Times New Roman" w:cs="Times New Roman"/>
                <w:color w:val="auto"/>
                <w:sz w:val="24"/>
                <w:szCs w:val="24"/>
                <w:highlight w:val="none"/>
              </w:rPr>
              <w:t>，有质量问题的及时更换，</w:t>
            </w:r>
            <w:r>
              <w:rPr>
                <w:rFonts w:hint="eastAsia" w:ascii="Times New Roman" w:hAnsi="Times New Roman" w:cs="Times New Roman"/>
                <w:color w:val="auto"/>
                <w:sz w:val="24"/>
                <w:szCs w:val="24"/>
                <w:highlight w:val="none"/>
                <w:lang w:val="en-US" w:eastAsia="zh-CN"/>
              </w:rPr>
              <w:t>盛装容器</w:t>
            </w:r>
            <w:r>
              <w:rPr>
                <w:rFonts w:hint="default" w:ascii="Times New Roman" w:hAnsi="Times New Roman" w:cs="Times New Roman"/>
                <w:color w:val="auto"/>
                <w:sz w:val="24"/>
                <w:szCs w:val="24"/>
                <w:highlight w:val="none"/>
              </w:rPr>
              <w:t>采用优质耐腐蚀材料制成的产品。对项目</w:t>
            </w:r>
            <w:r>
              <w:rPr>
                <w:rFonts w:hint="eastAsia"/>
                <w:color w:val="auto"/>
                <w:sz w:val="24"/>
                <w:szCs w:val="24"/>
                <w:highlight w:val="none"/>
                <w:lang w:val="en-US" w:eastAsia="zh-CN"/>
              </w:rPr>
              <w:t>生产车间内润滑油储存区及</w:t>
            </w:r>
            <w:r>
              <w:rPr>
                <w:color w:val="auto"/>
                <w:sz w:val="24"/>
                <w:szCs w:val="24"/>
                <w:highlight w:val="none"/>
              </w:rPr>
              <w:t>危险废物暂存间</w:t>
            </w:r>
            <w:r>
              <w:rPr>
                <w:rFonts w:hint="default" w:ascii="Times New Roman" w:hAnsi="Times New Roman" w:cs="Times New Roman"/>
                <w:color w:val="auto"/>
                <w:sz w:val="24"/>
                <w:szCs w:val="24"/>
                <w:highlight w:val="none"/>
              </w:rPr>
              <w:t>等采取相应的物料控制措施，便于发现污染物的跑、冒、滴、漏，将污染物泄漏的环境风险事故降至最低限度。</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b.分区防控措施</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color w:val="auto"/>
                <w:sz w:val="24"/>
                <w:szCs w:val="24"/>
                <w:highlight w:val="none"/>
              </w:rPr>
              <w:t>为避免</w:t>
            </w:r>
            <w:r>
              <w:rPr>
                <w:rFonts w:hint="eastAsia" w:ascii="Times New Roman" w:hAnsi="Times New Roman" w:cs="Times New Roman"/>
                <w:color w:val="auto"/>
                <w:sz w:val="24"/>
                <w:szCs w:val="24"/>
                <w:highlight w:val="none"/>
                <w:lang w:val="en-US" w:eastAsia="zh-CN"/>
              </w:rPr>
              <w:t>油类物质</w:t>
            </w:r>
            <w:r>
              <w:rPr>
                <w:rFonts w:hint="default" w:ascii="Times New Roman" w:hAnsi="Times New Roman" w:cs="Times New Roman"/>
                <w:color w:val="auto"/>
                <w:sz w:val="24"/>
                <w:szCs w:val="24"/>
                <w:highlight w:val="none"/>
              </w:rPr>
              <w:t>对地下水造成污染影响，采取了分区防渗措施</w:t>
            </w:r>
            <w:r>
              <w:rPr>
                <w:rFonts w:hint="default" w:ascii="Times New Roman" w:hAnsi="Times New Roman" w:cs="Times New Roman"/>
                <w:bCs/>
                <w:color w:val="auto"/>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厂区内防渗情况应该分为重点防治区、一般防治区和简单防渗区。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重点防渗区（</w:t>
            </w:r>
            <w:r>
              <w:rPr>
                <w:rFonts w:hint="eastAsia"/>
                <w:color w:val="auto"/>
                <w:sz w:val="24"/>
                <w:szCs w:val="24"/>
                <w:highlight w:val="none"/>
                <w:lang w:val="en-US" w:eastAsia="zh-CN"/>
              </w:rPr>
              <w:t>生产车间内润滑油储存区及</w:t>
            </w:r>
            <w:r>
              <w:rPr>
                <w:color w:val="auto"/>
                <w:sz w:val="24"/>
                <w:szCs w:val="24"/>
                <w:highlight w:val="none"/>
              </w:rPr>
              <w:t>危险废物暂存间</w:t>
            </w:r>
            <w:r>
              <w:rPr>
                <w:rFonts w:hint="eastAsia" w:ascii="Times New Roman" w:hAnsi="Times New Roman" w:eastAsia="宋体" w:cs="Times New Roman"/>
                <w:color w:val="auto"/>
                <w:sz w:val="24"/>
                <w:szCs w:val="24"/>
                <w:highlight w:val="none"/>
                <w:lang w:val="en-US" w:eastAsia="zh-CN"/>
              </w:rPr>
              <w:t>）防渗技术要求：等效黏土防渗层Mb≥6.0m；K≤1×10</w:t>
            </w:r>
            <w:r>
              <w:rPr>
                <w:rFonts w:hint="eastAsia" w:ascii="Times New Roman" w:hAnsi="Times New Roman" w:eastAsia="宋体" w:cs="Times New Roman"/>
                <w:color w:val="auto"/>
                <w:sz w:val="24"/>
                <w:szCs w:val="24"/>
                <w:highlight w:val="none"/>
                <w:vertAlign w:val="superscript"/>
                <w:lang w:val="en-US" w:eastAsia="zh-CN"/>
              </w:rPr>
              <w:t>-10</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一般防渗区（生产车间）防渗技术要求：等效黏土防渗层Mb≥1.5m；K≤1×10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简单防渗区：其它区域均为简单防渗区，一般地面硬化即可。</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④人员疏散通道及安置厂址</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⑤环境风险应急预案</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本评价建议结合本项目所涉及到的风险源</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编制突发环境事件</w:t>
            </w:r>
            <w:r>
              <w:rPr>
                <w:rFonts w:hint="default" w:ascii="Times New Roman" w:hAnsi="Times New Roman" w:cs="Times New Roman"/>
                <w:color w:val="auto"/>
                <w:sz w:val="24"/>
                <w:szCs w:val="24"/>
                <w:highlight w:val="none"/>
              </w:rPr>
              <w:t>应急预案</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tc>
      </w:tr>
    </w:tbl>
    <w:p>
      <w:pPr>
        <w:pStyle w:val="30"/>
        <w:keepNext w:val="0"/>
        <w:keepLines w:val="0"/>
        <w:pageBreakBefore w:val="0"/>
        <w:kinsoku/>
        <w:wordWrap/>
        <w:overflowPunct/>
        <w:topLinePunct w:val="0"/>
        <w:autoSpaceDE/>
        <w:autoSpaceDN/>
        <w:bidi w:val="0"/>
        <w:spacing w:before="0" w:beforeAutospacing="0" w:after="0" w:afterAutospacing="0" w:line="480" w:lineRule="exact"/>
        <w:jc w:val="both"/>
        <w:textAlignment w:val="auto"/>
        <w:outlineLvl w:val="9"/>
        <w:rPr>
          <w:rFonts w:hint="default" w:ascii="Times New Roman" w:hAnsi="Times New Roman" w:cs="Times New Roman"/>
          <w:snapToGrid w:val="0"/>
          <w:color w:val="auto"/>
          <w:sz w:val="24"/>
          <w:szCs w:val="24"/>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他</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境</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snapToGrid w:val="0"/>
                <w:color w:val="auto"/>
                <w:sz w:val="24"/>
                <w:szCs w:val="24"/>
                <w:highlight w:val="none"/>
                <w:vertAlign w:val="baseline"/>
              </w:rPr>
            </w:pPr>
            <w:r>
              <w:rPr>
                <w:rFonts w:hint="default" w:ascii="Times New Roman" w:hAnsi="Times New Roman" w:eastAsia="宋体" w:cs="Times New Roman"/>
                <w:color w:val="auto"/>
                <w:sz w:val="24"/>
                <w:szCs w:val="24"/>
                <w:highlight w:val="none"/>
              </w:rPr>
              <w:t>求</w:t>
            </w:r>
          </w:p>
        </w:tc>
        <w:tc>
          <w:tcPr>
            <w:tcW w:w="779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企业事业单位应当建立健全本单位环境信息公开制度，指定机构负责本单位环境信息公开日常工作。</w:t>
            </w:r>
            <w:r>
              <w:rPr>
                <w:rFonts w:hint="eastAsia" w:ascii="Times New Roman" w:hAnsi="Times New Roman" w:eastAsia="宋体" w:cs="Times New Roman"/>
                <w:color w:val="auto"/>
                <w:sz w:val="24"/>
                <w:szCs w:val="24"/>
                <w:highlight w:val="none"/>
                <w:lang w:val="en-US" w:eastAsia="zh-CN"/>
              </w:rPr>
              <w:t>根据企业特点，应在本单位的资料索取点、信息公开栏、信息亭、电子屏幕或其他便于公众及时、准确获得信息的场所和方式公开基础信息以及排污信息。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如若公司的环境信息发生变更或有新生成时，应在环境信息生成或者变更之日起三十日内予以公开。环境保护主管部门应当宣传和引导公众监督企业事业单位环境信息公开工作。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排污口规范化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按照</w:t>
            </w:r>
            <w:r>
              <w:rPr>
                <w:rFonts w:hint="eastAsia" w:ascii="Times New Roman" w:hAnsi="Times New Roman" w:eastAsia="宋体" w:cs="Times New Roman"/>
                <w:color w:val="auto"/>
                <w:sz w:val="24"/>
                <w:szCs w:val="24"/>
                <w:highlight w:val="none"/>
                <w:lang w:val="en-US" w:eastAsia="zh-CN"/>
              </w:rPr>
              <w:t>《排污口规范化整治技术要求（试行）》（环监[1996]470号）要求</w:t>
            </w:r>
            <w:r>
              <w:rPr>
                <w:rFonts w:hint="default" w:ascii="Times New Roman" w:hAnsi="Times New Roman" w:eastAsia="宋体" w:cs="Times New Roman"/>
                <w:color w:val="auto"/>
                <w:sz w:val="24"/>
                <w:szCs w:val="24"/>
                <w:highlight w:val="none"/>
                <w:lang w:val="en-US" w:eastAsia="zh-CN"/>
              </w:rPr>
              <w:t>，并参考其它相关规定，提出以下废气排放口规范化建设要求：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 xml:space="preserve">排气筒应设置便于采样、监测的采样口和采样监测平台。当采样平台设置在离地面高度≥5m的位置时，应有通往平台的Z字梯/旋梯/升降梯。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采样孔、点数目和位置应按《固定污染源排气中颗粒物测定与气态污染物采样方法》（GB/T16157-1996）的规定设置。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废气排放口的环境保护图形标志牌应设在排气筒附近地面醒目处。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（4）拟建项目生产过程中排放的污染物为废气、噪声、固废。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废气：保证排气筒高度达到标准要求，并在环保技术人员指导下设定废气的监测口位置，按标准设置采样口及采样平台，并在排气筒上设环境保护图形牌。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固废：固废及危险废物贮存场所分别设置并按照相关要求采取防晒、防淋、防渗等措施，按环保管理要求设立标志牌等。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排污口监测孔设置要求：监测孔位置应便于开展监测工作，在规则的圆形或矩形烟道垂直管段上，距弯头、阀门、变径管下游方向不小于6倍当量直径和距上述部件上游方向不小于3倍当量直径处。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监测平台设置要求：监测平台设置在监测孔的正下方1.2m~1.3m处，可操作面积不小于2m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，平台长度和宽度不小于1.2m，永久、安全、便于采样及测试。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各排放口设置标志牌如表</w:t>
            </w:r>
            <w:r>
              <w:rPr>
                <w:rFonts w:hint="eastAsia" w:cs="Times New Roman"/>
                <w:color w:val="auto"/>
                <w:sz w:val="24"/>
                <w:szCs w:val="24"/>
                <w:highlight w:val="none"/>
                <w:lang w:val="en-US" w:eastAsia="zh-CN"/>
              </w:rPr>
              <w:t>47</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47</w:t>
            </w:r>
            <w:r>
              <w:rPr>
                <w:rFonts w:hint="default" w:ascii="Times New Roman" w:hAnsi="Times New Roman" w:eastAsia="宋体" w:cs="Times New Roman"/>
                <w:b/>
                <w:bCs/>
                <w:color w:val="auto"/>
                <w:sz w:val="24"/>
                <w:szCs w:val="24"/>
                <w:highlight w:val="none"/>
              </w:rPr>
              <w:t xml:space="preserve">  排放口标志牌示例</w:t>
            </w:r>
          </w:p>
          <w:tbl>
            <w:tblPr>
              <w:tblStyle w:val="33"/>
              <w:tblW w:w="74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687"/>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noWrap w:val="0"/>
                  <w:vAlign w:val="center"/>
                </w:tcPr>
                <w:p>
                  <w:pPr>
                    <w:adjustRightInd w:val="0"/>
                    <w:snapToGrid w:val="0"/>
                    <w:spacing w:after="0"/>
                    <w:jc w:val="center"/>
                    <w:rPr>
                      <w:rFonts w:hint="default" w:ascii="Times New Roman" w:hAnsi="Times New Roman" w:cs="Times New Roman"/>
                      <w:b/>
                      <w:snapToGrid w:val="0"/>
                      <w:color w:val="auto"/>
                      <w:sz w:val="21"/>
                      <w:szCs w:val="21"/>
                      <w:highlight w:val="none"/>
                    </w:rPr>
                  </w:pPr>
                  <w:r>
                    <w:rPr>
                      <w:rFonts w:hint="default" w:ascii="Times New Roman" w:hAnsi="Times New Roman" w:cs="Times New Roman"/>
                      <w:b/>
                      <w:snapToGrid w:val="0"/>
                      <w:color w:val="auto"/>
                      <w:sz w:val="21"/>
                      <w:szCs w:val="21"/>
                      <w:highlight w:val="none"/>
                    </w:rPr>
                    <w:t>排放口名称</w:t>
                  </w:r>
                </w:p>
              </w:tc>
              <w:tc>
                <w:tcPr>
                  <w:tcW w:w="3687" w:type="dxa"/>
                  <w:tcBorders>
                    <w:tl2br w:val="nil"/>
                    <w:tr2bl w:val="nil"/>
                  </w:tcBorders>
                  <w:noWrap w:val="0"/>
                  <w:vAlign w:val="center"/>
                </w:tcPr>
                <w:p>
                  <w:pPr>
                    <w:adjustRightInd w:val="0"/>
                    <w:snapToGrid w:val="0"/>
                    <w:spacing w:after="0"/>
                    <w:jc w:val="center"/>
                    <w:rPr>
                      <w:rFonts w:hint="default" w:ascii="Times New Roman" w:hAnsi="Times New Roman" w:cs="Times New Roman"/>
                      <w:b/>
                      <w:snapToGrid w:val="0"/>
                      <w:color w:val="auto"/>
                      <w:sz w:val="21"/>
                      <w:szCs w:val="21"/>
                      <w:highlight w:val="none"/>
                    </w:rPr>
                  </w:pPr>
                  <w:r>
                    <w:rPr>
                      <w:rFonts w:hint="default" w:ascii="Times New Roman" w:hAnsi="Times New Roman" w:cs="Times New Roman"/>
                      <w:b/>
                      <w:snapToGrid w:val="0"/>
                      <w:color w:val="auto"/>
                      <w:sz w:val="21"/>
                      <w:szCs w:val="21"/>
                      <w:highlight w:val="none"/>
                    </w:rPr>
                    <w:t>图形标志</w:t>
                  </w:r>
                </w:p>
              </w:tc>
              <w:tc>
                <w:tcPr>
                  <w:tcW w:w="2262" w:type="dxa"/>
                  <w:tcBorders>
                    <w:tl2br w:val="nil"/>
                    <w:tr2bl w:val="nil"/>
                  </w:tcBorders>
                  <w:noWrap w:val="0"/>
                  <w:vAlign w:val="center"/>
                </w:tcPr>
                <w:p>
                  <w:pPr>
                    <w:adjustRightInd w:val="0"/>
                    <w:snapToGrid w:val="0"/>
                    <w:spacing w:after="0"/>
                    <w:jc w:val="center"/>
                    <w:rPr>
                      <w:rFonts w:hint="default" w:ascii="Times New Roman" w:hAnsi="Times New Roman" w:cs="Times New Roman"/>
                      <w:b/>
                      <w:snapToGrid w:val="0"/>
                      <w:color w:val="auto"/>
                      <w:sz w:val="21"/>
                      <w:szCs w:val="21"/>
                      <w:highlight w:val="none"/>
                    </w:rPr>
                  </w:pPr>
                  <w:r>
                    <w:rPr>
                      <w:rFonts w:hint="default" w:ascii="Times New Roman" w:hAnsi="Times New Roman" w:cs="Times New Roman"/>
                      <w:b/>
                      <w:snapToGrid w:val="0"/>
                      <w:color w:val="auto"/>
                      <w:sz w:val="21"/>
                      <w:szCs w:val="21"/>
                      <w:highlight w:val="none"/>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noWrap w:val="0"/>
                  <w:vAlign w:val="center"/>
                </w:tcPr>
                <w:p>
                  <w:pPr>
                    <w:adjustRightInd w:val="0"/>
                    <w:snapToGrid w:val="0"/>
                    <w:spacing w:after="0"/>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snapToGrid w:val="0"/>
                      <w:color w:val="auto"/>
                      <w:sz w:val="21"/>
                      <w:szCs w:val="21"/>
                      <w:highlight w:val="none"/>
                    </w:rPr>
                    <w:t>排气筒</w:t>
                  </w:r>
                </w:p>
              </w:tc>
              <w:tc>
                <w:tcPr>
                  <w:tcW w:w="3687" w:type="dxa"/>
                  <w:tcBorders>
                    <w:tl2br w:val="nil"/>
                    <w:tr2bl w:val="nil"/>
                  </w:tcBorders>
                  <w:noWrap w:val="0"/>
                  <w:vAlign w:val="center"/>
                </w:tcPr>
                <w:p>
                  <w:pPr>
                    <w:adjustRightInd w:val="0"/>
                    <w:snapToGrid w:val="0"/>
                    <w:spacing w:after="0"/>
                    <w:ind w:firstLine="86"/>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color w:val="auto"/>
                      <w:sz w:val="21"/>
                      <w:szCs w:val="21"/>
                      <w:highlight w:val="none"/>
                      <w:u w:val="none"/>
                    </w:rPr>
                    <w:drawing>
                      <wp:inline distT="0" distB="0" distL="114300" distR="114300">
                        <wp:extent cx="1332865" cy="1332865"/>
                        <wp:effectExtent l="0" t="0" r="635" b="635"/>
                        <wp:docPr id="24" name="图片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5"/>
                                <a:stretch>
                                  <a:fillRect/>
                                </a:stretch>
                              </pic:blipFill>
                              <pic:spPr>
                                <a:xfrm>
                                  <a:off x="0" y="0"/>
                                  <a:ext cx="1332865" cy="1332865"/>
                                </a:xfrm>
                                <a:prstGeom prst="rect">
                                  <a:avLst/>
                                </a:prstGeom>
                                <a:noFill/>
                                <a:ln>
                                  <a:noFill/>
                                </a:ln>
                              </pic:spPr>
                            </pic:pic>
                          </a:graphicData>
                        </a:graphic>
                      </wp:inline>
                    </w:drawing>
                  </w:r>
                </w:p>
              </w:tc>
              <w:tc>
                <w:tcPr>
                  <w:tcW w:w="2262" w:type="dxa"/>
                  <w:vMerge w:val="restart"/>
                  <w:tcBorders>
                    <w:tl2br w:val="nil"/>
                    <w:tr2bl w:val="nil"/>
                  </w:tcBorders>
                  <w:noWrap w:val="0"/>
                  <w:vAlign w:val="center"/>
                </w:tcPr>
                <w:p>
                  <w:pPr>
                    <w:adjustRightInd w:val="0"/>
                    <w:snapToGrid w:val="0"/>
                    <w:spacing w:after="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b/>
                      <w:color w:val="auto"/>
                      <w:sz w:val="21"/>
                      <w:szCs w:val="21"/>
                      <w:highlight w:val="none"/>
                    </w:rPr>
                    <w:t>辅助标志内容</w:t>
                  </w:r>
                  <w:r>
                    <w:rPr>
                      <w:rFonts w:hint="default" w:ascii="Times New Roman" w:hAnsi="Times New Roman" w:cs="Times New Roman"/>
                      <w:color w:val="auto"/>
                      <w:sz w:val="21"/>
                      <w:szCs w:val="21"/>
                      <w:highlight w:val="none"/>
                    </w:rPr>
                    <w:t>（1）排放口标志名称；（2）单位名称；（3）编号；（4）污染物种类</w:t>
                  </w:r>
                  <w:r>
                    <w:rPr>
                      <w:rFonts w:hint="eastAsia" w:ascii="Times New Roman" w:hAnsi="Times New Roman" w:cs="Times New Roman"/>
                      <w:color w:val="auto"/>
                      <w:sz w:val="21"/>
                      <w:szCs w:val="21"/>
                      <w:highlight w:val="none"/>
                      <w:lang w:eastAsia="zh-CN"/>
                    </w:rPr>
                    <w:t>；</w:t>
                  </w:r>
                </w:p>
                <w:p>
                  <w:pPr>
                    <w:adjustRightInd w:val="0"/>
                    <w:snapToGrid w:val="0"/>
                    <w:spacing w:after="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b/>
                      <w:color w:val="auto"/>
                      <w:sz w:val="21"/>
                      <w:szCs w:val="21"/>
                      <w:highlight w:val="none"/>
                    </w:rPr>
                    <w:t>辅助标志字型</w:t>
                  </w:r>
                  <w:r>
                    <w:rPr>
                      <w:rFonts w:hint="default" w:ascii="Times New Roman" w:hAnsi="Times New Roman" w:cs="Times New Roman"/>
                      <w:color w:val="auto"/>
                      <w:sz w:val="21"/>
                      <w:szCs w:val="21"/>
                      <w:highlight w:val="none"/>
                    </w:rPr>
                    <w:t>：黑体字</w:t>
                  </w:r>
                  <w:r>
                    <w:rPr>
                      <w:rFonts w:hint="eastAsia" w:ascii="Times New Roman" w:hAnsi="Times New Roman" w:cs="Times New Roman"/>
                      <w:color w:val="auto"/>
                      <w:sz w:val="21"/>
                      <w:szCs w:val="21"/>
                      <w:highlight w:val="none"/>
                      <w:lang w:eastAsia="zh-CN"/>
                    </w:rPr>
                    <w:t>；</w:t>
                  </w:r>
                </w:p>
                <w:p>
                  <w:pPr>
                    <w:adjustRightInd w:val="0"/>
                    <w:snapToGrid w:val="0"/>
                    <w:spacing w:after="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b/>
                      <w:color w:val="auto"/>
                      <w:sz w:val="21"/>
                      <w:szCs w:val="21"/>
                      <w:highlight w:val="none"/>
                    </w:rPr>
                    <w:t>标志牌尺寸：</w:t>
                  </w:r>
                  <w:r>
                    <w:rPr>
                      <w:rFonts w:hint="default" w:ascii="Times New Roman" w:hAnsi="Times New Roman" w:cs="Times New Roman"/>
                      <w:color w:val="auto"/>
                      <w:sz w:val="21"/>
                      <w:szCs w:val="21"/>
                      <w:highlight w:val="none"/>
                    </w:rPr>
                    <w:t>（1）提示标志：480×300mm；（2）警告标志：边长420mm</w:t>
                  </w:r>
                  <w:r>
                    <w:rPr>
                      <w:rFonts w:hint="eastAsia" w:ascii="Times New Roman" w:hAnsi="Times New Roman" w:cs="Times New Roman"/>
                      <w:color w:val="auto"/>
                      <w:sz w:val="21"/>
                      <w:szCs w:val="21"/>
                      <w:highlight w:val="none"/>
                      <w:lang w:eastAsia="zh-CN"/>
                    </w:rPr>
                    <w:t>；</w:t>
                  </w:r>
                </w:p>
                <w:p>
                  <w:pPr>
                    <w:adjustRightInd w:val="0"/>
                    <w:snapToGrid w:val="0"/>
                    <w:spacing w:after="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b/>
                      <w:color w:val="auto"/>
                      <w:sz w:val="21"/>
                      <w:szCs w:val="21"/>
                      <w:highlight w:val="none"/>
                    </w:rPr>
                    <w:t>标志牌材料：</w:t>
                  </w:r>
                  <w:r>
                    <w:rPr>
                      <w:rFonts w:hint="default" w:ascii="Times New Roman" w:hAnsi="Times New Roman" w:cs="Times New Roman"/>
                      <w:color w:val="auto"/>
                      <w:sz w:val="21"/>
                      <w:szCs w:val="21"/>
                      <w:highlight w:val="none"/>
                    </w:rPr>
                    <w:t>1.5~2mm冷轧钢板，表面采用搪瓷或反光贴膜</w:t>
                  </w:r>
                  <w:r>
                    <w:rPr>
                      <w:rFonts w:hint="eastAsia" w:ascii="Times New Roman" w:hAnsi="Times New Roman" w:cs="Times New Roman"/>
                      <w:color w:val="auto"/>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noWrap w:val="0"/>
                  <w:vAlign w:val="center"/>
                </w:tcPr>
                <w:p>
                  <w:pPr>
                    <w:adjustRightInd w:val="0"/>
                    <w:snapToGrid w:val="0"/>
                    <w:spacing w:after="0"/>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snapToGrid w:val="0"/>
                      <w:color w:val="auto"/>
                      <w:sz w:val="21"/>
                      <w:szCs w:val="21"/>
                      <w:highlight w:val="none"/>
                    </w:rPr>
                    <w:t>噪声源</w:t>
                  </w:r>
                </w:p>
              </w:tc>
              <w:tc>
                <w:tcPr>
                  <w:tcW w:w="3687" w:type="dxa"/>
                  <w:tcBorders>
                    <w:tl2br w:val="nil"/>
                    <w:tr2bl w:val="nil"/>
                  </w:tcBorders>
                  <w:noWrap w:val="0"/>
                  <w:vAlign w:val="center"/>
                </w:tcPr>
                <w:p>
                  <w:pPr>
                    <w:adjustRightInd w:val="0"/>
                    <w:snapToGrid w:val="0"/>
                    <w:spacing w:after="0"/>
                    <w:ind w:firstLine="86"/>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color w:val="auto"/>
                      <w:sz w:val="21"/>
                      <w:szCs w:val="21"/>
                      <w:highlight w:val="none"/>
                      <w:u w:val="none"/>
                    </w:rPr>
                    <w:drawing>
                      <wp:inline distT="0" distB="0" distL="114300" distR="114300">
                        <wp:extent cx="1292860" cy="1292860"/>
                        <wp:effectExtent l="0" t="0" r="2540" b="2540"/>
                        <wp:docPr id="25" name="图片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7"/>
                                <a:stretch>
                                  <a:fillRect/>
                                </a:stretch>
                              </pic:blipFill>
                              <pic:spPr>
                                <a:xfrm>
                                  <a:off x="0" y="0"/>
                                  <a:ext cx="1292860" cy="1292860"/>
                                </a:xfrm>
                                <a:prstGeom prst="rect">
                                  <a:avLst/>
                                </a:prstGeom>
                                <a:noFill/>
                                <a:ln>
                                  <a:noFill/>
                                </a:ln>
                              </pic:spPr>
                            </pic:pic>
                          </a:graphicData>
                        </a:graphic>
                      </wp:inline>
                    </w:drawing>
                  </w:r>
                </w:p>
              </w:tc>
              <w:tc>
                <w:tcPr>
                  <w:tcW w:w="2262" w:type="dxa"/>
                  <w:vMerge w:val="continue"/>
                  <w:tcBorders>
                    <w:tl2br w:val="nil"/>
                    <w:tr2bl w:val="nil"/>
                  </w:tcBorders>
                  <w:noWrap w:val="0"/>
                  <w:vAlign w:val="center"/>
                </w:tcPr>
                <w:p>
                  <w:pPr>
                    <w:adjustRightInd w:val="0"/>
                    <w:snapToGrid w:val="0"/>
                    <w:spacing w:after="0"/>
                    <w:ind w:firstLine="86"/>
                    <w:jc w:val="center"/>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noWrap w:val="0"/>
                  <w:vAlign w:val="center"/>
                </w:tcPr>
                <w:p>
                  <w:pPr>
                    <w:adjustRightInd w:val="0"/>
                    <w:snapToGrid w:val="0"/>
                    <w:spacing w:after="0"/>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snapToGrid w:val="0"/>
                      <w:color w:val="auto"/>
                      <w:sz w:val="21"/>
                      <w:szCs w:val="21"/>
                      <w:highlight w:val="none"/>
                    </w:rPr>
                    <w:t>固废堆放场所</w:t>
                  </w:r>
                </w:p>
              </w:tc>
              <w:tc>
                <w:tcPr>
                  <w:tcW w:w="3687" w:type="dxa"/>
                  <w:tcBorders>
                    <w:tl2br w:val="nil"/>
                    <w:tr2bl w:val="nil"/>
                  </w:tcBorders>
                  <w:noWrap w:val="0"/>
                  <w:vAlign w:val="center"/>
                </w:tcPr>
                <w:p>
                  <w:pPr>
                    <w:adjustRightInd w:val="0"/>
                    <w:snapToGrid w:val="0"/>
                    <w:spacing w:after="0"/>
                    <w:ind w:firstLine="102"/>
                    <w:jc w:val="center"/>
                    <w:rPr>
                      <w:rFonts w:hint="default" w:ascii="Times New Roman" w:hAnsi="Times New Roman" w:cs="Times New Roman"/>
                      <w:snapToGrid w:val="0"/>
                      <w:color w:val="auto"/>
                      <w:sz w:val="21"/>
                      <w:szCs w:val="21"/>
                      <w:highlight w:val="none"/>
                    </w:rPr>
                  </w:pPr>
                  <w:r>
                    <w:rPr>
                      <w:rFonts w:hint="default" w:ascii="Times New Roman" w:hAnsi="Times New Roman" w:cs="Times New Roman"/>
                      <w:color w:val="auto"/>
                      <w:sz w:val="21"/>
                      <w:szCs w:val="21"/>
                      <w:highlight w:val="none"/>
                      <w:u w:val="none"/>
                    </w:rPr>
                    <w:drawing>
                      <wp:inline distT="0" distB="0" distL="114300" distR="114300">
                        <wp:extent cx="1309370" cy="1290955"/>
                        <wp:effectExtent l="0" t="0" r="5080" b="4445"/>
                        <wp:docPr id="26" name="图片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9"/>
                                <a:stretch>
                                  <a:fillRect/>
                                </a:stretch>
                              </pic:blipFill>
                              <pic:spPr>
                                <a:xfrm>
                                  <a:off x="0" y="0"/>
                                  <a:ext cx="1309370" cy="1290955"/>
                                </a:xfrm>
                                <a:prstGeom prst="rect">
                                  <a:avLst/>
                                </a:prstGeom>
                                <a:noFill/>
                                <a:ln>
                                  <a:noFill/>
                                </a:ln>
                              </pic:spPr>
                            </pic:pic>
                          </a:graphicData>
                        </a:graphic>
                      </wp:inline>
                    </w:drawing>
                  </w:r>
                </w:p>
              </w:tc>
              <w:tc>
                <w:tcPr>
                  <w:tcW w:w="2262" w:type="dxa"/>
                  <w:vMerge w:val="continue"/>
                  <w:tcBorders>
                    <w:tl2br w:val="nil"/>
                    <w:tr2bl w:val="nil"/>
                  </w:tcBorders>
                  <w:noWrap w:val="0"/>
                  <w:vAlign w:val="center"/>
                </w:tcPr>
                <w:p>
                  <w:pPr>
                    <w:adjustRightInd w:val="0"/>
                    <w:snapToGrid w:val="0"/>
                    <w:spacing w:after="0"/>
                    <w:ind w:firstLine="102"/>
                    <w:jc w:val="center"/>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noWrap w:val="0"/>
                  <w:vAlign w:val="center"/>
                </w:tcPr>
                <w:p>
                  <w:pPr>
                    <w:adjustRightInd w:val="0"/>
                    <w:snapToGrid w:val="0"/>
                    <w:spacing w:after="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cs="Times New Roman"/>
                      <w:snapToGrid w:val="0"/>
                      <w:color w:val="auto"/>
                      <w:sz w:val="21"/>
                      <w:szCs w:val="21"/>
                      <w:highlight w:val="none"/>
                      <w:lang w:val="en-US" w:eastAsia="zh-CN"/>
                    </w:rPr>
                    <w:t>危险废物堆放场所</w:t>
                  </w:r>
                </w:p>
              </w:tc>
              <w:tc>
                <w:tcPr>
                  <w:tcW w:w="3687" w:type="dxa"/>
                  <w:tcBorders>
                    <w:tl2br w:val="nil"/>
                    <w:tr2bl w:val="nil"/>
                  </w:tcBorders>
                  <w:noWrap w:val="0"/>
                  <w:vAlign w:val="center"/>
                </w:tcPr>
                <w:p>
                  <w:pPr>
                    <w:adjustRightInd w:val="0"/>
                    <w:snapToGrid w:val="0"/>
                    <w:spacing w:after="0"/>
                    <w:ind w:firstLine="102"/>
                    <w:jc w:val="center"/>
                    <w:rPr>
                      <w:rFonts w:hint="default" w:ascii="Times New Roman" w:hAnsi="Times New Roman" w:cs="Times New Roman"/>
                      <w:color w:val="auto"/>
                      <w:sz w:val="21"/>
                      <w:szCs w:val="21"/>
                      <w:highlight w:val="none"/>
                    </w:rPr>
                  </w:pPr>
                  <w:r>
                    <w:rPr>
                      <w:highlight w:val="none"/>
                    </w:rPr>
                    <w:drawing>
                      <wp:inline distT="0" distB="0" distL="114300" distR="114300">
                        <wp:extent cx="2052955" cy="1295400"/>
                        <wp:effectExtent l="0" t="0" r="444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3"/>
                                <a:stretch>
                                  <a:fillRect/>
                                </a:stretch>
                              </pic:blipFill>
                              <pic:spPr>
                                <a:xfrm>
                                  <a:off x="0" y="0"/>
                                  <a:ext cx="2052955" cy="1295400"/>
                                </a:xfrm>
                                <a:prstGeom prst="rect">
                                  <a:avLst/>
                                </a:prstGeom>
                                <a:noFill/>
                                <a:ln>
                                  <a:noFill/>
                                </a:ln>
                              </pic:spPr>
                            </pic:pic>
                          </a:graphicData>
                        </a:graphic>
                      </wp:inline>
                    </w:drawing>
                  </w:r>
                </w:p>
              </w:tc>
              <w:tc>
                <w:tcPr>
                  <w:tcW w:w="2262" w:type="dxa"/>
                  <w:vMerge w:val="continue"/>
                  <w:tcBorders>
                    <w:tl2br w:val="nil"/>
                    <w:tr2bl w:val="nil"/>
                  </w:tcBorders>
                  <w:noWrap w:val="0"/>
                  <w:vAlign w:val="center"/>
                </w:tcPr>
                <w:p>
                  <w:pPr>
                    <w:adjustRightInd w:val="0"/>
                    <w:snapToGrid w:val="0"/>
                    <w:spacing w:after="0"/>
                    <w:ind w:firstLine="102"/>
                    <w:jc w:val="center"/>
                    <w:rPr>
                      <w:rFonts w:hint="default" w:ascii="Times New Roman" w:hAnsi="Times New Roman" w:cs="Times New Roman"/>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3、无组织排放管控</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生产车间设有顶吸二次除尘装置，车间内部无组织废气经顶吸二次除尘处理后通过相应排气筒外排。本次评价针对无组织排放提出管控要求：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sz w:val="24"/>
                <w:szCs w:val="24"/>
                <w:highlight w:val="none"/>
                <w:lang w:val="en-US" w:eastAsia="zh-CN"/>
              </w:rPr>
            </w:pPr>
            <w:r>
              <w:rPr>
                <w:rFonts w:hint="eastAsia" w:eastAsia="宋体" w:cs="Times New Roman"/>
                <w:color w:val="auto"/>
                <w:sz w:val="24"/>
                <w:szCs w:val="24"/>
                <w:highlight w:val="none"/>
                <w:lang w:val="en-US" w:eastAsia="zh-CN"/>
              </w:rPr>
              <w:t>由于本项目生产车间即为厂区，故项目于</w:t>
            </w:r>
            <w:r>
              <w:rPr>
                <w:rFonts w:hint="eastAsia" w:ascii="Times New Roman" w:hAnsi="Times New Roman" w:eastAsia="宋体" w:cs="Times New Roman"/>
                <w:color w:val="auto"/>
                <w:sz w:val="24"/>
                <w:szCs w:val="24"/>
                <w:highlight w:val="none"/>
                <w:lang w:val="en-US" w:eastAsia="zh-CN"/>
              </w:rPr>
              <w:t>厂区边界主导上、下风向各安装1套 TSP、PM</w:t>
            </w:r>
            <w:r>
              <w:rPr>
                <w:rFonts w:hint="eastAsia" w:ascii="Times New Roman" w:hAnsi="Times New Roman" w:eastAsia="宋体" w:cs="Times New Roman"/>
                <w:color w:val="auto"/>
                <w:sz w:val="24"/>
                <w:szCs w:val="24"/>
                <w:highlight w:val="none"/>
                <w:vertAlign w:val="subscript"/>
                <w:lang w:val="en-US" w:eastAsia="zh-CN"/>
              </w:rPr>
              <w:t>10</w:t>
            </w:r>
            <w:r>
              <w:rPr>
                <w:rFonts w:hint="eastAsia" w:ascii="Times New Roman" w:hAnsi="Times New Roman" w:eastAsia="宋体" w:cs="Times New Roman"/>
                <w:color w:val="auto"/>
                <w:sz w:val="24"/>
                <w:szCs w:val="24"/>
                <w:highlight w:val="none"/>
                <w:lang w:val="en-US" w:eastAsia="zh-CN"/>
              </w:rPr>
              <w:t>、PM</w:t>
            </w:r>
            <w:r>
              <w:rPr>
                <w:rFonts w:hint="eastAsia" w:ascii="Times New Roman" w:hAnsi="Times New Roman" w:eastAsia="宋体" w:cs="Times New Roman"/>
                <w:color w:val="auto"/>
                <w:sz w:val="24"/>
                <w:szCs w:val="24"/>
                <w:highlight w:val="none"/>
                <w:vertAlign w:val="subscript"/>
                <w:lang w:val="en-US" w:eastAsia="zh-CN"/>
              </w:rPr>
              <w:t>2.5</w:t>
            </w:r>
            <w:r>
              <w:rPr>
                <w:rFonts w:hint="eastAsia" w:ascii="Times New Roman" w:hAnsi="Times New Roman" w:eastAsia="宋体" w:cs="Times New Roman"/>
                <w:color w:val="auto"/>
                <w:sz w:val="24"/>
                <w:szCs w:val="24"/>
                <w:highlight w:val="none"/>
                <w:lang w:val="en-US" w:eastAsia="zh-CN"/>
              </w:rPr>
              <w:t>在线监测设备，配备1台联网的计算机，安装无组织排放监测系统软件（在线设施须有环境保护产品认证证书），与市、县环保指挥中心联网。厂区边界颗粒物浓度不高于0.5mg/Nm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厂房四面封闭，通道口安装卷帘门、推拉门等封闭性良好且便于开关的硬质门，在无车辆出入时将门关闭，保证空气合理流动不产生湍流。</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除尘器卸灰不直接卸落到地面，卸灰区封闭，除尘灰采用</w:t>
            </w:r>
            <w:r>
              <w:rPr>
                <w:rFonts w:hint="eastAsia" w:ascii="宋体" w:hAnsi="宋体" w:cs="宋体"/>
                <w:sz w:val="24"/>
                <w:szCs w:val="24"/>
                <w:highlight w:val="none"/>
                <w:lang w:val="en-US" w:eastAsia="zh-CN"/>
              </w:rPr>
              <w:t>吨包、</w:t>
            </w:r>
            <w:r>
              <w:rPr>
                <w:rFonts w:hint="eastAsia" w:ascii="宋体" w:hAnsi="宋体" w:eastAsia="宋体" w:cs="宋体"/>
                <w:sz w:val="24"/>
                <w:szCs w:val="24"/>
                <w:highlight w:val="none"/>
                <w:lang w:val="en-US" w:eastAsia="zh-CN"/>
              </w:rPr>
              <w:t>气力输送、罐车等密闭方式运输。</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厂区出入口，安装运输车辆侧向全覆盖式强制喷淋清洗设施，清洗设施应保证车辆冲洗效果，长度不少于6米、高度不低于2.5米，地面至少设置一排花式喷射喷头。</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厂区地面非绿即硬，企业厂区门口至主要交通干道之间车辆行驶路面要全部高标准硬化，并做好湿扫保洁</w:t>
            </w:r>
            <w:r>
              <w:rPr>
                <w:rFonts w:hint="eastAsia" w:ascii="宋体" w:hAnsi="宋体" w:eastAsia="宋体" w:cs="宋体"/>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在厂区门口或明显位置设置电子显示屏，实时发布主要污染物排放信息。</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其他管控要求严格按照《唐山市铸造行业整治提升工作方案》的相关要求落实。</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与排污许可衔接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val="en-US" w:eastAsia="zh-CN"/>
              </w:rPr>
              <w:t>建设项目发生实际排污行为之前，应当按照国家环境保护相关法律法规以及排污许可证申请与核发技术规范要求</w:t>
            </w:r>
            <w:r>
              <w:rPr>
                <w:rFonts w:hint="eastAsia" w:ascii="Times New Roman" w:hAnsi="Times New Roman" w:eastAsia="宋体" w:cs="Times New Roman"/>
                <w:color w:val="auto"/>
                <w:sz w:val="24"/>
                <w:szCs w:val="24"/>
                <w:highlight w:val="none"/>
                <w:lang w:val="en-US" w:eastAsia="zh-CN"/>
              </w:rPr>
              <w:t>申领</w:t>
            </w:r>
            <w:r>
              <w:rPr>
                <w:rFonts w:hint="default" w:ascii="Times New Roman" w:hAnsi="Times New Roman" w:eastAsia="宋体" w:cs="Times New Roman"/>
                <w:color w:val="auto"/>
                <w:sz w:val="24"/>
                <w:szCs w:val="24"/>
                <w:highlight w:val="none"/>
                <w:lang w:val="en-US" w:eastAsia="zh-CN"/>
              </w:rPr>
              <w:t>排污许可证，不得无证排污或不按证排污</w:t>
            </w:r>
            <w:r>
              <w:rPr>
                <w:rFonts w:hint="eastAsia" w:ascii="Times New Roman" w:hAnsi="Times New Roman" w:eastAsia="宋体" w:cs="Times New Roman"/>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snapToGrid w:val="0"/>
                <w:color w:val="auto"/>
                <w:sz w:val="24"/>
                <w:szCs w:val="24"/>
                <w:highlight w:val="none"/>
                <w:vertAlign w:val="baseline"/>
              </w:rPr>
            </w:pPr>
          </w:p>
        </w:tc>
      </w:tr>
    </w:tbl>
    <w:p>
      <w:pPr>
        <w:pStyle w:val="30"/>
        <w:jc w:val="both"/>
        <w:outlineLvl w:val="9"/>
        <w:rPr>
          <w:rFonts w:hint="default" w:ascii="Times New Roman" w:hAnsi="Times New Roman" w:cs="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0"/>
        <w:jc w:val="center"/>
        <w:outlineLvl w:val="0"/>
        <w:rPr>
          <w:rFonts w:hint="default" w:ascii="Times New Roman" w:hAnsi="Times New Roman" w:eastAsia="黑体" w:cs="Times New Roman"/>
          <w:snapToGrid w:val="0"/>
          <w:color w:val="auto"/>
          <w:sz w:val="30"/>
          <w:szCs w:val="30"/>
          <w:highlight w:val="none"/>
        </w:rPr>
      </w:pPr>
      <w:bookmarkStart w:id="24" w:name="_Toc3506"/>
      <w:bookmarkStart w:id="25" w:name="_Toc26089"/>
      <w:r>
        <w:rPr>
          <w:rFonts w:hint="default" w:ascii="Times New Roman" w:hAnsi="Times New Roman" w:eastAsia="黑体" w:cs="Times New Roman"/>
          <w:snapToGrid w:val="0"/>
          <w:color w:val="auto"/>
          <w:sz w:val="30"/>
          <w:szCs w:val="30"/>
          <w:highlight w:val="none"/>
        </w:rPr>
        <w:t>六、结论</w:t>
      </w:r>
      <w:bookmarkEnd w:id="24"/>
      <w:bookmarkEnd w:id="25"/>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olor w:val="auto"/>
                <w:sz w:val="24"/>
                <w:szCs w:val="24"/>
                <w:highlight w:val="none"/>
                <w:lang w:eastAsia="zh-CN"/>
              </w:rPr>
            </w:pPr>
            <w:r>
              <w:rPr>
                <w:rFonts w:hint="eastAsia" w:ascii="宋体" w:cs="宋体"/>
                <w:color w:val="auto"/>
                <w:sz w:val="24"/>
                <w:szCs w:val="24"/>
                <w:highlight w:val="none"/>
              </w:rPr>
              <w:t>综合以上分析，</w:t>
            </w:r>
            <w:r>
              <w:rPr>
                <w:rFonts w:hint="eastAsia" w:ascii="Times New Roman" w:hAnsi="Times New Roman" w:eastAsia="宋体" w:cs="Times New Roman"/>
                <w:color w:val="auto"/>
                <w:sz w:val="24"/>
                <w:szCs w:val="24"/>
                <w:highlight w:val="none"/>
                <w:lang w:val="en-US" w:eastAsia="zh-CN"/>
              </w:rPr>
              <w:t>遵化市益诚机械配件有限公司年产高端精密铸件5500吨数控机床配件项目</w:t>
            </w:r>
            <w:r>
              <w:rPr>
                <w:rFonts w:hint="eastAsia" w:ascii="宋体" w:cs="宋体"/>
                <w:color w:val="auto"/>
                <w:sz w:val="24"/>
                <w:szCs w:val="24"/>
                <w:highlight w:val="none"/>
              </w:rPr>
              <w:t>符合国家和地方相关产业政策要求；选址可行；采取了完善的环保治理措施，可确保各类污染源的稳定达标排放</w:t>
            </w:r>
            <w:r>
              <w:rPr>
                <w:rFonts w:hint="eastAsia" w:ascii="宋体" w:cs="宋体"/>
                <w:color w:val="auto"/>
                <w:sz w:val="24"/>
                <w:szCs w:val="24"/>
                <w:highlight w:val="none"/>
                <w:lang w:eastAsia="zh-CN"/>
              </w:rPr>
              <w:t>，</w:t>
            </w:r>
            <w:r>
              <w:rPr>
                <w:rFonts w:hint="eastAsia" w:ascii="宋体" w:cs="宋体"/>
                <w:color w:val="auto"/>
                <w:sz w:val="24"/>
                <w:szCs w:val="24"/>
                <w:highlight w:val="none"/>
              </w:rPr>
              <w:t>项目实施后不会对周围环境产生明显影响。因此，本评价从环保角度分析认为项目的建设是可行的</w:t>
            </w:r>
            <w:r>
              <w:rPr>
                <w:rFonts w:hint="eastAsia" w:ascii="Times New Roman" w:hAnsi="Times New Roman"/>
                <w:color w:val="auto"/>
                <w:sz w:val="24"/>
                <w:szCs w:val="24"/>
                <w:highlight w:val="none"/>
                <w:lang w:eastAsia="zh-CN"/>
              </w:rPr>
              <w:t>。</w:t>
            </w:r>
          </w:p>
          <w:p>
            <w:pPr>
              <w:spacing w:line="360" w:lineRule="auto"/>
              <w:rPr>
                <w:rFonts w:hint="default" w:ascii="Times New Roman" w:hAnsi="Times New Roman" w:cs="Times New Roman"/>
                <w:color w:val="auto"/>
                <w:sz w:val="21"/>
                <w:szCs w:val="21"/>
                <w:highlight w:val="none"/>
              </w:rPr>
            </w:pPr>
          </w:p>
        </w:tc>
      </w:tr>
    </w:tbl>
    <w:p>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highlight w:val="none"/>
        </w:rPr>
      </w:pPr>
      <w:bookmarkStart w:id="26" w:name="_Toc16775"/>
      <w:bookmarkStart w:id="27" w:name="_Toc14760"/>
      <w:r>
        <w:rPr>
          <w:rFonts w:hint="default" w:ascii="Times New Roman" w:hAnsi="Times New Roman" w:eastAsia="黑体" w:cs="Times New Roman"/>
          <w:snapToGrid w:val="0"/>
          <w:color w:val="auto"/>
          <w:sz w:val="32"/>
          <w:szCs w:val="32"/>
          <w:highlight w:val="none"/>
        </w:rPr>
        <w:t>附表</w:t>
      </w:r>
      <w:bookmarkEnd w:id="26"/>
      <w:bookmarkEnd w:id="27"/>
    </w:p>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b/>
          <w:bCs/>
          <w:snapToGrid w:val="0"/>
          <w:color w:val="auto"/>
          <w:sz w:val="38"/>
          <w:szCs w:val="38"/>
          <w:highlight w:val="none"/>
        </w:rPr>
      </w:pPr>
      <w:bookmarkStart w:id="28" w:name="_Toc20906"/>
      <w:bookmarkStart w:id="29" w:name="_Toc20054"/>
      <w:r>
        <w:rPr>
          <w:rFonts w:hint="default" w:ascii="Times New Roman" w:hAnsi="Times New Roman" w:eastAsia="宋体" w:cs="Times New Roman"/>
          <w:b/>
          <w:bCs/>
          <w:snapToGrid w:val="0"/>
          <w:color w:val="auto"/>
          <w:sz w:val="38"/>
          <w:szCs w:val="38"/>
          <w:highlight w:val="none"/>
        </w:rPr>
        <w:t>建设项目污染物排放量汇总表</w:t>
      </w:r>
      <w:bookmarkEnd w:id="28"/>
      <w:bookmarkEnd w:id="29"/>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eastAsia" w:ascii="Times New Roman" w:hAnsi="Times New Roman" w:eastAsia="宋体" w:cs="Times New Roman"/>
                <w:snapToGrid w:val="0"/>
                <w:color w:val="auto"/>
                <w:spacing w:val="-6"/>
                <w:kern w:val="21"/>
                <w:sz w:val="24"/>
                <w:szCs w:val="24"/>
                <w:highlight w:val="none"/>
                <w:lang w:val="en-US" w:eastAsia="zh-CN"/>
              </w:rPr>
              <w:t xml:space="preserve">   </w:t>
            </w:r>
            <w:r>
              <w:rPr>
                <w:rFonts w:hint="default" w:ascii="Times New Roman" w:hAnsi="Times New Roman" w:eastAsia="宋体" w:cs="Times New Roman"/>
                <w:snapToGrid w:val="0"/>
                <w:color w:val="auto"/>
                <w:spacing w:val="-6"/>
                <w:kern w:val="21"/>
                <w:sz w:val="24"/>
                <w:szCs w:val="24"/>
                <w:highlight w:val="none"/>
              </w:rPr>
              <w:t>项目</w:t>
            </w:r>
          </w:p>
          <w:p>
            <w:pPr>
              <w:pStyle w:val="58"/>
              <w:keepNext w:val="0"/>
              <w:keepLines w:val="0"/>
              <w:pageBreakBefore w:val="0"/>
              <w:kinsoku/>
              <w:wordWrap/>
              <w:overflowPunct/>
              <w:topLinePunct w:val="0"/>
              <w:autoSpaceDE/>
              <w:autoSpaceDN/>
              <w:bidi w:val="0"/>
              <w:spacing w:beforeLines="0" w:afterLines="0" w:line="420" w:lineRule="exact"/>
              <w:ind w:right="0" w:firstLine="0"/>
              <w:jc w:val="left"/>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21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157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left="0" w:leftChars="0" w:right="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1135"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156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1621"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514"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2"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1743" w:type="dxa"/>
            <w:noWrap w:val="0"/>
            <w:tcMar>
              <w:left w:w="28" w:type="dxa"/>
              <w:right w:w="28" w:type="dxa"/>
            </w:tcMar>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废气</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color w:val="auto"/>
                <w:sz w:val="24"/>
                <w:szCs w:val="24"/>
                <w:highlight w:val="none"/>
              </w:rPr>
              <w:t>颗粒物</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cs="Times New Roman"/>
                <w:snapToGrid w:val="0"/>
                <w:color w:val="auto"/>
                <w:kern w:val="0"/>
                <w:sz w:val="24"/>
                <w:szCs w:val="24"/>
                <w:highlight w:val="none"/>
                <w:lang w:val="en-US" w:eastAsia="zh-CN" w:bidi="ar-SA"/>
              </w:rPr>
              <w:t>0.399</w:t>
            </w:r>
            <w:r>
              <w:rPr>
                <w:rFonts w:hint="eastAsia" w:ascii="Times New Roman" w:hAnsi="Times New Roman" w:eastAsia="宋体" w:cs="Times New Roman"/>
                <w:snapToGrid w:val="0"/>
                <w:color w:val="auto"/>
                <w:kern w:val="0"/>
                <w:sz w:val="24"/>
                <w:szCs w:val="24"/>
                <w:highlight w:val="none"/>
                <w:lang w:val="en-US" w:eastAsia="zh-CN" w:bidi="ar-SA"/>
              </w:rPr>
              <w:t>t/a</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0</w:t>
            </w:r>
            <w:r>
              <w:rPr>
                <w:rFonts w:hint="eastAsia" w:ascii="Times New Roman" w:hAnsi="Times New Roman" w:eastAsia="宋体" w:cs="Times New Roman"/>
                <w:snapToGrid w:val="0"/>
                <w:color w:val="auto"/>
                <w:kern w:val="21"/>
                <w:sz w:val="24"/>
                <w:szCs w:val="24"/>
                <w:highlight w:val="none"/>
                <w:lang w:val="en-US" w:eastAsia="zh-CN" w:bidi="ar-SA"/>
              </w:rPr>
              <w:t>t/a</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bidi="ar-SA"/>
              </w:rPr>
              <w:t>0.399</w:t>
            </w:r>
            <w:r>
              <w:rPr>
                <w:rFonts w:hint="eastAsia" w:ascii="Times New Roman" w:hAnsi="Times New Roman" w:eastAsia="宋体" w:cs="Times New Roman"/>
                <w:snapToGrid w:val="0"/>
                <w:color w:val="auto"/>
                <w:kern w:val="0"/>
                <w:sz w:val="24"/>
                <w:szCs w:val="24"/>
                <w:highlight w:val="none"/>
                <w:lang w:val="en-US" w:eastAsia="zh-CN" w:bidi="ar-SA"/>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cs="Times New Roman"/>
                <w:snapToGrid w:val="0"/>
                <w:color w:val="auto"/>
                <w:kern w:val="0"/>
                <w:sz w:val="24"/>
                <w:szCs w:val="24"/>
                <w:highlight w:val="none"/>
                <w:lang w:val="en-US" w:eastAsia="zh-CN" w:bidi="ar-SA"/>
              </w:rPr>
              <w:t>0.399</w:t>
            </w:r>
            <w:r>
              <w:rPr>
                <w:rFonts w:hint="eastAsia" w:ascii="Times New Roman" w:hAnsi="Times New Roman" w:eastAsia="宋体" w:cs="Times New Roman"/>
                <w:snapToGrid w:val="0"/>
                <w:color w:val="auto"/>
                <w:kern w:val="0"/>
                <w:sz w:val="24"/>
                <w:szCs w:val="24"/>
                <w:highlight w:val="none"/>
                <w:lang w:val="en-US" w:eastAsia="zh-CN" w:bidi="ar-S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SO</w:t>
            </w:r>
            <w:r>
              <w:rPr>
                <w:color w:val="auto"/>
                <w:sz w:val="24"/>
                <w:szCs w:val="24"/>
                <w:highlight w:val="none"/>
                <w:vertAlign w:val="subscript"/>
              </w:rPr>
              <w:t>2</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NOx</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COD</w:t>
            </w:r>
          </w:p>
        </w:tc>
        <w:tc>
          <w:tcPr>
            <w:tcW w:w="157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cs="Times New Roman"/>
                <w:snapToGrid w:val="0"/>
                <w:color w:val="auto"/>
                <w:kern w:val="21"/>
                <w:sz w:val="24"/>
                <w:szCs w:val="24"/>
                <w:highlight w:val="none"/>
                <w:lang w:val="en-US" w:eastAsia="zh-CN" w:bidi="ar-SA"/>
              </w:rPr>
              <w:t>SS</w:t>
            </w:r>
          </w:p>
        </w:tc>
        <w:tc>
          <w:tcPr>
            <w:tcW w:w="157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氨氮</w:t>
            </w:r>
          </w:p>
        </w:tc>
        <w:tc>
          <w:tcPr>
            <w:tcW w:w="1575" w:type="dxa"/>
            <w:noWrap w:val="0"/>
            <w:vAlign w:val="center"/>
          </w:tcPr>
          <w:p>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固体</w:t>
            </w:r>
            <w:r>
              <w:rPr>
                <w:rFonts w:hint="default" w:ascii="Times New Roman" w:hAnsi="Times New Roman" w:eastAsia="宋体" w:cs="Times New Roman"/>
                <w:snapToGrid w:val="0"/>
                <w:color w:val="auto"/>
                <w:kern w:val="21"/>
                <w:sz w:val="24"/>
                <w:szCs w:val="24"/>
                <w:highlight w:val="none"/>
              </w:rPr>
              <w:t>废物</w:t>
            </w: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除尘灰</w:t>
            </w:r>
          </w:p>
        </w:tc>
        <w:tc>
          <w:tcPr>
            <w:tcW w:w="1575"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39.482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sz w:val="24"/>
                <w:szCs w:val="24"/>
                <w:highlight w:val="none"/>
                <w:lang w:val="en-US" w:eastAsia="zh-CN"/>
              </w:rPr>
              <w:t>39.482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39.482</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熔炼渣</w:t>
            </w:r>
          </w:p>
        </w:tc>
        <w:tc>
          <w:tcPr>
            <w:tcW w:w="1575"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65</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cs="Times New Roman"/>
                <w:color w:val="auto"/>
                <w:sz w:val="24"/>
                <w:szCs w:val="24"/>
                <w:lang w:val="en-US" w:eastAsia="zh-CN"/>
              </w:rPr>
            </w:pPr>
            <w:r>
              <w:rPr>
                <w:rFonts w:hint="eastAsia" w:cs="Times New Roman"/>
                <w:color w:val="auto"/>
                <w:sz w:val="24"/>
                <w:szCs w:val="24"/>
                <w:highlight w:val="none"/>
                <w:lang w:val="en-US" w:eastAsia="zh-CN"/>
              </w:rPr>
              <w:t>65</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cs="Times New Roman"/>
                <w:color w:val="auto"/>
                <w:sz w:val="24"/>
                <w:szCs w:val="24"/>
                <w:lang w:val="en-US" w:eastAsia="zh-CN"/>
              </w:rPr>
            </w:pPr>
            <w:r>
              <w:rPr>
                <w:rFonts w:hint="eastAsia" w:cs="Times New Roman"/>
                <w:color w:val="auto"/>
                <w:sz w:val="24"/>
                <w:szCs w:val="24"/>
                <w:highlight w:val="none"/>
                <w:lang w:val="en-US" w:eastAsia="zh-CN"/>
              </w:rPr>
              <w:t>65</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切冒口及磁选废铁</w:t>
            </w:r>
          </w:p>
        </w:tc>
        <w:tc>
          <w:tcPr>
            <w:tcW w:w="1575"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废砂</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147.1688</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sz w:val="24"/>
                <w:szCs w:val="24"/>
                <w:highlight w:val="none"/>
                <w:lang w:val="en-US" w:eastAsia="zh-CN"/>
              </w:rPr>
              <w:t>147.1688</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147.1688</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废布袋</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废矿物油</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废油桶</w:t>
            </w:r>
          </w:p>
        </w:tc>
        <w:tc>
          <w:tcPr>
            <w:tcW w:w="1575"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0.06</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0.06</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0.06</w:t>
            </w:r>
            <w:r>
              <w:rPr>
                <w:rFonts w:hint="default" w:ascii="Times New Roman" w:hAnsi="Times New Roman" w:eastAsia="宋体" w:cs="Times New Roman"/>
                <w:color w:val="auto"/>
                <w:sz w:val="24"/>
                <w:szCs w:val="24"/>
                <w:highlight w:val="none"/>
                <w:lang w:val="en-US" w:eastAsia="zh-CN"/>
              </w:rPr>
              <w:t>t/a</w:t>
            </w:r>
          </w:p>
        </w:tc>
      </w:tr>
    </w:tbl>
    <w:p>
      <w:pPr>
        <w:pStyle w:val="58"/>
        <w:spacing w:before="192" w:beforeLines="80" w:after="24"/>
        <w:jc w:val="left"/>
        <w:outlineLvl w:val="0"/>
        <w:rPr>
          <w:rFonts w:hint="default" w:ascii="Times New Roman" w:hAnsi="Times New Roman" w:cs="Times New Roman"/>
          <w:color w:val="auto"/>
          <w:highlight w:val="none"/>
        </w:rPr>
        <w:sectPr>
          <w:footerReference r:id="rId5"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30" w:name="_Toc18994"/>
      <w:bookmarkStart w:id="31" w:name="_Toc13077"/>
      <w:r>
        <w:rPr>
          <w:rFonts w:hint="default" w:ascii="Times New Roman" w:hAnsi="Times New Roman" w:eastAsia="宋体" w:cs="Times New Roman"/>
          <w:snapToGrid w:val="0"/>
          <w:color w:val="auto"/>
          <w:kern w:val="21"/>
          <w:sz w:val="21"/>
          <w:szCs w:val="21"/>
          <w:highlight w:val="none"/>
        </w:rPr>
        <w:t>注：</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bookmarkEnd w:id="30"/>
      <w:bookmarkEnd w:id="31"/>
    </w:p>
    <w:p>
      <w:pPr>
        <w:pStyle w:val="58"/>
        <w:spacing w:before="192" w:beforeLines="80" w:after="24"/>
        <w:jc w:val="left"/>
        <w:rPr>
          <w:rFonts w:hint="default" w:ascii="Times New Roman" w:hAnsi="Times New Roman" w:eastAsia="黑体" w:cs="Times New Roman"/>
          <w:color w:val="auto"/>
          <w:highlight w:val="none"/>
        </w:rPr>
      </w:pPr>
    </w:p>
    <w:sectPr>
      <w:footerReference r:id="rId6"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4"/>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52</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4B8FA"/>
    <w:multiLevelType w:val="singleLevel"/>
    <w:tmpl w:val="AC14B8FA"/>
    <w:lvl w:ilvl="0" w:tentative="0">
      <w:start w:val="1"/>
      <w:numFmt w:val="decimal"/>
      <w:lvlText w:val="(%1)"/>
      <w:lvlJc w:val="left"/>
      <w:pPr>
        <w:tabs>
          <w:tab w:val="left" w:pos="312"/>
        </w:tabs>
      </w:pPr>
    </w:lvl>
  </w:abstractNum>
  <w:abstractNum w:abstractNumId="1">
    <w:nsid w:val="B1F3E89D"/>
    <w:multiLevelType w:val="singleLevel"/>
    <w:tmpl w:val="B1F3E89D"/>
    <w:lvl w:ilvl="0" w:tentative="0">
      <w:start w:val="2"/>
      <w:numFmt w:val="chineseCounting"/>
      <w:suff w:val="nothing"/>
      <w:lvlText w:val="%1、"/>
      <w:lvlJc w:val="left"/>
      <w:rPr>
        <w:rFonts w:hint="eastAsia"/>
      </w:rPr>
    </w:lvl>
  </w:abstractNum>
  <w:abstractNum w:abstractNumId="2">
    <w:nsid w:val="EE830309"/>
    <w:multiLevelType w:val="singleLevel"/>
    <w:tmpl w:val="EE830309"/>
    <w:lvl w:ilvl="0" w:tentative="0">
      <w:start w:val="6"/>
      <w:numFmt w:val="decimal"/>
      <w:suff w:val="nothing"/>
      <w:lvlText w:val="%1、"/>
      <w:lvlJc w:val="left"/>
    </w:lvl>
  </w:abstractNum>
  <w:abstractNum w:abstractNumId="3">
    <w:nsid w:val="62F27C37"/>
    <w:multiLevelType w:val="singleLevel"/>
    <w:tmpl w:val="62F27C37"/>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YzdlOWUwNTcxNGNkOTAzMmMyMjc5ZmMyNWI3NzMifQ=="/>
    <w:docVar w:name="KSO_WPS_MARK_KEY" w:val="2e117c6c-bf45-429c-986d-c85b8e869154"/>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56058"/>
    <w:rsid w:val="01290F7E"/>
    <w:rsid w:val="013A4E99"/>
    <w:rsid w:val="015D1E09"/>
    <w:rsid w:val="017A5B95"/>
    <w:rsid w:val="0181020C"/>
    <w:rsid w:val="021B1886"/>
    <w:rsid w:val="022D29A3"/>
    <w:rsid w:val="02502671"/>
    <w:rsid w:val="02697903"/>
    <w:rsid w:val="029F3B20"/>
    <w:rsid w:val="02A64FC9"/>
    <w:rsid w:val="02B40E52"/>
    <w:rsid w:val="02C45A20"/>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902CC"/>
    <w:rsid w:val="0CAB2EAE"/>
    <w:rsid w:val="0CC325F6"/>
    <w:rsid w:val="0CD35B77"/>
    <w:rsid w:val="0CDD4940"/>
    <w:rsid w:val="0CF03EA5"/>
    <w:rsid w:val="0D0B15F5"/>
    <w:rsid w:val="0D165B1C"/>
    <w:rsid w:val="0D621C7D"/>
    <w:rsid w:val="0D701E19"/>
    <w:rsid w:val="0D8131CF"/>
    <w:rsid w:val="0DE9054C"/>
    <w:rsid w:val="0E1E41C0"/>
    <w:rsid w:val="0E252DBE"/>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1045758D"/>
    <w:rsid w:val="106D2F64"/>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CA7AF7"/>
    <w:rsid w:val="136B02B0"/>
    <w:rsid w:val="136D2600"/>
    <w:rsid w:val="13857B72"/>
    <w:rsid w:val="13951726"/>
    <w:rsid w:val="13FD745B"/>
    <w:rsid w:val="14172912"/>
    <w:rsid w:val="14396509"/>
    <w:rsid w:val="14B37DED"/>
    <w:rsid w:val="14DD2C3C"/>
    <w:rsid w:val="15143F58"/>
    <w:rsid w:val="1542379B"/>
    <w:rsid w:val="15730DF4"/>
    <w:rsid w:val="15B579D2"/>
    <w:rsid w:val="15BF5AF8"/>
    <w:rsid w:val="15DE6BDE"/>
    <w:rsid w:val="15F2734F"/>
    <w:rsid w:val="16087E1D"/>
    <w:rsid w:val="16177F3D"/>
    <w:rsid w:val="164C6BA7"/>
    <w:rsid w:val="16656570"/>
    <w:rsid w:val="167B24D5"/>
    <w:rsid w:val="17371DE5"/>
    <w:rsid w:val="17701D14"/>
    <w:rsid w:val="17735226"/>
    <w:rsid w:val="17B36136"/>
    <w:rsid w:val="17E128FF"/>
    <w:rsid w:val="181C6332"/>
    <w:rsid w:val="18590CEE"/>
    <w:rsid w:val="18722EE9"/>
    <w:rsid w:val="18802C7B"/>
    <w:rsid w:val="189F624C"/>
    <w:rsid w:val="193C7DFD"/>
    <w:rsid w:val="19523E86"/>
    <w:rsid w:val="195C5EBB"/>
    <w:rsid w:val="198729C4"/>
    <w:rsid w:val="19BA011B"/>
    <w:rsid w:val="19CA3D90"/>
    <w:rsid w:val="19EC74A2"/>
    <w:rsid w:val="1A1C66C0"/>
    <w:rsid w:val="1A331F9B"/>
    <w:rsid w:val="1A42393B"/>
    <w:rsid w:val="1A9A6E9E"/>
    <w:rsid w:val="1AAD45DE"/>
    <w:rsid w:val="1B046F80"/>
    <w:rsid w:val="1B3267B5"/>
    <w:rsid w:val="1B333B1F"/>
    <w:rsid w:val="1B40161D"/>
    <w:rsid w:val="1B441859"/>
    <w:rsid w:val="1B4C4154"/>
    <w:rsid w:val="1B6606B1"/>
    <w:rsid w:val="1B6D24CA"/>
    <w:rsid w:val="1B8E6CC1"/>
    <w:rsid w:val="1B9A39A4"/>
    <w:rsid w:val="1BA14A1C"/>
    <w:rsid w:val="1BB07775"/>
    <w:rsid w:val="1BB357F7"/>
    <w:rsid w:val="1BF3279E"/>
    <w:rsid w:val="1C1C0D7D"/>
    <w:rsid w:val="1C2277C9"/>
    <w:rsid w:val="1C5E7925"/>
    <w:rsid w:val="1C873CC6"/>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3E56E2C"/>
    <w:rsid w:val="240210CD"/>
    <w:rsid w:val="246F11B9"/>
    <w:rsid w:val="24990099"/>
    <w:rsid w:val="249E20BE"/>
    <w:rsid w:val="24BF09F7"/>
    <w:rsid w:val="24E76A0D"/>
    <w:rsid w:val="25113DC2"/>
    <w:rsid w:val="25230915"/>
    <w:rsid w:val="252D53FE"/>
    <w:rsid w:val="253F7EE2"/>
    <w:rsid w:val="25A832E1"/>
    <w:rsid w:val="25BA7C7E"/>
    <w:rsid w:val="25DA70E9"/>
    <w:rsid w:val="25DB3B72"/>
    <w:rsid w:val="25EA315B"/>
    <w:rsid w:val="25EC2D81"/>
    <w:rsid w:val="25FA62CC"/>
    <w:rsid w:val="26413314"/>
    <w:rsid w:val="26520107"/>
    <w:rsid w:val="26775B6F"/>
    <w:rsid w:val="26B43D88"/>
    <w:rsid w:val="27022E90"/>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607BF8"/>
    <w:rsid w:val="2F834477"/>
    <w:rsid w:val="2FD065E6"/>
    <w:rsid w:val="2FD96870"/>
    <w:rsid w:val="30481184"/>
    <w:rsid w:val="30580BC9"/>
    <w:rsid w:val="305E63A5"/>
    <w:rsid w:val="30FA66A3"/>
    <w:rsid w:val="311C0AB9"/>
    <w:rsid w:val="311D279F"/>
    <w:rsid w:val="311E2ED7"/>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F03C4"/>
    <w:rsid w:val="3FEE6BFE"/>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415C9"/>
    <w:rsid w:val="47A07E0C"/>
    <w:rsid w:val="4821398F"/>
    <w:rsid w:val="484C3DBB"/>
    <w:rsid w:val="48545A7F"/>
    <w:rsid w:val="4870272E"/>
    <w:rsid w:val="48834CFC"/>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BB11C1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F025DD2"/>
    <w:rsid w:val="4F0E76A1"/>
    <w:rsid w:val="4F3D627E"/>
    <w:rsid w:val="4F4766B1"/>
    <w:rsid w:val="4F4C1097"/>
    <w:rsid w:val="4F50655E"/>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1071719"/>
    <w:rsid w:val="512C7E53"/>
    <w:rsid w:val="5162104E"/>
    <w:rsid w:val="51823496"/>
    <w:rsid w:val="51923C49"/>
    <w:rsid w:val="521F0CE5"/>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DF575A"/>
    <w:rsid w:val="59E263BB"/>
    <w:rsid w:val="59E44380"/>
    <w:rsid w:val="59FC284F"/>
    <w:rsid w:val="5A001706"/>
    <w:rsid w:val="5A4B786B"/>
    <w:rsid w:val="5A5C0273"/>
    <w:rsid w:val="5A8866C7"/>
    <w:rsid w:val="5AB7014D"/>
    <w:rsid w:val="5ABE2233"/>
    <w:rsid w:val="5AEF44DA"/>
    <w:rsid w:val="5B5301C6"/>
    <w:rsid w:val="5BAF393B"/>
    <w:rsid w:val="5BD91F04"/>
    <w:rsid w:val="5BDF5D95"/>
    <w:rsid w:val="5BFE7528"/>
    <w:rsid w:val="5C043425"/>
    <w:rsid w:val="5C2869BF"/>
    <w:rsid w:val="5CAA190C"/>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647D69"/>
    <w:rsid w:val="607F4598"/>
    <w:rsid w:val="608C7032"/>
    <w:rsid w:val="60CC405A"/>
    <w:rsid w:val="60F1754A"/>
    <w:rsid w:val="61493688"/>
    <w:rsid w:val="61B310BB"/>
    <w:rsid w:val="61E215D8"/>
    <w:rsid w:val="61E84C4F"/>
    <w:rsid w:val="61F2362B"/>
    <w:rsid w:val="62011C0C"/>
    <w:rsid w:val="621B3775"/>
    <w:rsid w:val="62265778"/>
    <w:rsid w:val="62314332"/>
    <w:rsid w:val="62364782"/>
    <w:rsid w:val="624276F7"/>
    <w:rsid w:val="62636E14"/>
    <w:rsid w:val="626B0109"/>
    <w:rsid w:val="6299063F"/>
    <w:rsid w:val="62E321EF"/>
    <w:rsid w:val="63400123"/>
    <w:rsid w:val="63676B1D"/>
    <w:rsid w:val="6394356A"/>
    <w:rsid w:val="639F2247"/>
    <w:rsid w:val="63A333EE"/>
    <w:rsid w:val="63C61B2C"/>
    <w:rsid w:val="63D40BE9"/>
    <w:rsid w:val="63E516BC"/>
    <w:rsid w:val="64102431"/>
    <w:rsid w:val="642B09EE"/>
    <w:rsid w:val="644A36BE"/>
    <w:rsid w:val="644C637C"/>
    <w:rsid w:val="647B7D49"/>
    <w:rsid w:val="64834E9A"/>
    <w:rsid w:val="64A37D6C"/>
    <w:rsid w:val="64A5243A"/>
    <w:rsid w:val="64AE1680"/>
    <w:rsid w:val="64B23636"/>
    <w:rsid w:val="64D53189"/>
    <w:rsid w:val="64D92F75"/>
    <w:rsid w:val="64F531DE"/>
    <w:rsid w:val="65373578"/>
    <w:rsid w:val="654202BE"/>
    <w:rsid w:val="656D2D98"/>
    <w:rsid w:val="65C877D0"/>
    <w:rsid w:val="65DE4CE7"/>
    <w:rsid w:val="65F07DFC"/>
    <w:rsid w:val="661C734D"/>
    <w:rsid w:val="6655134F"/>
    <w:rsid w:val="666D606B"/>
    <w:rsid w:val="668B7B3C"/>
    <w:rsid w:val="66967BBD"/>
    <w:rsid w:val="66F84719"/>
    <w:rsid w:val="671F124A"/>
    <w:rsid w:val="67404CC6"/>
    <w:rsid w:val="677A33C6"/>
    <w:rsid w:val="67841204"/>
    <w:rsid w:val="679227C5"/>
    <w:rsid w:val="67DE4B1C"/>
    <w:rsid w:val="67F0407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94006A"/>
    <w:rsid w:val="6AC17DC9"/>
    <w:rsid w:val="6ADF20B9"/>
    <w:rsid w:val="6AF87E20"/>
    <w:rsid w:val="6B322639"/>
    <w:rsid w:val="6B427B62"/>
    <w:rsid w:val="6B673089"/>
    <w:rsid w:val="6B925E92"/>
    <w:rsid w:val="6BE40930"/>
    <w:rsid w:val="6C0A711F"/>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9446DD"/>
    <w:rsid w:val="71B44B4E"/>
    <w:rsid w:val="71D27F8A"/>
    <w:rsid w:val="71E74F23"/>
    <w:rsid w:val="720938E7"/>
    <w:rsid w:val="721327D4"/>
    <w:rsid w:val="7225396E"/>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A223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E5EBA"/>
    <w:rsid w:val="7A364017"/>
    <w:rsid w:val="7A635F69"/>
    <w:rsid w:val="7A7A6852"/>
    <w:rsid w:val="7A810C91"/>
    <w:rsid w:val="7A8265E1"/>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9">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10">
    <w:name w:val="heading 3"/>
    <w:basedOn w:val="1"/>
    <w:next w:val="1"/>
    <w:qFormat/>
    <w:locked/>
    <w:uiPriority w:val="0"/>
    <w:pPr>
      <w:keepNext/>
      <w:keepLines/>
      <w:widowControl w:val="0"/>
      <w:spacing w:before="260" w:after="260" w:line="415" w:lineRule="auto"/>
      <w:outlineLvl w:val="2"/>
    </w:pPr>
    <w:rPr>
      <w:b/>
      <w:bCs/>
      <w:sz w:val="32"/>
      <w:szCs w:val="32"/>
    </w:rPr>
  </w:style>
  <w:style w:type="paragraph" w:styleId="11">
    <w:name w:val="heading 4"/>
    <w:basedOn w:val="1"/>
    <w:next w:val="1"/>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rPr>
      <w:kern w:val="2"/>
      <w:sz w:val="21"/>
    </w:rPr>
  </w:style>
  <w:style w:type="paragraph" w:styleId="3">
    <w:name w:val="Body Text Indent"/>
    <w:basedOn w:val="1"/>
    <w:next w:val="4"/>
    <w:link w:val="47"/>
    <w:qFormat/>
    <w:uiPriority w:val="0"/>
    <w:pPr>
      <w:spacing w:after="120"/>
      <w:ind w:left="420" w:leftChars="200"/>
    </w:pPr>
    <w:rPr>
      <w:kern w:val="0"/>
      <w:sz w:val="24"/>
      <w:szCs w:val="20"/>
    </w:rPr>
  </w:style>
  <w:style w:type="paragraph" w:styleId="4">
    <w:name w:val="header"/>
    <w:basedOn w:val="1"/>
    <w:next w:val="5"/>
    <w:link w:val="5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5">
    <w:name w:val="样式5"/>
    <w:basedOn w:val="6"/>
    <w:next w:val="7"/>
    <w:qFormat/>
    <w:uiPriority w:val="0"/>
    <w:pPr>
      <w:adjustRightInd w:val="0"/>
      <w:snapToGrid w:val="0"/>
      <w:spacing w:line="460" w:lineRule="exact"/>
      <w:ind w:firstLine="200"/>
      <w:textAlignment w:val="baseline"/>
    </w:pPr>
    <w:rPr>
      <w:rFonts w:ascii="Arial" w:hAnsi="Arial"/>
    </w:rPr>
  </w:style>
  <w:style w:type="paragraph" w:customStyle="1" w:styleId="6">
    <w:name w:val="正文1"/>
    <w:basedOn w:val="1"/>
    <w:next w:val="1"/>
    <w:link w:val="54"/>
    <w:qFormat/>
    <w:uiPriority w:val="0"/>
    <w:pPr>
      <w:spacing w:line="360" w:lineRule="auto"/>
      <w:ind w:firstLine="480" w:firstLineChars="200"/>
    </w:pPr>
    <w:rPr>
      <w:snapToGrid w:val="0"/>
      <w:kern w:val="0"/>
      <w:sz w:val="24"/>
      <w:szCs w:val="20"/>
    </w:rPr>
  </w:style>
  <w:style w:type="paragraph" w:styleId="7">
    <w:name w:val="endnote text"/>
    <w:basedOn w:val="1"/>
    <w:unhideWhenUsed/>
    <w:qFormat/>
    <w:locked/>
    <w:uiPriority w:val="0"/>
    <w:pPr>
      <w:snapToGrid w:val="0"/>
      <w:jc w:val="left"/>
    </w:pPr>
    <w:rPr>
      <w:rFonts w:ascii="Calibri" w:hAnsi="Calibri"/>
      <w:sz w:val="24"/>
      <w:szCs w:val="22"/>
    </w:rPr>
  </w:style>
  <w:style w:type="paragraph" w:styleId="12">
    <w:name w:val="Normal Indent"/>
    <w:basedOn w:val="1"/>
    <w:next w:val="11"/>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13">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14">
    <w:name w:val="annotation text"/>
    <w:basedOn w:val="1"/>
    <w:link w:val="48"/>
    <w:semiHidden/>
    <w:qFormat/>
    <w:uiPriority w:val="0"/>
    <w:pPr>
      <w:jc w:val="left"/>
    </w:pPr>
    <w:rPr>
      <w:kern w:val="0"/>
      <w:sz w:val="24"/>
      <w:szCs w:val="20"/>
    </w:rPr>
  </w:style>
  <w:style w:type="paragraph" w:styleId="15">
    <w:name w:val="Body Text"/>
    <w:basedOn w:val="1"/>
    <w:next w:val="16"/>
    <w:link w:val="49"/>
    <w:qFormat/>
    <w:uiPriority w:val="0"/>
    <w:pPr>
      <w:widowControl/>
      <w:snapToGrid w:val="0"/>
      <w:spacing w:before="60" w:after="160" w:line="259" w:lineRule="auto"/>
      <w:ind w:right="113"/>
    </w:pPr>
    <w:rPr>
      <w:kern w:val="0"/>
      <w:sz w:val="18"/>
      <w:szCs w:val="20"/>
    </w:rPr>
  </w:style>
  <w:style w:type="paragraph" w:customStyle="1" w:styleId="16">
    <w:name w:val="默认段落"/>
    <w:basedOn w:val="1"/>
    <w:qFormat/>
    <w:uiPriority w:val="0"/>
    <w:pPr>
      <w:topLinePunct w:val="0"/>
    </w:pPr>
  </w:style>
  <w:style w:type="paragraph" w:styleId="17">
    <w:name w:val="Block Text"/>
    <w:basedOn w:val="1"/>
    <w:next w:val="1"/>
    <w:qFormat/>
    <w:locked/>
    <w:uiPriority w:val="0"/>
    <w:pPr>
      <w:ind w:left="137" w:right="116" w:firstLine="317"/>
    </w:pPr>
    <w:rPr>
      <w:sz w:val="28"/>
    </w:rPr>
  </w:style>
  <w:style w:type="paragraph" w:styleId="18">
    <w:name w:val="Plain Text"/>
    <w:basedOn w:val="1"/>
    <w:next w:val="19"/>
    <w:unhideWhenUsed/>
    <w:qFormat/>
    <w:locked/>
    <w:uiPriority w:val="0"/>
    <w:rPr>
      <w:rFonts w:ascii="font404" w:hAnsi="font404" w:cs="宋体"/>
      <w:szCs w:val="21"/>
    </w:rPr>
  </w:style>
  <w:style w:type="paragraph" w:styleId="19">
    <w:name w:val="List Continue 5"/>
    <w:basedOn w:val="1"/>
    <w:unhideWhenUsed/>
    <w:qFormat/>
    <w:locked/>
    <w:uiPriority w:val="99"/>
    <w:pPr>
      <w:spacing w:after="120" w:afterLines="0"/>
      <w:ind w:left="2100" w:leftChars="1000"/>
    </w:pPr>
  </w:style>
  <w:style w:type="paragraph" w:styleId="20">
    <w:name w:val="toc 8"/>
    <w:basedOn w:val="1"/>
    <w:next w:val="1"/>
    <w:qFormat/>
    <w:locked/>
    <w:uiPriority w:val="0"/>
    <w:pPr>
      <w:ind w:left="1470"/>
      <w:jc w:val="left"/>
    </w:pPr>
    <w:rPr>
      <w:sz w:val="18"/>
      <w:szCs w:val="18"/>
    </w:rPr>
  </w:style>
  <w:style w:type="paragraph" w:styleId="21">
    <w:name w:val="Date"/>
    <w:basedOn w:val="1"/>
    <w:next w:val="1"/>
    <w:link w:val="50"/>
    <w:qFormat/>
    <w:uiPriority w:val="0"/>
    <w:pPr>
      <w:ind w:left="100" w:leftChars="2500"/>
    </w:pPr>
    <w:rPr>
      <w:kern w:val="0"/>
      <w:sz w:val="24"/>
      <w:szCs w:val="20"/>
    </w:rPr>
  </w:style>
  <w:style w:type="paragraph" w:styleId="22">
    <w:name w:val="Body Text Indent 2"/>
    <w:basedOn w:val="1"/>
    <w:qFormat/>
    <w:locked/>
    <w:uiPriority w:val="0"/>
    <w:pPr>
      <w:spacing w:line="420" w:lineRule="exact"/>
      <w:ind w:right="-78" w:firstLine="450"/>
    </w:pPr>
    <w:rPr>
      <w:sz w:val="24"/>
    </w:rPr>
  </w:style>
  <w:style w:type="paragraph" w:styleId="23">
    <w:name w:val="Balloon Text"/>
    <w:basedOn w:val="1"/>
    <w:link w:val="51"/>
    <w:semiHidden/>
    <w:qFormat/>
    <w:uiPriority w:val="0"/>
    <w:rPr>
      <w:kern w:val="0"/>
      <w:sz w:val="18"/>
      <w:szCs w:val="20"/>
    </w:rPr>
  </w:style>
  <w:style w:type="paragraph" w:styleId="24">
    <w:name w:val="footer"/>
    <w:basedOn w:val="1"/>
    <w:next w:val="1"/>
    <w:link w:val="52"/>
    <w:qFormat/>
    <w:uiPriority w:val="99"/>
    <w:pPr>
      <w:tabs>
        <w:tab w:val="center" w:pos="4153"/>
        <w:tab w:val="right" w:pos="8306"/>
      </w:tabs>
      <w:snapToGrid w:val="0"/>
      <w:jc w:val="left"/>
    </w:pPr>
    <w:rPr>
      <w:kern w:val="0"/>
      <w:sz w:val="18"/>
      <w:szCs w:val="20"/>
    </w:rPr>
  </w:style>
  <w:style w:type="paragraph" w:styleId="25">
    <w:name w:val="toc 1"/>
    <w:basedOn w:val="1"/>
    <w:next w:val="1"/>
    <w:qFormat/>
    <w:locked/>
    <w:uiPriority w:val="0"/>
  </w:style>
  <w:style w:type="paragraph" w:styleId="26">
    <w:name w:val="Subtitle"/>
    <w:basedOn w:val="1"/>
    <w:next w:val="1"/>
    <w:qFormat/>
    <w:locked/>
    <w:uiPriority w:val="0"/>
    <w:pPr>
      <w:spacing w:line="240" w:lineRule="auto"/>
      <w:ind w:firstLine="0" w:firstLineChars="0"/>
      <w:jc w:val="center"/>
    </w:pPr>
    <w:rPr>
      <w:bCs/>
      <w:color w:val="000000"/>
      <w:kern w:val="28"/>
      <w:sz w:val="21"/>
      <w:szCs w:val="32"/>
    </w:rPr>
  </w:style>
  <w:style w:type="paragraph" w:styleId="27">
    <w:name w:val="Body Text Indent 3"/>
    <w:basedOn w:val="1"/>
    <w:qFormat/>
    <w:locked/>
    <w:uiPriority w:val="0"/>
    <w:pPr>
      <w:spacing w:after="120" w:afterLines="0"/>
      <w:ind w:left="420"/>
    </w:pPr>
    <w:rPr>
      <w:sz w:val="16"/>
    </w:rPr>
  </w:style>
  <w:style w:type="paragraph" w:styleId="28">
    <w:name w:val="table of figures"/>
    <w:basedOn w:val="1"/>
    <w:next w:val="1"/>
    <w:unhideWhenUsed/>
    <w:qFormat/>
    <w:locked/>
    <w:uiPriority w:val="0"/>
    <w:pPr>
      <w:ind w:left="200" w:leftChars="200" w:hanging="200" w:hangingChars="200"/>
    </w:pPr>
    <w:rPr>
      <w:szCs w:val="21"/>
    </w:rPr>
  </w:style>
  <w:style w:type="paragraph" w:styleId="29">
    <w:name w:val="toc 2"/>
    <w:basedOn w:val="1"/>
    <w:next w:val="1"/>
    <w:qFormat/>
    <w:locked/>
    <w:uiPriority w:val="0"/>
    <w:pPr>
      <w:spacing w:beforeLines="0" w:afterLines="0"/>
      <w:ind w:left="420" w:leftChars="200"/>
    </w:pPr>
    <w:rPr>
      <w:rFonts w:hint="default"/>
      <w:sz w:val="21"/>
    </w:rPr>
  </w:style>
  <w:style w:type="paragraph" w:styleId="30">
    <w:name w:val="Normal (Web)"/>
    <w:basedOn w:val="1"/>
    <w:next w:val="20"/>
    <w:link w:val="55"/>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14"/>
    <w:next w:val="14"/>
    <w:link w:val="56"/>
    <w:semiHidden/>
    <w:qFormat/>
    <w:uiPriority w:val="0"/>
    <w:rPr>
      <w:b/>
      <w:sz w:val="24"/>
      <w:szCs w:val="20"/>
    </w:rPr>
  </w:style>
  <w:style w:type="paragraph" w:styleId="32">
    <w:name w:val="Body Text First Indent"/>
    <w:basedOn w:val="15"/>
    <w:next w:val="1"/>
    <w:qFormat/>
    <w:locked/>
    <w:uiPriority w:val="0"/>
    <w:pPr>
      <w:spacing w:after="120"/>
      <w:ind w:firstLine="420" w:firstLineChars="100"/>
    </w:pPr>
    <w:rPr>
      <w:sz w:val="21"/>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qFormat/>
    <w:locked/>
    <w:uiPriority w:val="0"/>
  </w:style>
  <w:style w:type="character" w:styleId="38">
    <w:name w:val="Hyperlink"/>
    <w:basedOn w:val="35"/>
    <w:qFormat/>
    <w:locked/>
    <w:uiPriority w:val="0"/>
    <w:rPr>
      <w:color w:val="0000FF"/>
      <w:u w:val="single"/>
    </w:rPr>
  </w:style>
  <w:style w:type="character" w:styleId="39">
    <w:name w:val="annotation reference"/>
    <w:semiHidden/>
    <w:qFormat/>
    <w:uiPriority w:val="0"/>
    <w:rPr>
      <w:sz w:val="21"/>
    </w:rPr>
  </w:style>
  <w:style w:type="paragraph" w:customStyle="1" w:styleId="40">
    <w:name w:val="报告正文"/>
    <w:basedOn w:val="1"/>
    <w:qFormat/>
    <w:uiPriority w:val="0"/>
    <w:pPr>
      <w:spacing w:line="480" w:lineRule="exact"/>
      <w:ind w:firstLine="200" w:firstLineChars="200"/>
    </w:pPr>
    <w:rPr>
      <w:color w:val="000000"/>
      <w:sz w:val="24"/>
      <w:szCs w:val="24"/>
    </w:rPr>
  </w:style>
  <w:style w:type="paragraph" w:customStyle="1" w:styleId="41">
    <w:name w:val="Default"/>
    <w:basedOn w:val="42"/>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2">
    <w:name w:val="纯文本1"/>
    <w:basedOn w:val="1"/>
    <w:qFormat/>
    <w:uiPriority w:val="99"/>
    <w:pPr>
      <w:autoSpaceDE w:val="0"/>
      <w:autoSpaceDN w:val="0"/>
      <w:adjustRightInd w:val="0"/>
      <w:textAlignment w:val="baseline"/>
    </w:pPr>
    <w:rPr>
      <w:rFonts w:ascii="宋体"/>
      <w:szCs w:val="20"/>
    </w:rPr>
  </w:style>
  <w:style w:type="paragraph" w:customStyle="1" w:styleId="4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qFormat/>
    <w:uiPriority w:val="0"/>
    <w:pPr>
      <w:spacing w:line="360" w:lineRule="auto"/>
      <w:jc w:val="center"/>
    </w:pPr>
  </w:style>
  <w:style w:type="paragraph" w:customStyle="1" w:styleId="45">
    <w:name w:val="样式 样式 四号 左侧:  1.53 厘米 + 首行缩进:  2 字符"/>
    <w:basedOn w:val="46"/>
    <w:qFormat/>
    <w:uiPriority w:val="99"/>
    <w:pPr>
      <w:ind w:left="200" w:leftChars="200"/>
    </w:pPr>
    <w:rPr>
      <w:szCs w:val="20"/>
    </w:rPr>
  </w:style>
  <w:style w:type="paragraph" w:customStyle="1" w:styleId="46">
    <w:name w:val="样式 四号 左侧:  1.53 厘米"/>
    <w:basedOn w:val="1"/>
    <w:qFormat/>
    <w:uiPriority w:val="99"/>
    <w:rPr>
      <w:w w:val="90"/>
      <w:sz w:val="28"/>
      <w:szCs w:val="28"/>
    </w:rPr>
  </w:style>
  <w:style w:type="character" w:customStyle="1" w:styleId="47">
    <w:name w:val="正文文本缩进 Char"/>
    <w:link w:val="3"/>
    <w:semiHidden/>
    <w:qFormat/>
    <w:locked/>
    <w:uiPriority w:val="0"/>
    <w:rPr>
      <w:rFonts w:ascii="Times New Roman" w:hAnsi="Times New Roman" w:eastAsia="宋体"/>
      <w:sz w:val="24"/>
    </w:rPr>
  </w:style>
  <w:style w:type="character" w:customStyle="1" w:styleId="48">
    <w:name w:val="批注文字 Char"/>
    <w:link w:val="14"/>
    <w:qFormat/>
    <w:locked/>
    <w:uiPriority w:val="0"/>
    <w:rPr>
      <w:rFonts w:ascii="Times New Roman" w:hAnsi="Times New Roman" w:eastAsia="宋体"/>
      <w:sz w:val="24"/>
    </w:rPr>
  </w:style>
  <w:style w:type="character" w:customStyle="1" w:styleId="49">
    <w:name w:val="正文文本 Char"/>
    <w:link w:val="15"/>
    <w:qFormat/>
    <w:locked/>
    <w:uiPriority w:val="0"/>
    <w:rPr>
      <w:sz w:val="18"/>
    </w:rPr>
  </w:style>
  <w:style w:type="character" w:customStyle="1" w:styleId="50">
    <w:name w:val="日期 Char"/>
    <w:link w:val="21"/>
    <w:qFormat/>
    <w:locked/>
    <w:uiPriority w:val="0"/>
    <w:rPr>
      <w:rFonts w:ascii="Times New Roman" w:hAnsi="Times New Roman" w:eastAsia="宋体"/>
      <w:sz w:val="24"/>
    </w:rPr>
  </w:style>
  <w:style w:type="character" w:customStyle="1" w:styleId="51">
    <w:name w:val="批注框文本 Char"/>
    <w:link w:val="23"/>
    <w:semiHidden/>
    <w:qFormat/>
    <w:locked/>
    <w:uiPriority w:val="0"/>
    <w:rPr>
      <w:rFonts w:ascii="Times New Roman" w:hAnsi="Times New Roman" w:eastAsia="宋体"/>
      <w:sz w:val="18"/>
    </w:rPr>
  </w:style>
  <w:style w:type="character" w:customStyle="1" w:styleId="52">
    <w:name w:val="页脚 Char"/>
    <w:link w:val="24"/>
    <w:qFormat/>
    <w:locked/>
    <w:uiPriority w:val="99"/>
    <w:rPr>
      <w:sz w:val="18"/>
    </w:rPr>
  </w:style>
  <w:style w:type="character" w:customStyle="1" w:styleId="53">
    <w:name w:val="页眉 Char"/>
    <w:link w:val="4"/>
    <w:qFormat/>
    <w:locked/>
    <w:uiPriority w:val="0"/>
    <w:rPr>
      <w:sz w:val="18"/>
    </w:rPr>
  </w:style>
  <w:style w:type="character" w:customStyle="1" w:styleId="54">
    <w:name w:val="正文1 Char"/>
    <w:link w:val="6"/>
    <w:qFormat/>
    <w:uiPriority w:val="0"/>
    <w:rPr>
      <w:snapToGrid/>
      <w:sz w:val="24"/>
    </w:rPr>
  </w:style>
  <w:style w:type="character" w:customStyle="1" w:styleId="55">
    <w:name w:val="普通(网站) Char"/>
    <w:link w:val="30"/>
    <w:qFormat/>
    <w:locked/>
    <w:uiPriority w:val="0"/>
    <w:rPr>
      <w:rFonts w:ascii="宋体" w:hAnsi="宋体" w:eastAsia="宋体"/>
      <w:sz w:val="24"/>
    </w:rPr>
  </w:style>
  <w:style w:type="character" w:customStyle="1" w:styleId="56">
    <w:name w:val="批注主题 Char"/>
    <w:link w:val="31"/>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12"/>
    <w:next w:val="1"/>
    <w:link w:val="57"/>
    <w:qFormat/>
    <w:uiPriority w:val="0"/>
    <w:pPr>
      <w:adjustRightInd w:val="0"/>
      <w:snapToGrid w:val="0"/>
      <w:spacing w:beforeLines="10" w:afterLines="10" w:line="259" w:lineRule="auto"/>
      <w:jc w:val="center"/>
    </w:pPr>
    <w:rPr>
      <w:rFonts w:ascii="宋体"/>
      <w:kern w:val="0"/>
      <w:szCs w:val="20"/>
    </w:rPr>
  </w:style>
  <w:style w:type="paragraph" w:customStyle="1" w:styleId="59">
    <w:name w:val="表格文字"/>
    <w:basedOn w:val="15"/>
    <w:next w:val="15"/>
    <w:qFormat/>
    <w:uiPriority w:val="0"/>
    <w:pPr>
      <w:adjustRightInd w:val="0"/>
      <w:spacing w:line="400" w:lineRule="atLeast"/>
      <w:jc w:val="center"/>
    </w:pPr>
    <w:rPr>
      <w:kern w:val="24"/>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font01"/>
    <w:qFormat/>
    <w:uiPriority w:val="0"/>
    <w:rPr>
      <w:rFonts w:ascii="Calibri" w:hAnsi="Calibri" w:cs="Calibri"/>
      <w:color w:val="000000"/>
      <w:sz w:val="22"/>
      <w:szCs w:val="22"/>
      <w:u w:val="none"/>
    </w:rPr>
  </w:style>
  <w:style w:type="character" w:customStyle="1" w:styleId="62">
    <w:name w:val="日期 字符"/>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qFormat/>
    <w:uiPriority w:val="0"/>
    <w:rPr>
      <w:rFonts w:hint="eastAsia" w:ascii="宋体" w:hAnsi="宋体" w:eastAsia="宋体" w:cs="宋体"/>
      <w:color w:val="000000"/>
      <w:sz w:val="22"/>
      <w:szCs w:val="22"/>
      <w:u w:val="none"/>
    </w:rPr>
  </w:style>
  <w:style w:type="character" w:customStyle="1" w:styleId="65">
    <w:name w:val="批注文字 字符1"/>
    <w:semiHidden/>
    <w:qFormat/>
    <w:uiPriority w:val="0"/>
    <w:rPr>
      <w:rFonts w:ascii="Times New Roman" w:hAnsi="Times New Roman" w:eastAsia="宋体"/>
      <w:sz w:val="24"/>
    </w:rPr>
  </w:style>
  <w:style w:type="character" w:customStyle="1" w:styleId="66">
    <w:name w:val="页脚 字符"/>
    <w:qFormat/>
    <w:uiPriority w:val="99"/>
  </w:style>
  <w:style w:type="paragraph" w:customStyle="1" w:styleId="67">
    <w:name w:val="表头"/>
    <w:basedOn w:val="12"/>
    <w:next w:val="12"/>
    <w:qFormat/>
    <w:uiPriority w:val="0"/>
    <w:pPr>
      <w:spacing w:line="360" w:lineRule="auto"/>
      <w:ind w:firstLine="300" w:firstLineChars="300"/>
    </w:pPr>
    <w:rPr>
      <w:rFonts w:ascii="黑体" w:eastAsia="黑体"/>
      <w:sz w:val="24"/>
    </w:rPr>
  </w:style>
  <w:style w:type="paragraph" w:customStyle="1" w:styleId="68">
    <w:name w:val="Normal Indent"/>
    <w:basedOn w:val="1"/>
    <w:qFormat/>
    <w:uiPriority w:val="0"/>
    <w:pPr>
      <w:ind w:firstLine="480" w:firstLineChars="200"/>
    </w:pPr>
    <w:rPr>
      <w:rFonts w:ascii="Arial" w:hAnsi="Arial" w:eastAsia="宋体" w:cs="Times New Roman"/>
      <w:snapToGrid w:val="0"/>
      <w:kern w:val="2"/>
      <w:sz w:val="24"/>
      <w:szCs w:val="20"/>
    </w:rPr>
  </w:style>
  <w:style w:type="paragraph" w:customStyle="1" w:styleId="6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qFormat/>
    <w:uiPriority w:val="0"/>
    <w:rPr>
      <w:szCs w:val="24"/>
    </w:rPr>
  </w:style>
  <w:style w:type="paragraph" w:styleId="74">
    <w:name w:val="List Paragraph"/>
    <w:basedOn w:val="1"/>
    <w:qFormat/>
    <w:uiPriority w:val="34"/>
    <w:pPr>
      <w:ind w:firstLine="420" w:firstLineChars="200"/>
    </w:pPr>
  </w:style>
  <w:style w:type="paragraph" w:customStyle="1" w:styleId="75">
    <w:name w:val="段落"/>
    <w:basedOn w:val="1"/>
    <w:qFormat/>
    <w:uiPriority w:val="0"/>
    <w:pPr>
      <w:ind w:left="0" w:firstLine="480" w:firstLineChars="200"/>
    </w:pPr>
    <w:rPr>
      <w:sz w:val="24"/>
    </w:rPr>
  </w:style>
  <w:style w:type="paragraph" w:customStyle="1" w:styleId="76">
    <w:name w:val="样式 小四 行距: 固定值 24 磅 首行缩进:  2 字符"/>
    <w:basedOn w:val="1"/>
    <w:qFormat/>
    <w:uiPriority w:val="0"/>
    <w:pPr>
      <w:spacing w:line="440" w:lineRule="exact"/>
      <w:ind w:firstLine="200"/>
    </w:pPr>
    <w:rPr>
      <w:spacing w:val="0"/>
      <w:szCs w:val="24"/>
    </w:rPr>
  </w:style>
  <w:style w:type="paragraph" w:customStyle="1" w:styleId="77">
    <w:name w:val="标题111"/>
    <w:basedOn w:val="1"/>
    <w:qFormat/>
    <w:uiPriority w:val="0"/>
    <w:pPr>
      <w:spacing w:line="480" w:lineRule="exact"/>
    </w:pPr>
    <w:rPr>
      <w:b/>
      <w:sz w:val="24"/>
    </w:rPr>
  </w:style>
  <w:style w:type="paragraph" w:customStyle="1" w:styleId="7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qFormat/>
    <w:uiPriority w:val="0"/>
    <w:pPr>
      <w:widowControl/>
    </w:pPr>
    <w:rPr>
      <w:kern w:val="0"/>
    </w:rPr>
  </w:style>
  <w:style w:type="paragraph" w:customStyle="1" w:styleId="80">
    <w:name w:val="Table Paragraph"/>
    <w:basedOn w:val="1"/>
    <w:qFormat/>
    <w:uiPriority w:val="0"/>
    <w:pPr>
      <w:jc w:val="center"/>
    </w:pPr>
    <w:rPr>
      <w:rFonts w:ascii="宋体" w:hAnsi="宋体" w:eastAsia="宋体" w:cs="宋体"/>
      <w:lang w:val="zh-CN" w:eastAsia="zh-CN" w:bidi="zh-CN"/>
    </w:rPr>
  </w:style>
  <w:style w:type="paragraph" w:customStyle="1" w:styleId="81">
    <w:name w:val="正文内容"/>
    <w:basedOn w:val="1"/>
    <w:qFormat/>
    <w:uiPriority w:val="0"/>
    <w:pPr>
      <w:spacing w:line="360" w:lineRule="auto"/>
      <w:ind w:firstLine="567"/>
    </w:pPr>
    <w:rPr>
      <w:rFonts w:ascii="宋体"/>
      <w:sz w:val="24"/>
      <w:szCs w:val="24"/>
    </w:rPr>
  </w:style>
  <w:style w:type="paragraph" w:customStyle="1" w:styleId="82">
    <w:name w:val="正文正"/>
    <w:basedOn w:val="1"/>
    <w:qFormat/>
    <w:uiPriority w:val="0"/>
    <w:pPr>
      <w:ind w:firstLine="560" w:firstLineChars="200"/>
    </w:pPr>
    <w:rPr>
      <w:sz w:val="28"/>
    </w:rPr>
  </w:style>
  <w:style w:type="paragraph" w:customStyle="1" w:styleId="83">
    <w:name w:val="Other|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84">
    <w:name w:val="表格内容"/>
    <w:basedOn w:val="1"/>
    <w:qFormat/>
    <w:uiPriority w:val="0"/>
    <w:pPr>
      <w:widowControl w:val="0"/>
      <w:autoSpaceDE w:val="0"/>
      <w:autoSpaceDN w:val="0"/>
      <w:adjustRightInd w:val="0"/>
      <w:snapToGrid w:val="0"/>
      <w:spacing w:line="360" w:lineRule="exact"/>
      <w:ind w:firstLine="0" w:firstLineChars="0"/>
      <w:jc w:val="center"/>
    </w:pPr>
    <w:rPr>
      <w:rFonts w:cs="Times New Roman"/>
      <w:sz w:val="21"/>
      <w:szCs w:val="21"/>
    </w:rPr>
  </w:style>
  <w:style w:type="paragraph" w:customStyle="1" w:styleId="8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qFormat/>
    <w:uiPriority w:val="0"/>
    <w:pPr>
      <w:widowControl/>
      <w:jc w:val="center"/>
    </w:pPr>
    <w:rPr>
      <w:rFonts w:ascii="黑体" w:eastAsia="黑体"/>
      <w:kern w:val="0"/>
    </w:rPr>
  </w:style>
  <w:style w:type="paragraph" w:customStyle="1" w:styleId="87">
    <w:name w:val="样式1"/>
    <w:basedOn w:val="1"/>
    <w:qFormat/>
    <w:uiPriority w:val="0"/>
    <w:pPr>
      <w:tabs>
        <w:tab w:val="left" w:pos="1200"/>
      </w:tabs>
      <w:adjustRightInd w:val="0"/>
      <w:snapToGrid w:val="0"/>
      <w:spacing w:line="360" w:lineRule="auto"/>
    </w:pPr>
    <w:rPr>
      <w:sz w:val="28"/>
      <w:szCs w:val="24"/>
    </w:rPr>
  </w:style>
  <w:style w:type="paragraph" w:customStyle="1" w:styleId="88">
    <w:name w:val="三级标题"/>
    <w:basedOn w:val="1"/>
    <w:next w:val="2"/>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qFormat/>
    <w:uiPriority w:val="0"/>
    <w:pPr>
      <w:spacing w:line="480" w:lineRule="atLeast"/>
      <w:ind w:firstLine="200" w:firstLineChars="200"/>
    </w:pPr>
    <w:rPr>
      <w:sz w:val="24"/>
    </w:rPr>
  </w:style>
  <w:style w:type="paragraph" w:customStyle="1" w:styleId="90">
    <w:name w:val="正文缩进1"/>
    <w:basedOn w:val="1"/>
    <w:qFormat/>
    <w:uiPriority w:val="0"/>
    <w:pPr>
      <w:ind w:firstLine="420"/>
    </w:pPr>
    <w:rPr>
      <w:szCs w:val="20"/>
    </w:rPr>
  </w:style>
  <w:style w:type="paragraph" w:customStyle="1" w:styleId="91">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qFormat/>
    <w:uiPriority w:val="0"/>
    <w:pPr>
      <w:spacing w:line="0" w:lineRule="atLeast"/>
      <w:ind w:firstLine="0" w:firstLineChars="0"/>
      <w:jc w:val="center"/>
    </w:pPr>
    <w:rPr>
      <w:sz w:val="21"/>
    </w:rPr>
  </w:style>
  <w:style w:type="paragraph" w:customStyle="1" w:styleId="9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正文文本 (15)"/>
    <w:basedOn w:val="1"/>
    <w:qFormat/>
    <w:uiPriority w:val="0"/>
    <w:pPr>
      <w:widowControl/>
      <w:shd w:val="clear" w:color="auto" w:fill="FFFFFF"/>
      <w:spacing w:line="0" w:lineRule="atLeast"/>
      <w:ind w:firstLine="0" w:firstLineChars="0"/>
      <w:jc w:val="left"/>
    </w:pPr>
    <w:rPr>
      <w:rFonts w:ascii="MingLiU" w:hAnsi="MingLiU" w:eastAsia="MingLiU"/>
      <w:sz w:val="17"/>
      <w:szCs w:val="17"/>
    </w:rPr>
  </w:style>
  <w:style w:type="character" w:customStyle="1" w:styleId="98">
    <w:name w:val="font141"/>
    <w:qFormat/>
    <w:uiPriority w:val="0"/>
    <w:rPr>
      <w:rFonts w:hint="default" w:ascii="Times New Roman" w:hAnsi="Times New Roman" w:cs="Times New Roman"/>
      <w:color w:val="000000"/>
      <w:sz w:val="21"/>
      <w:szCs w:val="21"/>
      <w:u w:val="none"/>
    </w:rPr>
  </w:style>
  <w:style w:type="character" w:customStyle="1" w:styleId="99">
    <w:name w:val="font21"/>
    <w:basedOn w:val="35"/>
    <w:qFormat/>
    <w:uiPriority w:val="0"/>
    <w:rPr>
      <w:rFonts w:hint="eastAsia" w:ascii="宋体" w:hAnsi="宋体" w:eastAsia="宋体" w:cs="宋体"/>
      <w:color w:val="000000"/>
      <w:sz w:val="21"/>
      <w:szCs w:val="21"/>
      <w:u w:val="none"/>
    </w:rPr>
  </w:style>
  <w:style w:type="character" w:customStyle="1" w:styleId="100">
    <w:name w:val="正文文本 + Arial Unicode MS"/>
    <w:qFormat/>
    <w:uiPriority w:val="0"/>
    <w:rPr>
      <w:rFonts w:ascii="Arial Unicode MS" w:hAnsi="Arial Unicode MS" w:eastAsia="Arial Unicode MS" w:cs="Arial Unicode MS"/>
      <w:spacing w:val="0"/>
      <w:sz w:val="18"/>
      <w:szCs w:val="18"/>
    </w:rPr>
  </w:style>
  <w:style w:type="paragraph" w:customStyle="1" w:styleId="101">
    <w:name w:val="标题二"/>
    <w:basedOn w:val="1"/>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szCs w:val="24"/>
    </w:rPr>
  </w:style>
  <w:style w:type="character" w:customStyle="1" w:styleId="103">
    <w:name w:val="font31"/>
    <w:basedOn w:val="35"/>
    <w:qFormat/>
    <w:uiPriority w:val="0"/>
    <w:rPr>
      <w:rFonts w:hint="eastAsia" w:ascii="宋体" w:hAnsi="宋体" w:eastAsia="宋体" w:cs="宋体"/>
      <w:color w:val="333333"/>
      <w:sz w:val="36"/>
      <w:szCs w:val="36"/>
      <w:u w:val="none"/>
    </w:rPr>
  </w:style>
  <w:style w:type="paragraph" w:customStyle="1" w:styleId="104">
    <w:name w:val="正文2"/>
    <w:basedOn w:val="105"/>
    <w:qFormat/>
    <w:uiPriority w:val="0"/>
    <w:pPr>
      <w:widowControl w:val="0"/>
      <w:suppressAutoHyphens/>
      <w:spacing w:line="520" w:lineRule="atLeast"/>
      <w:ind w:firstLine="680"/>
      <w:jc w:val="both"/>
    </w:pPr>
    <w:rPr>
      <w:rFonts w:ascii="Calibri" w:hAnsi="Calibri" w:eastAsia="宋体" w:cs="Times New Roman"/>
      <w:spacing w:val="18"/>
      <w:sz w:val="32"/>
      <w:lang w:val="en-US" w:eastAsia="zh-CN" w:bidi="ar-SA"/>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qFormat/>
    <w:uiPriority w:val="0"/>
    <w:pPr>
      <w:tabs>
        <w:tab w:val="center" w:pos="4505"/>
      </w:tabs>
      <w:jc w:val="center"/>
    </w:pPr>
    <w:rPr>
      <w:b/>
      <w:szCs w:val="22"/>
    </w:rPr>
  </w:style>
  <w:style w:type="paragraph" w:customStyle="1" w:styleId="107">
    <w:name w:val="我的表头"/>
    <w:basedOn w:val="108"/>
    <w:qFormat/>
    <w:uiPriority w:val="0"/>
    <w:pPr>
      <w:spacing w:line="480" w:lineRule="exact"/>
      <w:ind w:firstLine="0" w:firstLineChars="0"/>
      <w:jc w:val="center"/>
    </w:pPr>
    <w:rPr>
      <w:rFonts w:ascii="Times New Roman" w:hAnsi="Times New Roman"/>
      <w:b/>
      <w:sz w:val="21"/>
      <w:szCs w:val="21"/>
    </w:rPr>
  </w:style>
  <w:style w:type="paragraph" w:customStyle="1" w:styleId="108">
    <w:name w:val="正常格式"/>
    <w:basedOn w:val="104"/>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rPr>
      <w:rFonts w:cs="宋体"/>
      <w:sz w:val="24"/>
    </w:rPr>
  </w:style>
  <w:style w:type="paragraph" w:customStyle="1" w:styleId="110">
    <w:name w:val="样式 样式 正文 + 首行缩进:  2 字符 + 首行缩进:  2 字符"/>
    <w:basedOn w:val="111"/>
    <w:qFormat/>
    <w:uiPriority w:val="0"/>
  </w:style>
  <w:style w:type="paragraph" w:customStyle="1" w:styleId="111">
    <w:name w:val="样式 正文 + 首行缩进:  2 字符"/>
    <w:basedOn w:val="112"/>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qFormat/>
    <w:uiPriority w:val="0"/>
    <w:pPr>
      <w:spacing w:line="500" w:lineRule="exact"/>
      <w:ind w:firstLine="0" w:firstLineChars="0"/>
      <w:jc w:val="center"/>
    </w:pPr>
    <w:rPr>
      <w:rFonts w:eastAsia="宋体"/>
      <w:b/>
      <w:kern w:val="2"/>
      <w:sz w:val="24"/>
      <w:szCs w:val="24"/>
      <w:lang w:val="en-US" w:eastAsia="zh-CN" w:bidi="ar-SA"/>
    </w:rPr>
  </w:style>
  <w:style w:type="paragraph" w:customStyle="1" w:styleId="114">
    <w:name w:val="标书正文"/>
    <w:basedOn w:val="1"/>
    <w:qFormat/>
    <w:uiPriority w:val="0"/>
    <w:pPr>
      <w:tabs>
        <w:tab w:val="left" w:pos="0"/>
        <w:tab w:val="left" w:pos="735"/>
      </w:tabs>
      <w:spacing w:line="360" w:lineRule="auto"/>
    </w:pPr>
  </w:style>
  <w:style w:type="paragraph" w:customStyle="1" w:styleId="115">
    <w:name w:val="图表"/>
    <w:basedOn w:val="1"/>
    <w:qFormat/>
    <w:uiPriority w:val="0"/>
    <w:pPr>
      <w:jc w:val="center"/>
    </w:pPr>
    <w:rPr>
      <w:rFonts w:eastAsia="黑体"/>
      <w:sz w:val="24"/>
    </w:rPr>
  </w:style>
  <w:style w:type="paragraph" w:customStyle="1" w:styleId="116">
    <w:name w:val="04 正文"/>
    <w:basedOn w:val="1"/>
    <w:qFormat/>
    <w:uiPriority w:val="0"/>
    <w:pPr>
      <w:spacing w:line="400" w:lineRule="exact"/>
      <w:ind w:firstLine="420" w:firstLineChars="200"/>
      <w:jc w:val="both"/>
    </w:pPr>
    <w:rPr>
      <w:bCs/>
      <w:color w:val="000000"/>
      <w:sz w:val="24"/>
      <w:szCs w:val="21"/>
    </w:rPr>
  </w:style>
  <w:style w:type="paragraph" w:customStyle="1" w:styleId="117">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8">
    <w:name w:val="标题3"/>
    <w:basedOn w:val="10"/>
    <w:next w:val="1"/>
    <w:qFormat/>
    <w:uiPriority w:val="0"/>
    <w:pPr>
      <w:keepNext w:val="0"/>
      <w:keepLines w:val="0"/>
      <w:widowControl w:val="0"/>
      <w:spacing w:before="0" w:after="0" w:line="500" w:lineRule="exact"/>
    </w:pPr>
    <w:rPr>
      <w:sz w:val="24"/>
    </w:rPr>
  </w:style>
  <w:style w:type="paragraph" w:customStyle="1" w:styleId="119">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20">
    <w:name w:val="表格内文字格式"/>
    <w:basedOn w:val="1"/>
    <w:next w:val="1"/>
    <w:qFormat/>
    <w:uiPriority w:val="0"/>
    <w:pPr>
      <w:adjustRightInd w:val="0"/>
      <w:snapToGrid w:val="0"/>
      <w:jc w:val="left"/>
    </w:pPr>
    <w:rPr>
      <w:szCs w:val="21"/>
    </w:rPr>
  </w:style>
  <w:style w:type="paragraph" w:customStyle="1" w:styleId="121">
    <w:name w:val="图名表头"/>
    <w:basedOn w:val="1"/>
    <w:qFormat/>
    <w:uiPriority w:val="0"/>
    <w:pPr>
      <w:spacing w:line="360" w:lineRule="auto"/>
      <w:jc w:val="center"/>
    </w:pPr>
    <w:rPr>
      <w:rFonts w:ascii="宋体" w:hAnsi="宋体" w:cs="宋体"/>
      <w:sz w:val="24"/>
      <w:szCs w:val="21"/>
    </w:rPr>
  </w:style>
  <w:style w:type="paragraph" w:styleId="122">
    <w:name w:val="No Spacing"/>
    <w:qFormat/>
    <w:uiPriority w:val="1"/>
    <w:pPr>
      <w:widowControl w:val="0"/>
      <w:spacing w:line="440" w:lineRule="exact"/>
      <w:jc w:val="center"/>
    </w:pPr>
    <w:rPr>
      <w:rFonts w:ascii="Times New Roman" w:hAnsi="Times New Roman" w:eastAsia="宋体" w:cs="Times New Roman"/>
      <w:b/>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hyperlink" Target="http://www.biaozhi.net/eNews/news/200602/0030_0000002014.shtml" TargetMode="External"/><Relationship Id="rId17" Type="http://schemas.openxmlformats.org/officeDocument/2006/relationships/image" Target="media/image6.png"/><Relationship Id="rId16" Type="http://schemas.openxmlformats.org/officeDocument/2006/relationships/hyperlink" Target="http://www.biaozhi.net/eNews/news/200602/0029_0000000909.shtml" TargetMode="External"/><Relationship Id="rId15" Type="http://schemas.openxmlformats.org/officeDocument/2006/relationships/image" Target="media/image5.png"/><Relationship Id="rId14" Type="http://schemas.openxmlformats.org/officeDocument/2006/relationships/hyperlink" Target="http://www.biaozhi.net/eNews/news/200602/0029_0000000907.shtml" TargetMode="Externa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68</Pages>
  <Words>36156</Words>
  <Characters>40211</Characters>
  <Lines>220</Lines>
  <Paragraphs>62</Paragraphs>
  <TotalTime>3</TotalTime>
  <ScaleCrop>false</ScaleCrop>
  <LinksUpToDate>false</LinksUpToDate>
  <CharactersWithSpaces>41127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储伊</cp:lastModifiedBy>
  <cp:lastPrinted>2022-09-13T09:49:00Z</cp:lastPrinted>
  <dcterms:modified xsi:type="dcterms:W3CDTF">2024-02-29T14:24:28Z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5B039DCBF89E46A3965A94F2B68CB628</vt:lpwstr>
  </property>
</Properties>
</file>